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9E2307" w14:textId="5202DB8D" w:rsidR="00230F35" w:rsidRDefault="001164A8" w:rsidP="00230F35">
      <w:pPr>
        <w:pStyle w:val="NormalWeb"/>
        <w:spacing w:before="0" w:beforeAutospacing="0" w:after="0" w:afterAutospacing="0"/>
        <w:ind w:right="-334"/>
      </w:pPr>
      <w:r>
        <w:rPr>
          <w:noProof/>
          <w:lang w:eastAsia="en-GB"/>
        </w:rPr>
        <w:drawing>
          <wp:inline distT="0" distB="0" distL="0" distR="0" wp14:anchorId="3B57D4AA" wp14:editId="2FC274AD">
            <wp:extent cx="1905000" cy="638175"/>
            <wp:effectExtent l="19050" t="1905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bookmarkStart w:id="0" w:name="_GoBack"/>
      <w:bookmarkEnd w:id="0"/>
    </w:p>
    <w:p w14:paraId="36B2CDA3" w14:textId="77777777" w:rsidR="00230F35" w:rsidRDefault="00230F35" w:rsidP="00230F35">
      <w:pPr>
        <w:pStyle w:val="NormalWeb"/>
        <w:spacing w:before="0" w:beforeAutospacing="0" w:after="0" w:afterAutospacing="0"/>
        <w:ind w:right="-334"/>
      </w:pPr>
    </w:p>
    <w:p w14:paraId="0487B711" w14:textId="77777777" w:rsidR="00A745B6" w:rsidRDefault="00A745B6" w:rsidP="00230F35">
      <w:pPr>
        <w:pStyle w:val="NormalWeb"/>
        <w:spacing w:before="0" w:beforeAutospacing="0" w:after="0" w:afterAutospacing="0"/>
        <w:ind w:right="-334"/>
      </w:pPr>
    </w:p>
    <w:p w14:paraId="6586BA46" w14:textId="77777777" w:rsidR="00CB5E37" w:rsidRDefault="00901157" w:rsidP="00230F35">
      <w:pPr>
        <w:pStyle w:val="NormalWeb"/>
        <w:spacing w:before="0" w:beforeAutospacing="0" w:after="0" w:afterAutospacing="0"/>
        <w:ind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7CA50AFC" w14:textId="77777777" w:rsidR="002E67CE" w:rsidRPr="00230F35" w:rsidRDefault="00CB5E37" w:rsidP="00230F35">
      <w:pPr>
        <w:pStyle w:val="NormalWeb"/>
        <w:spacing w:before="0" w:beforeAutospacing="0" w:after="0" w:afterAutospacing="0"/>
        <w:ind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62A3538A" w14:textId="77777777" w:rsidR="002E67CE" w:rsidRPr="00230F35" w:rsidRDefault="002E67CE" w:rsidP="002E67CE">
      <w:pPr>
        <w:rPr>
          <w:rFonts w:ascii="Arial" w:hAnsi="Arial" w:cs="Arial"/>
          <w:sz w:val="28"/>
          <w:szCs w:val="28"/>
          <w:lang w:val="cy-GB"/>
        </w:rPr>
      </w:pPr>
    </w:p>
    <w:p w14:paraId="2EC8C7D9" w14:textId="77777777" w:rsidR="002E67CE" w:rsidRDefault="002E67CE" w:rsidP="002E67CE">
      <w:pPr>
        <w:pStyle w:val="Heading3"/>
        <w:ind w:left="0"/>
        <w:jc w:val="center"/>
        <w:rPr>
          <w:lang w:val="cy-GB"/>
        </w:rPr>
      </w:pPr>
      <w:r>
        <w:rPr>
          <w:lang w:val="cy-GB"/>
        </w:rPr>
        <w:t>THIS SHEET MUST BE THE FIRST PAGE OF THE ASSIGNMENT YOU ARE SUBMITTING  (DO NOT SEND AS A SEPARATE FILE)</w:t>
      </w:r>
    </w:p>
    <w:p w14:paraId="67A7AD31" w14:textId="77777777" w:rsidR="00230F35" w:rsidRDefault="00230F35" w:rsidP="002E67CE">
      <w:pPr>
        <w:pStyle w:val="Heading3"/>
        <w:ind w:left="0"/>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23"/>
        <w:gridCol w:w="1503"/>
        <w:gridCol w:w="285"/>
        <w:gridCol w:w="1795"/>
      </w:tblGrid>
      <w:tr w:rsidR="00E57529" w:rsidRPr="00230F35" w14:paraId="32FE31C8" w14:textId="77777777" w:rsidTr="00A745B6">
        <w:trPr>
          <w:trHeight w:val="614"/>
        </w:trPr>
        <w:tc>
          <w:tcPr>
            <w:tcW w:w="8856" w:type="dxa"/>
            <w:gridSpan w:val="5"/>
          </w:tcPr>
          <w:p w14:paraId="26AC1714"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5439A14D" w14:textId="77777777" w:rsidTr="00A745B6">
        <w:trPr>
          <w:trHeight w:val="718"/>
        </w:trPr>
        <w:tc>
          <w:tcPr>
            <w:tcW w:w="8856" w:type="dxa"/>
            <w:gridSpan w:val="5"/>
          </w:tcPr>
          <w:p w14:paraId="5CC8A57D"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92C2A">
              <w:rPr>
                <w:rFonts w:ascii="Arial" w:hAnsi="Arial" w:cs="Arial"/>
                <w:sz w:val="22"/>
                <w:szCs w:val="22"/>
              </w:rPr>
              <w:t xml:space="preserve"> Andy Jones</w:t>
            </w:r>
          </w:p>
          <w:p w14:paraId="18819277"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3DDCA1D8"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494D9D" w:rsidRPr="00494D9D">
              <w:rPr>
                <w:rFonts w:ascii="Arial" w:hAnsi="Arial" w:cs="Arial"/>
                <w:sz w:val="22"/>
                <w:szCs w:val="22"/>
              </w:rPr>
              <w:t>Andrew Jones (2314609) &lt;2314609@student.uwtsd.ac.uk&gt;</w:t>
            </w:r>
          </w:p>
        </w:tc>
      </w:tr>
      <w:tr w:rsidR="00CE3B79" w:rsidRPr="00230F35" w14:paraId="76AFF82B" w14:textId="77777777" w:rsidTr="00A745B6">
        <w:trPr>
          <w:trHeight w:val="849"/>
        </w:trPr>
        <w:tc>
          <w:tcPr>
            <w:tcW w:w="4788" w:type="dxa"/>
          </w:tcPr>
          <w:p w14:paraId="41EDEBE7"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5F7FCA18" w14:textId="77777777" w:rsidR="00D67BF8" w:rsidRPr="00230F35" w:rsidRDefault="00C63A56" w:rsidP="002F467C">
            <w:pPr>
              <w:pStyle w:val="NormalWeb"/>
              <w:spacing w:before="0" w:beforeAutospacing="0" w:after="0" w:afterAutospacing="0"/>
              <w:ind w:right="34"/>
              <w:rPr>
                <w:rFonts w:ascii="Arial" w:hAnsi="Arial" w:cs="Arial"/>
                <w:sz w:val="22"/>
                <w:szCs w:val="22"/>
              </w:rPr>
            </w:pPr>
            <w:r w:rsidRPr="00C63A56">
              <w:rPr>
                <w:rFonts w:ascii="Arial" w:hAnsi="Arial" w:cs="Arial"/>
                <w:sz w:val="22"/>
                <w:szCs w:val="22"/>
              </w:rPr>
              <w:t>HPCA7014</w:t>
            </w:r>
          </w:p>
          <w:p w14:paraId="4478D801"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B037DAB" w14:textId="77777777" w:rsidR="00A745B6" w:rsidRDefault="00C63A56" w:rsidP="002F467C">
            <w:pPr>
              <w:pStyle w:val="NormalWeb"/>
              <w:spacing w:before="0" w:beforeAutospacing="0" w:after="0" w:afterAutospacing="0"/>
              <w:ind w:right="34"/>
              <w:rPr>
                <w:rFonts w:ascii="Arial" w:hAnsi="Arial" w:cs="Arial"/>
                <w:sz w:val="22"/>
                <w:szCs w:val="22"/>
              </w:rPr>
            </w:pPr>
            <w:r w:rsidRPr="00C63A56">
              <w:rPr>
                <w:rFonts w:ascii="Arial" w:hAnsi="Arial" w:cs="Arial"/>
                <w:sz w:val="22"/>
                <w:szCs w:val="22"/>
              </w:rPr>
              <w:t>Sacred Geography</w:t>
            </w:r>
          </w:p>
          <w:p w14:paraId="7FF90B1E"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02C83CC"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6C8F35E" w14:textId="77777777" w:rsidR="00494D9D" w:rsidRPr="00230F35" w:rsidRDefault="00494D9D" w:rsidP="002F467C">
            <w:pPr>
              <w:pStyle w:val="NormalWeb"/>
              <w:spacing w:before="0" w:beforeAutospacing="0" w:after="0" w:afterAutospacing="0"/>
              <w:ind w:right="34"/>
              <w:rPr>
                <w:rFonts w:ascii="Arial" w:hAnsi="Arial" w:cs="Arial"/>
                <w:sz w:val="22"/>
                <w:szCs w:val="22"/>
              </w:rPr>
            </w:pPr>
            <w:r w:rsidRPr="00494D9D">
              <w:rPr>
                <w:rFonts w:ascii="Arial" w:hAnsi="Arial" w:cs="Arial"/>
                <w:sz w:val="22"/>
                <w:szCs w:val="22"/>
              </w:rPr>
              <w:t>2314609</w:t>
            </w:r>
          </w:p>
        </w:tc>
        <w:tc>
          <w:tcPr>
            <w:tcW w:w="1802" w:type="dxa"/>
          </w:tcPr>
          <w:p w14:paraId="362D10DA"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9EC3B6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0845013F" w14:textId="77777777" w:rsidTr="00A745B6">
        <w:trPr>
          <w:trHeight w:val="1139"/>
        </w:trPr>
        <w:tc>
          <w:tcPr>
            <w:tcW w:w="8856" w:type="dxa"/>
            <w:gridSpan w:val="5"/>
          </w:tcPr>
          <w:p w14:paraId="57D07F55" w14:textId="77777777" w:rsidR="00CE3B79" w:rsidRPr="00230F35" w:rsidRDefault="00CE3B79" w:rsidP="00AF0A22">
            <w:pPr>
              <w:pStyle w:val="NormalWeb"/>
              <w:ind w:right="34"/>
              <w:rPr>
                <w:rFonts w:ascii="Arial" w:hAnsi="Arial" w:cs="Arial"/>
                <w:sz w:val="22"/>
                <w:szCs w:val="22"/>
              </w:rPr>
            </w:pPr>
            <w:r w:rsidRPr="00230F35">
              <w:rPr>
                <w:rFonts w:ascii="Arial" w:hAnsi="Arial" w:cs="Arial"/>
                <w:sz w:val="22"/>
                <w:szCs w:val="22"/>
              </w:rPr>
              <w:t>Assignment title:</w:t>
            </w:r>
            <w:r w:rsidR="00C63A56">
              <w:rPr>
                <w:rFonts w:ascii="Arial" w:hAnsi="Arial" w:cs="Arial"/>
                <w:sz w:val="22"/>
                <w:szCs w:val="22"/>
              </w:rPr>
              <w:t xml:space="preserve"> </w:t>
            </w:r>
            <w:r w:rsidR="00AA52DC" w:rsidRPr="00AA52DC">
              <w:rPr>
                <w:rFonts w:ascii="Arial" w:hAnsi="Arial" w:cs="Arial"/>
                <w:sz w:val="22"/>
                <w:szCs w:val="22"/>
              </w:rPr>
              <w:t>Is Barbara Bender’s theory of contested space complemented by Christopher Tilley</w:t>
            </w:r>
            <w:r w:rsidR="00AF0A22">
              <w:rPr>
                <w:rFonts w:ascii="Arial" w:hAnsi="Arial" w:cs="Arial"/>
                <w:sz w:val="22"/>
                <w:szCs w:val="22"/>
              </w:rPr>
              <w:t>’</w:t>
            </w:r>
            <w:r w:rsidR="00AA52DC" w:rsidRPr="00AA52DC">
              <w:rPr>
                <w:rFonts w:ascii="Arial" w:hAnsi="Arial" w:cs="Arial"/>
                <w:sz w:val="22"/>
                <w:szCs w:val="22"/>
              </w:rPr>
              <w:t>s phenomenological perspective</w:t>
            </w:r>
          </w:p>
          <w:p w14:paraId="74B1C780"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633F81B8" w14:textId="77777777" w:rsidR="00230F35" w:rsidRDefault="00230F35" w:rsidP="002F467C">
            <w:pPr>
              <w:pStyle w:val="NormalWeb"/>
              <w:spacing w:before="0" w:beforeAutospacing="0" w:after="0" w:afterAutospacing="0"/>
              <w:ind w:right="34"/>
              <w:rPr>
                <w:rFonts w:ascii="Arial" w:hAnsi="Arial" w:cs="Arial"/>
                <w:sz w:val="22"/>
                <w:szCs w:val="22"/>
              </w:rPr>
            </w:pPr>
          </w:p>
          <w:p w14:paraId="16605261"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63A56">
              <w:rPr>
                <w:rFonts w:ascii="Arial" w:hAnsi="Arial" w:cs="Arial"/>
                <w:sz w:val="22"/>
                <w:szCs w:val="22"/>
              </w:rPr>
              <w:t>13/11/23</w:t>
            </w:r>
          </w:p>
        </w:tc>
      </w:tr>
      <w:tr w:rsidR="00230F35" w:rsidRPr="00230F35" w14:paraId="6D70BB89" w14:textId="77777777" w:rsidTr="00A745B6">
        <w:trPr>
          <w:trHeight w:val="978"/>
        </w:trPr>
        <w:tc>
          <w:tcPr>
            <w:tcW w:w="8856" w:type="dxa"/>
            <w:gridSpan w:val="5"/>
            <w:tcBorders>
              <w:bottom w:val="single" w:sz="4" w:space="0" w:color="000000"/>
            </w:tcBorders>
          </w:tcPr>
          <w:p w14:paraId="5A4D9598"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B00343D" w14:textId="77777777" w:rsidTr="00A745B6">
        <w:trPr>
          <w:trHeight w:val="978"/>
        </w:trPr>
        <w:tc>
          <w:tcPr>
            <w:tcW w:w="8856" w:type="dxa"/>
            <w:gridSpan w:val="5"/>
            <w:shd w:val="clear" w:color="auto" w:fill="D9D9D9"/>
          </w:tcPr>
          <w:p w14:paraId="18D77660"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E5013E"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186D5C20"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7B0391">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3673FEBC"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46720850" w14:textId="77777777" w:rsidTr="00A745B6">
        <w:trPr>
          <w:trHeight w:val="3972"/>
        </w:trPr>
        <w:tc>
          <w:tcPr>
            <w:tcW w:w="8856" w:type="dxa"/>
            <w:gridSpan w:val="5"/>
          </w:tcPr>
          <w:p w14:paraId="71E0B5A4" w14:textId="77777777" w:rsidR="00A745B6" w:rsidRDefault="00A745B6" w:rsidP="00A745B6">
            <w:pPr>
              <w:rPr>
                <w:rFonts w:ascii="Arial" w:hAnsi="Arial"/>
                <w:b/>
              </w:rPr>
            </w:pPr>
          </w:p>
          <w:p w14:paraId="54A5383B"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26A316CD" w14:textId="77777777" w:rsidTr="00022345">
              <w:tc>
                <w:tcPr>
                  <w:tcW w:w="6970" w:type="dxa"/>
                </w:tcPr>
                <w:p w14:paraId="616B1FC0" w14:textId="77777777" w:rsidR="00A745B6" w:rsidRPr="00116CE6" w:rsidRDefault="00A745B6" w:rsidP="009C1A08">
                  <w:pPr>
                    <w:rPr>
                      <w:rFonts w:ascii="Arial" w:hAnsi="Arial"/>
                      <w:sz w:val="20"/>
                      <w:szCs w:val="20"/>
                    </w:rPr>
                  </w:pPr>
                </w:p>
                <w:p w14:paraId="65ADED4D"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C759A08" w14:textId="77777777" w:rsidR="00A745B6" w:rsidRPr="00116CE6" w:rsidRDefault="00A745B6" w:rsidP="009C1A08">
                  <w:pPr>
                    <w:rPr>
                      <w:rFonts w:ascii="Arial" w:hAnsi="Arial"/>
                      <w:sz w:val="20"/>
                      <w:szCs w:val="20"/>
                    </w:rPr>
                  </w:pPr>
                </w:p>
              </w:tc>
            </w:tr>
            <w:tr w:rsidR="00A745B6" w:rsidRPr="00116CE6" w14:paraId="2EF32F15" w14:textId="77777777" w:rsidTr="00022345">
              <w:tc>
                <w:tcPr>
                  <w:tcW w:w="6970" w:type="dxa"/>
                </w:tcPr>
                <w:p w14:paraId="59AE6D8B" w14:textId="77777777" w:rsidR="00A745B6" w:rsidRPr="00116CE6" w:rsidRDefault="00A745B6" w:rsidP="009C1A08">
                  <w:pPr>
                    <w:rPr>
                      <w:rFonts w:ascii="Arial" w:hAnsi="Arial"/>
                      <w:sz w:val="20"/>
                      <w:szCs w:val="20"/>
                    </w:rPr>
                  </w:pPr>
                </w:p>
                <w:p w14:paraId="13AD5ABF"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C7EFE6A" w14:textId="77777777" w:rsidR="00A745B6" w:rsidRPr="00116CE6" w:rsidRDefault="00A745B6" w:rsidP="009C1A08">
                  <w:pPr>
                    <w:rPr>
                      <w:rFonts w:ascii="Arial" w:hAnsi="Arial"/>
                      <w:sz w:val="20"/>
                      <w:szCs w:val="20"/>
                    </w:rPr>
                  </w:pPr>
                </w:p>
              </w:tc>
            </w:tr>
            <w:tr w:rsidR="00A745B6" w:rsidRPr="00116CE6" w14:paraId="7F6147A5" w14:textId="77777777" w:rsidTr="00022345">
              <w:tc>
                <w:tcPr>
                  <w:tcW w:w="6970" w:type="dxa"/>
                </w:tcPr>
                <w:p w14:paraId="4261F4CC" w14:textId="77777777" w:rsidR="00A745B6" w:rsidRPr="00116CE6" w:rsidRDefault="00A745B6" w:rsidP="009C1A08">
                  <w:pPr>
                    <w:rPr>
                      <w:rFonts w:ascii="Arial" w:hAnsi="Arial"/>
                      <w:sz w:val="20"/>
                      <w:szCs w:val="20"/>
                    </w:rPr>
                  </w:pPr>
                </w:p>
                <w:p w14:paraId="42F90A7B"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13D863" w14:textId="77777777" w:rsidR="00A745B6" w:rsidRPr="00116CE6" w:rsidRDefault="00A745B6" w:rsidP="009C1A08">
                  <w:pPr>
                    <w:rPr>
                      <w:rFonts w:ascii="Arial" w:hAnsi="Arial"/>
                      <w:sz w:val="20"/>
                      <w:szCs w:val="20"/>
                    </w:rPr>
                  </w:pPr>
                </w:p>
              </w:tc>
            </w:tr>
            <w:tr w:rsidR="00A745B6" w:rsidRPr="00116CE6" w14:paraId="349E7A28" w14:textId="77777777" w:rsidTr="00022345">
              <w:tc>
                <w:tcPr>
                  <w:tcW w:w="6970" w:type="dxa"/>
                </w:tcPr>
                <w:p w14:paraId="5206848B" w14:textId="77777777" w:rsidR="00A745B6" w:rsidRDefault="00A745B6" w:rsidP="009C1A08">
                  <w:pPr>
                    <w:rPr>
                      <w:rFonts w:ascii="Arial" w:hAnsi="Arial"/>
                      <w:sz w:val="20"/>
                      <w:szCs w:val="20"/>
                    </w:rPr>
                  </w:pPr>
                </w:p>
                <w:p w14:paraId="5F17AF39"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2AA9F8AC" w14:textId="77777777" w:rsidR="00A745B6" w:rsidRPr="00116CE6" w:rsidRDefault="00A745B6" w:rsidP="009C1A08">
                  <w:pPr>
                    <w:rPr>
                      <w:rFonts w:ascii="Arial" w:hAnsi="Arial"/>
                      <w:sz w:val="20"/>
                      <w:szCs w:val="20"/>
                    </w:rPr>
                  </w:pPr>
                </w:p>
              </w:tc>
              <w:tc>
                <w:tcPr>
                  <w:tcW w:w="1660" w:type="dxa"/>
                </w:tcPr>
                <w:p w14:paraId="55B5A597" w14:textId="77777777" w:rsidR="00A745B6" w:rsidRPr="00116CE6" w:rsidRDefault="00A745B6" w:rsidP="009C1A08">
                  <w:pPr>
                    <w:rPr>
                      <w:rFonts w:ascii="Arial" w:hAnsi="Arial"/>
                      <w:sz w:val="20"/>
                      <w:szCs w:val="20"/>
                    </w:rPr>
                  </w:pPr>
                </w:p>
              </w:tc>
            </w:tr>
          </w:tbl>
          <w:p w14:paraId="3EC12460" w14:textId="77777777" w:rsidR="00022345" w:rsidRDefault="00022345" w:rsidP="00A745B6">
            <w:pPr>
              <w:pStyle w:val="NormalWeb"/>
              <w:spacing w:before="0" w:beforeAutospacing="0" w:after="0" w:afterAutospacing="0"/>
              <w:ind w:right="34"/>
              <w:rPr>
                <w:rFonts w:ascii="Arial" w:hAnsi="Arial" w:cs="Arial"/>
                <w:b/>
                <w:sz w:val="22"/>
                <w:szCs w:val="22"/>
              </w:rPr>
            </w:pPr>
          </w:p>
          <w:p w14:paraId="129D5A88" w14:textId="77777777" w:rsidR="00A745B6" w:rsidRPr="00230F35" w:rsidRDefault="00A745B6" w:rsidP="00A745B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9A6DD36" w14:textId="77777777" w:rsidR="00A745B6" w:rsidRDefault="00A745B6" w:rsidP="002F467C">
            <w:pPr>
              <w:pStyle w:val="NormalWeb"/>
              <w:spacing w:before="0" w:beforeAutospacing="0" w:after="0" w:afterAutospacing="0"/>
              <w:rPr>
                <w:rFonts w:ascii="Arial" w:hAnsi="Arial" w:cs="Arial"/>
                <w:b/>
                <w:sz w:val="22"/>
                <w:szCs w:val="22"/>
              </w:rPr>
            </w:pPr>
          </w:p>
          <w:p w14:paraId="5181373C" w14:textId="77777777" w:rsidR="00B462B1" w:rsidRDefault="00B462B1" w:rsidP="002F467C">
            <w:pPr>
              <w:pStyle w:val="NormalWeb"/>
              <w:spacing w:before="0" w:beforeAutospacing="0" w:after="0" w:afterAutospacing="0"/>
              <w:rPr>
                <w:rFonts w:ascii="Arial" w:hAnsi="Arial" w:cs="Arial"/>
                <w:b/>
                <w:sz w:val="22"/>
                <w:szCs w:val="22"/>
              </w:rPr>
            </w:pPr>
          </w:p>
          <w:p w14:paraId="6530D1BC" w14:textId="77777777" w:rsidR="00B462B1" w:rsidRDefault="00B462B1" w:rsidP="002F467C">
            <w:pPr>
              <w:pStyle w:val="NormalWeb"/>
              <w:spacing w:before="0" w:beforeAutospacing="0" w:after="0" w:afterAutospacing="0"/>
              <w:rPr>
                <w:rFonts w:ascii="Arial" w:hAnsi="Arial" w:cs="Arial"/>
                <w:b/>
                <w:sz w:val="22"/>
                <w:szCs w:val="22"/>
              </w:rPr>
            </w:pPr>
          </w:p>
          <w:p w14:paraId="1CEB0A71" w14:textId="77777777" w:rsidR="00B462B1" w:rsidRDefault="00B462B1" w:rsidP="002F467C">
            <w:pPr>
              <w:pStyle w:val="NormalWeb"/>
              <w:spacing w:before="0" w:beforeAutospacing="0" w:after="0" w:afterAutospacing="0"/>
              <w:rPr>
                <w:rFonts w:ascii="Arial" w:hAnsi="Arial" w:cs="Arial"/>
                <w:b/>
                <w:sz w:val="22"/>
                <w:szCs w:val="22"/>
              </w:rPr>
            </w:pPr>
          </w:p>
          <w:p w14:paraId="7FFC4F2A" w14:textId="77777777" w:rsidR="00B462B1" w:rsidRDefault="00B462B1" w:rsidP="002F467C">
            <w:pPr>
              <w:pStyle w:val="NormalWeb"/>
              <w:spacing w:before="0" w:beforeAutospacing="0" w:after="0" w:afterAutospacing="0"/>
              <w:rPr>
                <w:rFonts w:ascii="Arial" w:hAnsi="Arial" w:cs="Arial"/>
                <w:b/>
                <w:sz w:val="22"/>
                <w:szCs w:val="22"/>
              </w:rPr>
            </w:pPr>
          </w:p>
          <w:p w14:paraId="0D75EE5B"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0045C259"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0F3D8708" w14:textId="77777777" w:rsidR="00B56E7B" w:rsidRPr="00001C3B" w:rsidRDefault="00B56E7B" w:rsidP="00043549">
            <w:pPr>
              <w:pStyle w:val="NormalWeb"/>
              <w:rPr>
                <w:rFonts w:ascii="Arial" w:hAnsi="Arial" w:cs="Arial"/>
                <w:sz w:val="22"/>
                <w:szCs w:val="22"/>
              </w:rPr>
            </w:pPr>
          </w:p>
        </w:tc>
      </w:tr>
      <w:tr w:rsidR="00EC7546" w:rsidRPr="00230F35" w14:paraId="5137E910" w14:textId="77777777" w:rsidTr="00A745B6">
        <w:trPr>
          <w:trHeight w:val="492"/>
        </w:trPr>
        <w:tc>
          <w:tcPr>
            <w:tcW w:w="6768" w:type="dxa"/>
            <w:gridSpan w:val="3"/>
          </w:tcPr>
          <w:p w14:paraId="1FB5B512" w14:textId="77777777" w:rsidR="00230F35" w:rsidRPr="00230F35" w:rsidRDefault="00E3766D" w:rsidP="00230F35">
            <w:pPr>
              <w:pStyle w:val="NormalWeb"/>
              <w:ind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18F02E96" w14:textId="77777777" w:rsidR="00EC7546" w:rsidRPr="00230F35" w:rsidRDefault="0065654E" w:rsidP="002F467C">
            <w:pPr>
              <w:pStyle w:val="NormalWeb"/>
              <w:spacing w:after="0"/>
              <w:ind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36CD794" w14:textId="77777777" w:rsidTr="002F467C">
        <w:tc>
          <w:tcPr>
            <w:tcW w:w="8856" w:type="dxa"/>
            <w:gridSpan w:val="5"/>
          </w:tcPr>
          <w:p w14:paraId="68F4E9F8"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6C0C329"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7C0BBD3B"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967694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F3DE7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4DFB5D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54FC16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FBBBDD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06F0C7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F3E1AF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C9CE7C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A7538D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E11EDF0" w14:textId="77777777" w:rsidR="00D67BF8" w:rsidRDefault="00D67BF8" w:rsidP="002F467C">
            <w:pPr>
              <w:pStyle w:val="NormalWeb"/>
              <w:spacing w:before="0" w:beforeAutospacing="0" w:after="0" w:afterAutospacing="0"/>
              <w:ind w:right="-334"/>
              <w:rPr>
                <w:rFonts w:ascii="Arial" w:hAnsi="Arial" w:cs="Arial"/>
                <w:bCs/>
                <w:sz w:val="22"/>
                <w:szCs w:val="22"/>
              </w:rPr>
            </w:pPr>
          </w:p>
          <w:p w14:paraId="20E1F09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6D8D4D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769DDC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68CDA085" w14:textId="77777777" w:rsidTr="008D674F">
        <w:trPr>
          <w:trHeight w:val="720"/>
        </w:trPr>
        <w:tc>
          <w:tcPr>
            <w:tcW w:w="5211" w:type="dxa"/>
            <w:gridSpan w:val="2"/>
          </w:tcPr>
          <w:p w14:paraId="119737E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147C14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5F88C686" w14:textId="77777777" w:rsidTr="009C1A08">
        <w:trPr>
          <w:trHeight w:val="720"/>
        </w:trPr>
        <w:tc>
          <w:tcPr>
            <w:tcW w:w="8856" w:type="dxa"/>
            <w:gridSpan w:val="5"/>
          </w:tcPr>
          <w:p w14:paraId="3393FA4A"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4EF5B8E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3C375D2"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C8BD57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B8886A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FA2816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84AD98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A880814"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FAAC0A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4ADBB42" w14:textId="77777777" w:rsidR="00230F35" w:rsidRDefault="00230F35" w:rsidP="002F467C">
            <w:pPr>
              <w:pStyle w:val="NormalWeb"/>
              <w:spacing w:before="0" w:beforeAutospacing="0" w:after="0" w:afterAutospacing="0"/>
              <w:ind w:right="-334"/>
              <w:rPr>
                <w:rFonts w:ascii="Arial" w:hAnsi="Arial" w:cs="Arial"/>
                <w:bCs/>
                <w:sz w:val="22"/>
                <w:szCs w:val="22"/>
              </w:rPr>
            </w:pPr>
          </w:p>
          <w:p w14:paraId="67F59EBA"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4D737E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62AB4C15" w14:textId="77777777" w:rsidTr="00230F35">
        <w:trPr>
          <w:trHeight w:val="720"/>
        </w:trPr>
        <w:tc>
          <w:tcPr>
            <w:tcW w:w="5211" w:type="dxa"/>
            <w:gridSpan w:val="2"/>
          </w:tcPr>
          <w:p w14:paraId="1D34FD91" w14:textId="77777777" w:rsidR="00230F35" w:rsidRPr="00230F35" w:rsidRDefault="00230F35" w:rsidP="00230F35">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4F052F5"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0929B9E" w14:textId="77777777" w:rsidR="00EC7546" w:rsidRDefault="00EC7546" w:rsidP="00FA07E9">
      <w:pPr>
        <w:pStyle w:val="NormalWeb"/>
        <w:spacing w:before="0" w:beforeAutospacing="0" w:after="0" w:afterAutospacing="0"/>
        <w:ind w:right="-334"/>
        <w:rPr>
          <w:rFonts w:ascii="Trebuchet MS" w:hAnsi="Trebuchet MS" w:cs="Tahoma"/>
          <w:bCs/>
          <w:sz w:val="24"/>
          <w:szCs w:val="24"/>
        </w:rPr>
      </w:pPr>
    </w:p>
    <w:p w14:paraId="7368DC01"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18CD09E0"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0D00A56E"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6CD71246" w14:textId="77777777" w:rsidR="007B0391" w:rsidRDefault="007B0391" w:rsidP="00FA07E9">
      <w:pPr>
        <w:pStyle w:val="NormalWeb"/>
        <w:spacing w:before="0" w:beforeAutospacing="0" w:after="0" w:afterAutospacing="0"/>
        <w:ind w:right="-334"/>
        <w:rPr>
          <w:rFonts w:ascii="Trebuchet MS" w:hAnsi="Trebuchet MS" w:cs="Tahoma"/>
          <w:bCs/>
          <w:sz w:val="24"/>
          <w:szCs w:val="24"/>
        </w:rPr>
      </w:pPr>
    </w:p>
    <w:p w14:paraId="11E4F2C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743878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4B40757"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98A4349"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8442794"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9AF2D5C"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06BFF09"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A23C33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905627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E9E186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21B570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DE75E9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023E08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B68A122"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7FA813F"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03D3D4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865B70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12A306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A908CA2"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66FDDD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C9D994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50D35E4"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6D95F98"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C35161F"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B9E7D2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A34FFF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E4D622E"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9BC4D5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7EEBE4C"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6D0720FB"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5891FF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89B239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32B20751"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2CF7AA0"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1CA041E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4B0D762A"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5E7B0006"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2FBCCD0F"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9137AFB"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B61FAC6"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78DE670D" w14:textId="77777777" w:rsidR="0020799C" w:rsidRDefault="0020799C" w:rsidP="00FA07E9">
      <w:pPr>
        <w:pStyle w:val="NormalWeb"/>
        <w:spacing w:before="0" w:beforeAutospacing="0" w:after="0" w:afterAutospacing="0"/>
        <w:ind w:right="-334"/>
        <w:rPr>
          <w:rFonts w:ascii="Trebuchet MS" w:hAnsi="Trebuchet MS" w:cs="Tahoma"/>
          <w:bCs/>
          <w:sz w:val="24"/>
          <w:szCs w:val="24"/>
        </w:rPr>
      </w:pPr>
    </w:p>
    <w:p w14:paraId="072457EF" w14:textId="77777777" w:rsidR="0020799C" w:rsidRPr="0020799C" w:rsidRDefault="0020799C" w:rsidP="0020799C">
      <w:pPr>
        <w:spacing w:after="120"/>
        <w:jc w:val="both"/>
        <w:rPr>
          <w:rFonts w:ascii="Garamond" w:eastAsia="Calibri" w:hAnsi="Garamond"/>
          <w:b/>
          <w:bCs/>
          <w:lang w:eastAsia="en-US"/>
        </w:rPr>
      </w:pPr>
      <w:bookmarkStart w:id="1" w:name="_Hlk149041928"/>
      <w:r w:rsidRPr="0020799C">
        <w:rPr>
          <w:rFonts w:ascii="Garamond" w:eastAsia="Calibri" w:hAnsi="Garamond"/>
          <w:b/>
          <w:bCs/>
          <w:lang w:eastAsia="en-US"/>
        </w:rPr>
        <w:t>Introduction</w:t>
      </w:r>
      <w:r>
        <w:rPr>
          <w:rFonts w:ascii="Garamond" w:eastAsia="Calibri" w:hAnsi="Garamond"/>
          <w:b/>
          <w:bCs/>
          <w:lang w:eastAsia="en-US"/>
        </w:rPr>
        <w:t>: Tilley and Bender</w:t>
      </w:r>
    </w:p>
    <w:bookmarkEnd w:id="1"/>
    <w:p w14:paraId="184E2931" w14:textId="7777777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In the mid 1990s phenomenology began to make a major impact on the study of landscapes, and especially those associated with prehistoric sacred sites. Two leading exponents in the development of this change in the interpretation of prehistoric sites were Barbara Bender and Chris Tilley. However, although both scholars had a major impact on interpretation, they </w:t>
      </w:r>
      <w:r w:rsidR="00AF0A22">
        <w:rPr>
          <w:rFonts w:ascii="Garamond" w:eastAsia="Calibri" w:hAnsi="Garamond"/>
          <w:lang w:eastAsia="en-US"/>
        </w:rPr>
        <w:t>considered</w:t>
      </w:r>
      <w:r w:rsidRPr="0020799C">
        <w:rPr>
          <w:rFonts w:ascii="Garamond" w:eastAsia="Calibri" w:hAnsi="Garamond"/>
          <w:lang w:eastAsia="en-US"/>
        </w:rPr>
        <w:t xml:space="preserve"> landscapes in contrasting ways, with Tilley favouring an individualistic experiential </w:t>
      </w:r>
      <w:r w:rsidR="00AF0A22">
        <w:rPr>
          <w:rFonts w:ascii="Garamond" w:eastAsia="Calibri" w:hAnsi="Garamond"/>
          <w:lang w:eastAsia="en-US"/>
        </w:rPr>
        <w:t>approach</w:t>
      </w:r>
      <w:r w:rsidRPr="0020799C">
        <w:rPr>
          <w:rFonts w:ascii="Garamond" w:eastAsia="Calibri" w:hAnsi="Garamond"/>
          <w:lang w:eastAsia="en-US"/>
        </w:rPr>
        <w:t>, and Bender theorising the contested nature of landscape narratives. The following essay will discuss their approaches to landscape and whether they were complementary. It commences with a consideration of the way landscapes were perceived before the 1990s, followed by consideration of Tilley and Bender’s approaches to landscape and finally it concludes with a discussion of whether the two theorists perspectives can be seen to complement one another.</w:t>
      </w:r>
    </w:p>
    <w:p w14:paraId="098F0D94" w14:textId="77777777"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t>Approaches to landscapes: before Tilley and Bender</w:t>
      </w:r>
    </w:p>
    <w:p w14:paraId="500892E6" w14:textId="00C68C67" w:rsidR="0020799C" w:rsidRPr="0020799C" w:rsidRDefault="0020799C" w:rsidP="0020799C">
      <w:pPr>
        <w:keepNext/>
        <w:keepLines/>
        <w:spacing w:after="120"/>
        <w:jc w:val="both"/>
        <w:rPr>
          <w:rFonts w:ascii="Garamond" w:eastAsia="Calibri" w:hAnsi="Garamond"/>
          <w:lang w:eastAsia="en-US"/>
        </w:rPr>
      </w:pPr>
      <w:r w:rsidRPr="0020799C">
        <w:rPr>
          <w:rFonts w:ascii="Garamond" w:eastAsia="Calibri" w:hAnsi="Garamond"/>
          <w:lang w:eastAsia="en-US"/>
        </w:rPr>
        <w:t xml:space="preserve">For much of its history archaeology was entirely site focussed. This was </w:t>
      </w:r>
      <w:r>
        <w:rPr>
          <w:rFonts w:ascii="Garamond" w:eastAsia="Calibri" w:hAnsi="Garamond"/>
          <w:lang w:eastAsia="en-US"/>
        </w:rPr>
        <w:t>arguably</w:t>
      </w:r>
      <w:r w:rsidRPr="0020799C">
        <w:rPr>
          <w:rFonts w:ascii="Garamond" w:eastAsia="Calibri" w:hAnsi="Garamond"/>
          <w:lang w:eastAsia="en-US"/>
        </w:rPr>
        <w:t xml:space="preserve"> due to its antiquarian origins, which developed into a focus on the ordering of artefacts and chronology</w:t>
      </w:r>
      <w:r w:rsidRPr="0020799C">
        <w:rPr>
          <w:rFonts w:ascii="Garamond" w:eastAsia="Calibri" w:hAnsi="Garamond"/>
          <w:vertAlign w:val="superscript"/>
          <w:lang w:eastAsia="en-US"/>
        </w:rPr>
        <w:endnoteReference w:id="1"/>
      </w:r>
      <w:r w:rsidRPr="0020799C">
        <w:rPr>
          <w:rFonts w:ascii="Garamond" w:eastAsia="Calibri" w:hAnsi="Garamond"/>
          <w:lang w:eastAsia="en-US"/>
        </w:rPr>
        <w:t>. When the landscape began to be considered in the twentieth century it took the form of cartesian mapping showing the geographical distribution of objects and sites, and any discussion of topography is typically presented in terms of either being an obstacle or facilitator for change</w:t>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2"/>
      </w:r>
      <w:r w:rsidRPr="0020799C">
        <w:rPr>
          <w:rFonts w:ascii="Garamond" w:eastAsia="Calibri" w:hAnsi="Garamond"/>
          <w:lang w:eastAsia="en-US"/>
        </w:rPr>
        <w:t>. Even the landscape archaeology of the 1970s</w:t>
      </w:r>
      <w:r w:rsidR="001164A8">
        <w:rPr>
          <w:rFonts w:ascii="Garamond" w:eastAsia="Calibri" w:hAnsi="Garamond"/>
          <w:lang w:eastAsia="en-US"/>
        </w:rPr>
        <w:t xml:space="preserve"> and 1980s</w:t>
      </w:r>
      <w:r w:rsidRPr="0020799C">
        <w:rPr>
          <w:rFonts w:ascii="Garamond" w:eastAsia="Calibri" w:hAnsi="Garamond"/>
          <w:lang w:eastAsia="en-US"/>
        </w:rPr>
        <w:t xml:space="preserve"> remained functionalist in nature, bound up in concepts of territory, as illustrated by Fleming’s</w:t>
      </w:r>
      <w:r w:rsidRPr="0020799C">
        <w:rPr>
          <w:rFonts w:ascii="Garamond" w:eastAsia="Calibri" w:hAnsi="Garamond"/>
          <w:vertAlign w:val="superscript"/>
          <w:lang w:eastAsia="en-US"/>
        </w:rPr>
        <w:endnoteReference w:id="3"/>
      </w:r>
      <w:r w:rsidRPr="0020799C">
        <w:rPr>
          <w:rFonts w:ascii="Garamond" w:eastAsia="Calibri" w:hAnsi="Garamond"/>
          <w:lang w:eastAsia="en-US"/>
        </w:rPr>
        <w:t xml:space="preserve"> analysis of barrow cemeteries, or Renfrew’s</w:t>
      </w:r>
      <w:r w:rsidRPr="0020799C">
        <w:rPr>
          <w:rFonts w:ascii="Garamond" w:eastAsia="Calibri" w:hAnsi="Garamond"/>
          <w:vertAlign w:val="superscript"/>
          <w:lang w:eastAsia="en-US"/>
        </w:rPr>
        <w:endnoteReference w:id="4"/>
      </w:r>
      <w:r w:rsidRPr="0020799C">
        <w:rPr>
          <w:rFonts w:ascii="Garamond" w:eastAsia="Calibri" w:hAnsi="Garamond"/>
          <w:lang w:eastAsia="en-US"/>
        </w:rPr>
        <w:t xml:space="preserve"> Thiessen polygons modelling the </w:t>
      </w:r>
      <w:r w:rsidR="00242635">
        <w:rPr>
          <w:rFonts w:ascii="Garamond" w:eastAsia="Calibri" w:hAnsi="Garamond"/>
          <w:lang w:eastAsia="en-US"/>
        </w:rPr>
        <w:t>territories</w:t>
      </w:r>
      <w:r w:rsidRPr="0020799C">
        <w:rPr>
          <w:rFonts w:ascii="Garamond" w:eastAsia="Calibri" w:hAnsi="Garamond"/>
          <w:lang w:eastAsia="en-US"/>
        </w:rPr>
        <w:t xml:space="preserve"> of Orcadian Neolithic tombs. The change in thinking came </w:t>
      </w:r>
      <w:bookmarkStart w:id="2" w:name="_Hlk149750115"/>
      <w:r w:rsidRPr="0020799C">
        <w:rPr>
          <w:rFonts w:ascii="Garamond" w:eastAsia="Calibri" w:hAnsi="Garamond"/>
          <w:lang w:eastAsia="en-US"/>
        </w:rPr>
        <w:t>from geographers and anthropologist</w:t>
      </w:r>
      <w:bookmarkEnd w:id="2"/>
      <w:r w:rsidRPr="0020799C">
        <w:rPr>
          <w:rFonts w:ascii="Garamond" w:eastAsia="Calibri" w:hAnsi="Garamond"/>
          <w:lang w:eastAsia="en-US"/>
        </w:rPr>
        <w:t>s, and the 1988 World Archaeological Congress, which Barbara Bender</w:t>
      </w:r>
      <w:r w:rsidR="00C34825">
        <w:rPr>
          <w:rFonts w:ascii="Garamond" w:eastAsia="Calibri" w:hAnsi="Garamond"/>
          <w:lang w:eastAsia="en-US"/>
        </w:rPr>
        <w:t xml:space="preserve"> </w:t>
      </w:r>
      <w:r w:rsidRPr="0020799C">
        <w:rPr>
          <w:rFonts w:ascii="Garamond" w:eastAsia="Calibri" w:hAnsi="Garamond"/>
          <w:lang w:eastAsia="en-US"/>
        </w:rPr>
        <w:t>noted</w:t>
      </w:r>
      <w:r w:rsidRPr="0020799C">
        <w:rPr>
          <w:rFonts w:ascii="Garamond" w:eastAsia="Calibri" w:hAnsi="Garamond"/>
          <w:vertAlign w:val="superscript"/>
          <w:lang w:eastAsia="en-US"/>
        </w:rPr>
        <w:endnoteReference w:id="5"/>
      </w:r>
      <w:r w:rsidRPr="0020799C">
        <w:rPr>
          <w:rFonts w:ascii="Garamond" w:eastAsia="Calibri" w:hAnsi="Garamond"/>
          <w:lang w:eastAsia="en-US"/>
        </w:rPr>
        <w:t>, opened the doors to a greater diversity of scholars</w:t>
      </w:r>
      <w:r w:rsidRPr="0020799C">
        <w:rPr>
          <w:rFonts w:ascii="Garamond" w:eastAsia="Calibri" w:hAnsi="Garamond"/>
          <w:vertAlign w:val="superscript"/>
          <w:lang w:eastAsia="en-US"/>
        </w:rPr>
        <w:endnoteReference w:id="6"/>
      </w:r>
      <w:r w:rsidRPr="0020799C">
        <w:rPr>
          <w:rFonts w:ascii="Garamond" w:eastAsia="Calibri" w:hAnsi="Garamond"/>
          <w:lang w:eastAsia="en-US"/>
        </w:rPr>
        <w:t>. It is into this milieu that Tilley and Bender began developing and adapting their own phenomenological approaches to the study of landscape.</w:t>
      </w:r>
    </w:p>
    <w:p w14:paraId="73F85ADE" w14:textId="77777777"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t>Tilley’s phenomenology of landscape</w:t>
      </w:r>
    </w:p>
    <w:p w14:paraId="19C2E445" w14:textId="7777777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Christopher Tilley </w:t>
      </w:r>
      <w:r w:rsidR="00242635">
        <w:rPr>
          <w:rFonts w:ascii="Garamond" w:eastAsia="Calibri" w:hAnsi="Garamond"/>
          <w:lang w:eastAsia="en-US"/>
        </w:rPr>
        <w:t>was</w:t>
      </w:r>
      <w:r w:rsidRPr="0020799C">
        <w:rPr>
          <w:rFonts w:ascii="Garamond" w:eastAsia="Calibri" w:hAnsi="Garamond"/>
          <w:lang w:eastAsia="en-US"/>
        </w:rPr>
        <w:t xml:space="preserve"> a leading archaeological theorist for over a decade prior to shifting his attention to </w:t>
      </w:r>
      <w:r w:rsidR="00C34825">
        <w:rPr>
          <w:rFonts w:ascii="Garamond" w:eastAsia="Calibri" w:hAnsi="Garamond"/>
          <w:lang w:eastAsia="en-US"/>
        </w:rPr>
        <w:t>phenomenology</w:t>
      </w:r>
      <w:r w:rsidRPr="0020799C">
        <w:rPr>
          <w:rFonts w:ascii="Garamond" w:eastAsia="Calibri" w:hAnsi="Garamond"/>
          <w:lang w:eastAsia="en-US"/>
        </w:rPr>
        <w:t>.</w:t>
      </w:r>
      <w:r w:rsidR="00D65EB9">
        <w:rPr>
          <w:rFonts w:ascii="Garamond" w:eastAsia="Calibri" w:hAnsi="Garamond"/>
          <w:lang w:eastAsia="en-US"/>
        </w:rPr>
        <w:t xml:space="preserve"> H</w:t>
      </w:r>
      <w:r w:rsidRPr="0020799C">
        <w:rPr>
          <w:rFonts w:ascii="Garamond" w:eastAsia="Calibri" w:hAnsi="Garamond"/>
          <w:lang w:eastAsia="en-US"/>
        </w:rPr>
        <w:t>is earlier work was concerned with prehistoric monuments and material culture, and particularly with ideology and power</w:t>
      </w:r>
      <w:r w:rsidRPr="0020799C">
        <w:rPr>
          <w:rFonts w:ascii="Garamond" w:eastAsia="Calibri" w:hAnsi="Garamond"/>
          <w:vertAlign w:val="superscript"/>
          <w:lang w:eastAsia="en-US"/>
        </w:rPr>
        <w:endnoteReference w:id="7"/>
      </w:r>
      <w:r w:rsidRPr="0020799C">
        <w:rPr>
          <w:rFonts w:ascii="Garamond" w:eastAsia="Calibri" w:hAnsi="Garamond"/>
          <w:lang w:eastAsia="en-US"/>
        </w:rPr>
        <w:t xml:space="preserve">. </w:t>
      </w:r>
      <w:r w:rsidR="00821D92">
        <w:rPr>
          <w:rFonts w:ascii="Garamond" w:eastAsia="Calibri" w:hAnsi="Garamond"/>
          <w:lang w:eastAsia="en-US"/>
        </w:rPr>
        <w:t>Tilley’s</w:t>
      </w:r>
      <w:r w:rsidRPr="0020799C">
        <w:rPr>
          <w:rFonts w:ascii="Garamond" w:eastAsia="Calibri" w:hAnsi="Garamond"/>
          <w:lang w:eastAsia="en-US"/>
        </w:rPr>
        <w:t xml:space="preserve"> earlier writings are derived from a Marxist standpoint, although </w:t>
      </w:r>
      <w:r w:rsidR="00D65EB9">
        <w:rPr>
          <w:rFonts w:ascii="Garamond" w:eastAsia="Calibri" w:hAnsi="Garamond"/>
          <w:lang w:eastAsia="en-US"/>
        </w:rPr>
        <w:t>during</w:t>
      </w:r>
      <w:r w:rsidRPr="0020799C">
        <w:rPr>
          <w:rFonts w:ascii="Garamond" w:eastAsia="Calibri" w:hAnsi="Garamond"/>
          <w:lang w:eastAsia="en-US"/>
        </w:rPr>
        <w:t xml:space="preserve"> the 1980s he became associated with the new ‘post-modernist or post-processual school of thought</w:t>
      </w:r>
      <w:r w:rsidRPr="0020799C">
        <w:rPr>
          <w:rFonts w:ascii="Garamond" w:eastAsia="Calibri" w:hAnsi="Garamond"/>
          <w:vertAlign w:val="superscript"/>
          <w:lang w:eastAsia="en-US"/>
        </w:rPr>
        <w:endnoteReference w:id="8"/>
      </w:r>
      <w:r w:rsidRPr="0020799C">
        <w:rPr>
          <w:rFonts w:ascii="Garamond" w:eastAsia="Calibri" w:hAnsi="Garamond"/>
          <w:lang w:eastAsia="en-US"/>
        </w:rPr>
        <w:t xml:space="preserve">. </w:t>
      </w:r>
    </w:p>
    <w:p w14:paraId="64BBFB03" w14:textId="3D4FA050"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Tilley’s shift to landscape phenomenology was therefore </w:t>
      </w:r>
      <w:r w:rsidR="00D65EB9">
        <w:rPr>
          <w:rFonts w:ascii="Garamond" w:eastAsia="Calibri" w:hAnsi="Garamond"/>
          <w:lang w:eastAsia="en-US"/>
        </w:rPr>
        <w:t xml:space="preserve">something of </w:t>
      </w:r>
      <w:r w:rsidRPr="0020799C">
        <w:rPr>
          <w:rFonts w:ascii="Garamond" w:eastAsia="Calibri" w:hAnsi="Garamond"/>
          <w:lang w:eastAsia="en-US"/>
        </w:rPr>
        <w:t>a departure. This new stance was strongly influenced by two philosophers Merleau Ponty and Martin Heidegger</w:t>
      </w:r>
      <w:r w:rsidRPr="0020799C">
        <w:rPr>
          <w:rFonts w:ascii="Garamond" w:eastAsia="Calibri" w:hAnsi="Garamond"/>
          <w:vertAlign w:val="superscript"/>
          <w:lang w:eastAsia="en-US"/>
        </w:rPr>
        <w:endnoteReference w:id="9"/>
      </w:r>
      <w:r w:rsidRPr="0020799C">
        <w:rPr>
          <w:rFonts w:ascii="Garamond" w:eastAsia="Calibri" w:hAnsi="Garamond"/>
          <w:lang w:eastAsia="en-US"/>
        </w:rPr>
        <w:t xml:space="preserve">, as well as landscape geographers and anthropologists, including Dennis Cosgrove, Tim Ingold and Keith Basso who had discussed </w:t>
      </w:r>
      <w:r w:rsidR="00812249">
        <w:rPr>
          <w:rFonts w:ascii="Garamond" w:eastAsia="Calibri" w:hAnsi="Garamond"/>
          <w:lang w:eastAsia="en-US"/>
        </w:rPr>
        <w:t>how</w:t>
      </w:r>
      <w:r w:rsidRPr="0020799C">
        <w:rPr>
          <w:rFonts w:ascii="Garamond" w:eastAsia="Calibri" w:hAnsi="Garamond"/>
          <w:lang w:eastAsia="en-US"/>
        </w:rPr>
        <w:t xml:space="preserve"> landscapes actively played a role in the construction of social identities</w:t>
      </w:r>
      <w:r w:rsidRPr="0020799C">
        <w:rPr>
          <w:rFonts w:ascii="Garamond" w:eastAsia="Calibri" w:hAnsi="Garamond"/>
          <w:vertAlign w:val="superscript"/>
          <w:lang w:eastAsia="en-US"/>
        </w:rPr>
        <w:endnoteReference w:id="10"/>
      </w:r>
      <w:r w:rsidRPr="0020799C">
        <w:rPr>
          <w:rFonts w:ascii="Garamond" w:eastAsia="Calibri" w:hAnsi="Garamond"/>
          <w:vertAlign w:val="superscript"/>
          <w:lang w:eastAsia="en-US"/>
        </w:rPr>
        <w:t>,</w:t>
      </w:r>
      <w:r w:rsidRPr="0020799C">
        <w:rPr>
          <w:rFonts w:ascii="Garamond" w:eastAsia="Calibri" w:hAnsi="Garamond"/>
          <w:vertAlign w:val="superscript"/>
          <w:lang w:eastAsia="en-US"/>
        </w:rPr>
        <w:endnoteReference w:id="11"/>
      </w:r>
      <w:r w:rsidRPr="0020799C">
        <w:rPr>
          <w:rFonts w:ascii="Garamond" w:eastAsia="Calibri" w:hAnsi="Garamond"/>
          <w:vertAlign w:val="superscript"/>
          <w:lang w:eastAsia="en-US"/>
        </w:rPr>
        <w:t>,</w:t>
      </w:r>
      <w:r w:rsidRPr="0020799C">
        <w:rPr>
          <w:rFonts w:ascii="Garamond" w:eastAsia="Calibri" w:hAnsi="Garamond"/>
          <w:vertAlign w:val="superscript"/>
          <w:lang w:eastAsia="en-US"/>
        </w:rPr>
        <w:endnoteReference w:id="12"/>
      </w:r>
      <w:r w:rsidRPr="0020799C">
        <w:rPr>
          <w:rFonts w:ascii="Garamond" w:eastAsia="Calibri" w:hAnsi="Garamond"/>
          <w:lang w:eastAsia="en-US"/>
        </w:rPr>
        <w:t xml:space="preserve">. What these scholars </w:t>
      </w:r>
      <w:r>
        <w:rPr>
          <w:rFonts w:ascii="Garamond" w:eastAsia="Calibri" w:hAnsi="Garamond"/>
          <w:lang w:eastAsia="en-US"/>
        </w:rPr>
        <w:t xml:space="preserve">also </w:t>
      </w:r>
      <w:r w:rsidRPr="0020799C">
        <w:rPr>
          <w:rFonts w:ascii="Garamond" w:eastAsia="Calibri" w:hAnsi="Garamond"/>
          <w:lang w:eastAsia="en-US"/>
        </w:rPr>
        <w:t xml:space="preserve">stressed was the importance of </w:t>
      </w:r>
      <w:r w:rsidRPr="00A8574C">
        <w:rPr>
          <w:rFonts w:ascii="Garamond" w:eastAsia="Calibri" w:hAnsi="Garamond"/>
          <w:lang w:eastAsia="en-US"/>
        </w:rPr>
        <w:t>somatic</w:t>
      </w:r>
      <w:r w:rsidRPr="0020799C">
        <w:rPr>
          <w:rFonts w:ascii="Garamond" w:eastAsia="Calibri" w:hAnsi="Garamond"/>
          <w:lang w:eastAsia="en-US"/>
        </w:rPr>
        <w:t xml:space="preserve"> engagement as part of ‘being in the world’</w:t>
      </w:r>
      <w:r w:rsidRPr="0020799C">
        <w:rPr>
          <w:rFonts w:ascii="Garamond" w:eastAsia="Calibri" w:hAnsi="Garamond"/>
          <w:vertAlign w:val="superscript"/>
          <w:lang w:eastAsia="en-US"/>
        </w:rPr>
        <w:endnoteReference w:id="13"/>
      </w:r>
      <w:r w:rsidRPr="0020799C">
        <w:rPr>
          <w:rFonts w:ascii="Garamond" w:eastAsia="Calibri" w:hAnsi="Garamond"/>
          <w:lang w:eastAsia="en-US"/>
        </w:rPr>
        <w:t>, that is, inhabiting space and place through routine engagement and movement</w:t>
      </w:r>
      <w:r w:rsidRPr="0020799C">
        <w:rPr>
          <w:rFonts w:ascii="Garamond" w:eastAsia="Calibri" w:hAnsi="Garamond"/>
          <w:vertAlign w:val="superscript"/>
          <w:lang w:eastAsia="en-US"/>
        </w:rPr>
        <w:endnoteReference w:id="14"/>
      </w:r>
      <w:r w:rsidRPr="0020799C">
        <w:rPr>
          <w:rFonts w:ascii="Garamond" w:eastAsia="Calibri" w:hAnsi="Garamond"/>
          <w:lang w:eastAsia="en-US"/>
        </w:rPr>
        <w:t xml:space="preserve">. </w:t>
      </w:r>
    </w:p>
    <w:p w14:paraId="1A999B07" w14:textId="0B959AEE"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Movement was especially important for Tilley</w:t>
      </w:r>
      <w:r w:rsidR="00AD39F4">
        <w:rPr>
          <w:rFonts w:ascii="Garamond" w:eastAsia="Calibri" w:hAnsi="Garamond"/>
          <w:lang w:eastAsia="en-US"/>
        </w:rPr>
        <w:t>’s phenomenology</w:t>
      </w:r>
      <w:r w:rsidRPr="0020799C">
        <w:rPr>
          <w:rFonts w:ascii="Garamond" w:eastAsia="Calibri" w:hAnsi="Garamond"/>
          <w:lang w:eastAsia="en-US"/>
        </w:rPr>
        <w:t xml:space="preserve">. Walking along pathways, he argues, enables a narrative of the landscape to be created through </w:t>
      </w:r>
      <w:r w:rsidRPr="000506A0">
        <w:rPr>
          <w:rFonts w:ascii="Garamond" w:eastAsia="Calibri" w:hAnsi="Garamond"/>
          <w:lang w:eastAsia="en-US"/>
        </w:rPr>
        <w:t>synaesthetic</w:t>
      </w:r>
      <w:r w:rsidRPr="0020799C">
        <w:rPr>
          <w:rFonts w:ascii="Garamond" w:eastAsia="Calibri" w:hAnsi="Garamond"/>
          <w:lang w:eastAsia="en-US"/>
        </w:rPr>
        <w:t xml:space="preserve"> experience, that is to say through the senses touch, taste, smell, sound and vision, which combine to form spatial and textual stories</w:t>
      </w:r>
      <w:r w:rsidRPr="0020799C">
        <w:rPr>
          <w:rFonts w:ascii="Garamond" w:eastAsia="Calibri" w:hAnsi="Garamond"/>
          <w:vertAlign w:val="superscript"/>
          <w:lang w:eastAsia="en-US"/>
        </w:rPr>
        <w:endnoteReference w:id="15"/>
      </w:r>
      <w:r w:rsidRPr="0020799C">
        <w:rPr>
          <w:rFonts w:ascii="Garamond" w:eastAsia="Calibri" w:hAnsi="Garamond"/>
          <w:vertAlign w:val="superscript"/>
          <w:lang w:eastAsia="en-US"/>
        </w:rPr>
        <w:t>,</w:t>
      </w:r>
      <w:r w:rsidRPr="0020799C">
        <w:rPr>
          <w:rFonts w:ascii="Garamond" w:eastAsia="Calibri" w:hAnsi="Garamond"/>
          <w:vertAlign w:val="superscript"/>
          <w:lang w:eastAsia="en-US"/>
        </w:rPr>
        <w:endnoteReference w:id="16"/>
      </w:r>
      <w:r w:rsidRPr="0020799C">
        <w:rPr>
          <w:rFonts w:ascii="Garamond" w:eastAsia="Calibri" w:hAnsi="Garamond"/>
          <w:lang w:eastAsia="en-US"/>
        </w:rPr>
        <w:t>. His earlier phenomenological writings</w:t>
      </w:r>
      <w:r w:rsidRPr="0020799C">
        <w:rPr>
          <w:rFonts w:ascii="Garamond" w:eastAsia="Calibri" w:hAnsi="Garamond"/>
          <w:vertAlign w:val="superscript"/>
          <w:lang w:eastAsia="en-US"/>
        </w:rPr>
        <w:endnoteReference w:id="17"/>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18"/>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19"/>
      </w:r>
      <w:r w:rsidRPr="0020799C">
        <w:rPr>
          <w:rFonts w:ascii="Garamond" w:eastAsia="Calibri" w:hAnsi="Garamond"/>
          <w:lang w:eastAsia="en-US"/>
        </w:rPr>
        <w:t xml:space="preserve"> however, </w:t>
      </w:r>
      <w:r w:rsidRPr="00AC1995">
        <w:rPr>
          <w:rFonts w:ascii="Garamond" w:eastAsia="Calibri" w:hAnsi="Garamond"/>
          <w:lang w:eastAsia="en-US"/>
        </w:rPr>
        <w:t xml:space="preserve">arguably </w:t>
      </w:r>
      <w:r w:rsidRPr="00A8574C">
        <w:rPr>
          <w:rFonts w:ascii="Garamond" w:eastAsia="Calibri" w:hAnsi="Garamond"/>
          <w:lang w:eastAsia="en-US"/>
        </w:rPr>
        <w:t>privileged</w:t>
      </w:r>
      <w:r w:rsidR="00A8574C">
        <w:rPr>
          <w:rFonts w:ascii="Garamond" w:eastAsia="Calibri" w:hAnsi="Garamond"/>
          <w:lang w:eastAsia="en-US"/>
        </w:rPr>
        <w:t xml:space="preserve"> </w:t>
      </w:r>
      <w:r w:rsidRPr="00AC1995">
        <w:rPr>
          <w:rFonts w:ascii="Garamond" w:eastAsia="Calibri" w:hAnsi="Garamond"/>
          <w:lang w:eastAsia="en-US"/>
        </w:rPr>
        <w:t xml:space="preserve">vision </w:t>
      </w:r>
      <w:r w:rsidR="00AC1995" w:rsidRPr="00A8574C">
        <w:rPr>
          <w:rFonts w:ascii="Garamond" w:eastAsia="Calibri" w:hAnsi="Garamond"/>
          <w:lang w:eastAsia="en-US"/>
        </w:rPr>
        <w:t>over</w:t>
      </w:r>
      <w:r w:rsidR="000506A0">
        <w:rPr>
          <w:rFonts w:ascii="Garamond" w:eastAsia="Calibri" w:hAnsi="Garamond"/>
          <w:lang w:eastAsia="en-US"/>
        </w:rPr>
        <w:t xml:space="preserve"> the</w:t>
      </w:r>
      <w:r w:rsidR="00FF5912" w:rsidRPr="00AC1995">
        <w:rPr>
          <w:rFonts w:ascii="Garamond" w:eastAsia="Calibri" w:hAnsi="Garamond"/>
          <w:lang w:eastAsia="en-US"/>
        </w:rPr>
        <w:t xml:space="preserve"> </w:t>
      </w:r>
      <w:r w:rsidRPr="00AC1995">
        <w:rPr>
          <w:rFonts w:ascii="Garamond" w:eastAsia="Calibri" w:hAnsi="Garamond"/>
          <w:lang w:eastAsia="en-US"/>
        </w:rPr>
        <w:t xml:space="preserve">other senses, </w:t>
      </w:r>
      <w:r w:rsidRPr="000506A0">
        <w:rPr>
          <w:rFonts w:ascii="Garamond" w:eastAsia="Calibri" w:hAnsi="Garamond"/>
          <w:lang w:eastAsia="en-US"/>
        </w:rPr>
        <w:t>including</w:t>
      </w:r>
      <w:r w:rsidR="000506A0">
        <w:rPr>
          <w:rFonts w:ascii="Garamond" w:eastAsia="Calibri" w:hAnsi="Garamond"/>
          <w:lang w:eastAsia="en-US"/>
        </w:rPr>
        <w:t xml:space="preserve"> </w:t>
      </w:r>
      <w:r w:rsidR="000506A0" w:rsidRPr="00A8574C">
        <w:rPr>
          <w:rFonts w:ascii="Garamond" w:eastAsia="Calibri" w:hAnsi="Garamond"/>
          <w:lang w:eastAsia="en-US"/>
        </w:rPr>
        <w:t>that of</w:t>
      </w:r>
      <w:r w:rsidRPr="000506A0">
        <w:rPr>
          <w:rFonts w:ascii="Garamond" w:eastAsia="Calibri" w:hAnsi="Garamond"/>
          <w:lang w:eastAsia="en-US"/>
        </w:rPr>
        <w:t xml:space="preserve"> soundscapes and the effects of light depravation,</w:t>
      </w:r>
      <w:r w:rsidRPr="0020799C">
        <w:rPr>
          <w:rFonts w:ascii="Garamond" w:eastAsia="Calibri" w:hAnsi="Garamond"/>
          <w:lang w:eastAsia="en-US"/>
        </w:rPr>
        <w:t xml:space="preserve"> for example </w:t>
      </w:r>
      <w:r w:rsidR="000506A0" w:rsidRPr="00A8574C">
        <w:rPr>
          <w:rFonts w:ascii="Garamond" w:eastAsia="Calibri" w:hAnsi="Garamond"/>
          <w:lang w:eastAsia="en-US"/>
        </w:rPr>
        <w:t>which</w:t>
      </w:r>
      <w:r w:rsidR="000506A0">
        <w:rPr>
          <w:rFonts w:ascii="Garamond" w:eastAsia="Calibri" w:hAnsi="Garamond"/>
          <w:lang w:eastAsia="en-US"/>
        </w:rPr>
        <w:t xml:space="preserve"> </w:t>
      </w:r>
      <w:r w:rsidRPr="0020799C">
        <w:rPr>
          <w:rFonts w:ascii="Garamond" w:eastAsia="Calibri" w:hAnsi="Garamond"/>
          <w:lang w:eastAsia="en-US"/>
        </w:rPr>
        <w:t>have been more thoroughly explored by other authors</w:t>
      </w:r>
      <w:r w:rsidRPr="0020799C">
        <w:rPr>
          <w:rFonts w:ascii="Garamond" w:eastAsia="Calibri" w:hAnsi="Garamond"/>
          <w:vertAlign w:val="superscript"/>
          <w:lang w:eastAsia="en-US"/>
        </w:rPr>
        <w:endnoteReference w:id="20"/>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21"/>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22"/>
      </w:r>
      <w:r w:rsidRPr="0020799C">
        <w:rPr>
          <w:rFonts w:ascii="Garamond" w:eastAsia="Calibri" w:hAnsi="Garamond"/>
          <w:lang w:eastAsia="en-US"/>
        </w:rPr>
        <w:t>. Likewise, Tilley has given less attention to the exploration of animism/non-human landscapes, which have been considered in more depth elsewhere</w:t>
      </w:r>
      <w:r w:rsidRPr="0020799C">
        <w:rPr>
          <w:rFonts w:ascii="Garamond" w:eastAsia="Calibri" w:hAnsi="Garamond"/>
          <w:vertAlign w:val="superscript"/>
          <w:lang w:eastAsia="en-US"/>
        </w:rPr>
        <w:endnoteReference w:id="23"/>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24"/>
      </w:r>
      <w:r w:rsidRPr="0020799C">
        <w:rPr>
          <w:rFonts w:ascii="Garamond" w:eastAsia="Calibri" w:hAnsi="Garamond"/>
          <w:lang w:eastAsia="en-US"/>
        </w:rPr>
        <w:t xml:space="preserve">. Nonetheless, Tilley’s more recent works have had more focus on the wider aspects of the sensory landscape, such as the textures </w:t>
      </w:r>
      <w:r w:rsidRPr="0020799C">
        <w:rPr>
          <w:rFonts w:ascii="Garamond" w:eastAsia="Calibri" w:hAnsi="Garamond"/>
          <w:lang w:eastAsia="en-US"/>
        </w:rPr>
        <w:lastRenderedPageBreak/>
        <w:t>of stones used in Maltese temples</w:t>
      </w:r>
      <w:r w:rsidRPr="0020799C">
        <w:rPr>
          <w:rFonts w:ascii="Garamond" w:eastAsia="Calibri" w:hAnsi="Garamond"/>
          <w:vertAlign w:val="superscript"/>
          <w:lang w:eastAsia="en-US"/>
        </w:rPr>
        <w:endnoteReference w:id="25"/>
      </w:r>
      <w:r w:rsidRPr="0020799C">
        <w:rPr>
          <w:rFonts w:ascii="Garamond" w:eastAsia="Calibri" w:hAnsi="Garamond"/>
          <w:lang w:eastAsia="en-US"/>
        </w:rPr>
        <w:t xml:space="preserve"> and the ‘qualities’ of pebbles comprising </w:t>
      </w:r>
      <w:r w:rsidR="00B909F8">
        <w:rPr>
          <w:rFonts w:ascii="Garamond" w:eastAsia="Calibri" w:hAnsi="Garamond"/>
          <w:lang w:eastAsia="en-US"/>
        </w:rPr>
        <w:t xml:space="preserve">the </w:t>
      </w:r>
      <w:r w:rsidRPr="0020799C">
        <w:rPr>
          <w:rFonts w:ascii="Garamond" w:eastAsia="Calibri" w:hAnsi="Garamond"/>
          <w:lang w:eastAsia="en-US"/>
        </w:rPr>
        <w:t>Devon</w:t>
      </w:r>
      <w:r w:rsidR="00B909F8">
        <w:rPr>
          <w:rFonts w:ascii="Garamond" w:eastAsia="Calibri" w:hAnsi="Garamond"/>
          <w:lang w:eastAsia="en-US"/>
        </w:rPr>
        <w:t xml:space="preserve"> pebble-bed</w:t>
      </w:r>
      <w:r w:rsidRPr="0020799C">
        <w:rPr>
          <w:rFonts w:ascii="Garamond" w:eastAsia="Calibri" w:hAnsi="Garamond"/>
          <w:lang w:eastAsia="en-US"/>
        </w:rPr>
        <w:t xml:space="preserve"> cairns</w:t>
      </w:r>
      <w:r w:rsidRPr="0020799C">
        <w:rPr>
          <w:rFonts w:ascii="Garamond" w:eastAsia="Calibri" w:hAnsi="Garamond"/>
          <w:vertAlign w:val="superscript"/>
          <w:lang w:eastAsia="en-US"/>
        </w:rPr>
        <w:endnoteReference w:id="26"/>
      </w:r>
      <w:r w:rsidRPr="0020799C">
        <w:rPr>
          <w:rFonts w:ascii="Garamond" w:eastAsia="Calibri" w:hAnsi="Garamond"/>
          <w:lang w:eastAsia="en-US"/>
        </w:rPr>
        <w:t>.</w:t>
      </w:r>
    </w:p>
    <w:p w14:paraId="11DD1577" w14:textId="162F56EA" w:rsidR="0020799C" w:rsidRPr="0020799C" w:rsidRDefault="00C34825" w:rsidP="0020799C">
      <w:pPr>
        <w:spacing w:after="120"/>
        <w:jc w:val="both"/>
        <w:rPr>
          <w:rFonts w:ascii="Garamond" w:eastAsia="Calibri" w:hAnsi="Garamond"/>
          <w:lang w:eastAsia="en-US"/>
        </w:rPr>
      </w:pPr>
      <w:r>
        <w:rPr>
          <w:rFonts w:ascii="Garamond" w:eastAsia="Calibri" w:hAnsi="Garamond"/>
          <w:lang w:eastAsia="en-US"/>
        </w:rPr>
        <w:t>F</w:t>
      </w:r>
      <w:r w:rsidR="00AD39F4">
        <w:rPr>
          <w:rFonts w:ascii="Garamond" w:eastAsia="Calibri" w:hAnsi="Garamond"/>
          <w:lang w:eastAsia="en-US"/>
        </w:rPr>
        <w:t xml:space="preserve">or </w:t>
      </w:r>
      <w:r>
        <w:rPr>
          <w:rFonts w:ascii="Garamond" w:eastAsia="Calibri" w:hAnsi="Garamond"/>
          <w:lang w:eastAsia="en-US"/>
        </w:rPr>
        <w:t>Tilley, it is</w:t>
      </w:r>
      <w:r w:rsidR="0020799C" w:rsidRPr="0020799C">
        <w:rPr>
          <w:rFonts w:ascii="Garamond" w:eastAsia="Calibri" w:hAnsi="Garamond"/>
          <w:lang w:eastAsia="en-US"/>
        </w:rPr>
        <w:t xml:space="preserve"> through human ‘action’</w:t>
      </w:r>
      <w:r>
        <w:rPr>
          <w:rFonts w:ascii="Garamond" w:eastAsia="Calibri" w:hAnsi="Garamond"/>
          <w:lang w:eastAsia="en-US"/>
        </w:rPr>
        <w:t>, that</w:t>
      </w:r>
      <w:r w:rsidR="0020799C" w:rsidRPr="0020799C">
        <w:rPr>
          <w:rFonts w:ascii="Garamond" w:eastAsia="Calibri" w:hAnsi="Garamond"/>
          <w:lang w:eastAsia="en-US"/>
        </w:rPr>
        <w:t xml:space="preserve"> all kinds of topographical features, </w:t>
      </w:r>
      <w:r>
        <w:rPr>
          <w:rFonts w:ascii="Garamond" w:eastAsia="Calibri" w:hAnsi="Garamond"/>
          <w:lang w:eastAsia="en-US"/>
        </w:rPr>
        <w:t>including</w:t>
      </w:r>
      <w:r w:rsidR="00AF0A22">
        <w:rPr>
          <w:rFonts w:ascii="Garamond" w:eastAsia="Calibri" w:hAnsi="Garamond"/>
          <w:lang w:eastAsia="en-US"/>
        </w:rPr>
        <w:t xml:space="preserve"> large</w:t>
      </w:r>
      <w:r w:rsidR="0020799C" w:rsidRPr="0020799C">
        <w:rPr>
          <w:rFonts w:ascii="Garamond" w:eastAsia="Calibri" w:hAnsi="Garamond"/>
          <w:lang w:eastAsia="en-US"/>
        </w:rPr>
        <w:t xml:space="preserve"> trees, bodies of waters or rocky outcrops become named, storied and even </w:t>
      </w:r>
      <w:r w:rsidR="00AC1995" w:rsidRPr="00A8574C">
        <w:rPr>
          <w:rFonts w:ascii="Garamond" w:eastAsia="Calibri" w:hAnsi="Garamond"/>
          <w:lang w:eastAsia="en-US"/>
        </w:rPr>
        <w:t>mythologised</w:t>
      </w:r>
      <w:r w:rsidR="0020799C" w:rsidRPr="0020799C">
        <w:rPr>
          <w:rFonts w:ascii="Garamond" w:eastAsia="Calibri" w:hAnsi="Garamond"/>
          <w:lang w:eastAsia="en-US"/>
        </w:rPr>
        <w:t xml:space="preserve">. </w:t>
      </w:r>
      <w:r>
        <w:rPr>
          <w:rFonts w:ascii="Garamond" w:eastAsia="Calibri" w:hAnsi="Garamond"/>
          <w:lang w:eastAsia="en-US"/>
        </w:rPr>
        <w:t>F</w:t>
      </w:r>
      <w:r w:rsidR="0020799C" w:rsidRPr="0020799C">
        <w:rPr>
          <w:rFonts w:ascii="Garamond" w:eastAsia="Calibri" w:hAnsi="Garamond"/>
          <w:lang w:eastAsia="en-US"/>
        </w:rPr>
        <w:t>amiliarity with the land can engender belief in the ‘spirit of place’, which he argues in small-scale societies may be the primary source of socialisation</w:t>
      </w:r>
      <w:r w:rsidR="0020799C" w:rsidRPr="0020799C">
        <w:rPr>
          <w:rFonts w:ascii="Garamond" w:eastAsia="Calibri" w:hAnsi="Garamond"/>
          <w:vertAlign w:val="superscript"/>
          <w:lang w:eastAsia="en-US"/>
        </w:rPr>
        <w:endnoteReference w:id="27"/>
      </w:r>
      <w:r w:rsidR="0020799C" w:rsidRPr="0020799C">
        <w:rPr>
          <w:rFonts w:ascii="Garamond" w:eastAsia="Calibri" w:hAnsi="Garamond"/>
          <w:lang w:eastAsia="en-US"/>
        </w:rPr>
        <w:t xml:space="preserve">. Every tree, stream, or rock </w:t>
      </w:r>
      <w:r w:rsidR="00AF0A22">
        <w:rPr>
          <w:rFonts w:ascii="Garamond" w:eastAsia="Calibri" w:hAnsi="Garamond"/>
          <w:lang w:eastAsia="en-US"/>
        </w:rPr>
        <w:t xml:space="preserve">could </w:t>
      </w:r>
      <w:r w:rsidR="0020799C" w:rsidRPr="0020799C">
        <w:rPr>
          <w:rFonts w:ascii="Garamond" w:eastAsia="Calibri" w:hAnsi="Garamond"/>
          <w:lang w:eastAsia="en-US"/>
        </w:rPr>
        <w:t>become, what Tilley refers to as places of ‘biographic encounters’ which become embedded in individual and group memory. It is knowledge of place which enables individuals to know how to act</w:t>
      </w:r>
      <w:r w:rsidR="00AF0A22">
        <w:rPr>
          <w:rFonts w:ascii="Garamond" w:eastAsia="Calibri" w:hAnsi="Garamond"/>
          <w:lang w:eastAsia="en-US"/>
        </w:rPr>
        <w:t>. This</w:t>
      </w:r>
      <w:r w:rsidR="0020799C" w:rsidRPr="0020799C">
        <w:rPr>
          <w:rFonts w:ascii="Garamond" w:eastAsia="Calibri" w:hAnsi="Garamond"/>
          <w:lang w:eastAsia="en-US"/>
        </w:rPr>
        <w:t xml:space="preserve"> may include the transformation or embellishment of those places with monuments, which may in turn take their orientation from the landscape or adopt forms suggested by it</w:t>
      </w:r>
      <w:r w:rsidR="0020799C" w:rsidRPr="0020799C">
        <w:rPr>
          <w:rFonts w:ascii="Garamond" w:eastAsia="Calibri" w:hAnsi="Garamond"/>
          <w:vertAlign w:val="superscript"/>
          <w:lang w:eastAsia="en-US"/>
        </w:rPr>
        <w:endnoteReference w:id="28"/>
      </w:r>
      <w:r w:rsidR="0020799C" w:rsidRPr="0020799C">
        <w:rPr>
          <w:rFonts w:ascii="Garamond" w:eastAsia="Calibri" w:hAnsi="Garamond"/>
          <w:vertAlign w:val="superscript"/>
          <w:lang w:eastAsia="en-US"/>
        </w:rPr>
        <w:t>,</w:t>
      </w:r>
      <w:r w:rsidR="0020799C" w:rsidRPr="0020799C">
        <w:rPr>
          <w:rFonts w:ascii="Garamond" w:eastAsia="Calibri" w:hAnsi="Garamond"/>
          <w:vertAlign w:val="superscript"/>
          <w:lang w:eastAsia="en-US"/>
        </w:rPr>
        <w:endnoteReference w:id="29"/>
      </w:r>
      <w:r w:rsidR="0020799C" w:rsidRPr="0020799C">
        <w:rPr>
          <w:rFonts w:ascii="Garamond" w:eastAsia="Calibri" w:hAnsi="Garamond"/>
          <w:lang w:eastAsia="en-US"/>
        </w:rPr>
        <w:t>. The latter observation, whilst drawing some criticism for subjectiv</w:t>
      </w:r>
      <w:r w:rsidR="00242635">
        <w:rPr>
          <w:rFonts w:ascii="Garamond" w:eastAsia="Calibri" w:hAnsi="Garamond"/>
          <w:lang w:eastAsia="en-US"/>
        </w:rPr>
        <w:t>ity</w:t>
      </w:r>
      <w:r w:rsidR="0020799C" w:rsidRPr="0020799C">
        <w:rPr>
          <w:rFonts w:ascii="Garamond" w:eastAsia="Calibri" w:hAnsi="Garamond"/>
          <w:vertAlign w:val="superscript"/>
          <w:lang w:eastAsia="en-US"/>
        </w:rPr>
        <w:endnoteReference w:id="30"/>
      </w:r>
      <w:r w:rsidR="0020799C" w:rsidRPr="0020799C">
        <w:rPr>
          <w:rFonts w:ascii="Garamond" w:eastAsia="Calibri" w:hAnsi="Garamond"/>
          <w:lang w:eastAsia="en-US"/>
        </w:rPr>
        <w:t>, has been hugely influential on subsequent stud</w:t>
      </w:r>
      <w:r w:rsidR="00B909F8">
        <w:rPr>
          <w:rFonts w:ascii="Garamond" w:eastAsia="Calibri" w:hAnsi="Garamond"/>
          <w:lang w:eastAsia="en-US"/>
        </w:rPr>
        <w:t>ies</w:t>
      </w:r>
      <w:r w:rsidR="0020799C" w:rsidRPr="0020799C">
        <w:rPr>
          <w:rFonts w:ascii="Garamond" w:eastAsia="Calibri" w:hAnsi="Garamond"/>
          <w:lang w:eastAsia="en-US"/>
        </w:rPr>
        <w:t xml:space="preserve"> of the landscape</w:t>
      </w:r>
      <w:r w:rsidR="0020799C" w:rsidRPr="0020799C">
        <w:rPr>
          <w:rFonts w:ascii="Garamond" w:eastAsia="Calibri" w:hAnsi="Garamond"/>
          <w:vertAlign w:val="superscript"/>
          <w:lang w:eastAsia="en-US"/>
        </w:rPr>
        <w:endnoteReference w:id="31"/>
      </w:r>
      <w:r w:rsidR="0020799C" w:rsidRPr="0020799C">
        <w:rPr>
          <w:rFonts w:ascii="Garamond" w:eastAsia="Calibri" w:hAnsi="Garamond"/>
          <w:vertAlign w:val="superscript"/>
          <w:lang w:eastAsia="en-US"/>
        </w:rPr>
        <w:t>,</w:t>
      </w:r>
      <w:r w:rsidR="0020799C" w:rsidRPr="0020799C">
        <w:rPr>
          <w:rFonts w:ascii="Garamond" w:eastAsia="Calibri" w:hAnsi="Garamond"/>
          <w:vertAlign w:val="superscript"/>
          <w:lang w:eastAsia="en-US"/>
        </w:rPr>
        <w:endnoteReference w:id="32"/>
      </w:r>
      <w:r w:rsidR="0020799C" w:rsidRPr="0020799C">
        <w:rPr>
          <w:rFonts w:ascii="Garamond" w:eastAsia="Calibri" w:hAnsi="Garamond"/>
          <w:vertAlign w:val="superscript"/>
          <w:lang w:eastAsia="en-US"/>
        </w:rPr>
        <w:t>,</w:t>
      </w:r>
      <w:r w:rsidR="0020799C" w:rsidRPr="0020799C">
        <w:rPr>
          <w:rFonts w:ascii="Garamond" w:eastAsia="Calibri" w:hAnsi="Garamond"/>
          <w:vertAlign w:val="superscript"/>
          <w:lang w:eastAsia="en-US"/>
        </w:rPr>
        <w:endnoteReference w:id="33"/>
      </w:r>
      <w:r w:rsidR="0020799C" w:rsidRPr="0020799C">
        <w:rPr>
          <w:rFonts w:ascii="Garamond" w:eastAsia="Calibri" w:hAnsi="Garamond"/>
          <w:lang w:eastAsia="en-US"/>
        </w:rPr>
        <w:t>.</w:t>
      </w:r>
    </w:p>
    <w:p w14:paraId="698D395D" w14:textId="77777777" w:rsidR="0020799C" w:rsidRPr="0020799C" w:rsidRDefault="00AD39F4" w:rsidP="0020799C">
      <w:pPr>
        <w:spacing w:after="120"/>
        <w:jc w:val="both"/>
        <w:rPr>
          <w:rFonts w:ascii="Garamond" w:eastAsia="Calibri" w:hAnsi="Garamond"/>
          <w:lang w:eastAsia="en-US"/>
        </w:rPr>
      </w:pPr>
      <w:r>
        <w:rPr>
          <w:rFonts w:ascii="Garamond" w:eastAsia="Calibri" w:hAnsi="Garamond"/>
          <w:lang w:eastAsia="en-US"/>
        </w:rPr>
        <w:t xml:space="preserve">Whilst </w:t>
      </w:r>
      <w:r w:rsidR="004F154A">
        <w:rPr>
          <w:rFonts w:ascii="Garamond" w:eastAsia="Calibri" w:hAnsi="Garamond"/>
          <w:lang w:eastAsia="en-US"/>
        </w:rPr>
        <w:t>arguing that</w:t>
      </w:r>
      <w:r w:rsidR="0020799C" w:rsidRPr="0020799C">
        <w:rPr>
          <w:rFonts w:ascii="Garamond" w:eastAsia="Calibri" w:hAnsi="Garamond"/>
          <w:lang w:eastAsia="en-US"/>
        </w:rPr>
        <w:t xml:space="preserve"> people and place act upon and shape one another</w:t>
      </w:r>
      <w:r w:rsidR="004F154A">
        <w:rPr>
          <w:rFonts w:ascii="Garamond" w:eastAsia="Calibri" w:hAnsi="Garamond"/>
          <w:lang w:eastAsia="en-US"/>
        </w:rPr>
        <w:t>, Tilley</w:t>
      </w:r>
      <w:r w:rsidR="00812249">
        <w:rPr>
          <w:rFonts w:ascii="Garamond" w:eastAsia="Calibri" w:hAnsi="Garamond"/>
          <w:lang w:eastAsia="en-US"/>
        </w:rPr>
        <w:t xml:space="preserve"> recognizes</w:t>
      </w:r>
      <w:r w:rsidR="004F154A">
        <w:rPr>
          <w:rFonts w:ascii="Garamond" w:eastAsia="Calibri" w:hAnsi="Garamond"/>
          <w:lang w:eastAsia="en-US"/>
        </w:rPr>
        <w:t xml:space="preserve"> that</w:t>
      </w:r>
      <w:r w:rsidR="0020799C" w:rsidRPr="0020799C">
        <w:rPr>
          <w:rFonts w:ascii="Garamond" w:eastAsia="Calibri" w:hAnsi="Garamond"/>
          <w:lang w:eastAsia="en-US"/>
        </w:rPr>
        <w:t xml:space="preserve">, knowledge or access to places may </w:t>
      </w:r>
      <w:r w:rsidR="004F154A">
        <w:rPr>
          <w:rFonts w:ascii="Garamond" w:eastAsia="Calibri" w:hAnsi="Garamond"/>
          <w:lang w:eastAsia="en-US"/>
        </w:rPr>
        <w:t>be neither</w:t>
      </w:r>
      <w:r w:rsidR="0020799C" w:rsidRPr="0020799C">
        <w:rPr>
          <w:rFonts w:ascii="Garamond" w:eastAsia="Calibri" w:hAnsi="Garamond"/>
          <w:lang w:eastAsia="en-US"/>
        </w:rPr>
        <w:t xml:space="preserve"> egalitarian </w:t>
      </w:r>
      <w:r w:rsidR="004F154A">
        <w:rPr>
          <w:rFonts w:ascii="Garamond" w:eastAsia="Calibri" w:hAnsi="Garamond"/>
          <w:lang w:eastAsia="en-US"/>
        </w:rPr>
        <w:t>n</w:t>
      </w:r>
      <w:r w:rsidR="0020799C" w:rsidRPr="0020799C">
        <w:rPr>
          <w:rFonts w:ascii="Garamond" w:eastAsia="Calibri" w:hAnsi="Garamond"/>
          <w:lang w:eastAsia="en-US"/>
        </w:rPr>
        <w:t xml:space="preserve">or unchanging in nature. </w:t>
      </w:r>
      <w:r w:rsidR="004F154A">
        <w:rPr>
          <w:rFonts w:ascii="Garamond" w:eastAsia="Calibri" w:hAnsi="Garamond"/>
          <w:lang w:eastAsia="en-US"/>
        </w:rPr>
        <w:t>K</w:t>
      </w:r>
      <w:r w:rsidR="0020799C" w:rsidRPr="0020799C">
        <w:rPr>
          <w:rFonts w:ascii="Garamond" w:eastAsia="Calibri" w:hAnsi="Garamond"/>
          <w:lang w:eastAsia="en-US"/>
        </w:rPr>
        <w:t>nowledge of the power of place may for example, become restricted by gender, age or social group</w:t>
      </w:r>
      <w:r w:rsidR="0020799C" w:rsidRPr="0020799C">
        <w:rPr>
          <w:rFonts w:ascii="Garamond" w:eastAsia="Calibri" w:hAnsi="Garamond"/>
          <w:vertAlign w:val="superscript"/>
          <w:lang w:eastAsia="en-US"/>
        </w:rPr>
        <w:endnoteReference w:id="34"/>
      </w:r>
      <w:r w:rsidR="0020799C" w:rsidRPr="0020799C">
        <w:rPr>
          <w:rFonts w:ascii="Garamond" w:eastAsia="Calibri" w:hAnsi="Garamond"/>
          <w:lang w:eastAsia="en-US"/>
        </w:rPr>
        <w:t>. In other words, there can be different kinds of knowledge about the same place, something which has been</w:t>
      </w:r>
      <w:r w:rsidR="00812249">
        <w:rPr>
          <w:rFonts w:ascii="Garamond" w:eastAsia="Calibri" w:hAnsi="Garamond"/>
          <w:lang w:eastAsia="en-US"/>
        </w:rPr>
        <w:t xml:space="preserve"> considered more deeply</w:t>
      </w:r>
      <w:r w:rsidR="0020799C" w:rsidRPr="0020799C">
        <w:rPr>
          <w:rFonts w:ascii="Garamond" w:eastAsia="Calibri" w:hAnsi="Garamond"/>
          <w:lang w:eastAsia="en-US"/>
        </w:rPr>
        <w:t xml:space="preserve"> by Barbara Bender.</w:t>
      </w:r>
    </w:p>
    <w:p w14:paraId="69DE9B65" w14:textId="77777777"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t>Bender’s landscape as contested space</w:t>
      </w:r>
    </w:p>
    <w:p w14:paraId="1BFC6023" w14:textId="71A80B0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Barbara Bender also had a well-established career in archaeology, which in her case</w:t>
      </w:r>
      <w:r w:rsidR="00D65EB9">
        <w:rPr>
          <w:rFonts w:ascii="Garamond" w:eastAsia="Calibri" w:hAnsi="Garamond"/>
          <w:lang w:eastAsia="en-US"/>
        </w:rPr>
        <w:t>,</w:t>
      </w:r>
      <w:r w:rsidRPr="0020799C">
        <w:rPr>
          <w:rFonts w:ascii="Garamond" w:eastAsia="Calibri" w:hAnsi="Garamond"/>
          <w:lang w:eastAsia="en-US"/>
        </w:rPr>
        <w:t xml:space="preserve"> was focused upon hunter-gatherer communities</w:t>
      </w:r>
      <w:r w:rsidRPr="0020799C">
        <w:rPr>
          <w:rFonts w:ascii="Garamond" w:eastAsia="Calibri" w:hAnsi="Garamond"/>
          <w:vertAlign w:val="superscript"/>
          <w:lang w:eastAsia="en-US"/>
        </w:rPr>
        <w:endnoteReference w:id="35"/>
      </w:r>
      <w:r w:rsidRPr="0020799C">
        <w:rPr>
          <w:rFonts w:ascii="Garamond" w:eastAsia="Calibri" w:hAnsi="Garamond"/>
          <w:lang w:eastAsia="en-US"/>
        </w:rPr>
        <w:t xml:space="preserve"> and the transition to farmin</w:t>
      </w:r>
      <w:r w:rsidR="00D65EB9">
        <w:rPr>
          <w:rFonts w:ascii="Garamond" w:eastAsia="Calibri" w:hAnsi="Garamond"/>
          <w:lang w:eastAsia="en-US"/>
        </w:rPr>
        <w:t>g</w:t>
      </w:r>
      <w:r w:rsidRPr="0020799C">
        <w:rPr>
          <w:rFonts w:ascii="Garamond" w:eastAsia="Calibri" w:hAnsi="Garamond"/>
          <w:vertAlign w:val="superscript"/>
          <w:lang w:eastAsia="en-US"/>
        </w:rPr>
        <w:endnoteReference w:id="36"/>
      </w:r>
      <w:r w:rsidRPr="0020799C">
        <w:rPr>
          <w:rFonts w:ascii="Garamond" w:eastAsia="Calibri" w:hAnsi="Garamond"/>
          <w:lang w:eastAsia="en-US"/>
        </w:rPr>
        <w:t>. Bender’s writings were also influenced by Marxism and politics in prehistory, and small-scale societies are at the core of her research</w:t>
      </w:r>
      <w:r w:rsidRPr="0020799C">
        <w:rPr>
          <w:rFonts w:ascii="Garamond" w:eastAsia="Calibri" w:hAnsi="Garamond"/>
          <w:vertAlign w:val="superscript"/>
          <w:lang w:eastAsia="en-US"/>
        </w:rPr>
        <w:endnoteReference w:id="37"/>
      </w:r>
      <w:r w:rsidRPr="0020799C">
        <w:rPr>
          <w:rFonts w:ascii="Garamond" w:eastAsia="Calibri" w:hAnsi="Garamond"/>
          <w:lang w:eastAsia="en-US"/>
        </w:rPr>
        <w:t xml:space="preserve">. However, unlike Tilley, a Marxist theoretical stance has continued to be a major inspiration upon her subsequent approach to landscape. In the 1990s, Bender began to draw </w:t>
      </w:r>
      <w:r w:rsidRPr="00A8574C">
        <w:rPr>
          <w:rFonts w:ascii="Garamond" w:eastAsia="Calibri" w:hAnsi="Garamond"/>
          <w:lang w:eastAsia="en-US"/>
        </w:rPr>
        <w:t>upo</w:t>
      </w:r>
      <w:r w:rsidR="00A8574C">
        <w:rPr>
          <w:rFonts w:ascii="Garamond" w:eastAsia="Calibri" w:hAnsi="Garamond"/>
          <w:lang w:eastAsia="en-US"/>
        </w:rPr>
        <w:t>n</w:t>
      </w:r>
      <w:r w:rsidRPr="0020799C">
        <w:rPr>
          <w:rFonts w:ascii="Garamond" w:eastAsia="Calibri" w:hAnsi="Garamond"/>
          <w:lang w:eastAsia="en-US"/>
        </w:rPr>
        <w:t xml:space="preserve"> Bourdieu’s</w:t>
      </w:r>
      <w:r w:rsidRPr="0020799C">
        <w:rPr>
          <w:rFonts w:ascii="Garamond" w:eastAsia="Calibri" w:hAnsi="Garamond"/>
          <w:vertAlign w:val="superscript"/>
          <w:lang w:eastAsia="en-US"/>
        </w:rPr>
        <w:endnoteReference w:id="38"/>
      </w:r>
      <w:r w:rsidRPr="0020799C">
        <w:rPr>
          <w:rFonts w:ascii="Garamond" w:eastAsia="Calibri" w:hAnsi="Garamond"/>
          <w:lang w:eastAsia="en-US"/>
        </w:rPr>
        <w:t xml:space="preserve"> theory of ‘habitus’ and Foucault’s</w:t>
      </w:r>
      <w:r w:rsidRPr="0020799C">
        <w:rPr>
          <w:rFonts w:ascii="Garamond" w:eastAsia="Calibri" w:hAnsi="Garamond"/>
          <w:vertAlign w:val="superscript"/>
          <w:lang w:eastAsia="en-US"/>
        </w:rPr>
        <w:endnoteReference w:id="39"/>
      </w:r>
      <w:r w:rsidRPr="0020799C">
        <w:rPr>
          <w:rFonts w:ascii="Garamond" w:eastAsia="Calibri" w:hAnsi="Garamond"/>
          <w:lang w:eastAsia="en-US"/>
        </w:rPr>
        <w:t xml:space="preserve"> discussions of power into her thinking, along with phenomenological approaches, which she notes ‘talk us through the way in which people move around their world’ and reveal how they use spaces and are constrained by them</w:t>
      </w:r>
      <w:r w:rsidRPr="0020799C">
        <w:rPr>
          <w:rFonts w:ascii="Garamond" w:eastAsia="Calibri" w:hAnsi="Garamond"/>
          <w:vertAlign w:val="superscript"/>
          <w:lang w:eastAsia="en-US"/>
        </w:rPr>
        <w:endnoteReference w:id="40"/>
      </w:r>
      <w:r w:rsidRPr="0020799C">
        <w:rPr>
          <w:rFonts w:ascii="Garamond" w:eastAsia="Calibri" w:hAnsi="Garamond"/>
          <w:lang w:eastAsia="en-US"/>
        </w:rPr>
        <w:t xml:space="preserve">. </w:t>
      </w:r>
    </w:p>
    <w:p w14:paraId="3C00EE84" w14:textId="246D1DD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However, rather than theorising the individual embodied experience of the landscape or sensory perceptions of it, Bender’s shift to studying landscapes followed a socially divisive event</w:t>
      </w:r>
      <w:r w:rsidR="004F154A">
        <w:rPr>
          <w:rFonts w:ascii="Garamond" w:eastAsia="Calibri" w:hAnsi="Garamond"/>
          <w:lang w:eastAsia="en-US"/>
        </w:rPr>
        <w:t xml:space="preserve"> in 1985</w:t>
      </w:r>
      <w:r w:rsidRPr="0020799C">
        <w:rPr>
          <w:rFonts w:ascii="Garamond" w:eastAsia="Calibri" w:hAnsi="Garamond"/>
          <w:lang w:eastAsia="en-US"/>
        </w:rPr>
        <w:t xml:space="preserve">. This involved the deployment of the police </w:t>
      </w:r>
      <w:r w:rsidR="004F154A">
        <w:rPr>
          <w:rFonts w:ascii="Garamond" w:eastAsia="Calibri" w:hAnsi="Garamond"/>
          <w:lang w:eastAsia="en-US"/>
        </w:rPr>
        <w:t xml:space="preserve">to </w:t>
      </w:r>
      <w:r w:rsidRPr="0020799C">
        <w:rPr>
          <w:rFonts w:ascii="Garamond" w:eastAsia="Calibri" w:hAnsi="Garamond"/>
          <w:lang w:eastAsia="en-US"/>
        </w:rPr>
        <w:t>violent</w:t>
      </w:r>
      <w:r w:rsidR="004F154A">
        <w:rPr>
          <w:rFonts w:ascii="Garamond" w:eastAsia="Calibri" w:hAnsi="Garamond"/>
          <w:lang w:eastAsia="en-US"/>
        </w:rPr>
        <w:t>ly</w:t>
      </w:r>
      <w:r w:rsidRPr="0020799C">
        <w:rPr>
          <w:rFonts w:ascii="Garamond" w:eastAsia="Calibri" w:hAnsi="Garamond"/>
          <w:lang w:eastAsia="en-US"/>
        </w:rPr>
        <w:t xml:space="preserve"> suppress</w:t>
      </w:r>
      <w:r w:rsidR="00812249">
        <w:rPr>
          <w:rFonts w:ascii="Garamond" w:eastAsia="Calibri" w:hAnsi="Garamond"/>
          <w:lang w:eastAsia="en-US"/>
        </w:rPr>
        <w:t xml:space="preserve"> </w:t>
      </w:r>
      <w:r w:rsidRPr="0020799C">
        <w:rPr>
          <w:rFonts w:ascii="Garamond" w:eastAsia="Calibri" w:hAnsi="Garamond"/>
          <w:lang w:eastAsia="en-US"/>
        </w:rPr>
        <w:t xml:space="preserve">groups of travellers </w:t>
      </w:r>
      <w:r w:rsidR="000748C0" w:rsidRPr="00A8574C">
        <w:rPr>
          <w:rFonts w:ascii="Garamond" w:eastAsia="Calibri" w:hAnsi="Garamond"/>
          <w:lang w:eastAsia="en-US"/>
        </w:rPr>
        <w:t>celebrating</w:t>
      </w:r>
      <w:r w:rsidR="004F154A" w:rsidRPr="0020799C">
        <w:rPr>
          <w:rFonts w:ascii="Garamond" w:eastAsia="Calibri" w:hAnsi="Garamond"/>
          <w:lang w:eastAsia="en-US"/>
        </w:rPr>
        <w:t xml:space="preserve"> the summer solstice </w:t>
      </w:r>
      <w:r w:rsidRPr="0020799C">
        <w:rPr>
          <w:rFonts w:ascii="Garamond" w:eastAsia="Calibri" w:hAnsi="Garamond"/>
          <w:lang w:eastAsia="en-US"/>
        </w:rPr>
        <w:t>at Stonehenge. With few exceptions</w:t>
      </w:r>
      <w:r w:rsidRPr="0020799C">
        <w:rPr>
          <w:rFonts w:ascii="Garamond" w:eastAsia="Calibri" w:hAnsi="Garamond"/>
          <w:vertAlign w:val="superscript"/>
          <w:lang w:eastAsia="en-US"/>
        </w:rPr>
        <w:endnoteReference w:id="41"/>
      </w:r>
      <w:r w:rsidRPr="0020799C">
        <w:rPr>
          <w:rFonts w:ascii="Garamond" w:eastAsia="Calibri" w:hAnsi="Garamond"/>
          <w:lang w:eastAsia="en-US"/>
        </w:rPr>
        <w:t xml:space="preserve"> this event elicited little public response from the academic community, which was at best vague in its public pronouncements or sympathies. This incident, however, triggered Bender</w:t>
      </w:r>
      <w:r w:rsidRPr="0020799C">
        <w:rPr>
          <w:rFonts w:ascii="Garamond" w:eastAsia="Calibri" w:hAnsi="Garamond"/>
          <w:vertAlign w:val="superscript"/>
          <w:lang w:eastAsia="en-US"/>
        </w:rPr>
        <w:endnoteReference w:id="42"/>
      </w:r>
      <w:r w:rsidRPr="0020799C">
        <w:rPr>
          <w:rFonts w:ascii="Garamond" w:eastAsia="Calibri" w:hAnsi="Garamond"/>
          <w:vertAlign w:val="superscript"/>
          <w:lang w:eastAsia="en-US"/>
        </w:rPr>
        <w:t>,</w:t>
      </w:r>
      <w:r w:rsidRPr="0020799C">
        <w:rPr>
          <w:rFonts w:ascii="Garamond" w:eastAsia="Calibri" w:hAnsi="Garamond"/>
          <w:vertAlign w:val="superscript"/>
          <w:lang w:eastAsia="en-US"/>
        </w:rPr>
        <w:endnoteReference w:id="43"/>
      </w:r>
      <w:r w:rsidRPr="0020799C">
        <w:rPr>
          <w:rFonts w:ascii="Garamond" w:eastAsia="Calibri" w:hAnsi="Garamond"/>
          <w:lang w:eastAsia="en-US"/>
        </w:rPr>
        <w:t xml:space="preserve"> to write in a passionate way about how a prehistoric monument, which the State had cared little about for centuries, had become the centre of a political battle</w:t>
      </w:r>
      <w:r w:rsidRPr="000748C0">
        <w:rPr>
          <w:rFonts w:ascii="Garamond" w:eastAsia="Calibri" w:hAnsi="Garamond"/>
          <w:lang w:eastAsia="en-US"/>
        </w:rPr>
        <w:t xml:space="preserve"> between</w:t>
      </w:r>
      <w:r w:rsidRPr="0020799C">
        <w:rPr>
          <w:rFonts w:ascii="Garamond" w:eastAsia="Calibri" w:hAnsi="Garamond"/>
          <w:lang w:eastAsia="en-US"/>
        </w:rPr>
        <w:t xml:space="preserve"> the Establishment and counter-cultural groups. By contrast with other writers</w:t>
      </w:r>
      <w:r w:rsidR="00812249">
        <w:rPr>
          <w:rFonts w:ascii="Garamond" w:eastAsia="Calibri" w:hAnsi="Garamond"/>
          <w:lang w:eastAsia="en-US"/>
        </w:rPr>
        <w:t>,</w:t>
      </w:r>
      <w:r w:rsidRPr="0020799C">
        <w:rPr>
          <w:rFonts w:ascii="Garamond" w:eastAsia="Calibri" w:hAnsi="Garamond"/>
          <w:lang w:eastAsia="en-US"/>
        </w:rPr>
        <w:t xml:space="preserve"> whose histories of Stonehenge stopped when it reached its final form in prehistory, Bender shifted attention to the period spanning the medieval to present</w:t>
      </w:r>
      <w:r w:rsidRPr="0020799C">
        <w:rPr>
          <w:rFonts w:ascii="Garamond" w:eastAsia="Calibri" w:hAnsi="Garamond"/>
          <w:vertAlign w:val="superscript"/>
          <w:lang w:eastAsia="en-US"/>
        </w:rPr>
        <w:endnoteReference w:id="44"/>
      </w:r>
      <w:r w:rsidRPr="0020799C">
        <w:rPr>
          <w:rFonts w:ascii="Garamond" w:eastAsia="Calibri" w:hAnsi="Garamond"/>
          <w:lang w:eastAsia="en-US"/>
        </w:rPr>
        <w:t>, with an emphasis on how Stonehenge became a deeply contested site. She considered the role of Stonehenge in society over time, the contrasting ways different generations had interpreted it, the associated power relations, and the competing narratives of the different groups, which ultimately resulted in the events of 1985. Unlike most other academic writers, Bender was open about the limitations of archaeological knowledge</w:t>
      </w:r>
      <w:r w:rsidRPr="0020799C">
        <w:rPr>
          <w:rFonts w:ascii="Garamond" w:eastAsia="Calibri" w:hAnsi="Garamond"/>
          <w:vertAlign w:val="superscript"/>
          <w:lang w:eastAsia="en-US"/>
        </w:rPr>
        <w:endnoteReference w:id="45"/>
      </w:r>
      <w:r w:rsidRPr="0020799C">
        <w:rPr>
          <w:rFonts w:ascii="Garamond" w:eastAsia="Calibri" w:hAnsi="Garamond"/>
          <w:lang w:eastAsia="en-US"/>
        </w:rPr>
        <w:t xml:space="preserve"> and the ambiguity of archaeologists relationship with the Establishment.</w:t>
      </w:r>
    </w:p>
    <w:p w14:paraId="0ACB0297" w14:textId="378E683B"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Although nowhere near as prolific as Tilley, Barbara Bender has continued to champion other voices and discourses, to empower those who are </w:t>
      </w:r>
      <w:r w:rsidR="000748C0" w:rsidRPr="001164A8">
        <w:rPr>
          <w:rFonts w:ascii="Garamond" w:eastAsia="Calibri" w:hAnsi="Garamond"/>
          <w:lang w:eastAsia="en-US"/>
        </w:rPr>
        <w:t>not</w:t>
      </w:r>
      <w:r w:rsidRPr="0020799C">
        <w:rPr>
          <w:rFonts w:ascii="Garamond" w:eastAsia="Calibri" w:hAnsi="Garamond"/>
          <w:lang w:eastAsia="en-US"/>
        </w:rPr>
        <w:t xml:space="preserve"> part of </w:t>
      </w:r>
      <w:r w:rsidRPr="001164A8">
        <w:rPr>
          <w:rFonts w:ascii="Garamond" w:eastAsia="Calibri" w:hAnsi="Garamond"/>
          <w:lang w:eastAsia="en-US"/>
        </w:rPr>
        <w:t>the</w:t>
      </w:r>
      <w:r w:rsidRPr="0020799C">
        <w:rPr>
          <w:rFonts w:ascii="Garamond" w:eastAsia="Calibri" w:hAnsi="Garamond"/>
          <w:lang w:eastAsia="en-US"/>
        </w:rPr>
        <w:t xml:space="preserve"> middle class, white, male academy. She has largely achieved this through the editing of two volumes which include other voices, including contributions by non-western writer</w:t>
      </w:r>
      <w:r w:rsidR="00821D92">
        <w:rPr>
          <w:rFonts w:ascii="Garamond" w:eastAsia="Calibri" w:hAnsi="Garamond"/>
          <w:lang w:eastAsia="en-US"/>
        </w:rPr>
        <w:t>s</w:t>
      </w:r>
      <w:r w:rsidRPr="0020799C">
        <w:rPr>
          <w:rFonts w:ascii="Garamond" w:eastAsia="Calibri" w:hAnsi="Garamond"/>
          <w:vertAlign w:val="superscript"/>
          <w:lang w:eastAsia="en-US"/>
        </w:rPr>
        <w:endnoteReference w:id="46"/>
      </w:r>
      <w:r w:rsidR="004F154A">
        <w:rPr>
          <w:rFonts w:ascii="Garamond" w:eastAsia="Calibri" w:hAnsi="Garamond"/>
          <w:vertAlign w:val="superscript"/>
          <w:lang w:eastAsia="en-US"/>
        </w:rPr>
        <w:t>,</w:t>
      </w:r>
      <w:r w:rsidRPr="0020799C">
        <w:rPr>
          <w:rFonts w:ascii="Garamond" w:eastAsia="Calibri" w:hAnsi="Garamond"/>
          <w:vertAlign w:val="superscript"/>
          <w:lang w:eastAsia="en-US"/>
        </w:rPr>
        <w:endnoteReference w:id="47"/>
      </w:r>
      <w:r w:rsidRPr="0020799C">
        <w:rPr>
          <w:rFonts w:ascii="Garamond" w:eastAsia="Calibri" w:hAnsi="Garamond"/>
          <w:lang w:eastAsia="en-US"/>
        </w:rPr>
        <w:t xml:space="preserve">. In particular, Bender’s </w:t>
      </w:r>
      <w:r w:rsidR="00D65EB9">
        <w:rPr>
          <w:rFonts w:ascii="Garamond" w:eastAsia="Calibri" w:hAnsi="Garamond"/>
          <w:lang w:eastAsia="en-US"/>
        </w:rPr>
        <w:t xml:space="preserve">edited </w:t>
      </w:r>
      <w:r w:rsidRPr="0020799C">
        <w:rPr>
          <w:rFonts w:ascii="Garamond" w:eastAsia="Calibri" w:hAnsi="Garamond"/>
          <w:lang w:eastAsia="en-US"/>
        </w:rPr>
        <w:t>volumes have focused on contested spaces in various part</w:t>
      </w:r>
      <w:r w:rsidR="000748C0">
        <w:rPr>
          <w:rFonts w:ascii="Garamond" w:eastAsia="Calibri" w:hAnsi="Garamond"/>
          <w:lang w:eastAsia="en-US"/>
        </w:rPr>
        <w:t>s</w:t>
      </w:r>
      <w:r w:rsidRPr="0020799C">
        <w:rPr>
          <w:rFonts w:ascii="Garamond" w:eastAsia="Calibri" w:hAnsi="Garamond"/>
          <w:lang w:eastAsia="en-US"/>
        </w:rPr>
        <w:t xml:space="preserve"> of the world, such as the streets of northern Ireland</w:t>
      </w:r>
      <w:r w:rsidRPr="0020799C">
        <w:rPr>
          <w:rFonts w:ascii="Garamond" w:eastAsia="Calibri" w:hAnsi="Garamond"/>
          <w:vertAlign w:val="superscript"/>
          <w:lang w:eastAsia="en-US"/>
        </w:rPr>
        <w:endnoteReference w:id="48"/>
      </w:r>
      <w:r w:rsidRPr="0020799C">
        <w:rPr>
          <w:rFonts w:ascii="Garamond" w:eastAsia="Calibri" w:hAnsi="Garamond"/>
          <w:lang w:eastAsia="en-US"/>
        </w:rPr>
        <w:t xml:space="preserve"> and Palestine</w:t>
      </w:r>
      <w:r w:rsidRPr="0020799C">
        <w:rPr>
          <w:rFonts w:ascii="Garamond" w:eastAsia="Calibri" w:hAnsi="Garamond"/>
          <w:vertAlign w:val="superscript"/>
          <w:lang w:eastAsia="en-US"/>
        </w:rPr>
        <w:endnoteReference w:id="49"/>
      </w:r>
      <w:r w:rsidRPr="0020799C">
        <w:rPr>
          <w:rFonts w:ascii="Garamond" w:eastAsia="Calibri" w:hAnsi="Garamond"/>
          <w:lang w:eastAsia="en-US"/>
        </w:rPr>
        <w:t xml:space="preserve">, and tackled current socially relevant themes such as </w:t>
      </w:r>
      <w:r w:rsidR="00D65EB9">
        <w:rPr>
          <w:rFonts w:ascii="Garamond" w:eastAsia="Calibri" w:hAnsi="Garamond"/>
          <w:lang w:eastAsia="en-US"/>
        </w:rPr>
        <w:t xml:space="preserve">the </w:t>
      </w:r>
      <w:r w:rsidR="00D65EB9">
        <w:rPr>
          <w:rFonts w:ascii="Garamond" w:eastAsia="Calibri" w:hAnsi="Garamond"/>
          <w:lang w:eastAsia="en-US"/>
        </w:rPr>
        <w:lastRenderedPageBreak/>
        <w:t xml:space="preserve">effects of </w:t>
      </w:r>
      <w:r w:rsidRPr="0020799C">
        <w:rPr>
          <w:rFonts w:ascii="Garamond" w:eastAsia="Calibri" w:hAnsi="Garamond"/>
          <w:lang w:eastAsia="en-US"/>
        </w:rPr>
        <w:t xml:space="preserve">colonialism and gender, for example </w:t>
      </w:r>
      <w:r w:rsidR="00A8574C" w:rsidRPr="00A8574C">
        <w:rPr>
          <w:rFonts w:ascii="Garamond" w:eastAsia="Calibri" w:hAnsi="Garamond"/>
          <w:lang w:eastAsia="en-US"/>
        </w:rPr>
        <w:t>t</w:t>
      </w:r>
      <w:r w:rsidR="001A6DD8" w:rsidRPr="00A8574C">
        <w:rPr>
          <w:rFonts w:ascii="Garamond" w:eastAsia="Calibri" w:hAnsi="Garamond"/>
          <w:lang w:eastAsia="en-US"/>
        </w:rPr>
        <w:t>he female</w:t>
      </w:r>
      <w:r w:rsidR="001A6DD8">
        <w:rPr>
          <w:rFonts w:ascii="Garamond" w:eastAsia="Calibri" w:hAnsi="Garamond"/>
          <w:lang w:eastAsia="en-US"/>
        </w:rPr>
        <w:t xml:space="preserve"> </w:t>
      </w:r>
      <w:r w:rsidRPr="0020799C">
        <w:rPr>
          <w:rFonts w:ascii="Garamond" w:eastAsia="Calibri" w:hAnsi="Garamond"/>
          <w:lang w:eastAsia="en-US"/>
        </w:rPr>
        <w:t xml:space="preserve">Alaskan indigenous interpretation of space, as opposed to </w:t>
      </w:r>
      <w:r w:rsidR="001A6DD8" w:rsidRPr="00A8574C">
        <w:rPr>
          <w:rFonts w:ascii="Garamond" w:eastAsia="Calibri" w:hAnsi="Garamond"/>
          <w:lang w:eastAsia="en-US"/>
        </w:rPr>
        <w:t xml:space="preserve">that </w:t>
      </w:r>
      <w:r w:rsidRPr="00A8574C">
        <w:rPr>
          <w:rFonts w:ascii="Garamond" w:eastAsia="Calibri" w:hAnsi="Garamond"/>
          <w:lang w:eastAsia="en-US"/>
        </w:rPr>
        <w:t xml:space="preserve">of </w:t>
      </w:r>
      <w:r w:rsidR="000506A0" w:rsidRPr="00A8574C">
        <w:rPr>
          <w:rFonts w:ascii="Garamond" w:eastAsia="Calibri" w:hAnsi="Garamond"/>
          <w:lang w:eastAsia="en-US"/>
        </w:rPr>
        <w:t xml:space="preserve">the </w:t>
      </w:r>
      <w:r w:rsidRPr="00A8574C">
        <w:rPr>
          <w:rFonts w:ascii="Garamond" w:eastAsia="Calibri" w:hAnsi="Garamond"/>
          <w:lang w:eastAsia="en-US"/>
        </w:rPr>
        <w:t>male</w:t>
      </w:r>
      <w:r w:rsidRPr="0020799C">
        <w:rPr>
          <w:rFonts w:ascii="Garamond" w:eastAsia="Calibri" w:hAnsi="Garamond"/>
          <w:vertAlign w:val="superscript"/>
          <w:lang w:eastAsia="en-US"/>
        </w:rPr>
        <w:endnoteReference w:id="50"/>
      </w:r>
      <w:r w:rsidRPr="0020799C">
        <w:rPr>
          <w:rFonts w:ascii="Garamond" w:eastAsia="Calibri" w:hAnsi="Garamond"/>
          <w:lang w:eastAsia="en-US"/>
        </w:rPr>
        <w:t>. She has therefore sought to empower those whose narratives have often been overlooked by western anthropologists.</w:t>
      </w:r>
    </w:p>
    <w:p w14:paraId="292F1D05" w14:textId="77777777"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t>Contrasting and complementary approaches to the landscape</w:t>
      </w:r>
    </w:p>
    <w:p w14:paraId="0F790B35" w14:textId="680C6B45"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Both Tilley and Bender have similar theoretical backgrounds and have adopted phenomenology as a tool for study</w:t>
      </w:r>
      <w:r w:rsidR="00A84863" w:rsidRPr="00A8574C">
        <w:rPr>
          <w:rFonts w:ascii="Garamond" w:eastAsia="Calibri" w:hAnsi="Garamond"/>
          <w:lang w:eastAsia="en-US"/>
        </w:rPr>
        <w:t>ing</w:t>
      </w:r>
      <w:r w:rsidRPr="0020799C">
        <w:rPr>
          <w:rFonts w:ascii="Garamond" w:eastAsia="Calibri" w:hAnsi="Garamond"/>
          <w:lang w:eastAsia="en-US"/>
        </w:rPr>
        <w:t xml:space="preserve"> people and places. However, before </w:t>
      </w:r>
      <w:r w:rsidR="00812249">
        <w:rPr>
          <w:rFonts w:ascii="Garamond" w:eastAsia="Calibri" w:hAnsi="Garamond"/>
          <w:lang w:eastAsia="en-US"/>
        </w:rPr>
        <w:t>considering</w:t>
      </w:r>
      <w:r w:rsidRPr="0020799C">
        <w:rPr>
          <w:rFonts w:ascii="Garamond" w:eastAsia="Calibri" w:hAnsi="Garamond"/>
          <w:lang w:eastAsia="en-US"/>
        </w:rPr>
        <w:t xml:space="preserve"> these similarities</w:t>
      </w:r>
      <w:r w:rsidR="00812249">
        <w:rPr>
          <w:rFonts w:ascii="Garamond" w:eastAsia="Calibri" w:hAnsi="Garamond"/>
          <w:lang w:eastAsia="en-US"/>
        </w:rPr>
        <w:t xml:space="preserve"> </w:t>
      </w:r>
      <w:r w:rsidRPr="0020799C">
        <w:rPr>
          <w:rFonts w:ascii="Garamond" w:eastAsia="Calibri" w:hAnsi="Garamond"/>
          <w:lang w:eastAsia="en-US"/>
        </w:rPr>
        <w:t xml:space="preserve">it is worth </w:t>
      </w:r>
      <w:r w:rsidR="00AE04A0">
        <w:rPr>
          <w:rFonts w:ascii="Garamond" w:eastAsia="Calibri" w:hAnsi="Garamond"/>
          <w:lang w:eastAsia="en-US"/>
        </w:rPr>
        <w:t>first discussing</w:t>
      </w:r>
      <w:r w:rsidRPr="0020799C">
        <w:rPr>
          <w:rFonts w:ascii="Garamond" w:eastAsia="Calibri" w:hAnsi="Garamond"/>
          <w:lang w:eastAsia="en-US"/>
        </w:rPr>
        <w:t xml:space="preserve"> </w:t>
      </w:r>
      <w:r w:rsidRPr="00A8574C">
        <w:rPr>
          <w:rFonts w:ascii="Garamond" w:eastAsia="Calibri" w:hAnsi="Garamond"/>
          <w:lang w:eastAsia="en-US"/>
        </w:rPr>
        <w:t>th</w:t>
      </w:r>
      <w:r w:rsidR="00AF0A22" w:rsidRPr="00A8574C">
        <w:rPr>
          <w:rFonts w:ascii="Garamond" w:eastAsia="Calibri" w:hAnsi="Garamond"/>
          <w:lang w:eastAsia="en-US"/>
        </w:rPr>
        <w:t>e</w:t>
      </w:r>
      <w:r w:rsidRPr="00A8574C">
        <w:rPr>
          <w:rFonts w:ascii="Garamond" w:eastAsia="Calibri" w:hAnsi="Garamond"/>
          <w:lang w:eastAsia="en-US"/>
        </w:rPr>
        <w:t xml:space="preserve"> distinctions in emphasis in</w:t>
      </w:r>
      <w:r w:rsidR="00A8574C" w:rsidRPr="00A8574C">
        <w:rPr>
          <w:rFonts w:ascii="Garamond" w:eastAsia="Calibri" w:hAnsi="Garamond"/>
          <w:lang w:eastAsia="en-US"/>
        </w:rPr>
        <w:t xml:space="preserve"> their</w:t>
      </w:r>
      <w:r w:rsidRPr="00A8574C">
        <w:rPr>
          <w:rFonts w:ascii="Garamond" w:eastAsia="Calibri" w:hAnsi="Garamond"/>
          <w:lang w:eastAsia="en-US"/>
        </w:rPr>
        <w:t xml:space="preserve"> approach</w:t>
      </w:r>
      <w:r w:rsidR="00A8574C" w:rsidRPr="00A8574C">
        <w:rPr>
          <w:rFonts w:ascii="Garamond" w:eastAsia="Calibri" w:hAnsi="Garamond"/>
          <w:lang w:eastAsia="en-US"/>
        </w:rPr>
        <w:t>es</w:t>
      </w:r>
      <w:r w:rsidRPr="00A8574C">
        <w:rPr>
          <w:rFonts w:ascii="Garamond" w:eastAsia="Calibri" w:hAnsi="Garamond"/>
          <w:lang w:eastAsia="en-US"/>
        </w:rPr>
        <w:t>.</w:t>
      </w:r>
      <w:r w:rsidRPr="0020799C">
        <w:rPr>
          <w:rFonts w:ascii="Garamond" w:eastAsia="Calibri" w:hAnsi="Garamond"/>
          <w:lang w:eastAsia="en-US"/>
        </w:rPr>
        <w:t xml:space="preserve"> </w:t>
      </w:r>
    </w:p>
    <w:p w14:paraId="31AFA12F" w14:textId="77777777" w:rsidR="0020799C" w:rsidRPr="0020799C" w:rsidRDefault="0020799C" w:rsidP="0020799C">
      <w:pPr>
        <w:spacing w:after="120"/>
        <w:jc w:val="both"/>
        <w:rPr>
          <w:rFonts w:ascii="Garamond" w:eastAsia="Calibri" w:hAnsi="Garamond"/>
          <w:b/>
          <w:bCs/>
          <w:i/>
          <w:iCs/>
          <w:lang w:eastAsia="en-US"/>
        </w:rPr>
      </w:pPr>
      <w:r w:rsidRPr="0020799C">
        <w:rPr>
          <w:rFonts w:ascii="Garamond" w:eastAsia="Calibri" w:hAnsi="Garamond"/>
          <w:b/>
          <w:bCs/>
          <w:i/>
          <w:iCs/>
          <w:lang w:eastAsia="en-US"/>
        </w:rPr>
        <w:t>Contrasting phenomenology(s)</w:t>
      </w:r>
    </w:p>
    <w:p w14:paraId="39C75301" w14:textId="07D0DB10"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Both Tilley and Bender undoubtedly regard landscapes as being </w:t>
      </w:r>
      <w:r w:rsidRPr="00A8574C">
        <w:rPr>
          <w:rFonts w:ascii="Garamond" w:eastAsia="Calibri" w:hAnsi="Garamond"/>
          <w:lang w:eastAsia="en-US"/>
        </w:rPr>
        <w:t>polyvalent</w:t>
      </w:r>
      <w:r w:rsidRPr="0020799C">
        <w:rPr>
          <w:rFonts w:ascii="Garamond" w:eastAsia="Calibri" w:hAnsi="Garamond"/>
          <w:lang w:eastAsia="en-US"/>
        </w:rPr>
        <w:t>, and open to multiple interpretations</w:t>
      </w:r>
      <w:r w:rsidR="00A8574C">
        <w:rPr>
          <w:rFonts w:ascii="Garamond" w:eastAsia="Calibri" w:hAnsi="Garamond"/>
          <w:lang w:eastAsia="en-US"/>
        </w:rPr>
        <w:t xml:space="preserve">, </w:t>
      </w:r>
      <w:r w:rsidRPr="0020799C">
        <w:rPr>
          <w:rFonts w:ascii="Garamond" w:eastAsia="Calibri" w:hAnsi="Garamond"/>
          <w:lang w:eastAsia="en-US"/>
        </w:rPr>
        <w:t xml:space="preserve">derived from personal experience and engagement with it. Yet the focus of their studies can at times be rather different. Whilst, as noted above, both authors have origins which lie in the Marxist archaeologies of the late 1970s and 1980s, Tilley’s subsequent phenomenological writing is more typically political with a small ‘p’. Whilst arguing that landscapes and </w:t>
      </w:r>
      <w:r w:rsidR="00AE04A0">
        <w:rPr>
          <w:rFonts w:ascii="Garamond" w:eastAsia="Calibri" w:hAnsi="Garamond"/>
          <w:lang w:eastAsia="en-US"/>
        </w:rPr>
        <w:t xml:space="preserve">the </w:t>
      </w:r>
      <w:r w:rsidRPr="0020799C">
        <w:rPr>
          <w:rFonts w:ascii="Garamond" w:eastAsia="Calibri" w:hAnsi="Garamond"/>
          <w:lang w:eastAsia="en-US"/>
        </w:rPr>
        <w:t>features within it are open to different forms of knowledge, he nonetheless firmly situates his interpretations, which are usually focussed upon prehistoric landscapes, within his own singular experience</w:t>
      </w:r>
      <w:r w:rsidR="00AE04A0">
        <w:rPr>
          <w:rFonts w:ascii="Garamond" w:eastAsia="Calibri" w:hAnsi="Garamond"/>
          <w:lang w:eastAsia="en-US"/>
        </w:rPr>
        <w:t xml:space="preserve"> of engagement</w:t>
      </w:r>
      <w:r w:rsidRPr="0020799C">
        <w:rPr>
          <w:rFonts w:ascii="Garamond" w:eastAsia="Calibri" w:hAnsi="Garamond"/>
          <w:lang w:eastAsia="en-US"/>
        </w:rPr>
        <w:t xml:space="preserve"> and a particular world view</w:t>
      </w:r>
      <w:r w:rsidRPr="0020799C">
        <w:rPr>
          <w:rFonts w:ascii="Garamond" w:eastAsia="Calibri" w:hAnsi="Garamond"/>
          <w:vertAlign w:val="superscript"/>
          <w:lang w:eastAsia="en-US"/>
        </w:rPr>
        <w:endnoteReference w:id="51"/>
      </w:r>
      <w:r w:rsidRPr="004F154A">
        <w:rPr>
          <w:rFonts w:ascii="Garamond" w:eastAsia="Calibri" w:hAnsi="Garamond"/>
          <w:vertAlign w:val="superscript"/>
          <w:lang w:eastAsia="en-US"/>
        </w:rPr>
        <w:t>,</w:t>
      </w:r>
      <w:r w:rsidRPr="0020799C">
        <w:rPr>
          <w:rFonts w:ascii="Garamond" w:eastAsia="Calibri" w:hAnsi="Garamond"/>
          <w:vertAlign w:val="superscript"/>
          <w:lang w:eastAsia="en-US"/>
        </w:rPr>
        <w:endnoteReference w:id="52"/>
      </w:r>
      <w:r w:rsidRPr="0020799C">
        <w:rPr>
          <w:rFonts w:ascii="Garamond" w:eastAsia="Calibri" w:hAnsi="Garamond"/>
          <w:lang w:eastAsia="en-US"/>
        </w:rPr>
        <w:t>. In common with most archaeological writing his work can be argued to belong to a particular background, which (probably unfairly) can give some of his undoubtedly highly original work, a distanced feel</w:t>
      </w:r>
      <w:r w:rsidRPr="0020799C">
        <w:rPr>
          <w:rFonts w:ascii="Garamond" w:eastAsia="Calibri" w:hAnsi="Garamond"/>
          <w:vertAlign w:val="superscript"/>
          <w:lang w:eastAsia="en-US"/>
        </w:rPr>
        <w:endnoteReference w:id="53"/>
      </w:r>
      <w:r w:rsidRPr="0020799C">
        <w:rPr>
          <w:rFonts w:ascii="Garamond" w:eastAsia="Calibri" w:hAnsi="Garamond"/>
          <w:lang w:eastAsia="en-US"/>
        </w:rPr>
        <w:t>. Unlike Bender, until his Devon pebble bed cairns project</w:t>
      </w:r>
      <w:r w:rsidRPr="0020799C">
        <w:rPr>
          <w:rFonts w:ascii="Garamond" w:eastAsia="Calibri" w:hAnsi="Garamond"/>
          <w:vertAlign w:val="superscript"/>
          <w:lang w:eastAsia="en-US"/>
        </w:rPr>
        <w:endnoteReference w:id="54"/>
      </w:r>
      <w:r w:rsidRPr="0020799C">
        <w:rPr>
          <w:rFonts w:ascii="Garamond" w:eastAsia="Calibri" w:hAnsi="Garamond"/>
          <w:lang w:eastAsia="en-US"/>
        </w:rPr>
        <w:t>, little of Tilley’s research has been overtly collaborative.</w:t>
      </w:r>
    </w:p>
    <w:p w14:paraId="2EC8196B" w14:textId="7777777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By contrast, Barbara Bender’s political stance is writ large, and she is </w:t>
      </w:r>
      <w:r w:rsidR="00242635">
        <w:rPr>
          <w:rFonts w:ascii="Garamond" w:eastAsia="Calibri" w:hAnsi="Garamond"/>
          <w:lang w:eastAsia="en-US"/>
        </w:rPr>
        <w:t>explicit</w:t>
      </w:r>
      <w:r w:rsidRPr="0020799C">
        <w:rPr>
          <w:rFonts w:ascii="Garamond" w:eastAsia="Calibri" w:hAnsi="Garamond"/>
          <w:lang w:eastAsia="en-US"/>
        </w:rPr>
        <w:t xml:space="preserve"> about her Marxist background, and </w:t>
      </w:r>
      <w:r w:rsidR="00AE04A0">
        <w:rPr>
          <w:rFonts w:ascii="Garamond" w:eastAsia="Calibri" w:hAnsi="Garamond"/>
          <w:lang w:eastAsia="en-US"/>
        </w:rPr>
        <w:t>its benefits for</w:t>
      </w:r>
      <w:r w:rsidRPr="0020799C">
        <w:rPr>
          <w:rFonts w:ascii="Garamond" w:eastAsia="Calibri" w:hAnsi="Garamond"/>
          <w:lang w:eastAsia="en-US"/>
        </w:rPr>
        <w:t xml:space="preserve"> identify</w:t>
      </w:r>
      <w:r w:rsidR="00AE04A0">
        <w:rPr>
          <w:rFonts w:ascii="Garamond" w:eastAsia="Calibri" w:hAnsi="Garamond"/>
          <w:lang w:eastAsia="en-US"/>
        </w:rPr>
        <w:t>ing</w:t>
      </w:r>
      <w:r w:rsidRPr="0020799C">
        <w:rPr>
          <w:rFonts w:ascii="Garamond" w:eastAsia="Calibri" w:hAnsi="Garamond"/>
          <w:lang w:eastAsia="en-US"/>
        </w:rPr>
        <w:t xml:space="preserve"> and challeng</w:t>
      </w:r>
      <w:r w:rsidR="00AE04A0">
        <w:rPr>
          <w:rFonts w:ascii="Garamond" w:eastAsia="Calibri" w:hAnsi="Garamond"/>
          <w:lang w:eastAsia="en-US"/>
        </w:rPr>
        <w:t>ing</w:t>
      </w:r>
      <w:r w:rsidRPr="0020799C">
        <w:rPr>
          <w:rFonts w:ascii="Garamond" w:eastAsia="Calibri" w:hAnsi="Garamond"/>
          <w:lang w:eastAsia="en-US"/>
        </w:rPr>
        <w:t xml:space="preserve"> dominant establishment narratives</w:t>
      </w:r>
      <w:r w:rsidR="00AE04A0">
        <w:rPr>
          <w:rFonts w:ascii="Garamond" w:eastAsia="Calibri" w:hAnsi="Garamond"/>
          <w:lang w:eastAsia="en-US"/>
        </w:rPr>
        <w:t xml:space="preserve">, </w:t>
      </w:r>
      <w:r w:rsidRPr="0020799C">
        <w:rPr>
          <w:rFonts w:ascii="Garamond" w:eastAsia="Calibri" w:hAnsi="Garamond"/>
          <w:lang w:eastAsia="en-US"/>
        </w:rPr>
        <w:t xml:space="preserve">which she notes is a failing of some </w:t>
      </w:r>
      <w:r w:rsidRPr="00A8574C">
        <w:rPr>
          <w:rFonts w:ascii="Garamond" w:eastAsia="Calibri" w:hAnsi="Garamond"/>
          <w:lang w:eastAsia="en-US"/>
        </w:rPr>
        <w:t>a-political post-modernist writing</w:t>
      </w:r>
      <w:r w:rsidRPr="0020799C">
        <w:rPr>
          <w:rFonts w:ascii="Garamond" w:eastAsia="Calibri" w:hAnsi="Garamond"/>
          <w:vertAlign w:val="superscript"/>
          <w:lang w:eastAsia="en-US"/>
        </w:rPr>
        <w:endnoteReference w:id="55"/>
      </w:r>
      <w:r w:rsidRPr="0020799C">
        <w:rPr>
          <w:rFonts w:ascii="Garamond" w:eastAsia="Calibri" w:hAnsi="Garamond"/>
          <w:lang w:eastAsia="en-US"/>
        </w:rPr>
        <w:t>. Although Bender does adopt a phenomenological position, rather than documenting her individual experience of space and place, she prefers to move beyond the local to encompass a nested series of socio-political landscapes’</w:t>
      </w:r>
      <w:r w:rsidRPr="0020799C">
        <w:rPr>
          <w:rFonts w:ascii="Garamond" w:eastAsia="Calibri" w:hAnsi="Garamond"/>
          <w:vertAlign w:val="superscript"/>
          <w:lang w:eastAsia="en-US"/>
        </w:rPr>
        <w:endnoteReference w:id="56"/>
      </w:r>
      <w:r w:rsidRPr="0020799C">
        <w:rPr>
          <w:rFonts w:ascii="Garamond" w:eastAsia="Calibri" w:hAnsi="Garamond"/>
          <w:lang w:eastAsia="en-US"/>
        </w:rPr>
        <w:t>. Unlike Tilley, much of Bender’s writing is concerned with exploring contemporary landscapes and specifically with the multi-vocal, often contested nature</w:t>
      </w:r>
      <w:r w:rsidR="00F771D8">
        <w:rPr>
          <w:rFonts w:ascii="Garamond" w:eastAsia="Calibri" w:hAnsi="Garamond"/>
          <w:lang w:eastAsia="en-US"/>
        </w:rPr>
        <w:t>,</w:t>
      </w:r>
      <w:r w:rsidRPr="0020799C">
        <w:rPr>
          <w:rFonts w:ascii="Garamond" w:eastAsia="Calibri" w:hAnsi="Garamond"/>
          <w:lang w:eastAsia="en-US"/>
        </w:rPr>
        <w:t xml:space="preserve"> of space</w:t>
      </w:r>
      <w:r w:rsidR="00F771D8">
        <w:rPr>
          <w:rFonts w:ascii="Garamond" w:eastAsia="Calibri" w:hAnsi="Garamond"/>
          <w:lang w:eastAsia="en-US"/>
        </w:rPr>
        <w:t>s</w:t>
      </w:r>
      <w:r w:rsidRPr="0020799C">
        <w:rPr>
          <w:rFonts w:ascii="Garamond" w:eastAsia="Calibri" w:hAnsi="Garamond"/>
          <w:lang w:eastAsia="en-US"/>
        </w:rPr>
        <w:t xml:space="preserve"> and places. The narratives which she has published are therefore less about sensory experience and can be seen as a natural extension of her earlier Marxist research perspective, combined with elements derived from phenomenology to challenge the established narratives and received interpretations. This is reflected in the focus of Bender’s more recent published canon, which unlike Tilley, through edited and single author volumes strive to include and empower a multiplicity of perspectives and voices, including those of a different class, race and gender from her own. Bender’s work, therefore, has a much more socially inclusive feel to it than Tilley’s</w:t>
      </w:r>
      <w:r w:rsidR="00625B05">
        <w:rPr>
          <w:rStyle w:val="EndnoteReference"/>
          <w:rFonts w:ascii="Garamond" w:eastAsia="Calibri" w:hAnsi="Garamond"/>
          <w:lang w:eastAsia="en-US"/>
        </w:rPr>
        <w:endnoteReference w:id="57"/>
      </w:r>
      <w:r w:rsidRPr="0020799C">
        <w:rPr>
          <w:rFonts w:ascii="Garamond" w:eastAsia="Calibri" w:hAnsi="Garamond"/>
          <w:lang w:eastAsia="en-US"/>
        </w:rPr>
        <w:t xml:space="preserve">, and indeed this has been continued by her </w:t>
      </w:r>
      <w:r w:rsidR="00F771D8">
        <w:rPr>
          <w:rFonts w:ascii="Garamond" w:eastAsia="Calibri" w:hAnsi="Garamond"/>
          <w:lang w:eastAsia="en-US"/>
        </w:rPr>
        <w:t xml:space="preserve">work </w:t>
      </w:r>
      <w:r w:rsidRPr="0020799C">
        <w:rPr>
          <w:rFonts w:ascii="Garamond" w:eastAsia="Calibri" w:hAnsi="Garamond"/>
          <w:lang w:eastAsia="en-US"/>
        </w:rPr>
        <w:t>with a local history group in Devon, chart</w:t>
      </w:r>
      <w:r w:rsidR="00F771D8">
        <w:rPr>
          <w:rFonts w:ascii="Garamond" w:eastAsia="Calibri" w:hAnsi="Garamond"/>
          <w:lang w:eastAsia="en-US"/>
        </w:rPr>
        <w:t>ing</w:t>
      </w:r>
      <w:r w:rsidRPr="0020799C">
        <w:rPr>
          <w:rFonts w:ascii="Garamond" w:eastAsia="Calibri" w:hAnsi="Garamond"/>
          <w:lang w:eastAsia="en-US"/>
        </w:rPr>
        <w:t xml:space="preserve"> the history of Branscombe</w:t>
      </w:r>
      <w:r w:rsidRPr="0020799C">
        <w:rPr>
          <w:rFonts w:ascii="Garamond" w:eastAsia="Calibri" w:hAnsi="Garamond"/>
          <w:vertAlign w:val="superscript"/>
          <w:lang w:eastAsia="en-US"/>
        </w:rPr>
        <w:endnoteReference w:id="58"/>
      </w:r>
      <w:r w:rsidRPr="0020799C">
        <w:rPr>
          <w:rFonts w:ascii="Garamond" w:eastAsia="Calibri" w:hAnsi="Garamond"/>
          <w:lang w:eastAsia="en-US"/>
        </w:rPr>
        <w:t xml:space="preserve">. </w:t>
      </w:r>
    </w:p>
    <w:p w14:paraId="4D83DF5C" w14:textId="77777777" w:rsidR="0020799C" w:rsidRPr="0020799C" w:rsidRDefault="0020799C" w:rsidP="0020799C">
      <w:pPr>
        <w:spacing w:after="120"/>
        <w:jc w:val="both"/>
        <w:rPr>
          <w:rFonts w:ascii="Garamond" w:eastAsia="Calibri" w:hAnsi="Garamond"/>
          <w:b/>
          <w:bCs/>
          <w:i/>
          <w:iCs/>
          <w:lang w:eastAsia="en-US"/>
        </w:rPr>
      </w:pPr>
      <w:r w:rsidRPr="0020799C">
        <w:rPr>
          <w:rFonts w:ascii="Garamond" w:eastAsia="Calibri" w:hAnsi="Garamond"/>
          <w:b/>
          <w:bCs/>
          <w:i/>
          <w:iCs/>
          <w:lang w:eastAsia="en-US"/>
        </w:rPr>
        <w:t>P</w:t>
      </w:r>
      <w:r w:rsidR="00984E06">
        <w:rPr>
          <w:rFonts w:ascii="Garamond" w:eastAsia="Calibri" w:hAnsi="Garamond"/>
          <w:b/>
          <w:bCs/>
          <w:i/>
          <w:iCs/>
          <w:lang w:eastAsia="en-US"/>
        </w:rPr>
        <w:t>henomenology</w:t>
      </w:r>
      <w:r w:rsidRPr="0020799C">
        <w:rPr>
          <w:rFonts w:ascii="Garamond" w:eastAsia="Calibri" w:hAnsi="Garamond"/>
          <w:b/>
          <w:bCs/>
          <w:i/>
          <w:iCs/>
          <w:lang w:eastAsia="en-US"/>
        </w:rPr>
        <w:t xml:space="preserve"> and Contestation: </w:t>
      </w:r>
      <w:r w:rsidR="00984E06">
        <w:rPr>
          <w:rFonts w:ascii="Garamond" w:eastAsia="Calibri" w:hAnsi="Garamond"/>
          <w:b/>
          <w:bCs/>
          <w:i/>
          <w:iCs/>
          <w:lang w:eastAsia="en-US"/>
        </w:rPr>
        <w:t>enriched narratives</w:t>
      </w:r>
    </w:p>
    <w:p w14:paraId="571C9CD2" w14:textId="54670A7D"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There are noticeable differences between the ways that both Tilley and Bender have utilised phenomenology as a theoretical method for understanding and engaging with the landscape. These differences are, however, far from being either mutually exclusive or incompatible with one another. Recognising one’s own embodied experience and the reciprocal ways in which the landscape </w:t>
      </w:r>
      <w:r w:rsidRPr="00921AF2">
        <w:rPr>
          <w:rFonts w:ascii="Garamond" w:eastAsia="Calibri" w:hAnsi="Garamond"/>
          <w:lang w:eastAsia="en-US"/>
        </w:rPr>
        <w:t xml:space="preserve">both is shaped and shapes us, as Tilley does, </w:t>
      </w:r>
      <w:r w:rsidRPr="00A8574C">
        <w:rPr>
          <w:rFonts w:ascii="Garamond" w:eastAsia="Calibri" w:hAnsi="Garamond"/>
          <w:lang w:eastAsia="en-US"/>
        </w:rPr>
        <w:t>is not undermined by at</w:t>
      </w:r>
      <w:r w:rsidRPr="0020799C">
        <w:rPr>
          <w:rFonts w:ascii="Garamond" w:eastAsia="Calibri" w:hAnsi="Garamond"/>
          <w:lang w:eastAsia="en-US"/>
        </w:rPr>
        <w:t xml:space="preserve"> the same time acknowledging that the same spaces and places can hold different, and even conflicting narratives for different communities, age groups or genders. Bender’s contested landscape arguably add</w:t>
      </w:r>
      <w:r w:rsidR="00984E06">
        <w:rPr>
          <w:rFonts w:ascii="Garamond" w:eastAsia="Calibri" w:hAnsi="Garamond"/>
          <w:lang w:eastAsia="en-US"/>
        </w:rPr>
        <w:t>s</w:t>
      </w:r>
      <w:r w:rsidRPr="0020799C">
        <w:rPr>
          <w:rFonts w:ascii="Garamond" w:eastAsia="Calibri" w:hAnsi="Garamond"/>
          <w:lang w:eastAsia="en-US"/>
        </w:rPr>
        <w:t xml:space="preserve"> </w:t>
      </w:r>
      <w:r w:rsidR="00A8574C">
        <w:rPr>
          <w:rFonts w:ascii="Garamond" w:eastAsia="Calibri" w:hAnsi="Garamond"/>
          <w:lang w:eastAsia="en-US"/>
        </w:rPr>
        <w:t xml:space="preserve">greater </w:t>
      </w:r>
      <w:r w:rsidRPr="0020799C">
        <w:rPr>
          <w:rFonts w:ascii="Garamond" w:eastAsia="Calibri" w:hAnsi="Garamond"/>
          <w:lang w:eastAsia="en-US"/>
        </w:rPr>
        <w:t xml:space="preserve">depth </w:t>
      </w:r>
      <w:r w:rsidRPr="00A8574C">
        <w:rPr>
          <w:rFonts w:ascii="Garamond" w:eastAsia="Calibri" w:hAnsi="Garamond"/>
          <w:lang w:eastAsia="en-US"/>
        </w:rPr>
        <w:t xml:space="preserve">to </w:t>
      </w:r>
      <w:r w:rsidRPr="0020799C">
        <w:rPr>
          <w:rFonts w:ascii="Garamond" w:eastAsia="Calibri" w:hAnsi="Garamond"/>
          <w:lang w:eastAsia="en-US"/>
        </w:rPr>
        <w:t>Tilley’s experiential perspective.</w:t>
      </w:r>
    </w:p>
    <w:p w14:paraId="7FB8FA4E" w14:textId="442734AA"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Indeed, as Bender has argued phenomenology does not replace, but is a ‘part of wider socio-political</w:t>
      </w:r>
      <w:r w:rsidRPr="00A8574C">
        <w:rPr>
          <w:rFonts w:ascii="Garamond" w:eastAsia="Calibri" w:hAnsi="Garamond"/>
          <w:lang w:eastAsia="en-US"/>
        </w:rPr>
        <w:t>’</w:t>
      </w:r>
      <w:r w:rsidRPr="0020799C">
        <w:rPr>
          <w:rFonts w:ascii="Garamond" w:eastAsia="Calibri" w:hAnsi="Garamond"/>
          <w:lang w:eastAsia="en-US"/>
        </w:rPr>
        <w:t xml:space="preserve"> studies</w:t>
      </w:r>
      <w:r w:rsidRPr="0020799C">
        <w:rPr>
          <w:rFonts w:ascii="Garamond" w:eastAsia="Calibri" w:hAnsi="Garamond"/>
          <w:vertAlign w:val="superscript"/>
          <w:lang w:eastAsia="en-US"/>
        </w:rPr>
        <w:endnoteReference w:id="59"/>
      </w:r>
      <w:r w:rsidRPr="0020799C">
        <w:rPr>
          <w:rFonts w:ascii="Garamond" w:eastAsia="Calibri" w:hAnsi="Garamond"/>
          <w:lang w:eastAsia="en-US"/>
        </w:rPr>
        <w:t xml:space="preserve">. When considered together, therefore, both perspectives enrich our understanding of the world. The complementary nature of their work is emphasised by a </w:t>
      </w:r>
      <w:r w:rsidRPr="0020799C">
        <w:rPr>
          <w:rFonts w:ascii="Garamond" w:eastAsia="Calibri" w:hAnsi="Garamond"/>
          <w:lang w:eastAsia="en-US"/>
        </w:rPr>
        <w:lastRenderedPageBreak/>
        <w:t>project which they undertook with Sue Hamilton at Leskernick Hill on Bodmin Moor in the later 1990s</w:t>
      </w:r>
      <w:r w:rsidRPr="0020799C">
        <w:rPr>
          <w:rFonts w:ascii="Garamond" w:eastAsia="Calibri" w:hAnsi="Garamond"/>
          <w:vertAlign w:val="superscript"/>
          <w:lang w:eastAsia="en-US"/>
        </w:rPr>
        <w:endnoteReference w:id="60"/>
      </w:r>
      <w:r w:rsidRPr="0020799C">
        <w:rPr>
          <w:rFonts w:ascii="Garamond" w:eastAsia="Calibri" w:hAnsi="Garamond"/>
          <w:vertAlign w:val="superscript"/>
          <w:lang w:eastAsia="en-US"/>
        </w:rPr>
        <w:t>,</w:t>
      </w:r>
      <w:r w:rsidRPr="0020799C">
        <w:rPr>
          <w:rFonts w:ascii="Garamond" w:eastAsia="Calibri" w:hAnsi="Garamond"/>
          <w:vertAlign w:val="superscript"/>
          <w:lang w:eastAsia="en-US"/>
        </w:rPr>
        <w:endnoteReference w:id="61"/>
      </w:r>
      <w:r w:rsidRPr="0020799C">
        <w:rPr>
          <w:rFonts w:ascii="Garamond" w:eastAsia="Calibri" w:hAnsi="Garamond"/>
          <w:vertAlign w:val="superscript"/>
          <w:lang w:eastAsia="en-US"/>
        </w:rPr>
        <w:t>,</w:t>
      </w:r>
      <w:r w:rsidRPr="0020799C">
        <w:rPr>
          <w:rFonts w:ascii="Garamond" w:eastAsia="Calibri" w:hAnsi="Garamond"/>
          <w:lang w:eastAsia="en-US"/>
        </w:rPr>
        <w:t xml:space="preserve"> and their methodologies for interpreting them. Here, their joint investigations examined a Bronze Age settlement and its surrounding landscape. The result was a biography of place and landscape which considered the totality of the lived experience of the settlements inhabitants and how the world of stones in which they inhabited had shaped their daily lives. A particular focus was how the granite outcrops and stony ‘clitter streams’ had provided metaphors and structured peoples experiences of the world, and how the geology of the landscape had even become venerated, with one stone becoming a shrine</w:t>
      </w:r>
      <w:r w:rsidRPr="0020799C">
        <w:rPr>
          <w:rFonts w:ascii="Garamond" w:eastAsia="Calibri" w:hAnsi="Garamond"/>
          <w:vertAlign w:val="superscript"/>
          <w:lang w:eastAsia="en-US"/>
        </w:rPr>
        <w:endnoteReference w:id="62"/>
      </w:r>
      <w:r w:rsidRPr="0020799C">
        <w:rPr>
          <w:rFonts w:ascii="Garamond" w:eastAsia="Calibri" w:hAnsi="Garamond"/>
          <w:lang w:eastAsia="en-US"/>
        </w:rPr>
        <w:t xml:space="preserve"> and other large distinctively shaped stones being deliberately incorporated into rear walls of roundhouses, where they may have become sacred stones within the home. </w:t>
      </w:r>
    </w:p>
    <w:p w14:paraId="76677041" w14:textId="14A6423A"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A final comment on the complementary nature of their work can also be argued to lie in the extent </w:t>
      </w:r>
      <w:r w:rsidR="00821D92">
        <w:rPr>
          <w:rFonts w:ascii="Garamond" w:eastAsia="Calibri" w:hAnsi="Garamond"/>
          <w:lang w:eastAsia="en-US"/>
        </w:rPr>
        <w:t xml:space="preserve">of </w:t>
      </w:r>
      <w:r w:rsidRPr="0020799C">
        <w:rPr>
          <w:rFonts w:ascii="Garamond" w:eastAsia="Calibri" w:hAnsi="Garamond"/>
          <w:lang w:eastAsia="en-US"/>
        </w:rPr>
        <w:t>their considerations of the sacred. Both Bender and Tilley, as their work on Bodmin Moor demonstrates, acknowledge the importance of sacred stones and monuments to prehistoric communities. Neither would, however, claim to have an interest in developing an overarching definition of the sacred or with Eliade’s concept of heirophany</w:t>
      </w:r>
      <w:r w:rsidRPr="0020799C">
        <w:rPr>
          <w:rFonts w:ascii="Garamond" w:eastAsia="Calibri" w:hAnsi="Garamond"/>
          <w:vertAlign w:val="superscript"/>
          <w:lang w:eastAsia="en-US"/>
        </w:rPr>
        <w:endnoteReference w:id="63"/>
      </w:r>
      <w:r w:rsidRPr="0020799C">
        <w:rPr>
          <w:rFonts w:ascii="Garamond" w:eastAsia="Calibri" w:hAnsi="Garamond"/>
          <w:lang w:eastAsia="en-US"/>
        </w:rPr>
        <w:t>. Their approaches are, in common with many phenomenologica</w:t>
      </w:r>
      <w:r w:rsidR="00821D92">
        <w:rPr>
          <w:rFonts w:ascii="Garamond" w:eastAsia="Calibri" w:hAnsi="Garamond"/>
          <w:lang w:eastAsia="en-US"/>
        </w:rPr>
        <w:t xml:space="preserve">l </w:t>
      </w:r>
      <w:r w:rsidRPr="0020799C">
        <w:rPr>
          <w:rFonts w:ascii="Garamond" w:eastAsia="Calibri" w:hAnsi="Garamond"/>
          <w:lang w:eastAsia="en-US"/>
        </w:rPr>
        <w:t>perspectives in general</w:t>
      </w:r>
      <w:r w:rsidR="00821D92" w:rsidRPr="00821D92">
        <w:rPr>
          <w:rFonts w:ascii="Garamond" w:eastAsia="Calibri" w:hAnsi="Garamond"/>
          <w:lang w:eastAsia="en-US"/>
        </w:rPr>
        <w:t xml:space="preserve"> </w:t>
      </w:r>
      <w:r w:rsidR="00821D92" w:rsidRPr="0020799C">
        <w:rPr>
          <w:rFonts w:ascii="Garamond" w:eastAsia="Calibri" w:hAnsi="Garamond"/>
          <w:lang w:eastAsia="en-US"/>
        </w:rPr>
        <w:t xml:space="preserve">agnostic </w:t>
      </w:r>
      <w:r w:rsidRPr="0020799C">
        <w:rPr>
          <w:rFonts w:ascii="Garamond" w:eastAsia="Calibri" w:hAnsi="Garamond"/>
          <w:vertAlign w:val="superscript"/>
          <w:lang w:eastAsia="en-US"/>
        </w:rPr>
        <w:endnoteReference w:id="64"/>
      </w:r>
      <w:r w:rsidRPr="0020799C">
        <w:rPr>
          <w:rFonts w:ascii="Garamond" w:eastAsia="Calibri" w:hAnsi="Garamond"/>
          <w:vertAlign w:val="superscript"/>
          <w:lang w:eastAsia="en-US"/>
        </w:rPr>
        <w:t>,</w:t>
      </w:r>
      <w:r w:rsidRPr="0020799C">
        <w:rPr>
          <w:rFonts w:ascii="Garamond" w:eastAsia="Calibri" w:hAnsi="Garamond"/>
          <w:lang w:eastAsia="en-US"/>
        </w:rPr>
        <w:t xml:space="preserve"> </w:t>
      </w:r>
      <w:r w:rsidRPr="0020799C">
        <w:rPr>
          <w:rFonts w:ascii="Garamond" w:eastAsia="Calibri" w:hAnsi="Garamond"/>
          <w:vertAlign w:val="superscript"/>
          <w:lang w:eastAsia="en-US"/>
        </w:rPr>
        <w:endnoteReference w:id="65"/>
      </w:r>
      <w:r w:rsidRPr="0020799C">
        <w:rPr>
          <w:rFonts w:ascii="Garamond" w:eastAsia="Calibri" w:hAnsi="Garamond"/>
          <w:lang w:eastAsia="en-US"/>
        </w:rPr>
        <w:t xml:space="preserve"> and strongly anthropocentric in focus, and whilst ‘non-humans’ are mentioned in Tilley’s work, </w:t>
      </w:r>
      <w:r w:rsidRPr="00A8574C">
        <w:rPr>
          <w:rFonts w:ascii="Garamond" w:eastAsia="Calibri" w:hAnsi="Garamond"/>
          <w:lang w:eastAsia="en-US"/>
        </w:rPr>
        <w:t xml:space="preserve">exploration </w:t>
      </w:r>
      <w:r w:rsidR="00A8574C" w:rsidRPr="00A8574C">
        <w:rPr>
          <w:rFonts w:ascii="Garamond" w:eastAsia="Calibri" w:hAnsi="Garamond"/>
          <w:lang w:eastAsia="en-US"/>
        </w:rPr>
        <w:t xml:space="preserve">of </w:t>
      </w:r>
      <w:r w:rsidRPr="00A8574C">
        <w:rPr>
          <w:rFonts w:ascii="Garamond" w:eastAsia="Calibri" w:hAnsi="Garamond"/>
          <w:lang w:eastAsia="en-US"/>
        </w:rPr>
        <w:t xml:space="preserve">potential non-human perceptions and the nature(s) </w:t>
      </w:r>
      <w:r w:rsidR="00821D92" w:rsidRPr="00A8574C">
        <w:rPr>
          <w:rFonts w:ascii="Garamond" w:eastAsia="Calibri" w:hAnsi="Garamond"/>
          <w:lang w:eastAsia="en-US"/>
        </w:rPr>
        <w:t>of</w:t>
      </w:r>
      <w:r w:rsidRPr="00A8574C">
        <w:rPr>
          <w:rFonts w:ascii="Garamond" w:eastAsia="Calibri" w:hAnsi="Garamond"/>
          <w:lang w:eastAsia="en-US"/>
        </w:rPr>
        <w:t xml:space="preserve"> landscape(s)</w:t>
      </w:r>
      <w:r w:rsidRPr="0020799C">
        <w:rPr>
          <w:rFonts w:ascii="Garamond" w:eastAsia="Calibri" w:hAnsi="Garamond"/>
          <w:lang w:eastAsia="en-US"/>
        </w:rPr>
        <w:t xml:space="preserve"> have largely been explored in greater depth by other </w:t>
      </w:r>
      <w:r w:rsidR="00F771D8">
        <w:rPr>
          <w:rFonts w:ascii="Garamond" w:eastAsia="Calibri" w:hAnsi="Garamond"/>
          <w:lang w:eastAsia="en-US"/>
        </w:rPr>
        <w:t>scholars</w:t>
      </w:r>
      <w:r w:rsidRPr="0020799C">
        <w:rPr>
          <w:rFonts w:ascii="Garamond" w:eastAsia="Calibri" w:hAnsi="Garamond"/>
          <w:vertAlign w:val="superscript"/>
          <w:lang w:eastAsia="en-US"/>
        </w:rPr>
        <w:endnoteReference w:id="66"/>
      </w:r>
      <w:r w:rsidRPr="0020799C">
        <w:rPr>
          <w:rFonts w:ascii="Garamond" w:eastAsia="Calibri" w:hAnsi="Garamond"/>
          <w:vertAlign w:val="superscript"/>
          <w:lang w:eastAsia="en-US"/>
        </w:rPr>
        <w:t xml:space="preserve">, </w:t>
      </w:r>
      <w:r w:rsidRPr="0020799C">
        <w:rPr>
          <w:rFonts w:ascii="Garamond" w:eastAsia="Calibri" w:hAnsi="Garamond"/>
          <w:vertAlign w:val="superscript"/>
          <w:lang w:eastAsia="en-US"/>
        </w:rPr>
        <w:endnoteReference w:id="67"/>
      </w:r>
      <w:r w:rsidRPr="0020799C">
        <w:rPr>
          <w:rFonts w:ascii="Garamond" w:eastAsia="Calibri" w:hAnsi="Garamond"/>
          <w:lang w:eastAsia="en-US"/>
        </w:rPr>
        <w:t xml:space="preserve">. </w:t>
      </w:r>
    </w:p>
    <w:p w14:paraId="794A596F" w14:textId="77777777"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t xml:space="preserve">Conclusion </w:t>
      </w:r>
    </w:p>
    <w:p w14:paraId="3455DFDA" w14:textId="5F8285AB"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The subject matter of this essay was to critically consider whether, </w:t>
      </w:r>
      <w:r w:rsidRPr="00921AF2">
        <w:rPr>
          <w:rFonts w:ascii="Garamond" w:eastAsia="Calibri" w:hAnsi="Garamond"/>
          <w:lang w:eastAsia="en-US"/>
        </w:rPr>
        <w:t xml:space="preserve">Tilley’s phenomenology of landscape </w:t>
      </w:r>
      <w:r w:rsidR="00242635" w:rsidRPr="00A8574C">
        <w:rPr>
          <w:rFonts w:ascii="Garamond" w:eastAsia="Calibri" w:hAnsi="Garamond"/>
          <w:lang w:eastAsia="en-US"/>
        </w:rPr>
        <w:t xml:space="preserve">and </w:t>
      </w:r>
      <w:r w:rsidRPr="00A8574C">
        <w:rPr>
          <w:rFonts w:ascii="Garamond" w:eastAsia="Calibri" w:hAnsi="Garamond"/>
          <w:lang w:eastAsia="en-US"/>
        </w:rPr>
        <w:t>Barbara Bender’s contested landscapes</w:t>
      </w:r>
      <w:r w:rsidR="00242635" w:rsidRPr="00A8574C">
        <w:rPr>
          <w:rFonts w:ascii="Garamond" w:eastAsia="Calibri" w:hAnsi="Garamond"/>
          <w:lang w:eastAsia="en-US"/>
        </w:rPr>
        <w:t xml:space="preserve"> complemented one another</w:t>
      </w:r>
      <w:r w:rsidRPr="00A8574C">
        <w:rPr>
          <w:rFonts w:ascii="Garamond" w:eastAsia="Calibri" w:hAnsi="Garamond"/>
          <w:lang w:eastAsia="en-US"/>
        </w:rPr>
        <w:t>.</w:t>
      </w:r>
      <w:r w:rsidRPr="0020799C">
        <w:rPr>
          <w:rFonts w:ascii="Garamond" w:eastAsia="Calibri" w:hAnsi="Garamond"/>
          <w:lang w:eastAsia="en-US"/>
        </w:rPr>
        <w:t xml:space="preserve"> From the foregoing discussion it is apparent that both Chris Tilley and Barbara Bender are scholars who have developed and extended phenomenological concepts to address their own preferred approaches to the study of the landscape. It has been suggested that there are contrasts between them, with Tilley employing a more personal, embodied ‘being in the world’ perspective and Bender a multi-vocal broader approach, which is more Marxist in its focus on addressing social inequality and contested narratives. </w:t>
      </w:r>
    </w:p>
    <w:p w14:paraId="5D7970A8" w14:textId="091E9075" w:rsidR="00821D92" w:rsidRPr="0020799C" w:rsidRDefault="0020799C" w:rsidP="00821D92">
      <w:pPr>
        <w:spacing w:after="120"/>
        <w:jc w:val="both"/>
        <w:rPr>
          <w:rFonts w:ascii="Garamond" w:eastAsia="Calibri" w:hAnsi="Garamond"/>
          <w:lang w:eastAsia="en-US"/>
        </w:rPr>
      </w:pPr>
      <w:r w:rsidRPr="0020799C">
        <w:rPr>
          <w:rFonts w:ascii="Garamond" w:eastAsia="Calibri" w:hAnsi="Garamond"/>
          <w:lang w:eastAsia="en-US"/>
        </w:rPr>
        <w:t xml:space="preserve">However, whilst undoubtedly differing in emphasis, </w:t>
      </w:r>
      <w:r w:rsidRPr="00A8574C">
        <w:rPr>
          <w:rFonts w:ascii="Garamond" w:eastAsia="Calibri" w:hAnsi="Garamond"/>
          <w:lang w:eastAsia="en-US"/>
        </w:rPr>
        <w:t>it has also been</w:t>
      </w:r>
      <w:r w:rsidRPr="0020799C">
        <w:rPr>
          <w:rFonts w:ascii="Garamond" w:eastAsia="Calibri" w:hAnsi="Garamond"/>
          <w:lang w:eastAsia="en-US"/>
        </w:rPr>
        <w:t xml:space="preserve"> argued that there are distinct overlaps in their interpretations</w:t>
      </w:r>
      <w:r w:rsidR="0056316B">
        <w:rPr>
          <w:rFonts w:ascii="Garamond" w:eastAsia="Calibri" w:hAnsi="Garamond"/>
          <w:lang w:eastAsia="en-US"/>
        </w:rPr>
        <w:t xml:space="preserve"> of</w:t>
      </w:r>
      <w:r w:rsidRPr="0020799C">
        <w:rPr>
          <w:rFonts w:ascii="Garamond" w:eastAsia="Calibri" w:hAnsi="Garamond"/>
          <w:lang w:eastAsia="en-US"/>
        </w:rPr>
        <w:t xml:space="preserve"> the ways that people interact with the landscape and place values upon it</w:t>
      </w:r>
      <w:r w:rsidR="0056316B">
        <w:rPr>
          <w:rFonts w:ascii="Garamond" w:eastAsia="Calibri" w:hAnsi="Garamond"/>
          <w:lang w:eastAsia="en-US"/>
        </w:rPr>
        <w:t>.</w:t>
      </w:r>
      <w:r w:rsidRPr="0020799C">
        <w:rPr>
          <w:rFonts w:ascii="Garamond" w:eastAsia="Calibri" w:hAnsi="Garamond"/>
          <w:lang w:eastAsia="en-US"/>
        </w:rPr>
        <w:t xml:space="preserve"> </w:t>
      </w:r>
      <w:r w:rsidR="0056316B">
        <w:rPr>
          <w:rFonts w:ascii="Garamond" w:eastAsia="Calibri" w:hAnsi="Garamond"/>
          <w:lang w:eastAsia="en-US"/>
        </w:rPr>
        <w:t>I</w:t>
      </w:r>
      <w:r w:rsidRPr="0020799C">
        <w:rPr>
          <w:rFonts w:ascii="Garamond" w:eastAsia="Calibri" w:hAnsi="Garamond"/>
          <w:lang w:eastAsia="en-US"/>
        </w:rPr>
        <w:t>t is further suggested that</w:t>
      </w:r>
      <w:r w:rsidR="0056316B">
        <w:rPr>
          <w:rFonts w:ascii="Garamond" w:eastAsia="Calibri" w:hAnsi="Garamond"/>
          <w:lang w:eastAsia="en-US"/>
        </w:rPr>
        <w:t xml:space="preserve"> this is demonstrated by</w:t>
      </w:r>
      <w:r w:rsidRPr="0020799C">
        <w:rPr>
          <w:rFonts w:ascii="Garamond" w:eastAsia="Calibri" w:hAnsi="Garamond"/>
          <w:lang w:eastAsia="en-US"/>
        </w:rPr>
        <w:t xml:space="preserve"> their collaborati</w:t>
      </w:r>
      <w:r w:rsidR="00821D92">
        <w:rPr>
          <w:rFonts w:ascii="Garamond" w:eastAsia="Calibri" w:hAnsi="Garamond"/>
          <w:lang w:eastAsia="en-US"/>
        </w:rPr>
        <w:t>ve project</w:t>
      </w:r>
      <w:r w:rsidR="0056316B">
        <w:rPr>
          <w:rFonts w:ascii="Garamond" w:eastAsia="Calibri" w:hAnsi="Garamond"/>
          <w:lang w:eastAsia="en-US"/>
        </w:rPr>
        <w:t>, which</w:t>
      </w:r>
      <w:r w:rsidRPr="0020799C">
        <w:rPr>
          <w:rFonts w:ascii="Garamond" w:eastAsia="Calibri" w:hAnsi="Garamond"/>
          <w:lang w:eastAsia="en-US"/>
        </w:rPr>
        <w:t xml:space="preserve"> led to the production of a significant body of work. </w:t>
      </w:r>
      <w:r w:rsidR="00821D92" w:rsidRPr="0020799C">
        <w:rPr>
          <w:rFonts w:ascii="Garamond" w:eastAsia="Calibri" w:hAnsi="Garamond"/>
          <w:lang w:eastAsia="en-US"/>
        </w:rPr>
        <w:t xml:space="preserve">Neither </w:t>
      </w:r>
      <w:r w:rsidR="004F154A">
        <w:rPr>
          <w:rFonts w:ascii="Garamond" w:eastAsia="Calibri" w:hAnsi="Garamond"/>
          <w:lang w:eastAsia="en-US"/>
        </w:rPr>
        <w:t>scholar</w:t>
      </w:r>
      <w:r w:rsidR="00821D92">
        <w:rPr>
          <w:rFonts w:ascii="Garamond" w:eastAsia="Calibri" w:hAnsi="Garamond"/>
          <w:lang w:eastAsia="en-US"/>
        </w:rPr>
        <w:t>, however,</w:t>
      </w:r>
      <w:r w:rsidR="00821D92" w:rsidRPr="0020799C">
        <w:rPr>
          <w:rFonts w:ascii="Garamond" w:eastAsia="Calibri" w:hAnsi="Garamond"/>
          <w:lang w:eastAsia="en-US"/>
        </w:rPr>
        <w:t xml:space="preserve"> can be argued to have undergone an ‘ontological turn’</w:t>
      </w:r>
      <w:r w:rsidR="00821D92" w:rsidRPr="0020799C">
        <w:rPr>
          <w:rFonts w:ascii="Garamond" w:eastAsia="Calibri" w:hAnsi="Garamond"/>
          <w:vertAlign w:val="superscript"/>
          <w:lang w:eastAsia="en-US"/>
        </w:rPr>
        <w:endnoteReference w:id="68"/>
      </w:r>
      <w:r w:rsidR="00821D92" w:rsidRPr="0020799C">
        <w:rPr>
          <w:rFonts w:ascii="Garamond" w:eastAsia="Calibri" w:hAnsi="Garamond"/>
          <w:lang w:eastAsia="en-US"/>
        </w:rPr>
        <w:t>.</w:t>
      </w:r>
    </w:p>
    <w:p w14:paraId="16E3BB4B" w14:textId="77777777" w:rsidR="0020799C" w:rsidRPr="0020799C" w:rsidRDefault="0020799C" w:rsidP="0020799C">
      <w:pPr>
        <w:spacing w:after="120"/>
        <w:jc w:val="both"/>
        <w:rPr>
          <w:rFonts w:ascii="Garamond" w:eastAsia="Calibri" w:hAnsi="Garamond"/>
          <w:lang w:eastAsia="en-US"/>
        </w:rPr>
      </w:pPr>
    </w:p>
    <w:p w14:paraId="3994F30E" w14:textId="77777777" w:rsidR="0020799C" w:rsidRPr="0020799C" w:rsidRDefault="0020799C" w:rsidP="0020799C">
      <w:pPr>
        <w:spacing w:after="120"/>
        <w:jc w:val="both"/>
        <w:rPr>
          <w:rFonts w:ascii="Garamond" w:eastAsia="Calibri" w:hAnsi="Garamond"/>
          <w:b/>
          <w:bCs/>
          <w:lang w:eastAsia="en-US"/>
        </w:rPr>
      </w:pPr>
    </w:p>
    <w:p w14:paraId="223D2C84" w14:textId="77777777" w:rsidR="0020799C" w:rsidRDefault="0020799C" w:rsidP="0020799C">
      <w:pPr>
        <w:spacing w:after="120"/>
        <w:jc w:val="both"/>
        <w:rPr>
          <w:rFonts w:ascii="Garamond" w:eastAsia="Calibri" w:hAnsi="Garamond"/>
          <w:b/>
          <w:bCs/>
          <w:lang w:eastAsia="en-US"/>
        </w:rPr>
      </w:pPr>
    </w:p>
    <w:p w14:paraId="1FE181EC" w14:textId="77777777" w:rsidR="00F771D8" w:rsidRDefault="00F771D8" w:rsidP="0020799C">
      <w:pPr>
        <w:spacing w:after="120"/>
        <w:jc w:val="both"/>
        <w:rPr>
          <w:rFonts w:ascii="Garamond" w:eastAsia="Calibri" w:hAnsi="Garamond"/>
          <w:b/>
          <w:bCs/>
          <w:lang w:eastAsia="en-US"/>
        </w:rPr>
      </w:pPr>
    </w:p>
    <w:p w14:paraId="2941F687" w14:textId="77777777" w:rsidR="00F771D8" w:rsidRDefault="00F771D8" w:rsidP="0020799C">
      <w:pPr>
        <w:spacing w:after="120"/>
        <w:jc w:val="both"/>
        <w:rPr>
          <w:rFonts w:ascii="Garamond" w:eastAsia="Calibri" w:hAnsi="Garamond"/>
          <w:b/>
          <w:bCs/>
          <w:lang w:eastAsia="en-US"/>
        </w:rPr>
      </w:pPr>
    </w:p>
    <w:p w14:paraId="629B70EF" w14:textId="77777777" w:rsidR="00F771D8" w:rsidRDefault="00F771D8" w:rsidP="0020799C">
      <w:pPr>
        <w:spacing w:after="120"/>
        <w:jc w:val="both"/>
        <w:rPr>
          <w:rFonts w:ascii="Garamond" w:eastAsia="Calibri" w:hAnsi="Garamond"/>
          <w:b/>
          <w:bCs/>
          <w:lang w:eastAsia="en-US"/>
        </w:rPr>
      </w:pPr>
    </w:p>
    <w:p w14:paraId="00485D24" w14:textId="77777777" w:rsidR="0056316B" w:rsidRPr="0020799C" w:rsidRDefault="0056316B" w:rsidP="0020799C">
      <w:pPr>
        <w:spacing w:after="120"/>
        <w:jc w:val="both"/>
        <w:rPr>
          <w:rFonts w:ascii="Garamond" w:eastAsia="Calibri" w:hAnsi="Garamond"/>
          <w:b/>
          <w:bCs/>
          <w:lang w:eastAsia="en-US"/>
        </w:rPr>
      </w:pPr>
    </w:p>
    <w:p w14:paraId="7329D929" w14:textId="5FECE946" w:rsidR="0020799C" w:rsidRDefault="0020799C" w:rsidP="0020799C">
      <w:pPr>
        <w:spacing w:after="120"/>
        <w:jc w:val="both"/>
        <w:rPr>
          <w:rFonts w:ascii="Garamond" w:eastAsia="Calibri" w:hAnsi="Garamond"/>
          <w:b/>
          <w:bCs/>
          <w:lang w:eastAsia="en-US"/>
        </w:rPr>
      </w:pPr>
    </w:p>
    <w:p w14:paraId="1EBE0018" w14:textId="7A164E24" w:rsidR="00CF39DA" w:rsidRDefault="00CF39DA" w:rsidP="0020799C">
      <w:pPr>
        <w:spacing w:after="120"/>
        <w:jc w:val="both"/>
        <w:rPr>
          <w:rFonts w:ascii="Garamond" w:eastAsia="Calibri" w:hAnsi="Garamond"/>
          <w:b/>
          <w:bCs/>
          <w:lang w:eastAsia="en-US"/>
        </w:rPr>
      </w:pPr>
    </w:p>
    <w:p w14:paraId="44C0A879" w14:textId="77777777" w:rsidR="00CF39DA" w:rsidRDefault="00CF39DA" w:rsidP="0020799C">
      <w:pPr>
        <w:spacing w:after="120"/>
        <w:jc w:val="both"/>
        <w:rPr>
          <w:rFonts w:ascii="Garamond" w:eastAsia="Calibri" w:hAnsi="Garamond"/>
          <w:b/>
          <w:bCs/>
          <w:lang w:eastAsia="en-US"/>
        </w:rPr>
      </w:pPr>
    </w:p>
    <w:p w14:paraId="277CE4BF" w14:textId="77777777" w:rsidR="00821D92" w:rsidRDefault="00821D92" w:rsidP="0020799C">
      <w:pPr>
        <w:spacing w:after="120"/>
        <w:jc w:val="both"/>
        <w:rPr>
          <w:rFonts w:ascii="Garamond" w:eastAsia="Calibri" w:hAnsi="Garamond"/>
          <w:b/>
          <w:bCs/>
          <w:lang w:eastAsia="en-US"/>
        </w:rPr>
      </w:pPr>
    </w:p>
    <w:p w14:paraId="7D6035FF" w14:textId="77777777" w:rsidR="00AF0A22" w:rsidRPr="0020799C" w:rsidRDefault="00AF0A22" w:rsidP="0020799C">
      <w:pPr>
        <w:spacing w:after="120"/>
        <w:jc w:val="both"/>
        <w:rPr>
          <w:rFonts w:ascii="Garamond" w:eastAsia="Calibri" w:hAnsi="Garamond"/>
          <w:b/>
          <w:bCs/>
          <w:lang w:eastAsia="en-US"/>
        </w:rPr>
      </w:pPr>
    </w:p>
    <w:p w14:paraId="6F0463D5" w14:textId="77777777" w:rsidR="0020799C" w:rsidRPr="0020799C" w:rsidRDefault="0020799C" w:rsidP="0020799C">
      <w:pPr>
        <w:spacing w:after="120"/>
        <w:jc w:val="both"/>
        <w:rPr>
          <w:rFonts w:ascii="Garamond" w:eastAsia="Calibri" w:hAnsi="Garamond"/>
          <w:b/>
          <w:bCs/>
          <w:lang w:eastAsia="en-US"/>
        </w:rPr>
      </w:pPr>
      <w:r w:rsidRPr="0020799C">
        <w:rPr>
          <w:rFonts w:ascii="Garamond" w:eastAsia="Calibri" w:hAnsi="Garamond"/>
          <w:b/>
          <w:bCs/>
          <w:lang w:eastAsia="en-US"/>
        </w:rPr>
        <w:lastRenderedPageBreak/>
        <w:t>Bibliography</w:t>
      </w:r>
    </w:p>
    <w:p w14:paraId="1676C74F" w14:textId="77777777" w:rsidR="0020799C" w:rsidRPr="0020799C" w:rsidRDefault="0020799C" w:rsidP="0020799C">
      <w:pPr>
        <w:tabs>
          <w:tab w:val="left" w:pos="1701"/>
        </w:tabs>
        <w:spacing w:after="120"/>
        <w:jc w:val="both"/>
        <w:rPr>
          <w:rFonts w:ascii="Garamond" w:eastAsia="Times New Roman" w:hAnsi="Garamond"/>
          <w:lang w:eastAsia="en-GB"/>
        </w:rPr>
      </w:pPr>
      <w:bookmarkStart w:id="8" w:name="_Hlk150086042"/>
      <w:r w:rsidRPr="0020799C">
        <w:rPr>
          <w:rFonts w:ascii="Garamond" w:eastAsia="Times New Roman" w:hAnsi="Garamond"/>
          <w:lang w:eastAsia="en-GB"/>
        </w:rPr>
        <w:t xml:space="preserve">Basso, Keith, </w:t>
      </w:r>
      <w:r w:rsidRPr="0020799C">
        <w:rPr>
          <w:rFonts w:ascii="Garamond" w:eastAsia="Times New Roman" w:hAnsi="Garamond"/>
          <w:i/>
          <w:lang w:eastAsia="en-GB"/>
        </w:rPr>
        <w:t>Wisdom sits in places: Landscape and language amongst the western Apache</w:t>
      </w:r>
      <w:r w:rsidRPr="0020799C">
        <w:rPr>
          <w:rFonts w:ascii="Garamond" w:eastAsia="Times New Roman" w:hAnsi="Garamond"/>
          <w:lang w:eastAsia="en-GB"/>
        </w:rPr>
        <w:t>. (Albuquerque: University of New Mexico Press, 1996)</w:t>
      </w:r>
    </w:p>
    <w:p w14:paraId="65C8EEF3" w14:textId="77777777" w:rsidR="0020799C" w:rsidRPr="0020799C" w:rsidRDefault="0020799C" w:rsidP="0020799C">
      <w:pPr>
        <w:tabs>
          <w:tab w:val="left" w:pos="1701"/>
        </w:tabs>
        <w:spacing w:after="120"/>
        <w:jc w:val="both"/>
        <w:rPr>
          <w:rFonts w:ascii="Garamond" w:eastAsia="Times New Roman" w:hAnsi="Garamond"/>
          <w:lang w:eastAsia="en-GB"/>
        </w:rPr>
      </w:pPr>
      <w:bookmarkStart w:id="9" w:name="_Hlk150092115"/>
      <w:bookmarkEnd w:id="8"/>
      <w:r w:rsidRPr="0020799C">
        <w:rPr>
          <w:rFonts w:ascii="Garamond" w:eastAsia="Times New Roman" w:hAnsi="Garamond"/>
          <w:lang w:eastAsia="en-GB"/>
        </w:rPr>
        <w:t xml:space="preserve">Bender, Barbara, </w:t>
      </w:r>
      <w:r w:rsidRPr="0020799C">
        <w:rPr>
          <w:rFonts w:ascii="Garamond" w:eastAsia="Times New Roman" w:hAnsi="Garamond"/>
          <w:i/>
          <w:iCs/>
          <w:lang w:eastAsia="en-GB"/>
        </w:rPr>
        <w:t>Farming in Prehistory</w:t>
      </w:r>
      <w:r w:rsidRPr="0020799C">
        <w:rPr>
          <w:rFonts w:ascii="Garamond" w:eastAsia="Times New Roman" w:hAnsi="Garamond"/>
          <w:lang w:eastAsia="en-GB"/>
        </w:rPr>
        <w:t>. (London: John Baker, 1975)</w:t>
      </w:r>
    </w:p>
    <w:p w14:paraId="6883C487" w14:textId="77777777" w:rsidR="0020799C" w:rsidRPr="0020799C" w:rsidRDefault="0020799C" w:rsidP="0020799C">
      <w:pPr>
        <w:tabs>
          <w:tab w:val="left" w:pos="1701"/>
        </w:tabs>
        <w:spacing w:after="120"/>
        <w:jc w:val="both"/>
        <w:rPr>
          <w:rFonts w:ascii="Garamond" w:eastAsia="Times New Roman" w:hAnsi="Garamond"/>
          <w:lang w:eastAsia="en-GB"/>
        </w:rPr>
      </w:pPr>
      <w:bookmarkStart w:id="10" w:name="_Hlk150092209"/>
      <w:bookmarkEnd w:id="9"/>
      <w:r w:rsidRPr="0020799C">
        <w:rPr>
          <w:rFonts w:ascii="Garamond" w:eastAsia="Times New Roman" w:hAnsi="Garamond"/>
          <w:lang w:eastAsia="en-GB"/>
        </w:rPr>
        <w:t>Bender, Barbara, ‘Gatherer</w:t>
      </w:r>
      <w:r w:rsidRPr="0020799C">
        <w:rPr>
          <w:rFonts w:eastAsia="Times New Roman"/>
          <w:lang w:eastAsia="en-GB"/>
        </w:rPr>
        <w:t>‐</w:t>
      </w:r>
      <w:r w:rsidRPr="0020799C">
        <w:rPr>
          <w:rFonts w:ascii="Garamond" w:eastAsia="Times New Roman" w:hAnsi="Garamond"/>
          <w:lang w:eastAsia="en-GB"/>
        </w:rPr>
        <w:t xml:space="preserve">hunter to farmer: A social perspective’, </w:t>
      </w:r>
      <w:r w:rsidRPr="0020799C">
        <w:rPr>
          <w:rFonts w:ascii="Garamond" w:eastAsia="Times New Roman" w:hAnsi="Garamond"/>
          <w:i/>
          <w:iCs/>
          <w:lang w:eastAsia="en-GB"/>
        </w:rPr>
        <w:t>World Archaeology</w:t>
      </w:r>
      <w:r w:rsidRPr="0020799C">
        <w:rPr>
          <w:rFonts w:ascii="Garamond" w:eastAsia="Times New Roman" w:hAnsi="Garamond"/>
          <w:lang w:eastAsia="en-GB"/>
        </w:rPr>
        <w:t>, 10, (1978), 204-222</w:t>
      </w:r>
    </w:p>
    <w:p w14:paraId="22177099"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11" w:name="_Hlk150008285"/>
      <w:bookmarkStart w:id="12" w:name="_Hlk150093503"/>
      <w:bookmarkEnd w:id="10"/>
      <w:r w:rsidRPr="0020799C">
        <w:rPr>
          <w:rFonts w:ascii="Garamond" w:eastAsia="Calibri" w:hAnsi="Garamond" w:cs="Garamond"/>
          <w:lang w:eastAsia="en-US"/>
        </w:rPr>
        <w:t>Bender, Barbara</w:t>
      </w:r>
      <w:bookmarkEnd w:id="11"/>
      <w:r w:rsidRPr="0020799C">
        <w:rPr>
          <w:rFonts w:ascii="Garamond" w:eastAsia="Calibri" w:hAnsi="Garamond" w:cs="Garamond"/>
          <w:lang w:eastAsia="en-US"/>
        </w:rPr>
        <w:t xml:space="preserve">, ed. </w:t>
      </w:r>
      <w:r w:rsidRPr="0020799C">
        <w:rPr>
          <w:rFonts w:ascii="Garamond" w:eastAsia="Calibri" w:hAnsi="Garamond" w:cs="Garamond"/>
          <w:i/>
          <w:iCs/>
          <w:lang w:eastAsia="en-US"/>
        </w:rPr>
        <w:t>Landscape Politics and Perspectives</w:t>
      </w:r>
      <w:r w:rsidRPr="0020799C">
        <w:rPr>
          <w:rFonts w:ascii="Garamond" w:eastAsia="Calibri" w:hAnsi="Garamond" w:cs="Garamond"/>
          <w:lang w:eastAsia="en-US"/>
        </w:rPr>
        <w:t xml:space="preserve">. </w:t>
      </w:r>
      <w:bookmarkStart w:id="13" w:name="_Hlk149925866"/>
      <w:bookmarkStart w:id="14" w:name="_Hlk149925643"/>
      <w:r w:rsidRPr="0020799C">
        <w:rPr>
          <w:rFonts w:ascii="Garamond" w:eastAsia="Calibri" w:hAnsi="Garamond" w:cs="Garamond"/>
          <w:lang w:eastAsia="en-US"/>
        </w:rPr>
        <w:t>(Oxford: Berg, 1993)</w:t>
      </w:r>
      <w:bookmarkEnd w:id="13"/>
    </w:p>
    <w:bookmarkEnd w:id="12"/>
    <w:bookmarkEnd w:id="14"/>
    <w:p w14:paraId="7847533A"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Bender, Barbara, ‘Stonehenge: Contested Landscapes; medieval to present day’, in </w:t>
      </w:r>
      <w:r w:rsidRPr="0020799C">
        <w:rPr>
          <w:rFonts w:ascii="Garamond" w:eastAsia="Calibri" w:hAnsi="Garamond" w:cs="Garamond"/>
          <w:i/>
          <w:iCs/>
          <w:lang w:eastAsia="en-US"/>
        </w:rPr>
        <w:t>Landscape: Politics and Perspectives</w:t>
      </w:r>
      <w:r w:rsidRPr="0020799C">
        <w:rPr>
          <w:rFonts w:ascii="Garamond" w:eastAsia="Calibri" w:hAnsi="Garamond" w:cs="Garamond"/>
          <w:lang w:eastAsia="en-US"/>
        </w:rPr>
        <w:t>, ed. by Barbara Bender, (Oxford: Berg, 1993), pp. 245-280</w:t>
      </w:r>
    </w:p>
    <w:p w14:paraId="6350DA5E"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15" w:name="_Hlk150092323"/>
      <w:r w:rsidRPr="0020799C">
        <w:rPr>
          <w:rFonts w:ascii="Garamond" w:eastAsia="Calibri" w:hAnsi="Garamond" w:cs="Garamond"/>
          <w:lang w:eastAsia="en-US"/>
        </w:rPr>
        <w:t xml:space="preserve">Bender, Barbara, </w:t>
      </w:r>
      <w:r w:rsidRPr="0020799C">
        <w:rPr>
          <w:rFonts w:ascii="Garamond" w:eastAsia="Calibri" w:hAnsi="Garamond" w:cs="Garamond"/>
          <w:i/>
          <w:iCs/>
          <w:lang w:eastAsia="en-US"/>
        </w:rPr>
        <w:t>Stonehenge: Making Space</w:t>
      </w:r>
      <w:r w:rsidRPr="0020799C">
        <w:rPr>
          <w:rFonts w:ascii="Garamond" w:eastAsia="Calibri" w:hAnsi="Garamond" w:cs="Garamond"/>
          <w:lang w:eastAsia="en-US"/>
        </w:rPr>
        <w:t>. (Oxford: Berg, 1998)</w:t>
      </w:r>
    </w:p>
    <w:bookmarkEnd w:id="15"/>
    <w:p w14:paraId="2FD6438F"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Bender, Barbara, ‘Introduction’, </w:t>
      </w:r>
      <w:bookmarkStart w:id="16" w:name="_Hlk150017249"/>
      <w:r w:rsidRPr="0020799C">
        <w:rPr>
          <w:rFonts w:ascii="Garamond" w:eastAsia="Calibri" w:hAnsi="Garamond" w:cs="Garamond"/>
          <w:lang w:eastAsia="en-US"/>
        </w:rPr>
        <w:t xml:space="preserve">in </w:t>
      </w:r>
      <w:r w:rsidRPr="0020799C">
        <w:rPr>
          <w:rFonts w:ascii="Garamond" w:eastAsia="Calibri" w:hAnsi="Garamond" w:cs="Garamond"/>
          <w:i/>
          <w:iCs/>
          <w:lang w:eastAsia="en-US"/>
        </w:rPr>
        <w:t>Contested Landscapes: Movement, Exile and Place</w:t>
      </w:r>
      <w:r w:rsidRPr="0020799C">
        <w:rPr>
          <w:rFonts w:ascii="Garamond" w:eastAsia="Calibri" w:hAnsi="Garamond" w:cs="Garamond"/>
          <w:lang w:eastAsia="en-US"/>
        </w:rPr>
        <w:t>, ed. by Barbara Bender and Margot Winer, (Oxford: Berg, 2001) pp. 1-18</w:t>
      </w:r>
    </w:p>
    <w:p w14:paraId="49EA7EA5"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17" w:name="_Hlk150081894"/>
      <w:bookmarkStart w:id="18" w:name="_Hlk150095680"/>
      <w:bookmarkEnd w:id="16"/>
      <w:r w:rsidRPr="0020799C">
        <w:rPr>
          <w:rFonts w:ascii="Garamond" w:eastAsia="Calibri" w:hAnsi="Garamond" w:cs="Garamond"/>
          <w:lang w:eastAsia="en-US"/>
        </w:rPr>
        <w:t xml:space="preserve">Bender, Barbara, </w:t>
      </w:r>
      <w:bookmarkEnd w:id="17"/>
      <w:r w:rsidRPr="0020799C">
        <w:rPr>
          <w:rFonts w:ascii="Garamond" w:eastAsia="Calibri" w:hAnsi="Garamond" w:cs="Garamond"/>
          <w:lang w:eastAsia="en-US"/>
        </w:rPr>
        <w:t xml:space="preserve">‘Time and landscape’, </w:t>
      </w:r>
      <w:r w:rsidRPr="0020799C">
        <w:rPr>
          <w:rFonts w:ascii="Garamond" w:eastAsia="Calibri" w:hAnsi="Garamond" w:cs="Garamond"/>
          <w:i/>
          <w:iCs/>
          <w:lang w:eastAsia="en-US"/>
        </w:rPr>
        <w:t>Current Anthropology</w:t>
      </w:r>
      <w:r w:rsidRPr="0020799C">
        <w:rPr>
          <w:rFonts w:ascii="Garamond" w:eastAsia="Calibri" w:hAnsi="Garamond" w:cs="Garamond"/>
          <w:lang w:eastAsia="en-US"/>
        </w:rPr>
        <w:t>, 43, (2002), pp. 103-112</w:t>
      </w:r>
    </w:p>
    <w:p w14:paraId="44095489" w14:textId="77777777" w:rsidR="0020799C" w:rsidRPr="0020799C" w:rsidRDefault="0020799C" w:rsidP="0020799C">
      <w:pPr>
        <w:widowControl w:val="0"/>
        <w:autoSpaceDE w:val="0"/>
        <w:autoSpaceDN w:val="0"/>
        <w:adjustRightInd w:val="0"/>
        <w:spacing w:after="120"/>
        <w:jc w:val="both"/>
        <w:rPr>
          <w:rFonts w:ascii="Garamond" w:eastAsia="Calibri" w:hAnsi="Garamond" w:cs="Garamond"/>
          <w:highlight w:val="yellow"/>
          <w:lang w:eastAsia="en-US"/>
        </w:rPr>
      </w:pPr>
      <w:bookmarkStart w:id="19" w:name="_Hlk150096936"/>
      <w:bookmarkEnd w:id="18"/>
      <w:r w:rsidRPr="0020799C">
        <w:rPr>
          <w:rFonts w:ascii="Garamond" w:eastAsia="Calibri" w:hAnsi="Garamond" w:cs="Garamond"/>
          <w:lang w:eastAsia="en-US"/>
        </w:rPr>
        <w:t xml:space="preserve">Bender, Barbara, ‘Notes from a Devon Village’, in </w:t>
      </w:r>
      <w:r w:rsidRPr="0020799C">
        <w:rPr>
          <w:rFonts w:ascii="Garamond" w:eastAsia="Calibri" w:hAnsi="Garamond" w:cs="Garamond"/>
          <w:i/>
          <w:iCs/>
          <w:lang w:eastAsia="en-US"/>
        </w:rPr>
        <w:t>Ground Work</w:t>
      </w:r>
      <w:r w:rsidRPr="0020799C">
        <w:rPr>
          <w:rFonts w:ascii="Garamond" w:eastAsia="Calibri" w:hAnsi="Garamond" w:cs="Garamond"/>
          <w:lang w:eastAsia="en-US"/>
        </w:rPr>
        <w:t>, by ed. Tim Dee (London: Jonathan Cape, 2018) pp. 15-25</w:t>
      </w:r>
    </w:p>
    <w:p w14:paraId="34FCE862"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20" w:name="_Hlk150100864"/>
      <w:bookmarkEnd w:id="19"/>
      <w:r w:rsidRPr="0020799C">
        <w:rPr>
          <w:rFonts w:ascii="Garamond" w:eastAsia="Calibri" w:hAnsi="Garamond" w:cs="Garamond"/>
          <w:lang w:eastAsia="en-US"/>
        </w:rPr>
        <w:t xml:space="preserve">Bender, Barbara, Hamilton, Susan, and Tilley, Christopher, ‘Leskernick: Stone Worlds; Alternative Narratives; Nested Landscapes’, </w:t>
      </w:r>
      <w:r w:rsidRPr="0020799C">
        <w:rPr>
          <w:rFonts w:ascii="Garamond" w:eastAsia="Calibri" w:hAnsi="Garamond" w:cs="Garamond"/>
          <w:i/>
          <w:iCs/>
          <w:lang w:eastAsia="en-US"/>
        </w:rPr>
        <w:t>Proceedings of the Prehistoric Society</w:t>
      </w:r>
      <w:r w:rsidRPr="0020799C">
        <w:rPr>
          <w:rFonts w:ascii="Garamond" w:eastAsia="Calibri" w:hAnsi="Garamond" w:cs="Garamond"/>
          <w:lang w:eastAsia="en-US"/>
        </w:rPr>
        <w:t>, 63, (1997), pp. 147-178</w:t>
      </w:r>
    </w:p>
    <w:p w14:paraId="656BBE8F"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Bender, Barbara, Hamilton, Susan, and Tilley, Christopher, </w:t>
      </w:r>
      <w:r w:rsidRPr="0020799C">
        <w:rPr>
          <w:rFonts w:ascii="Garamond" w:eastAsia="Calibri" w:hAnsi="Garamond" w:cs="Garamond"/>
          <w:i/>
          <w:iCs/>
          <w:lang w:eastAsia="en-US"/>
        </w:rPr>
        <w:t>Stone Worlds: Narrative and Reflexivity in Landscape Archaeology</w:t>
      </w:r>
      <w:r w:rsidRPr="0020799C">
        <w:rPr>
          <w:rFonts w:ascii="Garamond" w:eastAsia="Calibri" w:hAnsi="Garamond" w:cs="Garamond"/>
          <w:lang w:eastAsia="en-US"/>
        </w:rPr>
        <w:t xml:space="preserve">. (Walnut Creek CA: Left Coast Press, 2007) </w:t>
      </w:r>
    </w:p>
    <w:p w14:paraId="717A4E4F"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21" w:name="_Hlk150093604"/>
      <w:bookmarkEnd w:id="20"/>
      <w:r w:rsidRPr="0020799C">
        <w:rPr>
          <w:rFonts w:ascii="Garamond" w:eastAsia="Calibri" w:hAnsi="Garamond" w:cs="Garamond"/>
          <w:lang w:eastAsia="en-US"/>
        </w:rPr>
        <w:t xml:space="preserve">Bender, Barbara and Winer, Margot, </w:t>
      </w:r>
      <w:r w:rsidRPr="0020799C">
        <w:rPr>
          <w:rFonts w:ascii="Garamond" w:eastAsia="Calibri" w:hAnsi="Garamond" w:cs="Garamond"/>
          <w:i/>
          <w:iCs/>
          <w:lang w:eastAsia="en-US"/>
        </w:rPr>
        <w:t>Contested landscapes: Movement, exile and place</w:t>
      </w:r>
      <w:r w:rsidRPr="0020799C">
        <w:rPr>
          <w:rFonts w:ascii="Garamond" w:eastAsia="Calibri" w:hAnsi="Garamond" w:cs="Garamond"/>
          <w:lang w:eastAsia="en-US"/>
        </w:rPr>
        <w:t>. (Oxford: Berg, 2001)</w:t>
      </w:r>
    </w:p>
    <w:p w14:paraId="7C1B2F25" w14:textId="77777777" w:rsidR="0020799C" w:rsidRPr="0020799C" w:rsidRDefault="0020799C" w:rsidP="0020799C">
      <w:pPr>
        <w:widowControl w:val="0"/>
        <w:autoSpaceDE w:val="0"/>
        <w:autoSpaceDN w:val="0"/>
        <w:adjustRightInd w:val="0"/>
        <w:spacing w:after="120"/>
        <w:jc w:val="both"/>
        <w:rPr>
          <w:rFonts w:ascii="Garamond" w:eastAsia="Calibri" w:hAnsi="Garamond" w:cs="Garamond"/>
          <w:color w:val="000000"/>
          <w:lang w:eastAsia="en-US"/>
        </w:rPr>
      </w:pPr>
      <w:bookmarkStart w:id="22" w:name="_Hlk150008273"/>
      <w:bookmarkEnd w:id="21"/>
      <w:r w:rsidRPr="0020799C">
        <w:rPr>
          <w:rFonts w:ascii="Garamond" w:eastAsia="Calibri" w:hAnsi="Garamond" w:cs="Garamond"/>
          <w:color w:val="000000"/>
          <w:lang w:eastAsia="en-US"/>
        </w:rPr>
        <w:t xml:space="preserve">Bodenhorn Barbara, ‘Gendered spaces, public places: Public and private revisited on the North Slope of Alaska’, in </w:t>
      </w:r>
      <w:r w:rsidRPr="0020799C">
        <w:rPr>
          <w:rFonts w:ascii="Garamond" w:eastAsia="Calibri" w:hAnsi="Garamond" w:cs="Garamond"/>
          <w:i/>
          <w:iCs/>
          <w:color w:val="000000"/>
          <w:lang w:eastAsia="en-US"/>
        </w:rPr>
        <w:t>Landscape: Politics and Perspectives</w:t>
      </w:r>
      <w:r w:rsidRPr="0020799C">
        <w:rPr>
          <w:rFonts w:ascii="Garamond" w:eastAsia="Calibri" w:hAnsi="Garamond" w:cs="Garamond"/>
          <w:color w:val="000000"/>
          <w:lang w:eastAsia="en-US"/>
        </w:rPr>
        <w:t>, ed. by Barbara Bender, (Oxford: Berg, 1993), pp. 169-204</w:t>
      </w:r>
    </w:p>
    <w:p w14:paraId="39ECA7C9" w14:textId="77777777" w:rsidR="0020799C" w:rsidRPr="0020799C" w:rsidRDefault="0020799C" w:rsidP="0020799C">
      <w:pPr>
        <w:widowControl w:val="0"/>
        <w:autoSpaceDE w:val="0"/>
        <w:autoSpaceDN w:val="0"/>
        <w:adjustRightInd w:val="0"/>
        <w:spacing w:after="120"/>
        <w:jc w:val="both"/>
        <w:rPr>
          <w:rFonts w:ascii="Garamond" w:eastAsia="Calibri" w:hAnsi="Garamond" w:cs="Garamond"/>
          <w:color w:val="000000"/>
          <w:lang w:eastAsia="en-US"/>
        </w:rPr>
      </w:pPr>
      <w:bookmarkStart w:id="23" w:name="_Hlk150092511"/>
      <w:bookmarkEnd w:id="22"/>
      <w:r w:rsidRPr="0020799C">
        <w:rPr>
          <w:rFonts w:ascii="Garamond" w:eastAsia="Calibri" w:hAnsi="Garamond" w:cs="Garamond"/>
          <w:color w:val="000000"/>
          <w:lang w:eastAsia="en-US"/>
        </w:rPr>
        <w:t xml:space="preserve">Bourdieu, Pierre, </w:t>
      </w:r>
      <w:r w:rsidRPr="0020799C">
        <w:rPr>
          <w:rFonts w:ascii="Garamond" w:eastAsia="Calibri" w:hAnsi="Garamond" w:cs="Garamond"/>
          <w:i/>
          <w:iCs/>
          <w:color w:val="000000"/>
          <w:lang w:eastAsia="en-US"/>
        </w:rPr>
        <w:t xml:space="preserve">Outline of a Theory of Practice. </w:t>
      </w:r>
      <w:r w:rsidRPr="0020799C">
        <w:rPr>
          <w:rFonts w:ascii="Garamond" w:eastAsia="Calibri" w:hAnsi="Garamond" w:cs="Garamond"/>
          <w:color w:val="000000"/>
          <w:lang w:eastAsia="en-US"/>
        </w:rPr>
        <w:t>(Cambridge: University Press, 1977)</w:t>
      </w:r>
    </w:p>
    <w:p w14:paraId="46EDA1E9" w14:textId="77777777" w:rsidR="0020799C" w:rsidRPr="0020799C" w:rsidRDefault="0020799C" w:rsidP="0020799C">
      <w:pPr>
        <w:spacing w:after="120"/>
        <w:jc w:val="both"/>
        <w:rPr>
          <w:rFonts w:ascii="Garamond" w:eastAsia="Calibri" w:hAnsi="Garamond"/>
          <w:lang w:eastAsia="en-US"/>
        </w:rPr>
      </w:pPr>
      <w:bookmarkStart w:id="24" w:name="_Hlk150013055"/>
      <w:bookmarkEnd w:id="23"/>
      <w:r w:rsidRPr="0020799C">
        <w:rPr>
          <w:rFonts w:ascii="Garamond" w:eastAsia="Calibri" w:hAnsi="Garamond"/>
          <w:lang w:eastAsia="en-US"/>
        </w:rPr>
        <w:t xml:space="preserve">Bowie, Fiona, ‘Mountains as sources of power in seen and unseen worlds’, in </w:t>
      </w:r>
      <w:r w:rsidRPr="0020799C">
        <w:rPr>
          <w:rFonts w:ascii="Garamond" w:eastAsia="Calibri" w:hAnsi="Garamond"/>
          <w:i/>
          <w:iCs/>
          <w:lang w:eastAsia="en-US"/>
        </w:rPr>
        <w:t>Space, Place and Religious Landscapes: Living Mountains</w:t>
      </w:r>
      <w:r w:rsidRPr="0020799C">
        <w:rPr>
          <w:rFonts w:ascii="Garamond" w:eastAsia="Calibri" w:hAnsi="Garamond"/>
          <w:lang w:eastAsia="en-US"/>
        </w:rPr>
        <w:t>, ed. by Darrelyn Gunzburg and Bernadette Brady, (London: Bloomsbury, 2021), pp. 123-146</w:t>
      </w:r>
    </w:p>
    <w:bookmarkEnd w:id="24"/>
    <w:p w14:paraId="256943F5" w14:textId="7777777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Bowie, Fiona, </w:t>
      </w:r>
      <w:r w:rsidRPr="0020799C">
        <w:rPr>
          <w:rFonts w:ascii="Garamond" w:eastAsia="Calibri" w:hAnsi="Garamond"/>
          <w:i/>
          <w:iCs/>
          <w:lang w:eastAsia="en-US"/>
        </w:rPr>
        <w:t>The Anthropology of religion.</w:t>
      </w:r>
      <w:r w:rsidRPr="0020799C">
        <w:rPr>
          <w:rFonts w:ascii="Garamond" w:eastAsia="Calibri" w:hAnsi="Garamond"/>
          <w:lang w:eastAsia="en-US"/>
        </w:rPr>
        <w:t xml:space="preserve"> (Oxford: Blackwell, 2006)</w:t>
      </w:r>
    </w:p>
    <w:p w14:paraId="5260DF73" w14:textId="77777777" w:rsidR="0020799C" w:rsidRPr="0020799C" w:rsidRDefault="0020799C" w:rsidP="0020799C">
      <w:pPr>
        <w:spacing w:after="120"/>
        <w:jc w:val="both"/>
        <w:rPr>
          <w:rFonts w:ascii="Garamond" w:eastAsia="Calibri" w:hAnsi="Garamond"/>
          <w:lang w:eastAsia="en-US"/>
        </w:rPr>
      </w:pPr>
      <w:r w:rsidRPr="0020799C">
        <w:rPr>
          <w:rFonts w:ascii="Garamond" w:eastAsia="Calibri" w:hAnsi="Garamond"/>
          <w:lang w:eastAsia="en-US"/>
        </w:rPr>
        <w:t xml:space="preserve">Brady, B, ‘Mountains talk of kings and dragons, the Brecon Beacons’, in </w:t>
      </w:r>
      <w:r w:rsidRPr="0020799C">
        <w:rPr>
          <w:rFonts w:ascii="Garamond" w:eastAsia="Calibri" w:hAnsi="Garamond"/>
          <w:i/>
          <w:iCs/>
          <w:lang w:eastAsia="en-US"/>
        </w:rPr>
        <w:t>Space, Place and Religious Landscapes: Living Mountains</w:t>
      </w:r>
      <w:r w:rsidRPr="0020799C">
        <w:rPr>
          <w:rFonts w:ascii="Garamond" w:eastAsia="Calibri" w:hAnsi="Garamond"/>
          <w:lang w:eastAsia="en-US"/>
        </w:rPr>
        <w:t>, ed. by Darrelyn Gunzburg and Bernadette Brady, (London: Bloomsbury, 2021), pp. 173-190</w:t>
      </w:r>
    </w:p>
    <w:p w14:paraId="6969299F"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25" w:name="_Hlk150083902"/>
      <w:r w:rsidRPr="0020799C">
        <w:rPr>
          <w:rFonts w:ascii="Garamond" w:eastAsia="Calibri" w:hAnsi="Garamond" w:cs="Garamond"/>
          <w:lang w:eastAsia="en-US"/>
        </w:rPr>
        <w:t xml:space="preserve">Carmichael, David, Hubert, Jane, Reeves, Brian, and Schande, Audhild, </w:t>
      </w:r>
      <w:r w:rsidRPr="0020799C">
        <w:rPr>
          <w:rFonts w:ascii="Garamond" w:eastAsia="Calibri" w:hAnsi="Garamond" w:cs="Garamond"/>
          <w:i/>
          <w:iCs/>
          <w:lang w:eastAsia="en-US"/>
        </w:rPr>
        <w:t>Sacred Sites, Sacred Places</w:t>
      </w:r>
      <w:r w:rsidRPr="0020799C">
        <w:rPr>
          <w:rFonts w:ascii="Garamond" w:eastAsia="Calibri" w:hAnsi="Garamond" w:cs="Garamond"/>
          <w:lang w:eastAsia="en-US"/>
        </w:rPr>
        <w:t>, (London: Routledge, 1994)</w:t>
      </w:r>
    </w:p>
    <w:bookmarkEnd w:id="25"/>
    <w:p w14:paraId="026EB9B8"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Chippendale, Christopher, </w:t>
      </w:r>
      <w:r w:rsidRPr="0020799C">
        <w:rPr>
          <w:rFonts w:ascii="Garamond" w:eastAsia="Calibri" w:hAnsi="Garamond" w:cs="Garamond"/>
          <w:i/>
          <w:iCs/>
          <w:lang w:eastAsia="en-US"/>
        </w:rPr>
        <w:t xml:space="preserve">Stonehenge Complete. Revised edition. </w:t>
      </w:r>
      <w:r w:rsidRPr="0020799C">
        <w:rPr>
          <w:rFonts w:ascii="Garamond" w:eastAsia="Calibri" w:hAnsi="Garamond" w:cs="Garamond"/>
          <w:lang w:eastAsia="en-US"/>
        </w:rPr>
        <w:t>(London: Thames and Hudson, 1994)</w:t>
      </w:r>
    </w:p>
    <w:p w14:paraId="6CD76C1B"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Cosgrove, Denis, and Daniels, Stephen,</w:t>
      </w:r>
      <w:r w:rsidRPr="0020799C">
        <w:rPr>
          <w:rFonts w:ascii="Garamond" w:eastAsia="Calibri" w:hAnsi="Garamond" w:cs="Garamond"/>
          <w:i/>
          <w:iCs/>
          <w:lang w:eastAsia="en-US"/>
        </w:rPr>
        <w:t xml:space="preserve"> The Iconography of Landscape</w:t>
      </w:r>
      <w:r w:rsidRPr="0020799C">
        <w:rPr>
          <w:rFonts w:ascii="Garamond" w:eastAsia="Calibri" w:hAnsi="Garamond" w:cs="Garamond"/>
          <w:lang w:eastAsia="en-US"/>
        </w:rPr>
        <w:t>. (Cambridge: Cambridge University Press, 1988)</w:t>
      </w:r>
    </w:p>
    <w:p w14:paraId="1F5B44B8"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26" w:name="_Hlk150091547"/>
      <w:r w:rsidRPr="0020799C">
        <w:rPr>
          <w:rFonts w:ascii="Garamond" w:eastAsia="Calibri" w:hAnsi="Garamond" w:cs="Garamond"/>
          <w:lang w:eastAsia="en-US"/>
        </w:rPr>
        <w:t xml:space="preserve">Cummings, Vicky, and Whittle, Alastair, </w:t>
      </w:r>
      <w:r w:rsidRPr="0020799C">
        <w:rPr>
          <w:rFonts w:ascii="Garamond" w:eastAsia="Calibri" w:hAnsi="Garamond" w:cs="Garamond"/>
          <w:i/>
          <w:iCs/>
          <w:lang w:eastAsia="en-US"/>
        </w:rPr>
        <w:t>Places of Special Virtue: Megaliths in the Neolithic Landscapes of Wales</w:t>
      </w:r>
      <w:r w:rsidRPr="0020799C">
        <w:rPr>
          <w:rFonts w:ascii="Garamond" w:eastAsia="Calibri" w:hAnsi="Garamond" w:cs="Garamond"/>
          <w:lang w:eastAsia="en-US"/>
        </w:rPr>
        <w:t>. (Oxford: Oxbow Books, 2004)</w:t>
      </w:r>
    </w:p>
    <w:bookmarkEnd w:id="26"/>
    <w:p w14:paraId="0B680975"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Daniel, Glyn, </w:t>
      </w:r>
      <w:r w:rsidRPr="0020799C">
        <w:rPr>
          <w:rFonts w:ascii="Garamond" w:eastAsia="Calibri" w:hAnsi="Garamond" w:cs="Garamond"/>
          <w:i/>
          <w:iCs/>
          <w:lang w:eastAsia="en-US"/>
        </w:rPr>
        <w:t>‘</w:t>
      </w:r>
      <w:r w:rsidRPr="0020799C">
        <w:rPr>
          <w:rFonts w:ascii="Garamond" w:eastAsia="Calibri" w:hAnsi="Garamond" w:cs="Garamond"/>
          <w:lang w:eastAsia="en-US"/>
        </w:rPr>
        <w:t>Stone, Bronze and Iron’, in</w:t>
      </w:r>
      <w:r w:rsidRPr="0020799C">
        <w:rPr>
          <w:rFonts w:ascii="Calibri" w:eastAsia="Calibri" w:hAnsi="Calibri"/>
          <w:sz w:val="22"/>
          <w:szCs w:val="22"/>
          <w:lang w:eastAsia="en-US"/>
        </w:rPr>
        <w:t xml:space="preserve"> </w:t>
      </w:r>
      <w:r w:rsidRPr="0020799C">
        <w:rPr>
          <w:rFonts w:ascii="Garamond" w:eastAsia="Calibri" w:hAnsi="Garamond" w:cs="Garamond"/>
          <w:i/>
          <w:iCs/>
          <w:lang w:eastAsia="en-US"/>
        </w:rPr>
        <w:t>To illustrate the monuments</w:t>
      </w:r>
      <w:r w:rsidRPr="0020799C">
        <w:rPr>
          <w:rFonts w:ascii="Garamond" w:eastAsia="Calibri" w:hAnsi="Garamond" w:cs="Garamond"/>
          <w:lang w:eastAsia="en-US"/>
        </w:rPr>
        <w:t xml:space="preserve">, ed. by John Vincent Stanley </w:t>
      </w:r>
      <w:r w:rsidRPr="0020799C">
        <w:rPr>
          <w:rFonts w:ascii="Garamond" w:eastAsia="Calibri" w:hAnsi="Garamond" w:cs="Garamond"/>
          <w:lang w:eastAsia="en-US"/>
        </w:rPr>
        <w:lastRenderedPageBreak/>
        <w:t>Megaw, (London: Thames and Hudson, 1976), pp. 35-42</w:t>
      </w:r>
    </w:p>
    <w:p w14:paraId="313F9357"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27" w:name="_Hlk150088944"/>
      <w:r w:rsidRPr="0020799C">
        <w:rPr>
          <w:rFonts w:ascii="Garamond" w:eastAsia="Calibri" w:hAnsi="Garamond" w:cs="Garamond"/>
          <w:lang w:eastAsia="en-US"/>
        </w:rPr>
        <w:t xml:space="preserve">Dronfield, Jeremy, ‘Migraine, light and hallucinogens: the neurocognitive basis of Irish megalithic art’, </w:t>
      </w:r>
      <w:r w:rsidRPr="0020799C">
        <w:rPr>
          <w:rFonts w:ascii="Garamond" w:eastAsia="Calibri" w:hAnsi="Garamond" w:cs="Garamond"/>
          <w:i/>
          <w:iCs/>
          <w:lang w:eastAsia="en-US"/>
        </w:rPr>
        <w:t>Oxford Journal of Archaeology</w:t>
      </w:r>
      <w:r w:rsidRPr="0020799C">
        <w:rPr>
          <w:rFonts w:ascii="Garamond" w:eastAsia="Calibri" w:hAnsi="Garamond" w:cs="Garamond"/>
          <w:lang w:eastAsia="en-US"/>
        </w:rPr>
        <w:t>, 14, (1995), pp. 261-275</w:t>
      </w:r>
    </w:p>
    <w:p w14:paraId="6F042F2B"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lang w:eastAsia="en-US"/>
        </w:rPr>
        <w:t xml:space="preserve">Eliade, Mircea, </w:t>
      </w:r>
      <w:r w:rsidRPr="0020799C">
        <w:rPr>
          <w:rFonts w:ascii="Garamond" w:eastAsia="Calibri" w:hAnsi="Garamond"/>
          <w:i/>
          <w:iCs/>
          <w:lang w:eastAsia="en-US"/>
        </w:rPr>
        <w:t>The Sacred and The Profane: The Nature of Religion</w:t>
      </w:r>
      <w:r w:rsidRPr="0020799C">
        <w:rPr>
          <w:rFonts w:ascii="Garamond" w:eastAsia="Calibri" w:hAnsi="Garamond"/>
          <w:lang w:eastAsia="en-US"/>
        </w:rPr>
        <w:t>. (Orlando: Harcourt, 1987)</w:t>
      </w:r>
    </w:p>
    <w:p w14:paraId="0E92782A" w14:textId="77777777" w:rsidR="0020799C" w:rsidRPr="0020799C" w:rsidRDefault="0020799C" w:rsidP="0020799C">
      <w:pPr>
        <w:widowControl w:val="0"/>
        <w:autoSpaceDE w:val="0"/>
        <w:autoSpaceDN w:val="0"/>
        <w:adjustRightInd w:val="0"/>
        <w:spacing w:after="120"/>
        <w:jc w:val="both"/>
        <w:rPr>
          <w:rFonts w:ascii="Garamond" w:eastAsia="Calibri" w:hAnsi="Garamond" w:cs="Garamond"/>
          <w:highlight w:val="yellow"/>
          <w:lang w:eastAsia="en-US"/>
        </w:rPr>
      </w:pPr>
      <w:bookmarkStart w:id="28" w:name="_Hlk150083452"/>
      <w:bookmarkEnd w:id="27"/>
      <w:r w:rsidRPr="0020799C">
        <w:rPr>
          <w:rFonts w:ascii="Garamond" w:eastAsia="Calibri" w:hAnsi="Garamond" w:cs="Garamond"/>
          <w:lang w:eastAsia="en-US"/>
        </w:rPr>
        <w:t xml:space="preserve">Fleming, Andrew, ‘Models for the development of the Wessex Culture’, in </w:t>
      </w:r>
      <w:r w:rsidRPr="0020799C">
        <w:rPr>
          <w:rFonts w:ascii="Garamond" w:eastAsia="Calibri" w:hAnsi="Garamond" w:cs="Garamond"/>
          <w:i/>
          <w:iCs/>
          <w:lang w:eastAsia="en-US"/>
        </w:rPr>
        <w:t>The Explanation of Culture Change</w:t>
      </w:r>
      <w:r w:rsidRPr="0020799C">
        <w:rPr>
          <w:rFonts w:ascii="Garamond" w:eastAsia="Calibri" w:hAnsi="Garamond" w:cs="Garamond"/>
          <w:lang w:eastAsia="en-US"/>
        </w:rPr>
        <w:t>, ed. by Colin Renfrew, (London: Duckworth, 1973), pp. 571-585</w:t>
      </w:r>
    </w:p>
    <w:p w14:paraId="24189A55" w14:textId="77777777" w:rsidR="0020799C" w:rsidRPr="0020799C" w:rsidRDefault="0020799C" w:rsidP="0020799C">
      <w:pPr>
        <w:widowControl w:val="0"/>
        <w:autoSpaceDE w:val="0"/>
        <w:autoSpaceDN w:val="0"/>
        <w:adjustRightInd w:val="0"/>
        <w:spacing w:after="120"/>
        <w:jc w:val="both"/>
        <w:rPr>
          <w:rFonts w:ascii="Garamond" w:eastAsia="Calibri" w:hAnsi="Garamond" w:cs="Garamond"/>
          <w:color w:val="000000"/>
          <w:lang w:eastAsia="en-US"/>
        </w:rPr>
      </w:pPr>
      <w:bookmarkStart w:id="29" w:name="_Hlk150091211"/>
      <w:bookmarkEnd w:id="28"/>
      <w:r w:rsidRPr="0020799C">
        <w:rPr>
          <w:rFonts w:ascii="Garamond" w:eastAsia="Calibri" w:hAnsi="Garamond" w:cs="Garamond"/>
          <w:color w:val="000000"/>
          <w:lang w:eastAsia="en-US"/>
        </w:rPr>
        <w:t xml:space="preserve">Fleming, Andrew, ‘Phenomenology and the Megaliths of Wales: A Dreaming too Far?’, </w:t>
      </w:r>
      <w:r w:rsidRPr="0020799C">
        <w:rPr>
          <w:rFonts w:ascii="Garamond" w:eastAsia="Calibri" w:hAnsi="Garamond" w:cs="Garamond"/>
          <w:i/>
          <w:iCs/>
          <w:color w:val="000000"/>
          <w:lang w:eastAsia="en-US"/>
        </w:rPr>
        <w:t>Oxford Journal of Archaeology</w:t>
      </w:r>
      <w:r w:rsidRPr="0020799C">
        <w:rPr>
          <w:rFonts w:ascii="Garamond" w:eastAsia="Calibri" w:hAnsi="Garamond" w:cs="Garamond"/>
          <w:color w:val="000000"/>
          <w:lang w:eastAsia="en-US"/>
        </w:rPr>
        <w:t>, 18, (1999), 119-124</w:t>
      </w:r>
    </w:p>
    <w:bookmarkEnd w:id="29"/>
    <w:p w14:paraId="5EE575C2"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color w:val="000000"/>
          <w:lang w:eastAsia="en-US"/>
        </w:rPr>
        <w:t xml:space="preserve">Foucault, Michel, </w:t>
      </w:r>
      <w:r w:rsidRPr="0020799C">
        <w:rPr>
          <w:rFonts w:ascii="Garamond" w:eastAsia="Calibri" w:hAnsi="Garamond" w:cs="Garamond"/>
          <w:i/>
          <w:iCs/>
          <w:color w:val="000000"/>
          <w:lang w:eastAsia="en-US"/>
        </w:rPr>
        <w:t>Discipline and Punish: The Birth of the Prison</w:t>
      </w:r>
      <w:r w:rsidRPr="0020799C">
        <w:rPr>
          <w:rFonts w:ascii="Garamond" w:eastAsia="Calibri" w:hAnsi="Garamond" w:cs="Garamond"/>
          <w:color w:val="000000"/>
          <w:lang w:eastAsia="en-US"/>
        </w:rPr>
        <w:t>. (London: Penguin, 1991)</w:t>
      </w:r>
    </w:p>
    <w:p w14:paraId="23E38D3D"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Fox, Cyril, </w:t>
      </w:r>
      <w:r w:rsidRPr="0020799C">
        <w:rPr>
          <w:rFonts w:ascii="Garamond" w:eastAsia="Calibri" w:hAnsi="Garamond" w:cs="Garamond"/>
          <w:i/>
          <w:iCs/>
          <w:lang w:eastAsia="en-US"/>
        </w:rPr>
        <w:t>The Personality of Britain</w:t>
      </w:r>
      <w:r w:rsidRPr="0020799C">
        <w:rPr>
          <w:rFonts w:ascii="Garamond" w:eastAsia="Calibri" w:hAnsi="Garamond" w:cs="Garamond"/>
          <w:lang w:eastAsia="en-US"/>
        </w:rPr>
        <w:t xml:space="preserve"> (Cardiff: The National Museum of Wales, 1938)</w:t>
      </w:r>
    </w:p>
    <w:p w14:paraId="6BAE1701"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r w:rsidRPr="0020799C">
        <w:rPr>
          <w:rFonts w:ascii="Garamond" w:eastAsia="Calibri" w:hAnsi="Garamond" w:cs="Garamond"/>
          <w:lang w:eastAsia="en-US"/>
        </w:rPr>
        <w:t xml:space="preserve">Garcês, Sara and Nash, George, ‘The relevance of watery soundscapes in a ritual context’, </w:t>
      </w:r>
      <w:r w:rsidRPr="0020799C">
        <w:rPr>
          <w:rFonts w:ascii="Garamond" w:eastAsia="Calibri" w:hAnsi="Garamond" w:cs="Garamond"/>
          <w:i/>
          <w:iCs/>
          <w:lang w:eastAsia="en-US"/>
        </w:rPr>
        <w:t>Time and Mind</w:t>
      </w:r>
      <w:r w:rsidRPr="0020799C">
        <w:rPr>
          <w:rFonts w:ascii="Garamond" w:eastAsia="Calibri" w:hAnsi="Garamond" w:cs="Garamond"/>
          <w:lang w:eastAsia="en-US"/>
        </w:rPr>
        <w:t>, 10, (2017), 69-80</w:t>
      </w:r>
    </w:p>
    <w:p w14:paraId="10B563E6" w14:textId="77777777" w:rsidR="0020799C" w:rsidRPr="0020799C" w:rsidRDefault="0020799C" w:rsidP="0020799C">
      <w:pPr>
        <w:widowControl w:val="0"/>
        <w:autoSpaceDE w:val="0"/>
        <w:autoSpaceDN w:val="0"/>
        <w:adjustRightInd w:val="0"/>
        <w:spacing w:after="120"/>
        <w:jc w:val="both"/>
        <w:rPr>
          <w:rFonts w:ascii="Garamond" w:eastAsia="Times New Roman" w:hAnsi="Garamond" w:cs="ArialMT"/>
          <w:lang w:eastAsia="en-GB"/>
        </w:rPr>
      </w:pPr>
      <w:bookmarkStart w:id="30" w:name="_Hlk150089458"/>
      <w:r w:rsidRPr="0020799C">
        <w:rPr>
          <w:rFonts w:ascii="Garamond" w:eastAsia="Times New Roman" w:hAnsi="Garamond" w:cs="ArialMT"/>
          <w:lang w:eastAsia="en-GB"/>
        </w:rPr>
        <w:t>Harrison-Buck, Eleanor, and Hendon,</w:t>
      </w:r>
      <w:r w:rsidR="00625B05">
        <w:rPr>
          <w:rFonts w:ascii="Garamond" w:eastAsia="Times New Roman" w:hAnsi="Garamond" w:cs="ArialMT"/>
          <w:lang w:eastAsia="en-GB"/>
        </w:rPr>
        <w:t xml:space="preserve"> Julia,</w:t>
      </w:r>
      <w:r w:rsidRPr="0020799C">
        <w:rPr>
          <w:rFonts w:ascii="Garamond" w:eastAsia="Times New Roman" w:hAnsi="Garamond" w:cs="ArialMT"/>
          <w:lang w:eastAsia="en-GB"/>
        </w:rPr>
        <w:t xml:space="preserve"> </w:t>
      </w:r>
      <w:r w:rsidRPr="0020799C">
        <w:rPr>
          <w:rFonts w:ascii="Garamond" w:eastAsia="Times New Roman" w:hAnsi="Garamond" w:cs="ArialMT"/>
          <w:i/>
          <w:iCs/>
          <w:lang w:eastAsia="en-GB"/>
        </w:rPr>
        <w:t>Relational Identities and Other Than Human Agency in Archaeology</w:t>
      </w:r>
      <w:r w:rsidRPr="0020799C">
        <w:rPr>
          <w:rFonts w:ascii="Garamond" w:eastAsia="Times New Roman" w:hAnsi="Garamond" w:cs="ArialMT"/>
          <w:lang w:eastAsia="en-GB"/>
        </w:rPr>
        <w:t>. (Louisville: University Press of Colorado, 2018)</w:t>
      </w:r>
    </w:p>
    <w:p w14:paraId="19C61CA3" w14:textId="2E0C0B4A" w:rsidR="0020799C" w:rsidRPr="0020799C" w:rsidRDefault="0020799C" w:rsidP="0020799C">
      <w:pPr>
        <w:widowControl w:val="0"/>
        <w:autoSpaceDE w:val="0"/>
        <w:autoSpaceDN w:val="0"/>
        <w:adjustRightInd w:val="0"/>
        <w:spacing w:after="120"/>
        <w:jc w:val="both"/>
        <w:rPr>
          <w:rFonts w:ascii="Garamond" w:eastAsia="Times New Roman" w:hAnsi="Garamond" w:cs="ArialMT"/>
          <w:lang w:eastAsia="en-GB"/>
        </w:rPr>
      </w:pPr>
      <w:bookmarkStart w:id="31" w:name="_Hlk150102758"/>
      <w:bookmarkEnd w:id="30"/>
      <w:r w:rsidRPr="0020799C">
        <w:rPr>
          <w:rFonts w:ascii="Garamond" w:eastAsia="Times New Roman" w:hAnsi="Garamond" w:cs="ArialMT"/>
          <w:lang w:eastAsia="en-GB"/>
        </w:rPr>
        <w:t>Heywood, Paolo, ‘Ontological turn, the’</w:t>
      </w:r>
      <w:r w:rsidR="00CF39DA">
        <w:rPr>
          <w:rFonts w:ascii="Garamond" w:eastAsia="Times New Roman" w:hAnsi="Garamond" w:cs="ArialMT"/>
          <w:lang w:eastAsia="en-GB"/>
        </w:rPr>
        <w:t>,</w:t>
      </w:r>
      <w:r w:rsidRPr="0020799C">
        <w:rPr>
          <w:rFonts w:ascii="Garamond" w:eastAsia="Times New Roman" w:hAnsi="Garamond" w:cs="ArialMT"/>
          <w:lang w:eastAsia="en-GB"/>
        </w:rPr>
        <w:t xml:space="preserve"> in </w:t>
      </w:r>
      <w:r w:rsidRPr="0020799C">
        <w:rPr>
          <w:rFonts w:ascii="Garamond" w:eastAsia="Times New Roman" w:hAnsi="Garamond" w:cs="ArialMT"/>
          <w:i/>
          <w:iCs/>
          <w:lang w:eastAsia="en-GB"/>
        </w:rPr>
        <w:t>The Open Encyclopedia of Anthropology</w:t>
      </w:r>
      <w:r w:rsidRPr="0020799C">
        <w:rPr>
          <w:rFonts w:ascii="Garamond" w:eastAsia="Times New Roman" w:hAnsi="Garamond" w:cs="ArialMT"/>
          <w:lang w:eastAsia="en-GB"/>
        </w:rPr>
        <w:t>, ed. by Felix Stein, (online: http://doi.org/10.29164/17ontology, 2023)</w:t>
      </w:r>
    </w:p>
    <w:p w14:paraId="604567E3"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32" w:name="_Hlk150102067"/>
      <w:bookmarkEnd w:id="31"/>
      <w:r w:rsidRPr="0020799C">
        <w:rPr>
          <w:rFonts w:ascii="Garamond" w:eastAsia="Calibri" w:hAnsi="Garamond" w:cs="DejaVuSerifCondensed"/>
          <w:lang w:eastAsia="en-US"/>
        </w:rPr>
        <w:t xml:space="preserve">Holbraad, Martin, and Pedersen, Morten, </w:t>
      </w:r>
      <w:r w:rsidRPr="0020799C">
        <w:rPr>
          <w:rFonts w:ascii="Garamond" w:eastAsia="Calibri" w:hAnsi="Garamond" w:cs="DejaVuSerifCondensed-Italic"/>
          <w:i/>
          <w:iCs/>
          <w:lang w:eastAsia="en-US"/>
        </w:rPr>
        <w:t xml:space="preserve">The ontological turn: an anthropological exposition. </w:t>
      </w:r>
      <w:r w:rsidRPr="0020799C">
        <w:rPr>
          <w:rFonts w:ascii="Garamond" w:eastAsia="Calibri" w:hAnsi="Garamond" w:cs="DejaVuSerifCondensed-Italic"/>
          <w:lang w:eastAsia="en-US"/>
        </w:rPr>
        <w:t>(</w:t>
      </w:r>
      <w:r w:rsidRPr="0020799C">
        <w:rPr>
          <w:rFonts w:ascii="Garamond" w:eastAsia="Calibri" w:hAnsi="Garamond" w:cs="DejaVuSerifCondensed"/>
          <w:lang w:eastAsia="en-US"/>
        </w:rPr>
        <w:t>Cambridge: University Press, 2017)</w:t>
      </w:r>
    </w:p>
    <w:p w14:paraId="61AF6507"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33" w:name="_Hlk150089323"/>
      <w:bookmarkEnd w:id="32"/>
      <w:r w:rsidRPr="0020799C">
        <w:rPr>
          <w:rFonts w:ascii="Garamond" w:eastAsia="Calibri" w:hAnsi="Garamond" w:cs="Garamond"/>
          <w:lang w:eastAsia="en-US"/>
        </w:rPr>
        <w:t xml:space="preserve">Hornborg, Anne-Christine, </w:t>
      </w:r>
      <w:r w:rsidRPr="0020799C">
        <w:rPr>
          <w:rFonts w:ascii="Garamond" w:eastAsia="Calibri" w:hAnsi="Garamond" w:cs="Garamond"/>
          <w:i/>
          <w:iCs/>
          <w:lang w:eastAsia="en-US"/>
        </w:rPr>
        <w:t>Mi’kmaq landscapes: From animism to sacred ecology</w:t>
      </w:r>
      <w:r w:rsidRPr="0020799C">
        <w:rPr>
          <w:rFonts w:ascii="Garamond" w:eastAsia="Calibri" w:hAnsi="Garamond" w:cs="Garamond"/>
          <w:lang w:eastAsia="en-US"/>
        </w:rPr>
        <w:t>. (London: Routledge, 2016)</w:t>
      </w:r>
    </w:p>
    <w:p w14:paraId="20C39729"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34" w:name="_Hlk150085871"/>
      <w:bookmarkEnd w:id="33"/>
      <w:r w:rsidRPr="0020799C">
        <w:rPr>
          <w:rFonts w:ascii="Garamond" w:eastAsia="Calibri" w:hAnsi="Garamond" w:cs="Garamond"/>
          <w:lang w:eastAsia="en-US"/>
        </w:rPr>
        <w:t xml:space="preserve">Ingold, Timothy, </w:t>
      </w:r>
      <w:r w:rsidRPr="0020799C">
        <w:rPr>
          <w:rFonts w:ascii="Garamond" w:eastAsia="Calibri" w:hAnsi="Garamond" w:cs="Garamond"/>
          <w:i/>
          <w:iCs/>
          <w:lang w:eastAsia="en-US"/>
        </w:rPr>
        <w:t>The Appropriation of Nature: Essays on Human Ecology and Social Relations</w:t>
      </w:r>
      <w:r w:rsidRPr="0020799C">
        <w:rPr>
          <w:rFonts w:ascii="Garamond" w:eastAsia="Calibri" w:hAnsi="Garamond" w:cs="Garamond"/>
          <w:lang w:eastAsia="en-US"/>
        </w:rPr>
        <w:t>. (Manchester: University of Manchester Press, 1986)</w:t>
      </w:r>
    </w:p>
    <w:bookmarkEnd w:id="34"/>
    <w:p w14:paraId="0A8ABCAA" w14:textId="77777777" w:rsidR="0020799C" w:rsidRPr="0020799C" w:rsidRDefault="0020799C" w:rsidP="0020799C">
      <w:pPr>
        <w:widowControl w:val="0"/>
        <w:autoSpaceDE w:val="0"/>
        <w:autoSpaceDN w:val="0"/>
        <w:adjustRightInd w:val="0"/>
        <w:spacing w:after="120"/>
        <w:jc w:val="both"/>
        <w:rPr>
          <w:rFonts w:ascii="Garamond" w:eastAsia="Calibri" w:hAnsi="Garamond" w:cs="Garamond"/>
          <w:highlight w:val="yellow"/>
          <w:lang w:eastAsia="en-US"/>
        </w:rPr>
      </w:pPr>
      <w:r w:rsidRPr="0020799C">
        <w:rPr>
          <w:rFonts w:ascii="Garamond" w:eastAsia="Calibri" w:hAnsi="Garamond" w:cs="Garamond"/>
          <w:lang w:eastAsia="en-US"/>
        </w:rPr>
        <w:t>Jarman, N</w:t>
      </w:r>
      <w:r w:rsidR="00625B05">
        <w:rPr>
          <w:rFonts w:ascii="Garamond" w:eastAsia="Calibri" w:hAnsi="Garamond" w:cs="Garamond"/>
          <w:lang w:eastAsia="en-US"/>
        </w:rPr>
        <w:t>eil</w:t>
      </w:r>
      <w:r w:rsidRPr="0020799C">
        <w:rPr>
          <w:rFonts w:ascii="Garamond" w:eastAsia="Calibri" w:hAnsi="Garamond" w:cs="Garamond"/>
          <w:lang w:eastAsia="en-US"/>
        </w:rPr>
        <w:t xml:space="preserve">, ‘Intersecting Belfast’, in </w:t>
      </w:r>
      <w:r w:rsidRPr="0020799C">
        <w:rPr>
          <w:rFonts w:ascii="Garamond" w:eastAsia="Calibri" w:hAnsi="Garamond" w:cs="Garamond"/>
          <w:i/>
          <w:iCs/>
          <w:lang w:eastAsia="en-US"/>
        </w:rPr>
        <w:t>Landscape: Politics and Perspectives</w:t>
      </w:r>
      <w:r w:rsidRPr="0020799C">
        <w:rPr>
          <w:rFonts w:ascii="Garamond" w:eastAsia="Calibri" w:hAnsi="Garamond" w:cs="Garamond"/>
          <w:lang w:eastAsia="en-US"/>
        </w:rPr>
        <w:t>, ed. by Barbara Bender, (Oxford: Berg, 1993), pp. 107-138</w:t>
      </w:r>
    </w:p>
    <w:p w14:paraId="07748527" w14:textId="77777777" w:rsidR="0020799C" w:rsidRPr="0020799C" w:rsidRDefault="0020799C" w:rsidP="0020799C">
      <w:pPr>
        <w:spacing w:after="120"/>
        <w:jc w:val="both"/>
        <w:rPr>
          <w:rFonts w:ascii="Garamond" w:eastAsia="Times New Roman" w:hAnsi="Garamond" w:cs="Arial"/>
          <w:szCs w:val="32"/>
          <w:lang w:eastAsia="en-GB"/>
        </w:rPr>
      </w:pPr>
      <w:bookmarkStart w:id="35" w:name="_Hlk127201994"/>
      <w:r w:rsidRPr="0020799C">
        <w:rPr>
          <w:rFonts w:ascii="Garamond" w:eastAsia="Times New Roman" w:hAnsi="Garamond" w:cs="Arial"/>
          <w:szCs w:val="32"/>
          <w:lang w:eastAsia="en-GB"/>
        </w:rPr>
        <w:t xml:space="preserve">Jones, Andy M. </w:t>
      </w:r>
      <w:r w:rsidRPr="0020799C">
        <w:rPr>
          <w:rFonts w:ascii="Garamond" w:eastAsia="Times New Roman" w:hAnsi="Garamond" w:cs="Arial"/>
          <w:i/>
          <w:iCs/>
          <w:szCs w:val="32"/>
          <w:lang w:eastAsia="en-GB"/>
        </w:rPr>
        <w:t>Cornish Bronze Age ceremonial landscapes c.2500-1500 BC</w:t>
      </w:r>
      <w:r w:rsidRPr="0020799C">
        <w:rPr>
          <w:rFonts w:ascii="Garamond" w:eastAsia="Times New Roman" w:hAnsi="Garamond" w:cs="Arial"/>
          <w:szCs w:val="32"/>
          <w:lang w:eastAsia="en-GB"/>
        </w:rPr>
        <w:t>. (Oxford: British Archaeological Reports, British Series 394,</w:t>
      </w:r>
      <w:r w:rsidRPr="0020799C">
        <w:rPr>
          <w:rFonts w:ascii="Calibri" w:eastAsia="Calibri" w:hAnsi="Calibri"/>
          <w:sz w:val="22"/>
          <w:szCs w:val="22"/>
          <w:lang w:eastAsia="en-US"/>
        </w:rPr>
        <w:t xml:space="preserve"> </w:t>
      </w:r>
      <w:r w:rsidRPr="0020799C">
        <w:rPr>
          <w:rFonts w:ascii="Garamond" w:eastAsia="Times New Roman" w:hAnsi="Garamond" w:cs="Arial"/>
          <w:szCs w:val="32"/>
          <w:lang w:eastAsia="en-GB"/>
        </w:rPr>
        <w:t>2005)</w:t>
      </w:r>
    </w:p>
    <w:p w14:paraId="1C24CFE9"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36" w:name="_Hlk150084767"/>
      <w:bookmarkEnd w:id="35"/>
      <w:r w:rsidRPr="0020799C">
        <w:rPr>
          <w:rFonts w:ascii="Garamond" w:eastAsia="Calibri" w:hAnsi="Garamond" w:cs="Garamond"/>
          <w:lang w:eastAsia="en-US"/>
        </w:rPr>
        <w:t xml:space="preserve">Miller, Daniel and Tilley, Christopher, </w:t>
      </w:r>
      <w:r w:rsidRPr="0020799C">
        <w:rPr>
          <w:rFonts w:ascii="Garamond" w:eastAsia="Calibri" w:hAnsi="Garamond" w:cs="Garamond"/>
          <w:i/>
          <w:iCs/>
          <w:lang w:eastAsia="en-US"/>
        </w:rPr>
        <w:t>Ideology, Power and Prehistory</w:t>
      </w:r>
      <w:r w:rsidRPr="0020799C">
        <w:rPr>
          <w:rFonts w:ascii="Garamond" w:eastAsia="Calibri" w:hAnsi="Garamond" w:cs="Garamond"/>
          <w:lang w:eastAsia="en-US"/>
        </w:rPr>
        <w:t>. (Cambridge: Cambridge University Press, 1984)</w:t>
      </w:r>
    </w:p>
    <w:p w14:paraId="4B48CD99" w14:textId="77777777" w:rsidR="0020799C" w:rsidRPr="0020799C" w:rsidRDefault="0020799C" w:rsidP="0020799C">
      <w:pPr>
        <w:autoSpaceDE w:val="0"/>
        <w:autoSpaceDN w:val="0"/>
        <w:adjustRightInd w:val="0"/>
        <w:spacing w:after="120"/>
        <w:jc w:val="both"/>
        <w:rPr>
          <w:rFonts w:ascii="Garamond" w:eastAsia="Times New Roman" w:hAnsi="Garamond" w:cs="Arial"/>
          <w:lang w:eastAsia="en-GB"/>
        </w:rPr>
      </w:pPr>
      <w:bookmarkStart w:id="37" w:name="_Hlk150083530"/>
      <w:bookmarkEnd w:id="36"/>
      <w:r w:rsidRPr="0020799C">
        <w:rPr>
          <w:rFonts w:ascii="Garamond" w:eastAsia="Times New Roman" w:hAnsi="Garamond" w:cs="Arial"/>
          <w:lang w:eastAsia="en-GB"/>
        </w:rPr>
        <w:t xml:space="preserve">Renfrew, Colin, </w:t>
      </w:r>
      <w:r w:rsidRPr="0020799C">
        <w:rPr>
          <w:rFonts w:ascii="Garamond" w:eastAsia="Times New Roman" w:hAnsi="Garamond" w:cs="Arial"/>
          <w:i/>
          <w:iCs/>
          <w:lang w:eastAsia="en-GB"/>
        </w:rPr>
        <w:t>Approaches to Social Archaeology</w:t>
      </w:r>
      <w:r w:rsidRPr="0020799C">
        <w:rPr>
          <w:rFonts w:ascii="Garamond" w:eastAsia="Times New Roman" w:hAnsi="Garamond" w:cs="Arial"/>
          <w:lang w:eastAsia="en-GB"/>
        </w:rPr>
        <w:t>. (Edinburgh: Edinburgh University Press, 1984</w:t>
      </w:r>
      <w:bookmarkEnd w:id="37"/>
      <w:r w:rsidRPr="0020799C">
        <w:rPr>
          <w:rFonts w:ascii="Garamond" w:eastAsia="Times New Roman" w:hAnsi="Garamond" w:cs="Arial"/>
          <w:lang w:eastAsia="en-GB"/>
        </w:rPr>
        <w:t>)</w:t>
      </w:r>
    </w:p>
    <w:p w14:paraId="43044A03" w14:textId="77777777" w:rsidR="0020799C" w:rsidRPr="0020799C" w:rsidRDefault="0020799C" w:rsidP="0020799C">
      <w:pPr>
        <w:autoSpaceDE w:val="0"/>
        <w:autoSpaceDN w:val="0"/>
        <w:adjustRightInd w:val="0"/>
        <w:spacing w:after="120"/>
        <w:jc w:val="both"/>
        <w:rPr>
          <w:rFonts w:ascii="Garamond" w:eastAsia="Times New Roman" w:hAnsi="Garamond" w:cs="Arial"/>
          <w:lang w:eastAsia="en-GB"/>
        </w:rPr>
      </w:pPr>
      <w:r w:rsidRPr="0020799C">
        <w:rPr>
          <w:rFonts w:ascii="Garamond" w:eastAsia="Times New Roman" w:hAnsi="Garamond" w:cs="Arial"/>
          <w:lang w:eastAsia="en-GB"/>
        </w:rPr>
        <w:t xml:space="preserve">Richards, Colin, ‘Henges and water: Towards an understanding of monumentality and landscape in Late Neolithic Britain’, </w:t>
      </w:r>
      <w:r w:rsidRPr="0020799C">
        <w:rPr>
          <w:rFonts w:ascii="Garamond" w:eastAsia="Times New Roman" w:hAnsi="Garamond" w:cs="Arial"/>
          <w:i/>
          <w:iCs/>
          <w:lang w:eastAsia="en-GB"/>
        </w:rPr>
        <w:t>Journal of Material Culture</w:t>
      </w:r>
      <w:r w:rsidRPr="0020799C">
        <w:rPr>
          <w:rFonts w:ascii="Garamond" w:eastAsia="Times New Roman" w:hAnsi="Garamond" w:cs="Arial"/>
          <w:lang w:eastAsia="en-GB"/>
        </w:rPr>
        <w:t>, 1, (1996), pp. 313-336</w:t>
      </w:r>
    </w:p>
    <w:p w14:paraId="1698305B" w14:textId="77777777" w:rsidR="0020799C" w:rsidRPr="0020799C" w:rsidRDefault="0020799C" w:rsidP="0020799C">
      <w:pPr>
        <w:autoSpaceDE w:val="0"/>
        <w:autoSpaceDN w:val="0"/>
        <w:adjustRightInd w:val="0"/>
        <w:spacing w:after="120"/>
        <w:jc w:val="both"/>
        <w:rPr>
          <w:rFonts w:ascii="Garamond" w:eastAsia="Times New Roman" w:hAnsi="Garamond" w:cs="Arial"/>
          <w:lang w:eastAsia="en-GB"/>
        </w:rPr>
      </w:pPr>
      <w:bookmarkStart w:id="38" w:name="_Hlk150093808"/>
      <w:r w:rsidRPr="0020799C">
        <w:rPr>
          <w:rFonts w:ascii="Garamond" w:eastAsia="Times New Roman" w:hAnsi="Garamond" w:cs="Arial"/>
          <w:lang w:eastAsia="en-GB"/>
        </w:rPr>
        <w:t xml:space="preserve">Selwyn, Tom, ‘Landscapes of Separation: Reflections on the symbolism of by-pass roads in Palestine,’ in </w:t>
      </w:r>
      <w:r w:rsidRPr="0020799C">
        <w:rPr>
          <w:rFonts w:ascii="Garamond" w:eastAsia="Times New Roman" w:hAnsi="Garamond" w:cs="Arial"/>
          <w:i/>
          <w:iCs/>
          <w:lang w:eastAsia="en-GB"/>
        </w:rPr>
        <w:t>Contested Landscapes: Movement, Exile and Place</w:t>
      </w:r>
      <w:r w:rsidRPr="0020799C">
        <w:rPr>
          <w:rFonts w:ascii="Garamond" w:eastAsia="Times New Roman" w:hAnsi="Garamond" w:cs="Arial"/>
          <w:lang w:eastAsia="en-GB"/>
        </w:rPr>
        <w:t>, ed. by Barbara Bender and Margot Winer, (Oxford: Berg, 2001) pp. 225-240</w:t>
      </w:r>
    </w:p>
    <w:p w14:paraId="6783CFAC" w14:textId="77777777" w:rsidR="0020799C" w:rsidRPr="0020799C" w:rsidRDefault="0020799C" w:rsidP="0020799C">
      <w:pPr>
        <w:autoSpaceDE w:val="0"/>
        <w:autoSpaceDN w:val="0"/>
        <w:adjustRightInd w:val="0"/>
        <w:spacing w:after="120"/>
        <w:jc w:val="both"/>
        <w:rPr>
          <w:rFonts w:ascii="Garamond" w:eastAsia="Times New Roman" w:hAnsi="Garamond" w:cs="Arial"/>
          <w:lang w:eastAsia="en-GB"/>
        </w:rPr>
      </w:pPr>
      <w:bookmarkStart w:id="39" w:name="_Hlk150084959"/>
      <w:bookmarkEnd w:id="38"/>
      <w:r w:rsidRPr="0020799C">
        <w:rPr>
          <w:rFonts w:ascii="Garamond" w:eastAsia="Times New Roman" w:hAnsi="Garamond" w:cs="Arial"/>
          <w:lang w:eastAsia="en-GB"/>
        </w:rPr>
        <w:t xml:space="preserve">Shanks, Michael and Tilley, Christopher, </w:t>
      </w:r>
      <w:r w:rsidRPr="0020799C">
        <w:rPr>
          <w:rFonts w:ascii="Garamond" w:eastAsia="Times New Roman" w:hAnsi="Garamond" w:cs="Arial"/>
          <w:i/>
          <w:iCs/>
          <w:lang w:eastAsia="en-GB"/>
        </w:rPr>
        <w:t>Reconstructing archaeology: Theory and practice</w:t>
      </w:r>
      <w:r w:rsidRPr="0020799C">
        <w:rPr>
          <w:rFonts w:ascii="Garamond" w:eastAsia="Times New Roman" w:hAnsi="Garamond" w:cs="Arial"/>
          <w:lang w:eastAsia="en-GB"/>
        </w:rPr>
        <w:t>. (London: Routledge, 1992)</w:t>
      </w:r>
    </w:p>
    <w:p w14:paraId="46C2F7AA" w14:textId="77777777" w:rsidR="0020799C" w:rsidRPr="0020799C" w:rsidRDefault="0020799C" w:rsidP="0020799C">
      <w:pPr>
        <w:spacing w:after="120"/>
        <w:jc w:val="both"/>
        <w:rPr>
          <w:rFonts w:ascii="Garamond" w:eastAsia="Times New Roman" w:hAnsi="Garamond"/>
          <w:lang w:eastAsia="en-US"/>
        </w:rPr>
      </w:pPr>
      <w:bookmarkStart w:id="40" w:name="_Hlk149413444"/>
      <w:bookmarkStart w:id="41" w:name="_Hlk150085330"/>
      <w:bookmarkEnd w:id="39"/>
      <w:r w:rsidRPr="0020799C">
        <w:rPr>
          <w:rFonts w:ascii="Garamond" w:eastAsia="Times New Roman" w:hAnsi="Garamond"/>
          <w:lang w:eastAsia="en-US"/>
        </w:rPr>
        <w:t>Tilley, Christopher</w:t>
      </w:r>
      <w:bookmarkEnd w:id="40"/>
      <w:r w:rsidRPr="0020799C">
        <w:rPr>
          <w:rFonts w:ascii="Garamond" w:eastAsia="Times New Roman" w:hAnsi="Garamond"/>
          <w:lang w:eastAsia="en-US"/>
        </w:rPr>
        <w:t xml:space="preserve">, </w:t>
      </w:r>
      <w:r w:rsidRPr="0020799C">
        <w:rPr>
          <w:rFonts w:ascii="Garamond" w:eastAsia="Times New Roman" w:hAnsi="Garamond"/>
          <w:i/>
          <w:lang w:eastAsia="en-US"/>
        </w:rPr>
        <w:t>A Phenomenology of Landscape: Places, Paths and Monuments</w:t>
      </w:r>
      <w:r w:rsidRPr="0020799C">
        <w:rPr>
          <w:rFonts w:ascii="Garamond" w:eastAsia="Times New Roman" w:hAnsi="Garamond"/>
          <w:lang w:eastAsia="en-US"/>
        </w:rPr>
        <w:t>. (Oxford: Berg, 1994)</w:t>
      </w:r>
    </w:p>
    <w:p w14:paraId="40A40A1A"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42" w:name="_Hlk150088518"/>
      <w:bookmarkEnd w:id="41"/>
      <w:r w:rsidRPr="0020799C">
        <w:rPr>
          <w:rFonts w:ascii="Garamond" w:eastAsia="Calibri" w:hAnsi="Garamond" w:cs="Garamond"/>
          <w:lang w:eastAsia="en-US"/>
        </w:rPr>
        <w:t xml:space="preserve">Tilley, Christopher, ‘The powers of rocks: topography and monument construction on Bodmin Moor’, </w:t>
      </w:r>
      <w:r w:rsidRPr="0020799C">
        <w:rPr>
          <w:rFonts w:ascii="Garamond" w:eastAsia="Calibri" w:hAnsi="Garamond" w:cs="Garamond"/>
          <w:i/>
          <w:iCs/>
          <w:lang w:eastAsia="en-US"/>
        </w:rPr>
        <w:t xml:space="preserve">World Archaeology, </w:t>
      </w:r>
      <w:r w:rsidRPr="0020799C">
        <w:rPr>
          <w:rFonts w:ascii="Garamond" w:eastAsia="Calibri" w:hAnsi="Garamond" w:cs="Garamond"/>
          <w:lang w:eastAsia="en-US"/>
        </w:rPr>
        <w:t>28, (1996), pp. 161-176</w:t>
      </w:r>
    </w:p>
    <w:p w14:paraId="70245D03"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43" w:name="_Hlk150088619"/>
      <w:bookmarkEnd w:id="42"/>
      <w:r w:rsidRPr="0020799C">
        <w:rPr>
          <w:rFonts w:ascii="Garamond" w:eastAsia="Calibri" w:hAnsi="Garamond" w:cs="Garamond"/>
          <w:lang w:eastAsia="en-US"/>
        </w:rPr>
        <w:t xml:space="preserve">Tilley, Christopher, and Bennett, Wayne, ‘An archaeology of supernatural places: the case of West Penwith’, </w:t>
      </w:r>
      <w:r w:rsidRPr="0020799C">
        <w:rPr>
          <w:rFonts w:ascii="Garamond" w:eastAsia="Calibri" w:hAnsi="Garamond" w:cs="Garamond"/>
          <w:i/>
          <w:iCs/>
          <w:lang w:eastAsia="en-US"/>
        </w:rPr>
        <w:t>Journal of the Royal Anthropological Institute</w:t>
      </w:r>
      <w:r w:rsidRPr="0020799C">
        <w:rPr>
          <w:rFonts w:ascii="Garamond" w:eastAsia="Calibri" w:hAnsi="Garamond" w:cs="Garamond"/>
          <w:lang w:eastAsia="en-US"/>
        </w:rPr>
        <w:t>, 61, (2002), 335-362</w:t>
      </w:r>
    </w:p>
    <w:p w14:paraId="3E112690" w14:textId="77777777" w:rsidR="0020799C" w:rsidRPr="0020799C" w:rsidRDefault="0020799C" w:rsidP="0020799C">
      <w:pPr>
        <w:spacing w:after="120"/>
        <w:jc w:val="both"/>
        <w:rPr>
          <w:rFonts w:ascii="Garamond" w:eastAsia="Times New Roman" w:hAnsi="Garamond"/>
          <w:lang w:eastAsia="en-US"/>
        </w:rPr>
      </w:pPr>
      <w:bookmarkStart w:id="44" w:name="_Hlk150086518"/>
      <w:bookmarkEnd w:id="43"/>
      <w:r w:rsidRPr="0020799C">
        <w:rPr>
          <w:rFonts w:ascii="Garamond" w:eastAsia="Times New Roman" w:hAnsi="Garamond"/>
          <w:lang w:eastAsia="en-US"/>
        </w:rPr>
        <w:lastRenderedPageBreak/>
        <w:t xml:space="preserve">Tilley, Christopher, </w:t>
      </w:r>
      <w:r w:rsidRPr="0020799C">
        <w:rPr>
          <w:rFonts w:ascii="Garamond" w:eastAsia="Times New Roman" w:hAnsi="Garamond"/>
          <w:i/>
          <w:iCs/>
          <w:lang w:eastAsia="en-US"/>
        </w:rPr>
        <w:t>The Materiality of Stone: explorations in landscape phenomenology</w:t>
      </w:r>
      <w:r w:rsidRPr="0020799C">
        <w:rPr>
          <w:rFonts w:ascii="Garamond" w:eastAsia="Times New Roman" w:hAnsi="Garamond"/>
          <w:lang w:eastAsia="en-US"/>
        </w:rPr>
        <w:t>. (Oxford: Berg, 2004)</w:t>
      </w:r>
    </w:p>
    <w:p w14:paraId="33014080" w14:textId="77777777" w:rsidR="0020799C" w:rsidRPr="0020799C" w:rsidRDefault="0020799C" w:rsidP="0020799C">
      <w:pPr>
        <w:spacing w:after="120"/>
        <w:jc w:val="both"/>
        <w:rPr>
          <w:rFonts w:ascii="Garamond" w:eastAsia="Times New Roman" w:hAnsi="Garamond"/>
          <w:lang w:eastAsia="en-US"/>
        </w:rPr>
      </w:pPr>
      <w:bookmarkStart w:id="45" w:name="_Hlk150090286"/>
      <w:bookmarkEnd w:id="44"/>
      <w:r w:rsidRPr="0020799C">
        <w:rPr>
          <w:rFonts w:ascii="Garamond" w:eastAsia="Times New Roman" w:hAnsi="Garamond"/>
          <w:lang w:eastAsia="en-US"/>
        </w:rPr>
        <w:t xml:space="preserve">Tilley, Christopher, </w:t>
      </w:r>
      <w:r w:rsidRPr="0020799C">
        <w:rPr>
          <w:rFonts w:ascii="Garamond" w:eastAsia="Times New Roman" w:hAnsi="Garamond"/>
          <w:i/>
          <w:lang w:eastAsia="en-US"/>
        </w:rPr>
        <w:t>Interpreting landscapes: Geologies, topographies, identities</w:t>
      </w:r>
      <w:r w:rsidRPr="0020799C">
        <w:rPr>
          <w:rFonts w:ascii="Garamond" w:eastAsia="Times New Roman" w:hAnsi="Garamond"/>
          <w:lang w:eastAsia="en-US"/>
        </w:rPr>
        <w:t>. (Walnut Creek: Left Coast Press, 2010)</w:t>
      </w:r>
    </w:p>
    <w:p w14:paraId="52142E57" w14:textId="77777777" w:rsidR="0020799C" w:rsidRPr="0020799C" w:rsidRDefault="0020799C" w:rsidP="0020799C">
      <w:pPr>
        <w:spacing w:after="120"/>
        <w:jc w:val="both"/>
        <w:rPr>
          <w:rFonts w:ascii="Garamond" w:eastAsia="Times New Roman" w:hAnsi="Garamond"/>
          <w:lang w:eastAsia="en-GB"/>
        </w:rPr>
      </w:pPr>
      <w:bookmarkStart w:id="46" w:name="_Hlk150090438"/>
      <w:bookmarkEnd w:id="45"/>
      <w:r w:rsidRPr="0020799C">
        <w:rPr>
          <w:rFonts w:ascii="Garamond" w:eastAsia="Times New Roman" w:hAnsi="Garamond"/>
          <w:lang w:eastAsia="en-GB"/>
        </w:rPr>
        <w:t xml:space="preserve">Tilley, Christopher </w:t>
      </w:r>
      <w:r w:rsidRPr="0020799C">
        <w:rPr>
          <w:rFonts w:ascii="Garamond" w:eastAsia="Times New Roman" w:hAnsi="Garamond"/>
          <w:i/>
          <w:lang w:eastAsia="en-GB"/>
        </w:rPr>
        <w:t>Landscape in the longue durée: A history and theory of pebbles in a pebbled heathland landscape</w:t>
      </w:r>
      <w:r w:rsidRPr="0020799C">
        <w:rPr>
          <w:rFonts w:ascii="Garamond" w:eastAsia="Times New Roman" w:hAnsi="Garamond"/>
          <w:lang w:eastAsia="en-GB"/>
        </w:rPr>
        <w:t>. (London: University College London Press, 2017)</w:t>
      </w:r>
    </w:p>
    <w:p w14:paraId="6B429027" w14:textId="77777777" w:rsidR="0020799C" w:rsidRPr="0020799C" w:rsidRDefault="0020799C" w:rsidP="0020799C">
      <w:pPr>
        <w:widowControl w:val="0"/>
        <w:autoSpaceDE w:val="0"/>
        <w:autoSpaceDN w:val="0"/>
        <w:adjustRightInd w:val="0"/>
        <w:spacing w:after="120"/>
        <w:jc w:val="both"/>
        <w:rPr>
          <w:rFonts w:ascii="Garamond" w:eastAsia="Calibri" w:hAnsi="Garamond" w:cs="Garamond"/>
          <w:lang w:eastAsia="en-US"/>
        </w:rPr>
      </w:pPr>
      <w:bookmarkStart w:id="47" w:name="_Hlk150084837"/>
      <w:bookmarkEnd w:id="46"/>
      <w:r w:rsidRPr="0020799C">
        <w:rPr>
          <w:rFonts w:ascii="Garamond" w:eastAsia="Calibri" w:hAnsi="Garamond" w:cs="Garamond"/>
          <w:lang w:eastAsia="en-US"/>
        </w:rPr>
        <w:t xml:space="preserve">Ucko, Peter, and Layton, Robert, 1999. </w:t>
      </w:r>
      <w:r w:rsidRPr="0020799C">
        <w:rPr>
          <w:rFonts w:ascii="Garamond" w:eastAsia="Calibri" w:hAnsi="Garamond" w:cs="Garamond"/>
          <w:i/>
          <w:iCs/>
          <w:lang w:eastAsia="en-US"/>
        </w:rPr>
        <w:t>The Archaeology and Anthropology of Landscape</w:t>
      </w:r>
      <w:r w:rsidRPr="0020799C">
        <w:rPr>
          <w:rFonts w:ascii="Garamond" w:eastAsia="Calibri" w:hAnsi="Garamond" w:cs="Garamond"/>
          <w:lang w:eastAsia="en-US"/>
        </w:rPr>
        <w:t>. (London: Routledge, 1999)</w:t>
      </w:r>
    </w:p>
    <w:p w14:paraId="73A10C1F" w14:textId="77777777" w:rsidR="0020799C" w:rsidRPr="0020799C" w:rsidRDefault="0020799C" w:rsidP="0020799C">
      <w:pPr>
        <w:spacing w:after="120"/>
        <w:jc w:val="both"/>
        <w:rPr>
          <w:rFonts w:ascii="Garamond" w:eastAsia="Times New Roman" w:hAnsi="Garamond"/>
          <w:lang w:eastAsia="en-GB"/>
        </w:rPr>
      </w:pPr>
      <w:bookmarkStart w:id="48" w:name="_Hlk150089036"/>
      <w:bookmarkEnd w:id="47"/>
      <w:r w:rsidRPr="0020799C">
        <w:rPr>
          <w:rFonts w:ascii="Garamond" w:eastAsia="Times New Roman" w:hAnsi="Garamond"/>
          <w:lang w:eastAsia="en-GB"/>
        </w:rPr>
        <w:t xml:space="preserve">Watson, Aaron, The sounds of transformation: acoustics, monuments and ritual in the British Neolithic, in </w:t>
      </w:r>
      <w:r w:rsidRPr="0020799C">
        <w:rPr>
          <w:rFonts w:ascii="Garamond" w:eastAsia="Times New Roman" w:hAnsi="Garamond"/>
          <w:i/>
          <w:iCs/>
          <w:lang w:eastAsia="en-GB"/>
        </w:rPr>
        <w:t>The Archaeology of Shamanism</w:t>
      </w:r>
      <w:r w:rsidRPr="0020799C">
        <w:rPr>
          <w:rFonts w:ascii="Garamond" w:eastAsia="Times New Roman" w:hAnsi="Garamond"/>
          <w:lang w:eastAsia="en-GB"/>
        </w:rPr>
        <w:t>, ed by Neil Price (ed) (London: Routledge, 2001), pp. 178-192</w:t>
      </w:r>
    </w:p>
    <w:bookmarkEnd w:id="48"/>
    <w:p w14:paraId="045AE718" w14:textId="77777777" w:rsidR="00625B05" w:rsidRDefault="00625B05" w:rsidP="0020799C">
      <w:pPr>
        <w:spacing w:after="120"/>
        <w:jc w:val="both"/>
        <w:rPr>
          <w:rFonts w:ascii="Garamond" w:eastAsia="Calibri" w:hAnsi="Garamond"/>
          <w:b/>
          <w:bCs/>
          <w:lang w:eastAsia="en-US"/>
        </w:rPr>
      </w:pPr>
    </w:p>
    <w:p w14:paraId="2E603180" w14:textId="77777777" w:rsidR="0020799C" w:rsidRPr="00625B05" w:rsidRDefault="0020799C" w:rsidP="00625B05">
      <w:pPr>
        <w:spacing w:after="120"/>
        <w:jc w:val="both"/>
        <w:rPr>
          <w:rFonts w:ascii="Garamond" w:eastAsia="Calibri" w:hAnsi="Garamond"/>
          <w:b/>
          <w:bCs/>
          <w:lang w:eastAsia="en-US"/>
        </w:rPr>
      </w:pPr>
      <w:r w:rsidRPr="0020799C">
        <w:rPr>
          <w:rFonts w:ascii="Garamond" w:eastAsia="Calibri" w:hAnsi="Garamond"/>
          <w:b/>
          <w:bCs/>
          <w:lang w:eastAsia="en-US"/>
        </w:rPr>
        <w:t>Notes</w:t>
      </w:r>
    </w:p>
    <w:sectPr w:rsidR="0020799C" w:rsidRPr="00625B05" w:rsidSect="00B462B1">
      <w:headerReference w:type="default" r:id="rId9"/>
      <w:footerReference w:type="default" r:id="rId10"/>
      <w:endnotePr>
        <w:numFmt w:val="decimal"/>
      </w:endnotePr>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68B49F" w14:textId="77777777" w:rsidR="00A5179E" w:rsidRDefault="00A5179E" w:rsidP="00AD5D5A">
      <w:r>
        <w:separator/>
      </w:r>
    </w:p>
  </w:endnote>
  <w:endnote w:type="continuationSeparator" w:id="0">
    <w:p w14:paraId="161BBFAF" w14:textId="77777777" w:rsidR="00A5179E" w:rsidRDefault="00A5179E" w:rsidP="00AD5D5A">
      <w:r>
        <w:continuationSeparator/>
      </w:r>
    </w:p>
  </w:endnote>
  <w:endnote w:id="1">
    <w:p w14:paraId="4C30CD65" w14:textId="77777777" w:rsidR="0020799C" w:rsidRDefault="0020799C" w:rsidP="0020799C">
      <w:pPr>
        <w:pStyle w:val="EndnoteText"/>
      </w:pPr>
      <w:r>
        <w:rPr>
          <w:rStyle w:val="EndnoteReference"/>
        </w:rPr>
        <w:endnoteRef/>
      </w:r>
      <w:r>
        <w:t xml:space="preserve"> </w:t>
      </w:r>
      <w:r w:rsidRPr="00B221D4">
        <w:t xml:space="preserve">Daniel, Glyn, ‘Stone, Bronze and Iron’, in </w:t>
      </w:r>
      <w:r w:rsidRPr="00F715B3">
        <w:rPr>
          <w:i/>
          <w:iCs/>
        </w:rPr>
        <w:t>To illustrate the monuments</w:t>
      </w:r>
      <w:r w:rsidRPr="00B221D4">
        <w:t>, ed. by John Vincent Stanley Megaw, (London: Thames and Hudson, 1976), pp. 35-42</w:t>
      </w:r>
    </w:p>
  </w:endnote>
  <w:endnote w:id="2">
    <w:p w14:paraId="074467AC" w14:textId="77777777" w:rsidR="0020799C" w:rsidRDefault="0020799C" w:rsidP="0020799C">
      <w:pPr>
        <w:pStyle w:val="EndnoteText"/>
      </w:pPr>
      <w:r>
        <w:rPr>
          <w:rStyle w:val="EndnoteReference"/>
        </w:rPr>
        <w:endnoteRef/>
      </w:r>
      <w:r>
        <w:t xml:space="preserve"> </w:t>
      </w:r>
      <w:r w:rsidRPr="00007D36">
        <w:t xml:space="preserve">Fox, Cyril, </w:t>
      </w:r>
      <w:r w:rsidRPr="00F715B3">
        <w:rPr>
          <w:i/>
          <w:iCs/>
        </w:rPr>
        <w:t>The Personality of Britain</w:t>
      </w:r>
      <w:r>
        <w:t>.</w:t>
      </w:r>
      <w:r w:rsidRPr="00007D36">
        <w:t xml:space="preserve"> (Cardiff: The National Museum of Wales, 1938)</w:t>
      </w:r>
    </w:p>
  </w:endnote>
  <w:endnote w:id="3">
    <w:p w14:paraId="6649EC00" w14:textId="77777777" w:rsidR="0020799C" w:rsidRDefault="0020799C" w:rsidP="0020799C">
      <w:pPr>
        <w:pStyle w:val="EndnoteText"/>
      </w:pPr>
      <w:r>
        <w:rPr>
          <w:rStyle w:val="EndnoteReference"/>
        </w:rPr>
        <w:endnoteRef/>
      </w:r>
      <w:r>
        <w:t xml:space="preserve"> </w:t>
      </w:r>
      <w:r w:rsidRPr="00607CB8">
        <w:t xml:space="preserve">Fleming, Andrew, ‘Models for the development of the Wessex Culture’, in </w:t>
      </w:r>
      <w:r w:rsidRPr="00F715B3">
        <w:rPr>
          <w:i/>
          <w:iCs/>
        </w:rPr>
        <w:t>The Explanation of Culture Change</w:t>
      </w:r>
      <w:r w:rsidRPr="00607CB8">
        <w:t>, ed. by Colin Renfrew, (London: Duckworth, 1973), pp. 571-585</w:t>
      </w:r>
    </w:p>
  </w:endnote>
  <w:endnote w:id="4">
    <w:p w14:paraId="3CEFB6E2" w14:textId="77777777" w:rsidR="0020799C" w:rsidRDefault="0020799C" w:rsidP="0020799C">
      <w:pPr>
        <w:pStyle w:val="EndnoteText"/>
      </w:pPr>
      <w:r>
        <w:rPr>
          <w:rStyle w:val="EndnoteReference"/>
        </w:rPr>
        <w:endnoteRef/>
      </w:r>
      <w:r>
        <w:t xml:space="preserve"> </w:t>
      </w:r>
      <w:r w:rsidRPr="00F715B3">
        <w:t xml:space="preserve">Renfrew, Colin, </w:t>
      </w:r>
      <w:r w:rsidRPr="00F715B3">
        <w:rPr>
          <w:i/>
          <w:iCs/>
        </w:rPr>
        <w:t>Approaches to Social Archaeology</w:t>
      </w:r>
      <w:r w:rsidRPr="00F715B3">
        <w:t>. (Edinburgh: Edinburgh University Press, 1984</w:t>
      </w:r>
    </w:p>
  </w:endnote>
  <w:endnote w:id="5">
    <w:p w14:paraId="5347D1BE" w14:textId="77777777" w:rsidR="0020799C" w:rsidRDefault="0020799C" w:rsidP="0020799C">
      <w:pPr>
        <w:pStyle w:val="EndnoteText"/>
      </w:pPr>
      <w:r>
        <w:rPr>
          <w:rStyle w:val="EndnoteReference"/>
        </w:rPr>
        <w:endnoteRef/>
      </w:r>
      <w:r>
        <w:t xml:space="preserve"> </w:t>
      </w:r>
      <w:r w:rsidRPr="00CC2FB7">
        <w:t xml:space="preserve">Bender, Barbara, ‘Introduction’, in </w:t>
      </w:r>
      <w:r w:rsidRPr="00EF0E17">
        <w:rPr>
          <w:i/>
          <w:iCs/>
        </w:rPr>
        <w:t>Contested Landscapes: Movement, Exile and Place</w:t>
      </w:r>
      <w:r w:rsidRPr="00CC2FB7">
        <w:t>, ed. by Barbara Bender and Margot Winer, (Oxford: Berg, 2001) pp. 1-18</w:t>
      </w:r>
    </w:p>
  </w:endnote>
  <w:endnote w:id="6">
    <w:p w14:paraId="05465778" w14:textId="77777777" w:rsidR="0020799C" w:rsidRDefault="0020799C" w:rsidP="0020799C">
      <w:pPr>
        <w:pStyle w:val="EndnoteText"/>
      </w:pPr>
      <w:r>
        <w:rPr>
          <w:rStyle w:val="EndnoteReference"/>
        </w:rPr>
        <w:endnoteRef/>
      </w:r>
      <w:r>
        <w:t xml:space="preserve"> The World Archaeology led to the publication of two significant volumes on landscape and sacredness, </w:t>
      </w:r>
      <w:r w:rsidRPr="000C3753">
        <w:t xml:space="preserve">Carmichael, David, Hubert, Jane, Reeves, Brian, and Schande, Audhild, </w:t>
      </w:r>
      <w:r w:rsidRPr="000C3753">
        <w:rPr>
          <w:i/>
          <w:iCs/>
        </w:rPr>
        <w:t>Sacred Sites, Sacred Places</w:t>
      </w:r>
      <w:r>
        <w:t>.</w:t>
      </w:r>
      <w:r w:rsidRPr="000C3753">
        <w:t xml:space="preserve"> (London: Routledge, 1994)</w:t>
      </w:r>
      <w:r>
        <w:t xml:space="preserve"> and </w:t>
      </w:r>
      <w:r w:rsidRPr="004630B6">
        <w:t xml:space="preserve">Ucko, Peter, and Layton, Robert, 1999. </w:t>
      </w:r>
      <w:r w:rsidRPr="004630B6">
        <w:rPr>
          <w:i/>
          <w:iCs/>
        </w:rPr>
        <w:t>The Archaeology and Anthropology of Landscape</w:t>
      </w:r>
      <w:r w:rsidRPr="004630B6">
        <w:t>. (London: Routledge, 1999)</w:t>
      </w:r>
    </w:p>
  </w:endnote>
  <w:endnote w:id="7">
    <w:p w14:paraId="76964A37" w14:textId="77777777" w:rsidR="0020799C" w:rsidRDefault="0020799C" w:rsidP="0020799C">
      <w:pPr>
        <w:pStyle w:val="EndnoteText"/>
      </w:pPr>
      <w:r>
        <w:rPr>
          <w:rStyle w:val="EndnoteReference"/>
        </w:rPr>
        <w:endnoteRef/>
      </w:r>
      <w:r>
        <w:t xml:space="preserve"> </w:t>
      </w:r>
      <w:r w:rsidRPr="006563A0">
        <w:t xml:space="preserve">Miller, Daniel and Tilley, </w:t>
      </w:r>
      <w:r w:rsidRPr="006563A0">
        <w:rPr>
          <w:i/>
          <w:iCs/>
        </w:rPr>
        <w:t>Christopher, Ideology, Power and Prehistory</w:t>
      </w:r>
      <w:r w:rsidRPr="006563A0">
        <w:t>. (Cambridge: Cambridge University Press, 1984)</w:t>
      </w:r>
    </w:p>
  </w:endnote>
  <w:endnote w:id="8">
    <w:p w14:paraId="7EAA25F3" w14:textId="77777777" w:rsidR="0020799C" w:rsidRDefault="0020799C" w:rsidP="0020799C">
      <w:pPr>
        <w:pStyle w:val="EndnoteText"/>
      </w:pPr>
      <w:r>
        <w:rPr>
          <w:rStyle w:val="EndnoteReference"/>
        </w:rPr>
        <w:endnoteRef/>
      </w:r>
      <w:r>
        <w:t xml:space="preserve"> </w:t>
      </w:r>
      <w:r w:rsidRPr="00DE7ED0">
        <w:t xml:space="preserve">Shanks, Michael and Tilley, Christopher, </w:t>
      </w:r>
      <w:r w:rsidRPr="00DE7ED0">
        <w:rPr>
          <w:i/>
          <w:iCs/>
        </w:rPr>
        <w:t>Reconstructing archaeology: Theory and practice</w:t>
      </w:r>
      <w:r w:rsidRPr="00DE7ED0">
        <w:t>. (London: Routledge, 1992)</w:t>
      </w:r>
    </w:p>
  </w:endnote>
  <w:endnote w:id="9">
    <w:p w14:paraId="607ED2C9" w14:textId="77777777" w:rsidR="0020799C" w:rsidRDefault="0020799C" w:rsidP="0020799C">
      <w:pPr>
        <w:pStyle w:val="EndnoteText"/>
      </w:pPr>
      <w:r>
        <w:rPr>
          <w:rStyle w:val="EndnoteReference"/>
        </w:rPr>
        <w:endnoteRef/>
      </w:r>
      <w:r>
        <w:t xml:space="preserve"> </w:t>
      </w:r>
      <w:bookmarkStart w:id="3" w:name="_Hlk150086300"/>
      <w:r w:rsidRPr="00464C38">
        <w:t xml:space="preserve">Tilley, Christopher, </w:t>
      </w:r>
      <w:r w:rsidRPr="00464C38">
        <w:rPr>
          <w:i/>
          <w:iCs/>
        </w:rPr>
        <w:t>A Phenomenology of Landscape: Places, Paths and Monuments</w:t>
      </w:r>
      <w:r w:rsidRPr="00464C38">
        <w:t>. (Oxford: Berg, 1994)</w:t>
      </w:r>
      <w:r>
        <w:t>, p. 13</w:t>
      </w:r>
    </w:p>
    <w:bookmarkEnd w:id="3"/>
  </w:endnote>
  <w:endnote w:id="10">
    <w:p w14:paraId="7C695E6E" w14:textId="77777777" w:rsidR="0020799C" w:rsidRDefault="0020799C" w:rsidP="0020799C">
      <w:pPr>
        <w:pStyle w:val="EndnoteText"/>
      </w:pPr>
      <w:r>
        <w:rPr>
          <w:rStyle w:val="EndnoteReference"/>
        </w:rPr>
        <w:endnoteRef/>
      </w:r>
      <w:r>
        <w:t xml:space="preserve"> </w:t>
      </w:r>
      <w:r w:rsidRPr="00367782">
        <w:t xml:space="preserve">Cosgrove, Denis, and Daniels, Stephen, </w:t>
      </w:r>
      <w:r w:rsidRPr="00367782">
        <w:rPr>
          <w:i/>
          <w:iCs/>
        </w:rPr>
        <w:t>The Iconography of Landscape</w:t>
      </w:r>
      <w:r>
        <w:t>.</w:t>
      </w:r>
      <w:r w:rsidRPr="00367782">
        <w:t xml:space="preserve"> (Cambridge: Cambridge University Press, 1988)</w:t>
      </w:r>
    </w:p>
  </w:endnote>
  <w:endnote w:id="11">
    <w:p w14:paraId="71589400" w14:textId="77777777" w:rsidR="0020799C" w:rsidRDefault="0020799C" w:rsidP="0020799C">
      <w:pPr>
        <w:pStyle w:val="EndnoteText"/>
      </w:pPr>
      <w:r>
        <w:rPr>
          <w:rStyle w:val="EndnoteReference"/>
        </w:rPr>
        <w:endnoteRef/>
      </w:r>
      <w:r>
        <w:t xml:space="preserve"> </w:t>
      </w:r>
      <w:r w:rsidRPr="005F2A6B">
        <w:t xml:space="preserve">Ingold, Timothy, </w:t>
      </w:r>
      <w:r w:rsidRPr="005F2A6B">
        <w:rPr>
          <w:i/>
          <w:iCs/>
        </w:rPr>
        <w:t>The Appropriation of Nature: Essays on Human Ecology and Social Relations</w:t>
      </w:r>
      <w:r w:rsidRPr="005F2A6B">
        <w:t>. (Manchester: University of Manchester Press, 1986)</w:t>
      </w:r>
    </w:p>
  </w:endnote>
  <w:endnote w:id="12">
    <w:p w14:paraId="6E32AF85" w14:textId="77777777" w:rsidR="0020799C" w:rsidRDefault="0020799C" w:rsidP="0020799C">
      <w:pPr>
        <w:pStyle w:val="EndnoteText"/>
      </w:pPr>
      <w:r>
        <w:rPr>
          <w:rStyle w:val="EndnoteReference"/>
        </w:rPr>
        <w:endnoteRef/>
      </w:r>
      <w:r>
        <w:t xml:space="preserve"> </w:t>
      </w:r>
      <w:r w:rsidRPr="007A56BF">
        <w:t xml:space="preserve">Basso, Keith, </w:t>
      </w:r>
      <w:r w:rsidRPr="007A56BF">
        <w:rPr>
          <w:i/>
          <w:iCs/>
        </w:rPr>
        <w:t>Wisdom sits in places: Landscape and language amongst the western Apache</w:t>
      </w:r>
      <w:r w:rsidRPr="007A56BF">
        <w:t>. (Albuquerque: University of New Mexico Press, 1996)</w:t>
      </w:r>
    </w:p>
  </w:endnote>
  <w:endnote w:id="13">
    <w:p w14:paraId="29847455" w14:textId="77777777" w:rsidR="0020799C" w:rsidRDefault="0020799C" w:rsidP="0020799C">
      <w:pPr>
        <w:pStyle w:val="EndnoteText"/>
      </w:pPr>
      <w:r>
        <w:rPr>
          <w:rStyle w:val="EndnoteReference"/>
        </w:rPr>
        <w:endnoteRef/>
      </w:r>
      <w:r>
        <w:t xml:space="preserve"> </w:t>
      </w:r>
      <w:r w:rsidRPr="00804856">
        <w:t xml:space="preserve">Tilley, Christopher, </w:t>
      </w:r>
      <w:r w:rsidRPr="00804856">
        <w:rPr>
          <w:i/>
          <w:iCs/>
        </w:rPr>
        <w:t>A Phenomenology of Landscape</w:t>
      </w:r>
      <w:r w:rsidRPr="00804856">
        <w:t>, p. 1</w:t>
      </w:r>
      <w:r>
        <w:t>2</w:t>
      </w:r>
    </w:p>
  </w:endnote>
  <w:endnote w:id="14">
    <w:p w14:paraId="596FB3D3" w14:textId="77777777" w:rsidR="0020799C" w:rsidRDefault="0020799C" w:rsidP="0020799C">
      <w:pPr>
        <w:pStyle w:val="EndnoteText"/>
      </w:pPr>
      <w:r>
        <w:rPr>
          <w:rStyle w:val="EndnoteReference"/>
        </w:rPr>
        <w:endnoteRef/>
      </w:r>
      <w:r>
        <w:t xml:space="preserve"> </w:t>
      </w:r>
      <w:r w:rsidRPr="008B04C3">
        <w:t xml:space="preserve">Tilley, Christopher, </w:t>
      </w:r>
      <w:r w:rsidRPr="008B04C3">
        <w:rPr>
          <w:i/>
          <w:iCs/>
        </w:rPr>
        <w:t>The Materiality of Stone: explorations in landscape phenomenology</w:t>
      </w:r>
      <w:r w:rsidRPr="008B04C3">
        <w:t>. (Oxford: Berg, 2004)</w:t>
      </w:r>
      <w:r>
        <w:t>, pp. 29-30</w:t>
      </w:r>
    </w:p>
  </w:endnote>
  <w:endnote w:id="15">
    <w:p w14:paraId="2D52826A" w14:textId="77777777" w:rsidR="0020799C" w:rsidRDefault="0020799C" w:rsidP="0020799C">
      <w:pPr>
        <w:pStyle w:val="EndnoteText"/>
      </w:pPr>
      <w:r>
        <w:rPr>
          <w:rStyle w:val="EndnoteReference"/>
        </w:rPr>
        <w:endnoteRef/>
      </w:r>
      <w:r>
        <w:t xml:space="preserve"> </w:t>
      </w:r>
      <w:r w:rsidRPr="00804856">
        <w:t xml:space="preserve">Tilley, Christopher, </w:t>
      </w:r>
      <w:r w:rsidRPr="00804856">
        <w:rPr>
          <w:i/>
          <w:iCs/>
        </w:rPr>
        <w:t>A Phenomenology of Landscape</w:t>
      </w:r>
      <w:r w:rsidRPr="00804856">
        <w:t>, p.</w:t>
      </w:r>
      <w:r>
        <w:t>p.</w:t>
      </w:r>
      <w:r w:rsidRPr="00804856">
        <w:t xml:space="preserve"> </w:t>
      </w:r>
      <w:r>
        <w:t>31-34</w:t>
      </w:r>
    </w:p>
  </w:endnote>
  <w:endnote w:id="16">
    <w:p w14:paraId="5161F167" w14:textId="77777777" w:rsidR="0020799C" w:rsidRDefault="0020799C" w:rsidP="0020799C">
      <w:pPr>
        <w:pStyle w:val="EndnoteText"/>
      </w:pPr>
      <w:r>
        <w:rPr>
          <w:rStyle w:val="EndnoteReference"/>
        </w:rPr>
        <w:endnoteRef/>
      </w:r>
      <w:r>
        <w:t xml:space="preserve"> </w:t>
      </w:r>
      <w:r w:rsidRPr="00F5362F">
        <w:t xml:space="preserve">Tilley, Christopher, </w:t>
      </w:r>
      <w:r w:rsidRPr="00F5362F">
        <w:rPr>
          <w:i/>
          <w:iCs/>
        </w:rPr>
        <w:t>The Materiality of Stone</w:t>
      </w:r>
      <w:r w:rsidRPr="00F5362F">
        <w:t xml:space="preserve">, pp. </w:t>
      </w:r>
      <w:r>
        <w:t>14</w:t>
      </w:r>
      <w:r w:rsidRPr="00F5362F">
        <w:t>-</w:t>
      </w:r>
      <w:r>
        <w:t>15</w:t>
      </w:r>
    </w:p>
  </w:endnote>
  <w:endnote w:id="17">
    <w:p w14:paraId="3576CE8A" w14:textId="77777777" w:rsidR="0020799C" w:rsidRDefault="0020799C" w:rsidP="0020799C">
      <w:pPr>
        <w:pStyle w:val="EndnoteText"/>
      </w:pPr>
      <w:r>
        <w:rPr>
          <w:rStyle w:val="EndnoteReference"/>
        </w:rPr>
        <w:endnoteRef/>
      </w:r>
      <w:r>
        <w:t xml:space="preserve"> </w:t>
      </w:r>
      <w:r w:rsidRPr="00804856">
        <w:t xml:space="preserve">Tilley, Christopher, </w:t>
      </w:r>
      <w:r w:rsidRPr="00804856">
        <w:rPr>
          <w:i/>
          <w:iCs/>
        </w:rPr>
        <w:t>A Phenomenology of Landscape</w:t>
      </w:r>
    </w:p>
  </w:endnote>
  <w:endnote w:id="18">
    <w:p w14:paraId="29DE60F8" w14:textId="77777777" w:rsidR="0020799C" w:rsidRDefault="0020799C" w:rsidP="0020799C">
      <w:pPr>
        <w:pStyle w:val="EndnoteText"/>
      </w:pPr>
      <w:r>
        <w:rPr>
          <w:rStyle w:val="EndnoteReference"/>
        </w:rPr>
        <w:endnoteRef/>
      </w:r>
      <w:r>
        <w:t xml:space="preserve"> </w:t>
      </w:r>
      <w:r w:rsidRPr="004553A4">
        <w:t xml:space="preserve">Tilley, Christopher, ‘The powers of rocks: topography and monument construction on Bodmin Moor’, </w:t>
      </w:r>
      <w:r w:rsidRPr="00996934">
        <w:rPr>
          <w:i/>
          <w:iCs/>
        </w:rPr>
        <w:t>World Archaeology</w:t>
      </w:r>
      <w:r w:rsidRPr="004553A4">
        <w:t xml:space="preserve">, 28, (1996), </w:t>
      </w:r>
      <w:bookmarkStart w:id="4" w:name="_Hlk150091115"/>
      <w:r w:rsidRPr="004553A4">
        <w:t>pp. 161-176</w:t>
      </w:r>
      <w:bookmarkEnd w:id="4"/>
    </w:p>
  </w:endnote>
  <w:endnote w:id="19">
    <w:p w14:paraId="533AE5F4" w14:textId="77777777" w:rsidR="0020799C" w:rsidRDefault="0020799C" w:rsidP="0020799C">
      <w:pPr>
        <w:pStyle w:val="EndnoteText"/>
      </w:pPr>
      <w:r>
        <w:rPr>
          <w:rStyle w:val="EndnoteReference"/>
        </w:rPr>
        <w:endnoteRef/>
      </w:r>
      <w:r>
        <w:t xml:space="preserve"> </w:t>
      </w:r>
      <w:r w:rsidRPr="00A164C9">
        <w:t xml:space="preserve">Tilley, Christopher, and Bennett, Wayne, ‘An archaeology of supernatural places: the case of West Penwith’, </w:t>
      </w:r>
      <w:r w:rsidRPr="00A164C9">
        <w:rPr>
          <w:i/>
          <w:iCs/>
        </w:rPr>
        <w:t>Journal of the Royal Anthropological Institute</w:t>
      </w:r>
      <w:r w:rsidRPr="00A164C9">
        <w:t>, 61, (2002), 335-362</w:t>
      </w:r>
    </w:p>
  </w:endnote>
  <w:endnote w:id="20">
    <w:p w14:paraId="1594B602" w14:textId="77777777" w:rsidR="0020799C" w:rsidRDefault="0020799C" w:rsidP="0020799C">
      <w:pPr>
        <w:pStyle w:val="EndnoteText"/>
      </w:pPr>
      <w:r>
        <w:rPr>
          <w:rStyle w:val="EndnoteReference"/>
        </w:rPr>
        <w:endnoteRef/>
      </w:r>
      <w:r>
        <w:t xml:space="preserve"> </w:t>
      </w:r>
      <w:r w:rsidRPr="000F41BF">
        <w:t xml:space="preserve">Dronfield, Jeremy, ‘Migraine, light and hallucinogens: the neurocognitive basis of Irish megalithic art’, </w:t>
      </w:r>
      <w:r w:rsidRPr="000F41BF">
        <w:rPr>
          <w:i/>
          <w:iCs/>
        </w:rPr>
        <w:t>Oxford Journal of Archaeology</w:t>
      </w:r>
      <w:r w:rsidRPr="000F41BF">
        <w:t>, 14, (1995), pp. 261-275</w:t>
      </w:r>
    </w:p>
  </w:endnote>
  <w:endnote w:id="21">
    <w:p w14:paraId="05172194" w14:textId="77777777" w:rsidR="0020799C" w:rsidRDefault="0020799C" w:rsidP="0020799C">
      <w:pPr>
        <w:pStyle w:val="EndnoteText"/>
      </w:pPr>
      <w:r>
        <w:rPr>
          <w:rStyle w:val="EndnoteReference"/>
        </w:rPr>
        <w:endnoteRef/>
      </w:r>
      <w:r>
        <w:t xml:space="preserve"> </w:t>
      </w:r>
      <w:r w:rsidRPr="008C41CE">
        <w:t xml:space="preserve">Watson, Aaron, The sounds of transformation: acoustics, monuments and ritual in the British Neolithic, in </w:t>
      </w:r>
      <w:r w:rsidRPr="008C41CE">
        <w:rPr>
          <w:i/>
          <w:iCs/>
        </w:rPr>
        <w:t>The Archaeology of Shamanism</w:t>
      </w:r>
      <w:r w:rsidRPr="008C41CE">
        <w:t>, ed by Neil Price (ed) (London: Routledge, 2001), pp. 178-192</w:t>
      </w:r>
    </w:p>
  </w:endnote>
  <w:endnote w:id="22">
    <w:p w14:paraId="636FDCBE" w14:textId="77777777" w:rsidR="0020799C" w:rsidRDefault="0020799C" w:rsidP="0020799C">
      <w:pPr>
        <w:pStyle w:val="EndnoteText"/>
      </w:pPr>
      <w:r>
        <w:rPr>
          <w:rStyle w:val="EndnoteReference"/>
        </w:rPr>
        <w:endnoteRef/>
      </w:r>
      <w:r>
        <w:t xml:space="preserve"> </w:t>
      </w:r>
      <w:r w:rsidRPr="003574CB">
        <w:t xml:space="preserve">Garcês, Sara and Nash, George, ‘The relevance of watery soundscapes in a ritual context’, </w:t>
      </w:r>
      <w:r w:rsidRPr="003574CB">
        <w:rPr>
          <w:i/>
          <w:iCs/>
        </w:rPr>
        <w:t>Time and Mind</w:t>
      </w:r>
      <w:r w:rsidRPr="003574CB">
        <w:t>, 10, (2017), 69-80</w:t>
      </w:r>
    </w:p>
  </w:endnote>
  <w:endnote w:id="23">
    <w:p w14:paraId="557444C8" w14:textId="77777777" w:rsidR="0020799C" w:rsidRDefault="0020799C" w:rsidP="0020799C">
      <w:pPr>
        <w:pStyle w:val="EndnoteText"/>
      </w:pPr>
      <w:r>
        <w:rPr>
          <w:rStyle w:val="EndnoteReference"/>
        </w:rPr>
        <w:endnoteRef/>
      </w:r>
      <w:r>
        <w:t xml:space="preserve"> </w:t>
      </w:r>
      <w:r w:rsidRPr="003E2DD4">
        <w:t xml:space="preserve">Hornborg, Anne-Christine, </w:t>
      </w:r>
      <w:r w:rsidRPr="003E2DD4">
        <w:rPr>
          <w:i/>
          <w:iCs/>
        </w:rPr>
        <w:t>Mi’kmaq landscapes: From animism to sacred ecology</w:t>
      </w:r>
      <w:r w:rsidRPr="003E2DD4">
        <w:t>. (London: Routledge, 2016)</w:t>
      </w:r>
    </w:p>
  </w:endnote>
  <w:endnote w:id="24">
    <w:p w14:paraId="687F8BBD" w14:textId="77777777" w:rsidR="0020799C" w:rsidRDefault="0020799C" w:rsidP="0020799C">
      <w:pPr>
        <w:pStyle w:val="EndnoteText"/>
      </w:pPr>
      <w:r>
        <w:rPr>
          <w:rStyle w:val="EndnoteReference"/>
        </w:rPr>
        <w:endnoteRef/>
      </w:r>
      <w:r>
        <w:t xml:space="preserve"> </w:t>
      </w:r>
      <w:r w:rsidRPr="006C7CEE">
        <w:t xml:space="preserve">Harrison-Buck, Eleanor, and Julia A. Hendon, </w:t>
      </w:r>
      <w:r w:rsidRPr="006C7CEE">
        <w:rPr>
          <w:i/>
          <w:iCs/>
        </w:rPr>
        <w:t>Relational Identities and Other Than Human Agency in Archaeology</w:t>
      </w:r>
      <w:r w:rsidRPr="006C7CEE">
        <w:t>. (Louisville: University Press of Colorado, 2018)</w:t>
      </w:r>
    </w:p>
  </w:endnote>
  <w:endnote w:id="25">
    <w:p w14:paraId="0020BEC3" w14:textId="77777777" w:rsidR="0020799C" w:rsidRDefault="0020799C" w:rsidP="0020799C">
      <w:pPr>
        <w:pStyle w:val="EndnoteText"/>
      </w:pPr>
      <w:r>
        <w:rPr>
          <w:rStyle w:val="EndnoteReference"/>
        </w:rPr>
        <w:endnoteRef/>
      </w:r>
      <w:r>
        <w:t xml:space="preserve"> </w:t>
      </w:r>
      <w:r w:rsidRPr="00F5362F">
        <w:t xml:space="preserve">Tilley, Christopher, </w:t>
      </w:r>
      <w:r w:rsidRPr="00F5362F">
        <w:rPr>
          <w:i/>
          <w:iCs/>
        </w:rPr>
        <w:t>The Materiality of Stone</w:t>
      </w:r>
      <w:r w:rsidRPr="00F5362F">
        <w:t xml:space="preserve">, pp. </w:t>
      </w:r>
      <w:r>
        <w:t>87</w:t>
      </w:r>
      <w:r w:rsidRPr="00F5362F">
        <w:t>-</w:t>
      </w:r>
      <w:r>
        <w:t>1146</w:t>
      </w:r>
    </w:p>
  </w:endnote>
  <w:endnote w:id="26">
    <w:p w14:paraId="0342DDF0" w14:textId="77777777" w:rsidR="0020799C" w:rsidRDefault="0020799C" w:rsidP="0020799C">
      <w:pPr>
        <w:pStyle w:val="EndnoteText"/>
      </w:pPr>
      <w:r>
        <w:rPr>
          <w:rStyle w:val="EndnoteReference"/>
        </w:rPr>
        <w:endnoteRef/>
      </w:r>
      <w:r>
        <w:t xml:space="preserve"> </w:t>
      </w:r>
      <w:r w:rsidRPr="007079B3">
        <w:t xml:space="preserve">Tilley, Christopher </w:t>
      </w:r>
      <w:r w:rsidRPr="007079B3">
        <w:rPr>
          <w:i/>
          <w:iCs/>
        </w:rPr>
        <w:t>Landscape in the longue durée: A history and theory of pebbles in a pebbled heathland landscape</w:t>
      </w:r>
      <w:r w:rsidRPr="007079B3">
        <w:t>. (London: University College London Press, 2017)</w:t>
      </w:r>
    </w:p>
  </w:endnote>
  <w:endnote w:id="27">
    <w:p w14:paraId="37490247" w14:textId="77777777" w:rsidR="0020799C" w:rsidRDefault="0020799C" w:rsidP="0020799C">
      <w:pPr>
        <w:pStyle w:val="EndnoteText"/>
      </w:pPr>
      <w:r>
        <w:rPr>
          <w:rStyle w:val="EndnoteReference"/>
        </w:rPr>
        <w:endnoteRef/>
      </w:r>
      <w:r>
        <w:t xml:space="preserve"> </w:t>
      </w:r>
      <w:r w:rsidRPr="00D403B3">
        <w:t xml:space="preserve">Tilley, Christopher, </w:t>
      </w:r>
      <w:r w:rsidRPr="00444625">
        <w:rPr>
          <w:i/>
          <w:iCs/>
        </w:rPr>
        <w:t>Interpreting landscape</w:t>
      </w:r>
      <w:r>
        <w:rPr>
          <w:i/>
          <w:iCs/>
        </w:rPr>
        <w:t>s</w:t>
      </w:r>
      <w:r w:rsidRPr="00444625">
        <w:rPr>
          <w:i/>
          <w:iCs/>
        </w:rPr>
        <w:t>: Geologies, topographies, identities</w:t>
      </w:r>
      <w:r w:rsidRPr="00D403B3">
        <w:t>. (Walnut Creek: Left Coast Press, 2010)</w:t>
      </w:r>
      <w:r>
        <w:t>, p. 39</w:t>
      </w:r>
    </w:p>
  </w:endnote>
  <w:endnote w:id="28">
    <w:p w14:paraId="06E92797" w14:textId="77777777" w:rsidR="0020799C" w:rsidRDefault="0020799C" w:rsidP="0020799C">
      <w:pPr>
        <w:pStyle w:val="EndnoteText"/>
      </w:pPr>
      <w:r>
        <w:rPr>
          <w:rStyle w:val="EndnoteReference"/>
        </w:rPr>
        <w:endnoteRef/>
      </w:r>
      <w:r>
        <w:t xml:space="preserve"> </w:t>
      </w:r>
      <w:r w:rsidRPr="00804856">
        <w:t xml:space="preserve">Tilley, Christopher, </w:t>
      </w:r>
      <w:r w:rsidRPr="00804856">
        <w:rPr>
          <w:i/>
          <w:iCs/>
        </w:rPr>
        <w:t>A Phenomenology of Landscape</w:t>
      </w:r>
      <w:r w:rsidRPr="00804856">
        <w:t>, p.</w:t>
      </w:r>
      <w:r>
        <w:t>p.</w:t>
      </w:r>
      <w:r w:rsidRPr="00804856">
        <w:t xml:space="preserve"> </w:t>
      </w:r>
      <w:r>
        <w:t>123-124</w:t>
      </w:r>
    </w:p>
  </w:endnote>
  <w:endnote w:id="29">
    <w:p w14:paraId="39A07C2F" w14:textId="77777777" w:rsidR="0020799C" w:rsidRDefault="0020799C" w:rsidP="0020799C">
      <w:pPr>
        <w:pStyle w:val="EndnoteText"/>
      </w:pPr>
      <w:r>
        <w:rPr>
          <w:rStyle w:val="EndnoteReference"/>
        </w:rPr>
        <w:endnoteRef/>
      </w:r>
      <w:r>
        <w:t xml:space="preserve"> </w:t>
      </w:r>
      <w:r w:rsidRPr="004553A4">
        <w:t>Tilley, Christopher, ‘The powers of rocks</w:t>
      </w:r>
      <w:r>
        <w:t xml:space="preserve">’, </w:t>
      </w:r>
      <w:r w:rsidRPr="004553A4">
        <w:t>pp. 161-176</w:t>
      </w:r>
    </w:p>
  </w:endnote>
  <w:endnote w:id="30">
    <w:p w14:paraId="5CC8F6FB" w14:textId="77777777" w:rsidR="0020799C" w:rsidRDefault="0020799C" w:rsidP="0020799C">
      <w:pPr>
        <w:pStyle w:val="EndnoteText"/>
      </w:pPr>
      <w:r>
        <w:rPr>
          <w:rStyle w:val="EndnoteReference"/>
        </w:rPr>
        <w:endnoteRef/>
      </w:r>
      <w:r>
        <w:t xml:space="preserve"> </w:t>
      </w:r>
      <w:r w:rsidRPr="00E33B2B">
        <w:t>Fleming, Andrew, ‘Phenomenology and the Megaliths of Wales: A Dreaming too Far?’, Oxford Journal of Archaeology, 18, (1999), 119-124</w:t>
      </w:r>
    </w:p>
  </w:endnote>
  <w:endnote w:id="31">
    <w:p w14:paraId="24B7E835" w14:textId="77777777" w:rsidR="0020799C" w:rsidRDefault="0020799C" w:rsidP="0020799C">
      <w:pPr>
        <w:pStyle w:val="EndnoteText"/>
      </w:pPr>
      <w:r>
        <w:rPr>
          <w:rStyle w:val="EndnoteReference"/>
        </w:rPr>
        <w:endnoteRef/>
      </w:r>
      <w:r>
        <w:t xml:space="preserve"> </w:t>
      </w:r>
      <w:r w:rsidRPr="006A25D1">
        <w:t xml:space="preserve">Richards, Colin, ‘Henges and water: Towards an understanding of monumentality and landscape in Late Neolithic Britain’, </w:t>
      </w:r>
      <w:r w:rsidRPr="006A25D1">
        <w:rPr>
          <w:i/>
          <w:iCs/>
        </w:rPr>
        <w:t>Journal of Material Culture</w:t>
      </w:r>
      <w:r w:rsidRPr="006A25D1">
        <w:t>, 1, (1996), pp. 313-336</w:t>
      </w:r>
    </w:p>
  </w:endnote>
  <w:endnote w:id="32">
    <w:p w14:paraId="3E53F7BF" w14:textId="77777777" w:rsidR="0020799C" w:rsidRDefault="0020799C" w:rsidP="0020799C">
      <w:pPr>
        <w:pStyle w:val="EndnoteText"/>
      </w:pPr>
      <w:r>
        <w:rPr>
          <w:rStyle w:val="EndnoteReference"/>
        </w:rPr>
        <w:endnoteRef/>
      </w:r>
      <w:r>
        <w:t xml:space="preserve"> </w:t>
      </w:r>
      <w:r w:rsidRPr="00326999">
        <w:t xml:space="preserve">Cummings Vicky, and Whittle Alastair, </w:t>
      </w:r>
      <w:r w:rsidRPr="00326999">
        <w:rPr>
          <w:i/>
          <w:iCs/>
        </w:rPr>
        <w:t>Places of Special Virtue: Megaliths in the Neolithic Landscapes of Wales</w:t>
      </w:r>
      <w:r w:rsidRPr="00326999">
        <w:t>. (Oxford: Oxbow Books, 2004)</w:t>
      </w:r>
    </w:p>
  </w:endnote>
  <w:endnote w:id="33">
    <w:p w14:paraId="36542098" w14:textId="77777777" w:rsidR="0020799C" w:rsidRDefault="0020799C" w:rsidP="0020799C">
      <w:pPr>
        <w:pStyle w:val="EndnoteText"/>
      </w:pPr>
      <w:r>
        <w:rPr>
          <w:rStyle w:val="EndnoteReference"/>
        </w:rPr>
        <w:endnoteRef/>
      </w:r>
      <w:r>
        <w:t xml:space="preserve"> </w:t>
      </w:r>
      <w:r w:rsidRPr="00466F0C">
        <w:t xml:space="preserve">Jones, Andy M. </w:t>
      </w:r>
      <w:r w:rsidRPr="00466F0C">
        <w:rPr>
          <w:i/>
          <w:iCs/>
        </w:rPr>
        <w:t>Cornish Bronze Age ceremonial landscapes c.2500-1500 BC</w:t>
      </w:r>
      <w:r w:rsidRPr="00466F0C">
        <w:t>. (Oxford: British Archaeological Reports, British Series 394, 2005)</w:t>
      </w:r>
    </w:p>
  </w:endnote>
  <w:endnote w:id="34">
    <w:p w14:paraId="547348A0" w14:textId="77777777" w:rsidR="0020799C" w:rsidRDefault="0020799C" w:rsidP="0020799C">
      <w:pPr>
        <w:pStyle w:val="EndnoteText"/>
      </w:pPr>
      <w:r>
        <w:rPr>
          <w:rStyle w:val="EndnoteReference"/>
        </w:rPr>
        <w:endnoteRef/>
      </w:r>
      <w:r>
        <w:t xml:space="preserve"> </w:t>
      </w:r>
      <w:r w:rsidRPr="000A4D30">
        <w:t xml:space="preserve">Tilley, Christopher, </w:t>
      </w:r>
      <w:r w:rsidRPr="000A4D30">
        <w:rPr>
          <w:i/>
          <w:iCs/>
        </w:rPr>
        <w:t>A Phenomenology of Landscape</w:t>
      </w:r>
      <w:r w:rsidRPr="000A4D30">
        <w:t xml:space="preserve">, p.p. </w:t>
      </w:r>
      <w:r>
        <w:t>26</w:t>
      </w:r>
      <w:r w:rsidRPr="000A4D30">
        <w:t>-</w:t>
      </w:r>
      <w:r>
        <w:t>27</w:t>
      </w:r>
    </w:p>
  </w:endnote>
  <w:endnote w:id="35">
    <w:p w14:paraId="65B6010F" w14:textId="77777777" w:rsidR="0020799C" w:rsidRDefault="0020799C" w:rsidP="0020799C">
      <w:pPr>
        <w:pStyle w:val="EndnoteText"/>
      </w:pPr>
      <w:r>
        <w:rPr>
          <w:rStyle w:val="EndnoteReference"/>
        </w:rPr>
        <w:endnoteRef/>
      </w:r>
      <w:r>
        <w:t xml:space="preserve"> </w:t>
      </w:r>
      <w:r w:rsidRPr="001F11D8">
        <w:t xml:space="preserve">Bender, Barbara, ‘Gatherer‐hunter to farmer: A social perspective’, </w:t>
      </w:r>
      <w:r w:rsidRPr="001F11D8">
        <w:rPr>
          <w:i/>
          <w:iCs/>
        </w:rPr>
        <w:t>World Archaeology</w:t>
      </w:r>
      <w:r w:rsidRPr="001F11D8">
        <w:t>, 10, (1978), 204-222</w:t>
      </w:r>
    </w:p>
  </w:endnote>
  <w:endnote w:id="36">
    <w:p w14:paraId="12537B9C" w14:textId="77777777" w:rsidR="0020799C" w:rsidRDefault="0020799C" w:rsidP="0020799C">
      <w:pPr>
        <w:pStyle w:val="EndnoteText"/>
      </w:pPr>
      <w:r>
        <w:rPr>
          <w:rStyle w:val="EndnoteReference"/>
        </w:rPr>
        <w:endnoteRef/>
      </w:r>
      <w:r>
        <w:t xml:space="preserve"> </w:t>
      </w:r>
      <w:r w:rsidRPr="00E75755">
        <w:t xml:space="preserve">Bender, Barbara, </w:t>
      </w:r>
      <w:r w:rsidRPr="00E75755">
        <w:rPr>
          <w:i/>
          <w:iCs/>
        </w:rPr>
        <w:t>Farming in Prehistory</w:t>
      </w:r>
      <w:r w:rsidRPr="00E75755">
        <w:t>. (London: John Baker, 1975)</w:t>
      </w:r>
    </w:p>
  </w:endnote>
  <w:endnote w:id="37">
    <w:p w14:paraId="27B9DD60" w14:textId="77777777" w:rsidR="0020799C" w:rsidRDefault="0020799C" w:rsidP="0020799C">
      <w:pPr>
        <w:pStyle w:val="EndnoteText"/>
      </w:pPr>
      <w:r>
        <w:rPr>
          <w:rStyle w:val="EndnoteReference"/>
        </w:rPr>
        <w:endnoteRef/>
      </w:r>
      <w:r>
        <w:t xml:space="preserve"> </w:t>
      </w:r>
      <w:r w:rsidRPr="004D7EAA">
        <w:t xml:space="preserve">Bender, Barbara, </w:t>
      </w:r>
      <w:r w:rsidRPr="004D7EAA">
        <w:rPr>
          <w:i/>
          <w:iCs/>
        </w:rPr>
        <w:t>Stonehenge: Making Space</w:t>
      </w:r>
      <w:r w:rsidRPr="004D7EAA">
        <w:t>. (Oxford: Berg, 1998)</w:t>
      </w:r>
      <w:r>
        <w:t>, pp. 14-16</w:t>
      </w:r>
    </w:p>
  </w:endnote>
  <w:endnote w:id="38">
    <w:p w14:paraId="206E6D37" w14:textId="77777777" w:rsidR="0020799C" w:rsidRDefault="0020799C" w:rsidP="0020799C">
      <w:pPr>
        <w:pStyle w:val="EndnoteText"/>
      </w:pPr>
      <w:r>
        <w:rPr>
          <w:rStyle w:val="EndnoteReference"/>
        </w:rPr>
        <w:endnoteRef/>
      </w:r>
      <w:r>
        <w:t xml:space="preserve"> </w:t>
      </w:r>
      <w:r w:rsidRPr="006A253C">
        <w:t xml:space="preserve">Bourdieu, Pierre, </w:t>
      </w:r>
      <w:r w:rsidRPr="006A253C">
        <w:rPr>
          <w:i/>
          <w:iCs/>
        </w:rPr>
        <w:t>Outline of a Theory of Practice</w:t>
      </w:r>
      <w:r w:rsidRPr="006A253C">
        <w:t>. (Cambridge: University Press, 1977)</w:t>
      </w:r>
    </w:p>
  </w:endnote>
  <w:endnote w:id="39">
    <w:p w14:paraId="47609971" w14:textId="77777777" w:rsidR="0020799C" w:rsidRDefault="0020799C" w:rsidP="0020799C">
      <w:pPr>
        <w:pStyle w:val="EndnoteText"/>
      </w:pPr>
      <w:r>
        <w:rPr>
          <w:rStyle w:val="EndnoteReference"/>
        </w:rPr>
        <w:endnoteRef/>
      </w:r>
      <w:r>
        <w:t xml:space="preserve"> </w:t>
      </w:r>
      <w:r w:rsidRPr="003D7B71">
        <w:t xml:space="preserve">Foucault, Michel, </w:t>
      </w:r>
      <w:r w:rsidRPr="003D7B71">
        <w:rPr>
          <w:i/>
          <w:iCs/>
        </w:rPr>
        <w:t>Discipline and Punish: The Birth of the Prison</w:t>
      </w:r>
      <w:r w:rsidRPr="003D7B71">
        <w:t>. (London: Penguin, 1991)</w:t>
      </w:r>
    </w:p>
  </w:endnote>
  <w:endnote w:id="40">
    <w:p w14:paraId="5FEB624F" w14:textId="77777777" w:rsidR="0020799C" w:rsidRDefault="0020799C" w:rsidP="0020799C">
      <w:pPr>
        <w:pStyle w:val="EndnoteText"/>
      </w:pPr>
      <w:r>
        <w:rPr>
          <w:rStyle w:val="EndnoteReference"/>
        </w:rPr>
        <w:endnoteRef/>
      </w:r>
      <w:r>
        <w:t xml:space="preserve"> </w:t>
      </w:r>
      <w:r w:rsidRPr="004D7EAA">
        <w:t xml:space="preserve">Bender, Barbara, </w:t>
      </w:r>
      <w:r w:rsidRPr="004D7EAA">
        <w:rPr>
          <w:i/>
          <w:iCs/>
        </w:rPr>
        <w:t>Stonehenge</w:t>
      </w:r>
      <w:r>
        <w:rPr>
          <w:i/>
          <w:iCs/>
        </w:rPr>
        <w:t xml:space="preserve">, </w:t>
      </w:r>
      <w:r>
        <w:t>p. 22</w:t>
      </w:r>
    </w:p>
  </w:endnote>
  <w:endnote w:id="41">
    <w:p w14:paraId="64275DDE" w14:textId="77777777" w:rsidR="0020799C" w:rsidRDefault="0020799C" w:rsidP="0020799C">
      <w:pPr>
        <w:pStyle w:val="EndnoteText"/>
      </w:pPr>
      <w:r>
        <w:rPr>
          <w:rStyle w:val="EndnoteReference"/>
        </w:rPr>
        <w:endnoteRef/>
      </w:r>
      <w:r>
        <w:t xml:space="preserve"> </w:t>
      </w:r>
      <w:r w:rsidRPr="00C86B25">
        <w:t xml:space="preserve">Chippendale, Christopher, </w:t>
      </w:r>
      <w:r w:rsidRPr="00A92F87">
        <w:rPr>
          <w:i/>
          <w:iCs/>
        </w:rPr>
        <w:t>Stonehenge Complete. Revised edition</w:t>
      </w:r>
      <w:r w:rsidRPr="00C86B25">
        <w:t>. (London: Thames and Hudson, 1994),</w:t>
      </w:r>
      <w:r>
        <w:t xml:space="preserve"> </w:t>
      </w:r>
      <w:r w:rsidRPr="00C86B25">
        <w:t>257-261</w:t>
      </w:r>
    </w:p>
  </w:endnote>
  <w:endnote w:id="42">
    <w:p w14:paraId="55490070" w14:textId="77777777" w:rsidR="0020799C" w:rsidRDefault="0020799C" w:rsidP="0020799C">
      <w:pPr>
        <w:pStyle w:val="EndnoteText"/>
      </w:pPr>
      <w:r>
        <w:rPr>
          <w:rStyle w:val="EndnoteReference"/>
        </w:rPr>
        <w:endnoteRef/>
      </w:r>
      <w:r>
        <w:t xml:space="preserve"> </w:t>
      </w:r>
      <w:bookmarkStart w:id="5" w:name="_Hlk150095423"/>
      <w:r w:rsidRPr="00C361C4">
        <w:t xml:space="preserve">Bender, Barbara, ‘Stonehenge: Contested Landscapes; medieval to present day’, in </w:t>
      </w:r>
      <w:r w:rsidRPr="00C361C4">
        <w:rPr>
          <w:i/>
          <w:iCs/>
        </w:rPr>
        <w:t>Landscape: Politics and Perspectives</w:t>
      </w:r>
      <w:r w:rsidRPr="00C361C4">
        <w:t xml:space="preserve">, ed. by Barbara Bender, (Oxford: Berg, 1993), pp. </w:t>
      </w:r>
      <w:r w:rsidRPr="004A0C71">
        <w:t>245-280</w:t>
      </w:r>
    </w:p>
    <w:bookmarkEnd w:id="5"/>
  </w:endnote>
  <w:endnote w:id="43">
    <w:p w14:paraId="6CA2AD04" w14:textId="77777777" w:rsidR="0020799C" w:rsidRDefault="0020799C" w:rsidP="0020799C">
      <w:pPr>
        <w:pStyle w:val="EndnoteText"/>
      </w:pPr>
      <w:r>
        <w:rPr>
          <w:rStyle w:val="EndnoteReference"/>
        </w:rPr>
        <w:endnoteRef/>
      </w:r>
      <w:r>
        <w:t xml:space="preserve"> </w:t>
      </w:r>
      <w:r w:rsidRPr="004D7EAA">
        <w:t xml:space="preserve">Bender, Barbara, </w:t>
      </w:r>
      <w:r w:rsidRPr="004D7EAA">
        <w:rPr>
          <w:i/>
          <w:iCs/>
        </w:rPr>
        <w:t>Stonehenge</w:t>
      </w:r>
    </w:p>
  </w:endnote>
  <w:endnote w:id="44">
    <w:p w14:paraId="37D4549C" w14:textId="77777777" w:rsidR="0020799C" w:rsidRDefault="0020799C" w:rsidP="0020799C">
      <w:pPr>
        <w:pStyle w:val="EndnoteText"/>
      </w:pPr>
      <w:r>
        <w:rPr>
          <w:rStyle w:val="EndnoteReference"/>
        </w:rPr>
        <w:endnoteRef/>
      </w:r>
      <w:r>
        <w:t xml:space="preserve"> </w:t>
      </w:r>
      <w:r w:rsidRPr="00B634F1">
        <w:t xml:space="preserve">Bender, Barbara, </w:t>
      </w:r>
      <w:r w:rsidRPr="00B634F1">
        <w:rPr>
          <w:i/>
          <w:iCs/>
        </w:rPr>
        <w:t>Stonehenge</w:t>
      </w:r>
      <w:r>
        <w:t>, pp. 97-132</w:t>
      </w:r>
    </w:p>
  </w:endnote>
  <w:endnote w:id="45">
    <w:p w14:paraId="67BEBCB6" w14:textId="77777777" w:rsidR="0020799C" w:rsidRDefault="0020799C" w:rsidP="0020799C">
      <w:pPr>
        <w:pStyle w:val="EndnoteText"/>
      </w:pPr>
      <w:r>
        <w:rPr>
          <w:rStyle w:val="EndnoteReference"/>
        </w:rPr>
        <w:endnoteRef/>
      </w:r>
      <w:r>
        <w:t xml:space="preserve"> </w:t>
      </w:r>
      <w:r w:rsidRPr="003F6154">
        <w:t xml:space="preserve">Bender, Barbara, </w:t>
      </w:r>
      <w:r w:rsidRPr="003F6154">
        <w:rPr>
          <w:i/>
          <w:iCs/>
        </w:rPr>
        <w:t>Stonehenge</w:t>
      </w:r>
      <w:r>
        <w:t>, pp. 121</w:t>
      </w:r>
    </w:p>
  </w:endnote>
  <w:endnote w:id="46">
    <w:p w14:paraId="1B5A7C5E" w14:textId="77777777" w:rsidR="0020799C" w:rsidRDefault="0020799C" w:rsidP="0020799C">
      <w:pPr>
        <w:pStyle w:val="EndnoteText"/>
      </w:pPr>
      <w:r>
        <w:rPr>
          <w:rStyle w:val="EndnoteReference"/>
        </w:rPr>
        <w:endnoteRef/>
      </w:r>
      <w:r>
        <w:t xml:space="preserve"> </w:t>
      </w:r>
      <w:r w:rsidRPr="000A41E7">
        <w:t>Bender, Barbara, ed</w:t>
      </w:r>
      <w:r w:rsidRPr="000A41E7">
        <w:rPr>
          <w:i/>
          <w:iCs/>
        </w:rPr>
        <w:t>. Landscape Politics and Perspectives</w:t>
      </w:r>
      <w:r w:rsidRPr="000A41E7">
        <w:t>. (Oxford: Berg, 1993)</w:t>
      </w:r>
    </w:p>
  </w:endnote>
  <w:endnote w:id="47">
    <w:p w14:paraId="7961EB5A" w14:textId="77777777" w:rsidR="0020799C" w:rsidRDefault="0020799C" w:rsidP="0020799C">
      <w:pPr>
        <w:pStyle w:val="EndnoteText"/>
      </w:pPr>
      <w:r>
        <w:rPr>
          <w:rStyle w:val="EndnoteReference"/>
        </w:rPr>
        <w:endnoteRef/>
      </w:r>
      <w:r>
        <w:t xml:space="preserve"> </w:t>
      </w:r>
      <w:r w:rsidRPr="00C01527">
        <w:t xml:space="preserve">Bender, Barbara and Winer, Margot, </w:t>
      </w:r>
      <w:r w:rsidRPr="00C01527">
        <w:rPr>
          <w:i/>
          <w:iCs/>
        </w:rPr>
        <w:t>Contested landscapes: Movement, exile and place</w:t>
      </w:r>
      <w:r w:rsidRPr="00C01527">
        <w:t>. (Oxford: Berg, 2001)</w:t>
      </w:r>
    </w:p>
  </w:endnote>
  <w:endnote w:id="48">
    <w:p w14:paraId="3C8EC74B" w14:textId="77777777" w:rsidR="0020799C" w:rsidRDefault="0020799C" w:rsidP="0020799C">
      <w:pPr>
        <w:pStyle w:val="EndnoteText"/>
      </w:pPr>
      <w:r>
        <w:rPr>
          <w:rStyle w:val="EndnoteReference"/>
        </w:rPr>
        <w:endnoteRef/>
      </w:r>
      <w:r>
        <w:t xml:space="preserve"> </w:t>
      </w:r>
      <w:r w:rsidRPr="00057E4F">
        <w:t>Jarman, N</w:t>
      </w:r>
      <w:r w:rsidR="00625B05">
        <w:t>eil,</w:t>
      </w:r>
      <w:r w:rsidRPr="00057E4F">
        <w:t xml:space="preserve"> ‘Intersecting Belfast’, in </w:t>
      </w:r>
      <w:r w:rsidRPr="00057E4F">
        <w:rPr>
          <w:i/>
          <w:iCs/>
        </w:rPr>
        <w:t>Landscape: Politics and Perspectives</w:t>
      </w:r>
      <w:r w:rsidRPr="00057E4F">
        <w:t>, ed. by Barbara Bender, (Oxford: Berg, 1993), pp. 107-138</w:t>
      </w:r>
    </w:p>
  </w:endnote>
  <w:endnote w:id="49">
    <w:p w14:paraId="4C805BCA" w14:textId="77777777" w:rsidR="0020799C" w:rsidRDefault="0020799C" w:rsidP="0020799C">
      <w:pPr>
        <w:pStyle w:val="EndnoteText"/>
      </w:pPr>
      <w:r>
        <w:rPr>
          <w:rStyle w:val="EndnoteReference"/>
        </w:rPr>
        <w:endnoteRef/>
      </w:r>
      <w:r>
        <w:t xml:space="preserve"> </w:t>
      </w:r>
      <w:r w:rsidRPr="00057E4F">
        <w:t xml:space="preserve">Selwyn, Tom, ‘Landscapes of Separation: Reflections on the symbolism of by-pass roads in Palestine,’ in </w:t>
      </w:r>
      <w:r w:rsidRPr="009B5BB6">
        <w:rPr>
          <w:i/>
          <w:iCs/>
        </w:rPr>
        <w:t>Contested Landscapes: Movement, Exile and Place</w:t>
      </w:r>
      <w:r w:rsidRPr="00057E4F">
        <w:t>, ed. by Barbara Bender and Margot Winer, (Oxford: Berg, 2001) pp. 225-240</w:t>
      </w:r>
    </w:p>
  </w:endnote>
  <w:endnote w:id="50">
    <w:p w14:paraId="734E4286" w14:textId="77777777" w:rsidR="0020799C" w:rsidRDefault="0020799C" w:rsidP="0020799C">
      <w:pPr>
        <w:pStyle w:val="EndnoteText"/>
      </w:pPr>
      <w:r>
        <w:rPr>
          <w:rStyle w:val="EndnoteReference"/>
        </w:rPr>
        <w:endnoteRef/>
      </w:r>
      <w:r>
        <w:t xml:space="preserve"> </w:t>
      </w:r>
      <w:r w:rsidRPr="00012D6F">
        <w:t xml:space="preserve">Bodenhorn Barbara, ‘Gendered spaces, public places: Public and private revisited on the North Slope of Alaska’, in </w:t>
      </w:r>
      <w:r w:rsidRPr="00012D6F">
        <w:rPr>
          <w:i/>
          <w:iCs/>
        </w:rPr>
        <w:t>Landscape: Politics and Perspectives</w:t>
      </w:r>
      <w:r w:rsidRPr="00012D6F">
        <w:t>, ed. by Barbara Bender, (Oxford: Berg, 1993), pp. 169-204</w:t>
      </w:r>
    </w:p>
  </w:endnote>
  <w:endnote w:id="51">
    <w:p w14:paraId="1C5B0F56" w14:textId="77777777" w:rsidR="0020799C" w:rsidRDefault="0020799C" w:rsidP="0020799C">
      <w:pPr>
        <w:pStyle w:val="EndnoteText"/>
      </w:pPr>
      <w:r>
        <w:rPr>
          <w:rStyle w:val="EndnoteReference"/>
        </w:rPr>
        <w:endnoteRef/>
      </w:r>
      <w:r>
        <w:t xml:space="preserve"> </w:t>
      </w:r>
      <w:r w:rsidRPr="000A4D30">
        <w:t xml:space="preserve">Tilley, Christopher, </w:t>
      </w:r>
      <w:r w:rsidRPr="000A4D30">
        <w:rPr>
          <w:i/>
          <w:iCs/>
        </w:rPr>
        <w:t>A Phenomenology of Landscape</w:t>
      </w:r>
    </w:p>
  </w:endnote>
  <w:endnote w:id="52">
    <w:p w14:paraId="6C680512" w14:textId="77777777" w:rsidR="0020799C" w:rsidRDefault="0020799C" w:rsidP="0020799C">
      <w:pPr>
        <w:pStyle w:val="EndnoteText"/>
      </w:pPr>
      <w:r>
        <w:rPr>
          <w:rStyle w:val="EndnoteReference"/>
        </w:rPr>
        <w:endnoteRef/>
      </w:r>
      <w:r>
        <w:t xml:space="preserve"> </w:t>
      </w:r>
      <w:r w:rsidRPr="00D403B3">
        <w:t xml:space="preserve">Tilley, Christopher, </w:t>
      </w:r>
      <w:r w:rsidRPr="00444625">
        <w:rPr>
          <w:i/>
          <w:iCs/>
        </w:rPr>
        <w:t>Interpreting landscape</w:t>
      </w:r>
      <w:r>
        <w:rPr>
          <w:i/>
          <w:iCs/>
        </w:rPr>
        <w:t>s</w:t>
      </w:r>
    </w:p>
  </w:endnote>
  <w:endnote w:id="53">
    <w:p w14:paraId="6D977188" w14:textId="77777777" w:rsidR="0020799C" w:rsidRDefault="0020799C" w:rsidP="0020799C">
      <w:pPr>
        <w:pStyle w:val="EndnoteText"/>
      </w:pPr>
      <w:r>
        <w:rPr>
          <w:rStyle w:val="EndnoteReference"/>
        </w:rPr>
        <w:endnoteRef/>
      </w:r>
      <w:r>
        <w:t xml:space="preserve"> E</w:t>
      </w:r>
      <w:r w:rsidRPr="004C48E1">
        <w:t>mphasised, for example by his publication of a student diary which favourably compared himself to Pierre Bourdieu (</w:t>
      </w:r>
      <w:r>
        <w:t xml:space="preserve">see </w:t>
      </w:r>
      <w:r w:rsidRPr="004C48E1">
        <w:t xml:space="preserve">Bender </w:t>
      </w:r>
      <w:r w:rsidRPr="004C48E1">
        <w:rPr>
          <w:i/>
          <w:iCs/>
        </w:rPr>
        <w:t>et al</w:t>
      </w:r>
      <w:r w:rsidRPr="004C48E1">
        <w:t xml:space="preserve"> 1997)</w:t>
      </w:r>
    </w:p>
  </w:endnote>
  <w:endnote w:id="54">
    <w:p w14:paraId="65EB611F" w14:textId="77777777" w:rsidR="0020799C" w:rsidRDefault="0020799C" w:rsidP="0020799C">
      <w:pPr>
        <w:pStyle w:val="EndnoteText"/>
      </w:pPr>
      <w:r>
        <w:rPr>
          <w:rStyle w:val="EndnoteReference"/>
        </w:rPr>
        <w:endnoteRef/>
      </w:r>
      <w:r>
        <w:t xml:space="preserve"> </w:t>
      </w:r>
      <w:r w:rsidRPr="007079B3">
        <w:t xml:space="preserve">Tilley, Christopher </w:t>
      </w:r>
      <w:r w:rsidRPr="007079B3">
        <w:rPr>
          <w:i/>
          <w:iCs/>
        </w:rPr>
        <w:t>Landscape in the longue durée</w:t>
      </w:r>
    </w:p>
  </w:endnote>
  <w:endnote w:id="55">
    <w:p w14:paraId="11F9BFB3" w14:textId="77777777" w:rsidR="0020799C" w:rsidRDefault="0020799C" w:rsidP="0020799C">
      <w:pPr>
        <w:pStyle w:val="EndnoteText"/>
      </w:pPr>
      <w:r>
        <w:rPr>
          <w:rStyle w:val="EndnoteReference"/>
        </w:rPr>
        <w:endnoteRef/>
      </w:r>
      <w:r>
        <w:t xml:space="preserve"> </w:t>
      </w:r>
      <w:r w:rsidRPr="00C361C4">
        <w:t>Bender, Barbara, ‘Stonehenge: Contested Landscapes</w:t>
      </w:r>
      <w:r>
        <w:t>’</w:t>
      </w:r>
      <w:r w:rsidRPr="00C361C4">
        <w:t xml:space="preserve">, pp. </w:t>
      </w:r>
      <w:r>
        <w:t>275</w:t>
      </w:r>
    </w:p>
  </w:endnote>
  <w:endnote w:id="56">
    <w:p w14:paraId="353BFCE9" w14:textId="77777777" w:rsidR="0020799C" w:rsidRDefault="0020799C" w:rsidP="0020799C">
      <w:pPr>
        <w:pStyle w:val="EndnoteText"/>
      </w:pPr>
      <w:r>
        <w:rPr>
          <w:rStyle w:val="EndnoteReference"/>
        </w:rPr>
        <w:endnoteRef/>
      </w:r>
      <w:r>
        <w:t xml:space="preserve"> </w:t>
      </w:r>
      <w:r w:rsidRPr="009F24FE">
        <w:t xml:space="preserve">Bender, Barbara, ‘Time and landscape’, </w:t>
      </w:r>
      <w:r w:rsidRPr="009F24FE">
        <w:rPr>
          <w:i/>
          <w:iCs/>
        </w:rPr>
        <w:t>Current Anthropology</w:t>
      </w:r>
      <w:r w:rsidRPr="009F24FE">
        <w:t>, 43, (2002), pp. 103-112</w:t>
      </w:r>
    </w:p>
  </w:endnote>
  <w:endnote w:id="57">
    <w:p w14:paraId="59624A0A" w14:textId="77777777" w:rsidR="00625B05" w:rsidRDefault="00625B05">
      <w:pPr>
        <w:pStyle w:val="EndnoteText"/>
      </w:pPr>
      <w:r>
        <w:rPr>
          <w:rStyle w:val="EndnoteReference"/>
        </w:rPr>
        <w:endnoteRef/>
      </w:r>
      <w:r>
        <w:t xml:space="preserve"> Echoed in the talks given on Leskernick, which Chris Tilley speaking on the prehistoric landscape interpretation and Barbara Bender on community interactions with the project.</w:t>
      </w:r>
    </w:p>
  </w:endnote>
  <w:endnote w:id="58">
    <w:p w14:paraId="2ABF41D8" w14:textId="77777777" w:rsidR="0020799C" w:rsidRDefault="0020799C" w:rsidP="0020799C">
      <w:pPr>
        <w:pStyle w:val="EndnoteText"/>
      </w:pPr>
      <w:r>
        <w:rPr>
          <w:rStyle w:val="EndnoteReference"/>
        </w:rPr>
        <w:endnoteRef/>
      </w:r>
      <w:r>
        <w:t xml:space="preserve"> </w:t>
      </w:r>
      <w:r w:rsidRPr="00DA29DA">
        <w:t xml:space="preserve">Bender, Barbara, ‘Notes from a Devon Village’, in </w:t>
      </w:r>
      <w:r w:rsidRPr="002C3A77">
        <w:rPr>
          <w:i/>
          <w:iCs/>
        </w:rPr>
        <w:t>Ground Work</w:t>
      </w:r>
      <w:r w:rsidRPr="00DA29DA">
        <w:t>, by ed. Tim Dee (London: Jonathan Cape, 2018) pp. 15-25</w:t>
      </w:r>
    </w:p>
  </w:endnote>
  <w:endnote w:id="59">
    <w:p w14:paraId="064DB7A4" w14:textId="77777777" w:rsidR="0020799C" w:rsidRDefault="0020799C" w:rsidP="0020799C">
      <w:pPr>
        <w:pStyle w:val="EndnoteText"/>
      </w:pPr>
      <w:r>
        <w:rPr>
          <w:rStyle w:val="EndnoteReference"/>
        </w:rPr>
        <w:endnoteRef/>
      </w:r>
      <w:r>
        <w:t xml:space="preserve"> </w:t>
      </w:r>
      <w:r w:rsidRPr="00641EEF">
        <w:t xml:space="preserve">Bender, Barbara, ‘Introduction’, in </w:t>
      </w:r>
      <w:r w:rsidRPr="00641EEF">
        <w:rPr>
          <w:i/>
          <w:iCs/>
        </w:rPr>
        <w:t>Contested Landscapes</w:t>
      </w:r>
      <w:r>
        <w:t xml:space="preserve">, </w:t>
      </w:r>
      <w:r w:rsidRPr="00641EEF">
        <w:t>pp. 1-18</w:t>
      </w:r>
    </w:p>
  </w:endnote>
  <w:endnote w:id="60">
    <w:p w14:paraId="6E8ABC95" w14:textId="77777777" w:rsidR="0020799C" w:rsidRDefault="0020799C" w:rsidP="0020799C">
      <w:pPr>
        <w:pStyle w:val="EndnoteText"/>
      </w:pPr>
      <w:r>
        <w:rPr>
          <w:rStyle w:val="EndnoteReference"/>
        </w:rPr>
        <w:endnoteRef/>
      </w:r>
      <w:r>
        <w:t xml:space="preserve"> Bender, Barbara, Hamilton, Susan, and Tilley, Christopher, ‘Leskernick: Stone Worlds; Alternative Narratives; Nested Landscapes’, </w:t>
      </w:r>
      <w:r w:rsidRPr="00745BE6">
        <w:rPr>
          <w:i/>
          <w:iCs/>
        </w:rPr>
        <w:t>Proceedings of the Prehistoric Society</w:t>
      </w:r>
      <w:r>
        <w:t>, 63, (1997), pp. 147-178</w:t>
      </w:r>
    </w:p>
  </w:endnote>
  <w:endnote w:id="61">
    <w:p w14:paraId="5B718E32" w14:textId="77777777" w:rsidR="0020799C" w:rsidRDefault="0020799C" w:rsidP="0020799C">
      <w:pPr>
        <w:pStyle w:val="EndnoteText"/>
      </w:pPr>
      <w:r>
        <w:rPr>
          <w:rStyle w:val="EndnoteReference"/>
        </w:rPr>
        <w:endnoteRef/>
      </w:r>
      <w:r>
        <w:t xml:space="preserve"> </w:t>
      </w:r>
      <w:bookmarkStart w:id="6" w:name="_Hlk150101107"/>
      <w:r>
        <w:t xml:space="preserve">Bender, Barbara, Hamilton, Susan, and Tilley, Christopher, </w:t>
      </w:r>
      <w:r w:rsidRPr="00745BE6">
        <w:rPr>
          <w:i/>
          <w:iCs/>
        </w:rPr>
        <w:t>Stone Worlds: Narrative and Reflexivity in Landscape Archaeology</w:t>
      </w:r>
      <w:r>
        <w:t>. (Walnut Creek CA: Left Coast Press, 2007)</w:t>
      </w:r>
    </w:p>
    <w:bookmarkEnd w:id="6"/>
  </w:endnote>
  <w:endnote w:id="62">
    <w:p w14:paraId="2E690DED" w14:textId="77777777" w:rsidR="0020799C" w:rsidRDefault="0020799C" w:rsidP="0020799C">
      <w:pPr>
        <w:pStyle w:val="EndnoteText"/>
      </w:pPr>
      <w:r>
        <w:rPr>
          <w:rStyle w:val="EndnoteReference"/>
        </w:rPr>
        <w:endnoteRef/>
      </w:r>
      <w:r>
        <w:t xml:space="preserve"> Bender, Barbara, Hamilton, Susan, and Tilley, Christopher, </w:t>
      </w:r>
      <w:r w:rsidRPr="00745BE6">
        <w:rPr>
          <w:i/>
          <w:iCs/>
        </w:rPr>
        <w:t>Stone Worlds</w:t>
      </w:r>
      <w:r>
        <w:rPr>
          <w:i/>
          <w:iCs/>
        </w:rPr>
        <w:t xml:space="preserve">, </w:t>
      </w:r>
      <w:r w:rsidRPr="00C92961">
        <w:t>pp. 202-205</w:t>
      </w:r>
    </w:p>
  </w:endnote>
  <w:endnote w:id="63">
    <w:p w14:paraId="0F47F6F2" w14:textId="77777777" w:rsidR="0020799C" w:rsidRDefault="0020799C" w:rsidP="0020799C">
      <w:pPr>
        <w:pStyle w:val="EndnoteText"/>
      </w:pPr>
      <w:r>
        <w:rPr>
          <w:rStyle w:val="EndnoteReference"/>
        </w:rPr>
        <w:endnoteRef/>
      </w:r>
      <w:r>
        <w:t xml:space="preserve"> </w:t>
      </w:r>
      <w:bookmarkStart w:id="7" w:name="_Hlk150101752"/>
      <w:r>
        <w:t xml:space="preserve">Eliade, Mircea, </w:t>
      </w:r>
      <w:r w:rsidRPr="003A6730">
        <w:rPr>
          <w:i/>
          <w:iCs/>
        </w:rPr>
        <w:t>The Sacred and The Profane: The Nature of Religion</w:t>
      </w:r>
      <w:r>
        <w:t>. (Orlando: Harcourt, 1987)</w:t>
      </w:r>
      <w:bookmarkEnd w:id="7"/>
      <w:r>
        <w:t>, pp. 11-12</w:t>
      </w:r>
    </w:p>
  </w:endnote>
  <w:endnote w:id="64">
    <w:p w14:paraId="56D95E15" w14:textId="77777777" w:rsidR="0020799C" w:rsidRDefault="0020799C" w:rsidP="0020799C">
      <w:pPr>
        <w:pStyle w:val="EndnoteText"/>
      </w:pPr>
      <w:r>
        <w:rPr>
          <w:rStyle w:val="EndnoteReference"/>
        </w:rPr>
        <w:endnoteRef/>
      </w:r>
      <w:r>
        <w:t xml:space="preserve"> </w:t>
      </w:r>
      <w:r w:rsidRPr="00DA7907">
        <w:t xml:space="preserve">Holbraad, Martin, and Pedersen, Morten, </w:t>
      </w:r>
      <w:r w:rsidRPr="00A81601">
        <w:rPr>
          <w:i/>
          <w:iCs/>
        </w:rPr>
        <w:t>The ontological turn: an anthropological exposition</w:t>
      </w:r>
      <w:r w:rsidRPr="00DA7907">
        <w:t>. (Cambridge: University Press, 2017)</w:t>
      </w:r>
      <w:r>
        <w:t>, pp. 283</w:t>
      </w:r>
    </w:p>
  </w:endnote>
  <w:endnote w:id="65">
    <w:p w14:paraId="6BFB1FFF" w14:textId="77777777" w:rsidR="0020799C" w:rsidRDefault="0020799C" w:rsidP="0020799C">
      <w:pPr>
        <w:pStyle w:val="EndnoteText"/>
      </w:pPr>
      <w:r>
        <w:rPr>
          <w:rStyle w:val="EndnoteReference"/>
        </w:rPr>
        <w:endnoteRef/>
      </w:r>
      <w:r>
        <w:t xml:space="preserve"> </w:t>
      </w:r>
      <w:r w:rsidRPr="00EE5044">
        <w:t xml:space="preserve">Bowie, Fiona, </w:t>
      </w:r>
      <w:r w:rsidRPr="00625B05">
        <w:rPr>
          <w:i/>
          <w:iCs/>
        </w:rPr>
        <w:t>The Anthropology of religion</w:t>
      </w:r>
      <w:r w:rsidRPr="00EE5044">
        <w:t>. (Oxford: Blackwell, 2006), pp. 4-5</w:t>
      </w:r>
      <w:r>
        <w:t>, p. 9</w:t>
      </w:r>
    </w:p>
  </w:endnote>
  <w:endnote w:id="66">
    <w:p w14:paraId="1C0767B5" w14:textId="77777777" w:rsidR="0020799C" w:rsidRDefault="0020799C" w:rsidP="0020799C">
      <w:pPr>
        <w:pStyle w:val="EndnoteText"/>
      </w:pPr>
      <w:r>
        <w:rPr>
          <w:rStyle w:val="EndnoteReference"/>
        </w:rPr>
        <w:endnoteRef/>
      </w:r>
      <w:r>
        <w:t xml:space="preserve"> Bowie, Fiona, ‘Mountains as sources of power in seen and unseen worlds’, in </w:t>
      </w:r>
      <w:r w:rsidRPr="002C3A77">
        <w:rPr>
          <w:i/>
          <w:iCs/>
        </w:rPr>
        <w:t>Space, Place and Religious Landscapes: Living Mountains</w:t>
      </w:r>
      <w:r>
        <w:t>, ed. by Darrelyn Gunzburg and Bernadette Brady, (London: Bloomsbury, 2021), pp. 123-146</w:t>
      </w:r>
    </w:p>
  </w:endnote>
  <w:endnote w:id="67">
    <w:p w14:paraId="63225E26" w14:textId="77777777" w:rsidR="0020799C" w:rsidRDefault="0020799C" w:rsidP="0020799C">
      <w:pPr>
        <w:pStyle w:val="EndnoteText"/>
      </w:pPr>
      <w:r>
        <w:rPr>
          <w:rStyle w:val="EndnoteReference"/>
        </w:rPr>
        <w:endnoteRef/>
      </w:r>
      <w:r>
        <w:t xml:space="preserve"> Brady, B, ‘Mountains talk of kings and dragons, the Brecon Beacons’, in </w:t>
      </w:r>
      <w:r w:rsidRPr="002C3A77">
        <w:rPr>
          <w:i/>
          <w:iCs/>
        </w:rPr>
        <w:t>Space, Place and Religious Landscapes: Living Mountains</w:t>
      </w:r>
      <w:r>
        <w:t>, ed. by Darrelyn Gunzburg and Bernadette Brady, (London: Bloomsbury, 2021), pp. 173-190</w:t>
      </w:r>
    </w:p>
  </w:endnote>
  <w:endnote w:id="68">
    <w:p w14:paraId="3882B803" w14:textId="77777777" w:rsidR="00821D92" w:rsidRDefault="00821D92" w:rsidP="00821D92">
      <w:pPr>
        <w:pStyle w:val="EndnoteText"/>
      </w:pPr>
      <w:r>
        <w:rPr>
          <w:rStyle w:val="EndnoteReference"/>
        </w:rPr>
        <w:endnoteRef/>
      </w:r>
      <w:r>
        <w:t xml:space="preserve"> </w:t>
      </w:r>
      <w:r w:rsidRPr="005D10F7">
        <w:t xml:space="preserve">Heywood, Paolo, ‘Ontological turn, the’ in </w:t>
      </w:r>
      <w:r w:rsidRPr="005D10F7">
        <w:rPr>
          <w:i/>
          <w:iCs/>
        </w:rPr>
        <w:t>The Open Encyclopedia of Anthropology</w:t>
      </w:r>
      <w:r w:rsidRPr="005D10F7">
        <w:t>, ed. by Felix Stein, (online: http://doi.org/10.29164/17ontology, 2023)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MT">
    <w:altName w:val="Arial"/>
    <w:panose1 w:val="00000000000000000000"/>
    <w:charset w:val="00"/>
    <w:family w:val="auto"/>
    <w:notTrueType/>
    <w:pitch w:val="default"/>
    <w:sig w:usb0="00000003" w:usb1="08070000" w:usb2="00000010" w:usb3="00000000" w:csb0="00020001" w:csb1="00000000"/>
  </w:font>
  <w:font w:name="DejaVuSerifCondensed">
    <w:altName w:val="Calibri"/>
    <w:panose1 w:val="00000000000000000000"/>
    <w:charset w:val="00"/>
    <w:family w:val="auto"/>
    <w:notTrueType/>
    <w:pitch w:val="default"/>
    <w:sig w:usb0="00000003" w:usb1="00000000" w:usb2="00000000" w:usb3="00000000" w:csb0="00000001" w:csb1="00000000"/>
  </w:font>
  <w:font w:name="DejaVuSerifCondensed-Italic">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09212"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15B97E" w14:textId="77777777" w:rsidR="00A5179E" w:rsidRDefault="00A5179E" w:rsidP="00AD5D5A">
      <w:r>
        <w:separator/>
      </w:r>
    </w:p>
  </w:footnote>
  <w:footnote w:type="continuationSeparator" w:id="0">
    <w:p w14:paraId="2F10B438" w14:textId="77777777" w:rsidR="00A5179E" w:rsidRDefault="00A5179E" w:rsidP="00AD5D5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EFF7E1" w14:textId="057EC2A9" w:rsidR="00494D9D" w:rsidRDefault="001164A8">
    <w:pPr>
      <w:pStyle w:val="Header"/>
    </w:pPr>
    <w:r>
      <w:rPr>
        <w:noProof/>
        <w:lang w:val="en-GB" w:eastAsia="en-GB"/>
      </w:rPr>
      <mc:AlternateContent>
        <mc:Choice Requires="wps">
          <w:drawing>
            <wp:anchor distT="0" distB="0" distL="114300" distR="114300" simplePos="0" relativeHeight="251657728" behindDoc="0" locked="0" layoutInCell="0" allowOverlap="1" wp14:anchorId="3A0425F4" wp14:editId="2A0B1058">
              <wp:simplePos x="0" y="0"/>
              <wp:positionH relativeFrom="page">
                <wp:posOffset>0</wp:posOffset>
              </wp:positionH>
              <wp:positionV relativeFrom="page">
                <wp:posOffset>190500</wp:posOffset>
              </wp:positionV>
              <wp:extent cx="7772400" cy="273685"/>
              <wp:effectExtent l="0" t="0" r="0" b="2540"/>
              <wp:wrapNone/>
              <wp:docPr id="1" name="MSIPCM9bf8419f828252bbbb8a22bd" descr="{&quot;HashCode&quot;:-2130211288,&quot;Height&quot;:792.0,&quot;Width&quot;:612.0,&quot;Placement&quot;:&quot;Header&quot;,&quot;Index&quot;:&quot;Primary&quot;,&quot;Section&quot;:1,&quot;Top&quot;:0.0,&quot;Left&quot;: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72400" cy="2736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150122" w14:textId="3C4C4776" w:rsidR="00494D9D" w:rsidRPr="00494D9D" w:rsidRDefault="00494D9D" w:rsidP="00494D9D">
                          <w:pPr>
                            <w:jc w:val="right"/>
                            <w:rPr>
                              <w:rFonts w:ascii="Calibri" w:hAnsi="Calibri" w:cs="Calibri"/>
                              <w:color w:val="FF8C00"/>
                              <w:sz w:val="20"/>
                            </w:rPr>
                          </w:pPr>
                        </w:p>
                      </w:txbxContent>
                    </wps:txbx>
                    <wps:bodyPr rot="0" vert="horz" wrap="square" lIns="91440" tIns="0" rIns="25400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0425F4" id="_x0000_t202" coordsize="21600,21600" o:spt="202" path="m,l,21600r21600,l21600,xe">
              <v:stroke joinstyle="miter"/>
              <v:path gradientshapeok="t" o:connecttype="rect"/>
            </v:shapetype>
            <v:shape id="MSIPCM9bf8419f828252bbbb8a22bd" o:spid="_x0000_s1026" type="#_x0000_t202" alt="{&quot;HashCode&quot;:-2130211288,&quot;Height&quot;:792.0,&quot;Width&quot;:612.0,&quot;Placement&quot;:&quot;Header&quot;,&quot;Index&quot;:&quot;Primary&quot;,&quot;Section&quot;:1,&quot;Top&quot;:0.0,&quot;Left&quot;:0.0}" style="position:absolute;margin-left:0;margin-top:15pt;width:612pt;height:21.5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" o:allowincell="f" filled="f" stroked="f">
              <v:textbox inset=",0,20pt,0">
                <w:txbxContent>
                  <w:p w14:paraId="12150122" w14:textId="3C4C4776" w:rsidR="00494D9D" w:rsidRPr="00494D9D" w:rsidRDefault="00494D9D" w:rsidP="00494D9D">
                    <w:pPr>
                      <w:jc w:val="right"/>
                      <w:rPr>
                        <w:rFonts w:ascii="Calibri" w:hAnsi="Calibri" w:cs="Calibri"/>
                        <w:color w:val="FF8C00"/>
                        <w:sz w:val="20"/>
                      </w:rPr>
                    </w:pP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numFmt w:val="decimal"/>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1C3B"/>
    <w:rsid w:val="00013545"/>
    <w:rsid w:val="00022345"/>
    <w:rsid w:val="00026363"/>
    <w:rsid w:val="00043549"/>
    <w:rsid w:val="00046A16"/>
    <w:rsid w:val="00047074"/>
    <w:rsid w:val="000506A0"/>
    <w:rsid w:val="000748C0"/>
    <w:rsid w:val="00076A0B"/>
    <w:rsid w:val="000854DF"/>
    <w:rsid w:val="000A6D49"/>
    <w:rsid w:val="000E3682"/>
    <w:rsid w:val="000E3751"/>
    <w:rsid w:val="0010199D"/>
    <w:rsid w:val="001070F2"/>
    <w:rsid w:val="00111283"/>
    <w:rsid w:val="0011161A"/>
    <w:rsid w:val="001164A8"/>
    <w:rsid w:val="00165047"/>
    <w:rsid w:val="00172497"/>
    <w:rsid w:val="001A6DD8"/>
    <w:rsid w:val="001C00B3"/>
    <w:rsid w:val="001C0B52"/>
    <w:rsid w:val="001C4B2D"/>
    <w:rsid w:val="001E0E06"/>
    <w:rsid w:val="001F4CE1"/>
    <w:rsid w:val="0020799C"/>
    <w:rsid w:val="002132DC"/>
    <w:rsid w:val="00216211"/>
    <w:rsid w:val="00224B95"/>
    <w:rsid w:val="00230F35"/>
    <w:rsid w:val="00242635"/>
    <w:rsid w:val="00245F78"/>
    <w:rsid w:val="0025530E"/>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8384F"/>
    <w:rsid w:val="003A7A69"/>
    <w:rsid w:val="003C3F4F"/>
    <w:rsid w:val="003C7F6F"/>
    <w:rsid w:val="003D6255"/>
    <w:rsid w:val="003E08F3"/>
    <w:rsid w:val="003F0AD2"/>
    <w:rsid w:val="003F737B"/>
    <w:rsid w:val="00402DB0"/>
    <w:rsid w:val="0040732D"/>
    <w:rsid w:val="004239A3"/>
    <w:rsid w:val="004250DD"/>
    <w:rsid w:val="0043758C"/>
    <w:rsid w:val="0044129B"/>
    <w:rsid w:val="00447497"/>
    <w:rsid w:val="00460A5C"/>
    <w:rsid w:val="004627BA"/>
    <w:rsid w:val="004724D6"/>
    <w:rsid w:val="00475C78"/>
    <w:rsid w:val="00494D9D"/>
    <w:rsid w:val="004A024B"/>
    <w:rsid w:val="004B73BA"/>
    <w:rsid w:val="004C79CE"/>
    <w:rsid w:val="004F154A"/>
    <w:rsid w:val="004F2B31"/>
    <w:rsid w:val="00521E0F"/>
    <w:rsid w:val="00531109"/>
    <w:rsid w:val="00537B4C"/>
    <w:rsid w:val="005429EF"/>
    <w:rsid w:val="005627D4"/>
    <w:rsid w:val="0056316B"/>
    <w:rsid w:val="0058726A"/>
    <w:rsid w:val="00590E9A"/>
    <w:rsid w:val="005942E9"/>
    <w:rsid w:val="005C612E"/>
    <w:rsid w:val="005C6560"/>
    <w:rsid w:val="00610105"/>
    <w:rsid w:val="00610318"/>
    <w:rsid w:val="00625B05"/>
    <w:rsid w:val="00632937"/>
    <w:rsid w:val="0065654E"/>
    <w:rsid w:val="00662A40"/>
    <w:rsid w:val="006805EC"/>
    <w:rsid w:val="00691819"/>
    <w:rsid w:val="00693C4D"/>
    <w:rsid w:val="006A205D"/>
    <w:rsid w:val="006A65E9"/>
    <w:rsid w:val="006C0A3A"/>
    <w:rsid w:val="006C5E96"/>
    <w:rsid w:val="006E4F24"/>
    <w:rsid w:val="007519A7"/>
    <w:rsid w:val="00751BE2"/>
    <w:rsid w:val="007526DD"/>
    <w:rsid w:val="00765417"/>
    <w:rsid w:val="00770733"/>
    <w:rsid w:val="00773D0E"/>
    <w:rsid w:val="00786947"/>
    <w:rsid w:val="00790E2F"/>
    <w:rsid w:val="007B0391"/>
    <w:rsid w:val="007B721A"/>
    <w:rsid w:val="007C098A"/>
    <w:rsid w:val="007C6F33"/>
    <w:rsid w:val="007D7715"/>
    <w:rsid w:val="00812249"/>
    <w:rsid w:val="00821D92"/>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21AF2"/>
    <w:rsid w:val="00973B44"/>
    <w:rsid w:val="009801D3"/>
    <w:rsid w:val="00984E06"/>
    <w:rsid w:val="009A3D0A"/>
    <w:rsid w:val="009B2D10"/>
    <w:rsid w:val="009C01A3"/>
    <w:rsid w:val="009C1A08"/>
    <w:rsid w:val="009C396A"/>
    <w:rsid w:val="009F2623"/>
    <w:rsid w:val="00A02C62"/>
    <w:rsid w:val="00A06B94"/>
    <w:rsid w:val="00A2073F"/>
    <w:rsid w:val="00A303FE"/>
    <w:rsid w:val="00A41032"/>
    <w:rsid w:val="00A41AF9"/>
    <w:rsid w:val="00A507E4"/>
    <w:rsid w:val="00A5179E"/>
    <w:rsid w:val="00A62E68"/>
    <w:rsid w:val="00A745B6"/>
    <w:rsid w:val="00A84863"/>
    <w:rsid w:val="00A8574C"/>
    <w:rsid w:val="00A92C2A"/>
    <w:rsid w:val="00A972E4"/>
    <w:rsid w:val="00A9744A"/>
    <w:rsid w:val="00AA52DC"/>
    <w:rsid w:val="00AC1995"/>
    <w:rsid w:val="00AC36E3"/>
    <w:rsid w:val="00AC6213"/>
    <w:rsid w:val="00AD39F4"/>
    <w:rsid w:val="00AD5D5A"/>
    <w:rsid w:val="00AE04A0"/>
    <w:rsid w:val="00AE3217"/>
    <w:rsid w:val="00AF0A22"/>
    <w:rsid w:val="00B11E29"/>
    <w:rsid w:val="00B34964"/>
    <w:rsid w:val="00B36F4A"/>
    <w:rsid w:val="00B42501"/>
    <w:rsid w:val="00B45FEF"/>
    <w:rsid w:val="00B462B1"/>
    <w:rsid w:val="00B56E7B"/>
    <w:rsid w:val="00B72F46"/>
    <w:rsid w:val="00B81E5D"/>
    <w:rsid w:val="00B909F8"/>
    <w:rsid w:val="00B96983"/>
    <w:rsid w:val="00B9724B"/>
    <w:rsid w:val="00BC17F1"/>
    <w:rsid w:val="00BE7B7A"/>
    <w:rsid w:val="00BF22DC"/>
    <w:rsid w:val="00BF3D29"/>
    <w:rsid w:val="00BF6291"/>
    <w:rsid w:val="00C129C7"/>
    <w:rsid w:val="00C22A88"/>
    <w:rsid w:val="00C34825"/>
    <w:rsid w:val="00C63A56"/>
    <w:rsid w:val="00C65E7F"/>
    <w:rsid w:val="00C93CD4"/>
    <w:rsid w:val="00CB5E37"/>
    <w:rsid w:val="00CC52A3"/>
    <w:rsid w:val="00CE3B79"/>
    <w:rsid w:val="00CF39DA"/>
    <w:rsid w:val="00D0754F"/>
    <w:rsid w:val="00D10173"/>
    <w:rsid w:val="00D12CB7"/>
    <w:rsid w:val="00D328AB"/>
    <w:rsid w:val="00D429CC"/>
    <w:rsid w:val="00D459DC"/>
    <w:rsid w:val="00D56EFA"/>
    <w:rsid w:val="00D65EB9"/>
    <w:rsid w:val="00D67BF8"/>
    <w:rsid w:val="00DA3217"/>
    <w:rsid w:val="00DA3E0F"/>
    <w:rsid w:val="00DB185F"/>
    <w:rsid w:val="00DB43BB"/>
    <w:rsid w:val="00DD363B"/>
    <w:rsid w:val="00DE54B1"/>
    <w:rsid w:val="00E251B2"/>
    <w:rsid w:val="00E3766D"/>
    <w:rsid w:val="00E502BA"/>
    <w:rsid w:val="00E57529"/>
    <w:rsid w:val="00E6451F"/>
    <w:rsid w:val="00E67719"/>
    <w:rsid w:val="00E84F5D"/>
    <w:rsid w:val="00EC7546"/>
    <w:rsid w:val="00F1661E"/>
    <w:rsid w:val="00F2453C"/>
    <w:rsid w:val="00F346BE"/>
    <w:rsid w:val="00F433B3"/>
    <w:rsid w:val="00F73533"/>
    <w:rsid w:val="00F771D8"/>
    <w:rsid w:val="00FA07E9"/>
    <w:rsid w:val="00FA2A4C"/>
    <w:rsid w:val="00FE3F97"/>
    <w:rsid w:val="00FF1125"/>
    <w:rsid w:val="00FF5097"/>
    <w:rsid w:val="00FF5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5893E7E"/>
  <w15:chartTrackingRefBased/>
  <w15:docId w15:val="{FE97EABB-DE7C-4DB7-8827-55C4A8BB9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endnote reference" w:uiPriority="99"/>
    <w:lsdException w:name="endnote text" w:uiPriority="99"/>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1">
    <w:name w:val="No List1"/>
    <w:next w:val="NoList"/>
    <w:uiPriority w:val="99"/>
    <w:semiHidden/>
    <w:unhideWhenUsed/>
    <w:rsid w:val="0020799C"/>
  </w:style>
  <w:style w:type="paragraph" w:styleId="EndnoteText">
    <w:name w:val="endnote text"/>
    <w:basedOn w:val="Normal"/>
    <w:link w:val="EndnoteTextChar"/>
    <w:uiPriority w:val="99"/>
    <w:unhideWhenUsed/>
    <w:rsid w:val="0020799C"/>
    <w:rPr>
      <w:rFonts w:ascii="Calibri" w:eastAsia="Calibri" w:hAnsi="Calibri"/>
      <w:sz w:val="20"/>
      <w:szCs w:val="20"/>
      <w:lang w:eastAsia="en-US"/>
    </w:rPr>
  </w:style>
  <w:style w:type="character" w:customStyle="1" w:styleId="EndnoteTextChar">
    <w:name w:val="Endnote Text Char"/>
    <w:link w:val="EndnoteText"/>
    <w:uiPriority w:val="99"/>
    <w:rsid w:val="0020799C"/>
    <w:rPr>
      <w:rFonts w:ascii="Calibri" w:eastAsia="Calibri" w:hAnsi="Calibri"/>
      <w:lang w:eastAsia="en-US"/>
    </w:rPr>
  </w:style>
  <w:style w:type="character" w:styleId="EndnoteReference">
    <w:name w:val="endnote reference"/>
    <w:uiPriority w:val="99"/>
    <w:unhideWhenUsed/>
    <w:rsid w:val="0020799C"/>
    <w:rPr>
      <w:vertAlign w:val="superscript"/>
    </w:rPr>
  </w:style>
  <w:style w:type="paragraph" w:styleId="FootnoteText">
    <w:name w:val="footnote text"/>
    <w:basedOn w:val="Normal"/>
    <w:link w:val="FootnoteTextChar"/>
    <w:uiPriority w:val="99"/>
    <w:unhideWhenUsed/>
    <w:rsid w:val="0020799C"/>
    <w:rPr>
      <w:rFonts w:ascii="Calibri" w:eastAsia="Calibri" w:hAnsi="Calibri"/>
      <w:sz w:val="20"/>
      <w:szCs w:val="20"/>
      <w:lang w:eastAsia="en-US"/>
    </w:rPr>
  </w:style>
  <w:style w:type="character" w:customStyle="1" w:styleId="FootnoteTextChar">
    <w:name w:val="Footnote Text Char"/>
    <w:link w:val="FootnoteText"/>
    <w:uiPriority w:val="99"/>
    <w:rsid w:val="0020799C"/>
    <w:rPr>
      <w:rFonts w:ascii="Calibri" w:eastAsia="Calibri" w:hAnsi="Calibri"/>
      <w:lang w:eastAsia="en-US"/>
    </w:rPr>
  </w:style>
  <w:style w:type="character" w:styleId="FootnoteReference">
    <w:name w:val="footnote reference"/>
    <w:uiPriority w:val="99"/>
    <w:unhideWhenUsed/>
    <w:rsid w:val="002079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D1A859-DD29-4AE7-BF4D-B311B5505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23115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Andy Jones</cp:lastModifiedBy>
  <cp:revision>5</cp:revision>
  <cp:lastPrinted>2011-03-31T14:57:00Z</cp:lastPrinted>
  <dcterms:created xsi:type="dcterms:W3CDTF">2023-11-09T17:27:00Z</dcterms:created>
  <dcterms:modified xsi:type="dcterms:W3CDTF">2023-11-10T14:16:00Z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5bade86-969a-4cfc-8d70-99d1f0adeaba_Enabled">
    <vt:lpwstr>true</vt:lpwstr>
  </property>
  <property fmtid="{D5CDD505-2E9C-101B-9397-08002B2CF9AE}" pid="3" name="MSIP_Label_65bade86-969a-4cfc-8d70-99d1f0adeaba_SetDate">
    <vt:lpwstr>2023-11-09T17:30:16Z</vt:lpwstr>
  </property>
  <property fmtid="{D5CDD505-2E9C-101B-9397-08002B2CF9AE}" pid="4" name="MSIP_Label_65bade86-969a-4cfc-8d70-99d1f0adeaba_Method">
    <vt:lpwstr>Privileged</vt:lpwstr>
  </property>
  <property fmtid="{D5CDD505-2E9C-101B-9397-08002B2CF9AE}" pid="5" name="MSIP_Label_65bade86-969a-4cfc-8d70-99d1f0adeaba_Name">
    <vt:lpwstr>65bade86-969a-4cfc-8d70-99d1f0adeaba</vt:lpwstr>
  </property>
  <property fmtid="{D5CDD505-2E9C-101B-9397-08002B2CF9AE}" pid="6" name="MSIP_Label_65bade86-969a-4cfc-8d70-99d1f0adeaba_SiteId">
    <vt:lpwstr>efaa16aa-d1de-4d58-ba2e-2833fdfdd29f</vt:lpwstr>
  </property>
  <property fmtid="{D5CDD505-2E9C-101B-9397-08002B2CF9AE}" pid="7" name="MSIP_Label_65bade86-969a-4cfc-8d70-99d1f0adeaba_ActionId">
    <vt:lpwstr>22973e3b-ba4b-4db4-848e-0367b25e4210</vt:lpwstr>
  </property>
  <property fmtid="{D5CDD505-2E9C-101B-9397-08002B2CF9AE}" pid="8" name="MSIP_Label_65bade86-969a-4cfc-8d70-99d1f0adeaba_ContentBits">
    <vt:lpwstr>1</vt:lpwstr>
  </property>
</Properties>
</file>