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76"/>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276"/>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276"/>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276"/>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276"/>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276"/>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276"/>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276"/>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276"/>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276"/>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276"/>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276"/>
        <w:ind w:right="0" w:left="0" w:firstLine="0"/>
        <w:jc w:val="center"/>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ACCOUNTING   FUNDAMENTALS</w:t>
      </w:r>
    </w:p>
    <w:p>
      <w:pPr>
        <w:spacing w:before="0" w:after="0" w:line="276"/>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276"/>
        <w:ind w:right="0" w:left="0" w:firstLine="0"/>
        <w:jc w:val="center"/>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Diana Gospodinova Dimova</w:t>
      </w:r>
    </w:p>
    <w:p>
      <w:pPr>
        <w:spacing w:before="0" w:after="0" w:line="276"/>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276"/>
        <w:ind w:right="0" w:left="0" w:firstLine="0"/>
        <w:jc w:val="left"/>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 </w:t>
      </w:r>
    </w:p>
    <w:p>
      <w:pPr>
        <w:spacing w:before="0" w:after="0" w:line="276"/>
        <w:ind w:right="0" w:left="0" w:firstLine="0"/>
        <w:jc w:val="left"/>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Task 1</w:t>
      </w: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a. Preparation of necessary ledger accounts</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Cash a/c </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5th April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Capital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7th April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Inventory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20th april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15th April</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Motor van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28th April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Rent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30th April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Drawings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190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650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Capital a/c </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5th April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Inventory a/c </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7th April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Bank a/c </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8th april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Loan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29th April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Repayment of loan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Motor van a/c </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15th April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Sales a/c </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20th April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Rent a/c </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28th April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Loan a/c </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29th April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Bank (Repayment of loan)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8th April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Bank a/c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Drawings a/c </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30th April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b. Trial balances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Trial Balance Maxim trading as at 30th April</w:t>
      </w:r>
    </w:p>
    <w:tbl>
      <w:tblPr/>
      <w:tblGrid>
        <w:gridCol w:w="3225"/>
        <w:gridCol w:w="2325"/>
        <w:gridCol w:w="2655"/>
      </w:tblGrid>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General ledgers accounts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Debit </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Credit </w:t>
            </w: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Capital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300</w:t>
            </w: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Opening inventory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in hand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190</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at bank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w:t>
            </w: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Motor van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150</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Rent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Drawings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Loan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700</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700</w:t>
            </w:r>
          </w:p>
        </w:tc>
      </w:tr>
    </w:tbl>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 Preparation of profit &amp; loss account and statement of financial position</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Profit and loss a/c as at 30th April </w:t>
      </w:r>
    </w:p>
    <w:tbl>
      <w:tblPr/>
      <w:tblGrid>
        <w:gridCol w:w="2340"/>
        <w:gridCol w:w="2340"/>
        <w:gridCol w:w="2340"/>
        <w:gridCol w:w="2340"/>
      </w:tblGrid>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Particulars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Amount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Particulars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Amount </w:t>
            </w: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Purchase of opening stock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w:t>
            </w: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Closing stock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w:t>
            </w: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Gross profit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250</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450</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450</w:t>
            </w: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Gross profit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250</w:t>
            </w: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Rent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Net profit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200</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250</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250</w:t>
            </w:r>
          </w:p>
        </w:tc>
      </w:tr>
    </w:tbl>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Balance sheet as at 30th April </w:t>
      </w:r>
    </w:p>
    <w:tbl>
      <w:tblPr/>
      <w:tblGrid>
        <w:gridCol w:w="3300"/>
        <w:gridCol w:w="2340"/>
        <w:gridCol w:w="2355"/>
      </w:tblGrid>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Particulars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Debit </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Credit </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Assets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Fixed asset</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Motor van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150</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Current assets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at bank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in hand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190</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Closing stock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490</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00" w:hRule="auto"/>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Liabilities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Capital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300</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Less: Withdrawals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240</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Net profit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Loan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490</w:t>
            </w:r>
          </w:p>
        </w:tc>
      </w:tr>
    </w:tbl>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Task 2</w:t>
      </w: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a. Preparation of necessary ledger accounts</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Cash a/c </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1st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Capital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2nd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Motor van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13th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3rd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Purchases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1300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20th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10th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Expenses on motor van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24th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Storage expenses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30th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Drawings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175</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3375</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5800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5800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Capital a/c</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1st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Motor van a/c </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2nd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Purchase a/c </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3rd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1300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1300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Bank a/c </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8th January</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Loan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29th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Repayment of loan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750</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Loan a/c </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27th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Bank (Repayment of loan)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4th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Bank a/c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1000</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Expenses a/c </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10th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(Motor van)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24th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(Storage)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150</w:t>
            </w:r>
          </w:p>
          <w:p>
            <w:pPr>
              <w:spacing w:before="0" w:after="0" w:line="240"/>
              <w:ind w:right="0" w:left="0" w:firstLine="0"/>
              <w:jc w:val="left"/>
              <w:rPr>
                <w:color w:val="auto"/>
                <w:spacing w:val="0"/>
                <w:position w:val="0"/>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Sales a/c </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13th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20th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800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Drawings a/c </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30th January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175</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175</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175</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175</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b. Trial balances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Trial Balance Pendo trading as at 31st January </w:t>
      </w:r>
    </w:p>
    <w:tbl>
      <w:tblPr/>
      <w:tblGrid>
        <w:gridCol w:w="3225"/>
        <w:gridCol w:w="2325"/>
        <w:gridCol w:w="2655"/>
      </w:tblGrid>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General ledgers accounts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Debit </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Credit </w:t>
            </w: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Capital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5000</w:t>
            </w: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Purchases</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1300</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in hand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3375</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at bank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750</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800</w:t>
            </w: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Motor van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600</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Expenses</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Drawings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175</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Loan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750</w:t>
            </w: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6550</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6550</w:t>
            </w:r>
          </w:p>
        </w:tc>
      </w:tr>
    </w:tbl>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 Preparation of profit &amp; loss account and statement of financial position</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Profit and loss a/c Pendo trading as at 31st January </w:t>
      </w:r>
    </w:p>
    <w:tbl>
      <w:tblPr/>
      <w:tblGrid>
        <w:gridCol w:w="2340"/>
        <w:gridCol w:w="2340"/>
        <w:gridCol w:w="2340"/>
        <w:gridCol w:w="2340"/>
      </w:tblGrid>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Particulars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Amount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Particulars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Amount </w:t>
            </w: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Purchase of opening stock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1300</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800</w:t>
            </w: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Closing stock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800</w:t>
            </w: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Gross profit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300</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1600</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1600</w:t>
            </w: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Gross profit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350</w:t>
            </w: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Expenses</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Net profit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0</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w:t>
            </w:r>
          </w:p>
        </w:tc>
      </w:tr>
    </w:tbl>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Balance sheet Pendo trading as at 31st January </w:t>
      </w:r>
    </w:p>
    <w:tbl>
      <w:tblPr/>
      <w:tblGrid>
        <w:gridCol w:w="3300"/>
        <w:gridCol w:w="2340"/>
        <w:gridCol w:w="2355"/>
      </w:tblGrid>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Particulars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Debit </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Credit </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Assets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Fixed asset</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Motor van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600</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Current assets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at bank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750</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in hand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3375</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Closing stock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800</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5525</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00" w:hRule="auto"/>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Liabilities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Capital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5000</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Less: Withdrawals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175</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4825</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Net profit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0</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Loan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750</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5575</w:t>
            </w:r>
          </w:p>
        </w:tc>
      </w:tr>
    </w:tbl>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Task 3</w:t>
      </w: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a. Preparation of necessary ledger accounts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Cash a/c </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1st Jan</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Opening balance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343</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5th Jan</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Wages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12</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7th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Smith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18</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9th Jan</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Max</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21</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11th Jan</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64</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14th Jan</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Wages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14</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21st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110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14th Jan</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Purchases</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75</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23rd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Harvey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15th jan</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Rich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162</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28th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84</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20th Jan</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Office desk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32</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31st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21st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Wages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17</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23rd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Office expenses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28th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Wages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323</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674</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674</w:t>
            </w: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Wages a/c </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5th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12</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14th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14</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21st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17</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28th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58</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58</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58</w:t>
            </w:r>
          </w:p>
        </w:tc>
      </w:tr>
    </w:tbl>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Harvey a/c</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1st Jan</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Opening balance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39</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2nd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124</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23rd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138</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163</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163</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Sales a/c</w:t>
      </w:r>
      <w:r>
        <w:rPr>
          <w:rFonts w:ascii="Times New Roman" w:hAnsi="Times New Roman" w:cs="Times New Roman" w:eastAsia="Times New Roman"/>
          <w:color w:val="auto"/>
          <w:spacing w:val="0"/>
          <w:position w:val="0"/>
          <w:sz w:val="24"/>
          <w:shd w:fill="auto" w:val="clear"/>
        </w:rPr>
        <w:t xml:space="preserve"> </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2nd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Harvey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124</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11th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64</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21st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110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28th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84</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164</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31st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288</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288</w:t>
            </w: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Purchase a/c </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5th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Rich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14th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75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225</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225</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225</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Rich a/c </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15th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162</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1st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Opening balance</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12</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5th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Purchase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162</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162</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Smith a/c </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1st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Opening balance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18</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7th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18</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18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18 </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Max a/c </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9th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21</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1st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Opening balance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21</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21</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21</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Office desk a/c </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20th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32</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32</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32</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32</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Office expense a/c </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23rd Jan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b. Trial balances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Trial Balance Mafuta trading as at 31st January </w:t>
      </w:r>
    </w:p>
    <w:tbl>
      <w:tblPr/>
      <w:tblGrid>
        <w:gridCol w:w="3225"/>
        <w:gridCol w:w="2325"/>
        <w:gridCol w:w="2655"/>
      </w:tblGrid>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General ledgers accounts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Debit </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Credit </w:t>
            </w:r>
          </w:p>
        </w:tc>
      </w:tr>
      <w:tr>
        <w:trPr>
          <w:trHeight w:val="400" w:hRule="auto"/>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Capital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615</w:t>
            </w: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Purchases</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225</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in hand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323</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Wages</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58</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164</w:t>
            </w: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Harvey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138</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Office desk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32</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Office expenses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32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w:t>
            </w:r>
          </w:p>
        </w:tc>
        <w:tc>
          <w:tcPr>
            <w:tcW w:w="23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779</w:t>
            </w:r>
          </w:p>
        </w:tc>
        <w:tc>
          <w:tcPr>
            <w:tcW w:w="26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779</w:t>
            </w:r>
          </w:p>
        </w:tc>
      </w:tr>
    </w:tbl>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 Preparation of profit &amp; loss account and statement of financial position</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Profit and loss a/c Mafuta trading as at 31st January </w:t>
      </w:r>
    </w:p>
    <w:tbl>
      <w:tblPr/>
      <w:tblGrid>
        <w:gridCol w:w="2340"/>
        <w:gridCol w:w="2340"/>
        <w:gridCol w:w="2340"/>
        <w:gridCol w:w="2340"/>
      </w:tblGrid>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Particulars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Amount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Particulars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Amount </w:t>
            </w: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opening stock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485</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288</w:t>
            </w:r>
          </w:p>
        </w:tc>
      </w:tr>
      <w:tr>
        <w:trPr>
          <w:trHeight w:val="520" w:hRule="auto"/>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Purchases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225</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Closing stock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374</w:t>
            </w: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Wages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58</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Gross loss</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79</w:t>
            </w: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741</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741</w:t>
            </w: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Gross loss</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79</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Expenses</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Net loss</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82</w:t>
            </w:r>
          </w:p>
        </w:tc>
      </w:tr>
      <w:tr>
        <w:trPr>
          <w:trHeight w:val="1" w:hRule="atLeast"/>
          <w:jc w:val="center"/>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82</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82</w:t>
            </w:r>
          </w:p>
        </w:tc>
      </w:tr>
    </w:tbl>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Balance sheet Mafuta trading as at 31st January </w:t>
      </w:r>
    </w:p>
    <w:tbl>
      <w:tblPr/>
      <w:tblGrid>
        <w:gridCol w:w="3300"/>
        <w:gridCol w:w="2340"/>
        <w:gridCol w:w="2355"/>
      </w:tblGrid>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Particulars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Debit </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Credit </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Assets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Fixed asset</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Office desk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32</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Furniture and fittings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198</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Closing stock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374</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in hand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323</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Debtors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164</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927</w:t>
            </w: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00" w:hRule="auto"/>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Liabilities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Capital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615</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Less: net loss</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82</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533</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Long term liabilities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394</w:t>
            </w:r>
          </w:p>
        </w:tc>
      </w:tr>
      <w:tr>
        <w:trPr>
          <w:trHeight w:val="1" w:hRule="atLeast"/>
          <w:jc w:val="center"/>
        </w:trPr>
        <w:tc>
          <w:tcPr>
            <w:tcW w:w="33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927</w:t>
            </w:r>
          </w:p>
        </w:tc>
      </w:tr>
    </w:tbl>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Task 4</w:t>
      </w: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a. Preparation of necessary ledger accounts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Sales a/c </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 June</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Claire</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14 June</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Hywel</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 June</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 return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24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Mandy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16475</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22475</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22475</w:t>
            </w:r>
          </w:p>
        </w:tc>
      </w:tr>
    </w:tbl>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Discount received a/c</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Georgina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840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21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Andrew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91</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931</w:t>
            </w: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931</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931</w:t>
            </w:r>
          </w:p>
        </w:tc>
      </w:tr>
    </w:tbl>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Discount allowed a/c</w:t>
      </w:r>
    </w:p>
    <w:tbl>
      <w:tblPr/>
      <w:tblGrid>
        <w:gridCol w:w="1560"/>
        <w:gridCol w:w="1560"/>
        <w:gridCol w:w="1560"/>
        <w:gridCol w:w="1560"/>
        <w:gridCol w:w="1560"/>
        <w:gridCol w:w="1560"/>
      </w:tblGrid>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 June</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Claire</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14 June</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Hywel</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1025</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24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Mandy</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1025</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1025</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Purchase a/c</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 June</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Georgina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11160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15619</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21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Andrew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4459</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15619</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15619</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Cash a/c</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Georgina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11160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24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Claire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7075</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27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Andrew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4459</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Hywel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8550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6006</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21625</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21625</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Transactions with customers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Clair a/c</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8500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Discount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425</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 return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24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7075</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8500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8500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Mandy a/c</w:t>
      </w:r>
    </w:p>
    <w:tbl>
      <w:tblPr/>
      <w:tblGrid>
        <w:gridCol w:w="1543"/>
        <w:gridCol w:w="1570"/>
        <w:gridCol w:w="1562"/>
        <w:gridCol w:w="1543"/>
        <w:gridCol w:w="1570"/>
        <w:gridCol w:w="1562"/>
      </w:tblGrid>
      <w:tr>
        <w:trPr>
          <w:trHeight w:val="1" w:hRule="atLeast"/>
          <w:jc w:val="left"/>
        </w:trPr>
        <w:tc>
          <w:tcPr>
            <w:tcW w:w="15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left"/>
        </w:trPr>
        <w:tc>
          <w:tcPr>
            <w:tcW w:w="15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24 June</w:t>
            </w:r>
          </w:p>
        </w:tc>
        <w:tc>
          <w:tcPr>
            <w:tcW w:w="1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 </w:t>
            </w:r>
          </w:p>
        </w:tc>
        <w:tc>
          <w:tcPr>
            <w:tcW w:w="1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5000</w:t>
            </w:r>
          </w:p>
        </w:tc>
        <w:tc>
          <w:tcPr>
            <w:tcW w:w="15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24 June </w:t>
            </w:r>
          </w:p>
        </w:tc>
        <w:tc>
          <w:tcPr>
            <w:tcW w:w="1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Discount </w:t>
            </w:r>
          </w:p>
        </w:tc>
        <w:tc>
          <w:tcPr>
            <w:tcW w:w="1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150</w:t>
            </w:r>
          </w:p>
        </w:tc>
      </w:tr>
      <w:tr>
        <w:trPr>
          <w:trHeight w:val="1" w:hRule="atLeast"/>
          <w:jc w:val="left"/>
        </w:trPr>
        <w:tc>
          <w:tcPr>
            <w:tcW w:w="15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5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Balance c/d </w:t>
            </w:r>
          </w:p>
        </w:tc>
        <w:tc>
          <w:tcPr>
            <w:tcW w:w="1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4850</w:t>
            </w:r>
          </w:p>
        </w:tc>
      </w:tr>
      <w:tr>
        <w:trPr>
          <w:trHeight w:val="1" w:hRule="atLeast"/>
          <w:jc w:val="left"/>
        </w:trPr>
        <w:tc>
          <w:tcPr>
            <w:tcW w:w="15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5000</w:t>
            </w:r>
          </w:p>
        </w:tc>
        <w:tc>
          <w:tcPr>
            <w:tcW w:w="15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Hywel a/c</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14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9000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14 June</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Discount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450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a/c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8550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9000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9000</w:t>
            </w:r>
          </w:p>
        </w:tc>
      </w:tr>
    </w:tbl>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Transaction with suppliers </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Andrew a/c</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21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Discount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91</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21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Purchase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4500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27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a/c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4459</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4500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4500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Georgina a/c</w:t>
      </w:r>
    </w:p>
    <w:tbl>
      <w:tblPr/>
      <w:tblGrid>
        <w:gridCol w:w="1560"/>
        <w:gridCol w:w="1560"/>
        <w:gridCol w:w="1560"/>
        <w:gridCol w:w="1560"/>
        <w:gridCol w:w="1560"/>
        <w:gridCol w:w="1560"/>
      </w:tblGrid>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Amount in GBP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Particular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in GBP </w:t>
            </w:r>
          </w:p>
          <w:p>
            <w:pPr>
              <w:spacing w:before="0" w:after="0" w:line="240"/>
              <w:ind w:right="0" w:left="0" w:firstLine="0"/>
              <w:jc w:val="left"/>
              <w:rPr>
                <w:color w:val="auto"/>
                <w:spacing w:val="0"/>
                <w:position w:val="0"/>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Discount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840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Purchase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12000</w:t>
            </w: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 June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a/c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11160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12000</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15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12000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b. Trial balances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Trial balance of Ricardo traders as at 27th June </w:t>
      </w:r>
    </w:p>
    <w:tbl>
      <w:tblPr/>
      <w:tblGrid>
        <w:gridCol w:w="3120"/>
        <w:gridCol w:w="3120"/>
        <w:gridCol w:w="3120"/>
      </w:tblGrid>
      <w:tr>
        <w:trPr>
          <w:trHeight w:val="1" w:hRule="atLeast"/>
          <w:jc w:val="center"/>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General ledgers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Debit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Credit </w:t>
            </w:r>
          </w:p>
        </w:tc>
      </w:tr>
      <w:tr>
        <w:trPr>
          <w:trHeight w:val="1" w:hRule="atLeast"/>
          <w:jc w:val="center"/>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Capital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5244</w:t>
            </w:r>
          </w:p>
        </w:tc>
      </w:tr>
      <w:tr>
        <w:trPr>
          <w:trHeight w:val="1" w:hRule="atLeast"/>
          <w:jc w:val="center"/>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Purchase</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15619</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Cash in hand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6006</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16475</w:t>
            </w:r>
          </w:p>
        </w:tc>
      </w:tr>
      <w:tr>
        <w:trPr>
          <w:trHeight w:val="1" w:hRule="atLeast"/>
          <w:jc w:val="center"/>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Discount received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931</w:t>
            </w:r>
          </w:p>
        </w:tc>
      </w:tr>
      <w:tr>
        <w:trPr>
          <w:trHeight w:val="1" w:hRule="atLeast"/>
          <w:jc w:val="center"/>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Discount allowed</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1025</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22650</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22650</w:t>
            </w:r>
          </w:p>
        </w:tc>
      </w:tr>
    </w:tbl>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Task 5</w:t>
      </w: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Differentiate between capital expenditure and revenue expenditure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any business organisation expenditure is an inevitable aspect of business operations. In the field of finance expenditure is divided into two segments which include capital expenditure and revenue expenditure. As opined by </w:t>
      </w:r>
      <w:r>
        <w:rPr>
          <w:rFonts w:ascii="Times New Roman" w:hAnsi="Times New Roman" w:cs="Times New Roman" w:eastAsia="Times New Roman"/>
          <w:color w:val="auto"/>
          <w:spacing w:val="0"/>
          <w:position w:val="0"/>
          <w:sz w:val="24"/>
          <w:shd w:fill="FFFFFF" w:val="clear"/>
        </w:rPr>
        <w:t xml:space="preserve">Temelli </w:t>
      </w:r>
      <w:r>
        <w:rPr>
          <w:rFonts w:ascii="Times New Roman" w:hAnsi="Times New Roman" w:cs="Times New Roman" w:eastAsia="Times New Roman"/>
          <w:color w:val="auto"/>
          <w:spacing w:val="0"/>
          <w:position w:val="0"/>
          <w:sz w:val="24"/>
          <w:shd w:fill="auto" w:val="clear"/>
        </w:rPr>
        <w:t xml:space="preserve">(2018, p.88), capital expenditures caters into those division of expenses which is incurred once in order to acquire assets of business which aids in improving efficiency of operations. On the other hand revenue expenditure includes those type of expenses which is incurred on a daily basis in order to keep up with the routine activities. One of the significant differences between these two expenditures is that capital expenditure is focused on upgrading entire capacity of business concern whereas incurring of revenue expenditures assists in maintaining earning capacity for longer run. Business organisation indulges into spending in acquiring capital for the operations which will in return provide economic benefit to a company. It is basically concerned with making long term investment in order to enhance future course of profit (</w:t>
      </w:r>
      <w:r>
        <w:rPr>
          <w:rFonts w:ascii="Times New Roman" w:hAnsi="Times New Roman" w:cs="Times New Roman" w:eastAsia="Times New Roman"/>
          <w:color w:val="auto"/>
          <w:spacing w:val="0"/>
          <w:position w:val="0"/>
          <w:sz w:val="24"/>
          <w:shd w:fill="FFFFFF" w:val="clear"/>
        </w:rPr>
        <w:t xml:space="preserve">Christensen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FFFFFF" w:val="clear"/>
        </w:rPr>
        <w:t xml:space="preserve"> 2016, p.418</w:t>
      </w:r>
      <w:r>
        <w:rPr>
          <w:rFonts w:ascii="Times New Roman" w:hAnsi="Times New Roman" w:cs="Times New Roman" w:eastAsia="Times New Roman"/>
          <w:color w:val="auto"/>
          <w:spacing w:val="0"/>
          <w:position w:val="0"/>
          <w:sz w:val="24"/>
          <w:shd w:fill="auto" w:val="clear"/>
        </w:rPr>
        <w:t xml:space="preserve">).  As for example, an organisation can acquire new equipment in order to improve production capacity so that more increased number of goods can be produced thus resulting to facilitate high return. In case of revenue expenditure, expenses are infused into the business operations in order to conserve efficiency and high output. As for example, electricity costs, stationary, wages, and salaries are some of the part of revenue expenditures. An elaborate differentiation between revenue expenditure and capital expenditure is discussed below. </w:t>
      </w:r>
    </w:p>
    <w:tbl>
      <w:tblPr/>
      <w:tblGrid>
        <w:gridCol w:w="3120"/>
        <w:gridCol w:w="3120"/>
        <w:gridCol w:w="3120"/>
      </w:tblGrid>
      <w:tr>
        <w:trPr>
          <w:trHeight w:val="1" w:hRule="atLeast"/>
          <w:jc w:val="left"/>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Basis</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Capital expenditure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Revenue expenditure </w:t>
            </w:r>
          </w:p>
        </w:tc>
      </w:tr>
      <w:tr>
        <w:trPr>
          <w:trHeight w:val="1" w:hRule="atLeast"/>
          <w:jc w:val="left"/>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Terminology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It is considered as a long term investment having a long term effect on business operations.</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This type of expenditure is focused at making short term investment just having an effect on current financial year </w:t>
            </w:r>
          </w:p>
        </w:tc>
      </w:tr>
      <w:tr>
        <w:trPr>
          <w:trHeight w:val="1" w:hRule="atLeast"/>
          <w:jc w:val="left"/>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Physical existence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As stated by </w:t>
            </w:r>
            <w:r>
              <w:rPr>
                <w:rFonts w:ascii="Times New Roman" w:hAnsi="Times New Roman" w:cs="Times New Roman" w:eastAsia="Times New Roman"/>
                <w:color w:val="auto"/>
                <w:spacing w:val="0"/>
                <w:position w:val="0"/>
                <w:sz w:val="24"/>
                <w:shd w:fill="FFFFFF" w:val="clear"/>
              </w:rPr>
              <w:t xml:space="preserve">Mohanty and Patra </w:t>
            </w:r>
            <w:r>
              <w:rPr>
                <w:rFonts w:ascii="Times New Roman" w:hAnsi="Times New Roman" w:cs="Times New Roman" w:eastAsia="Times New Roman"/>
                <w:color w:val="auto"/>
                <w:spacing w:val="0"/>
                <w:position w:val="0"/>
                <w:sz w:val="24"/>
                <w:shd w:fill="auto" w:val="clear"/>
              </w:rPr>
              <w:t xml:space="preserve">(2016, p.49), such type of expenses has a physical existence other than any intangible asset is involved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It does not have any sort of physical existence because it is only incurred on business items  </w:t>
            </w:r>
          </w:p>
        </w:tc>
      </w:tr>
      <w:tr>
        <w:trPr>
          <w:trHeight w:val="1" w:hRule="atLeast"/>
          <w:jc w:val="left"/>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Value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Through this expenditure a business organisation is able to procure an asset by making sure that existing asset’s value is being increased</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With the aid of revenue expenditure an organisation is not able to enhance value of its operations </w:t>
            </w:r>
          </w:p>
        </w:tc>
      </w:tr>
      <w:tr>
        <w:trPr>
          <w:trHeight w:val="1" w:hRule="atLeast"/>
          <w:jc w:val="left"/>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Displayed in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Any transactions related to capital expenditure is usually shown in balance sheet as well as in income statement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Transactions related to this type of expenditure is only displayed in income statements under the head of trading expenses and operating expenses </w:t>
            </w:r>
          </w:p>
        </w:tc>
      </w:tr>
      <w:tr>
        <w:trPr>
          <w:trHeight w:val="1" w:hRule="atLeast"/>
          <w:jc w:val="left"/>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Consumption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It is being assumed that capital expenditures are consumed till the time of useful life of that particular assets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 this case, it has been noted that these expenses are being consumed for a very short period of time </w:t>
            </w:r>
          </w:p>
        </w:tc>
      </w:tr>
      <w:tr>
        <w:trPr>
          <w:trHeight w:val="1" w:hRule="atLeast"/>
          <w:jc w:val="left"/>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Size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Organisations require indulging more amount of money in terms of incurring of capital expenditure. This is because of the reason that any type of expenditure will be classified as capital expenditure when it surpasses a certain amount threshold value (</w:t>
            </w:r>
            <w:r>
              <w:rPr>
                <w:rFonts w:ascii="Times New Roman" w:hAnsi="Times New Roman" w:cs="Times New Roman" w:eastAsia="Times New Roman"/>
                <w:color w:val="auto"/>
                <w:spacing w:val="0"/>
                <w:position w:val="0"/>
                <w:sz w:val="24"/>
                <w:shd w:fill="FFFFFF" w:val="clear"/>
              </w:rPr>
              <w:t xml:space="preserve">Feldstein, 2015, p.8)</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On the other hand revenue expenditures generally do not involve any larger amount of money and even if it does then that will be termed as capital expenditure only. </w:t>
            </w:r>
          </w:p>
        </w:tc>
      </w:tr>
      <w:tr>
        <w:trPr>
          <w:trHeight w:val="1" w:hRule="atLeast"/>
          <w:jc w:val="left"/>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Impact on revenue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It has been assessed that capital expenditures do not have any effect on increase or decrease of profit earned.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On the contrary revenue expenditures has direct effect on revenue as these type of expenses gets deducted from overall revenue earned</w:t>
            </w:r>
          </w:p>
        </w:tc>
      </w:tr>
      <w:tr>
        <w:trPr>
          <w:trHeight w:val="1" w:hRule="atLeast"/>
          <w:jc w:val="left"/>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Outlay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This type of expenditure is termed as non recurring expenses as it is only incurred once or twice throughout the life of business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Revenue expenditures are considered as recurring expenditures as it is being incurred every year till the organisation is operating. It means this type of expenses are incurred over and over again (</w:t>
            </w:r>
            <w:r>
              <w:rPr>
                <w:rFonts w:ascii="Times New Roman" w:hAnsi="Times New Roman" w:cs="Times New Roman" w:eastAsia="Times New Roman"/>
                <w:color w:val="auto"/>
                <w:spacing w:val="0"/>
                <w:position w:val="0"/>
                <w:sz w:val="24"/>
                <w:shd w:fill="FFFFFF" w:val="clear"/>
              </w:rPr>
              <w:t xml:space="preserve">Tayeh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2015, p.132)</w:t>
            </w:r>
          </w:p>
        </w:tc>
      </w:tr>
      <w:tr>
        <w:trPr>
          <w:trHeight w:val="1" w:hRule="atLeast"/>
          <w:jc w:val="left"/>
        </w:trPr>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Capitalisation </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Expenses incurred through capital expenditure generally gets capitalized</w:t>
            </w:r>
          </w:p>
        </w:tc>
        <w:tc>
          <w:tcPr>
            <w:tcW w:w="31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On the contrary revenue expenditures do not get capitalized throughout the life of business operations. </w:t>
            </w: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1: Difference between revenue expenditure and capital expenditure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the above table it can be assessed that both types of expenditures make a crucial part in business operations. Without incurring any one type of expenses success of business operations cannot be obtained. According to </w:t>
      </w:r>
      <w:r>
        <w:rPr>
          <w:rFonts w:ascii="Times New Roman" w:hAnsi="Times New Roman" w:cs="Times New Roman" w:eastAsia="Times New Roman"/>
          <w:color w:val="auto"/>
          <w:spacing w:val="0"/>
          <w:position w:val="0"/>
          <w:sz w:val="24"/>
          <w:shd w:fill="FFFFFF" w:val="clear"/>
        </w:rPr>
        <w:t xml:space="preserve">Bryan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auto" w:val="clear"/>
        </w:rPr>
        <w:t xml:space="preserve">(2017, p.78), with the adequate mixtures of these types of expenses desired amount of profit can be earned. Capital expenditure facilitates long term assets which can be used in increasing productivity whereas revenue expenditures will make sure that increased rate of productivity is conserved throughout. </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Reference list </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Bryan, D., Rafferty, M. and Wigan, D., (2017). Capital unchained: finance, intangible assets and the double life of capital in the offshore world. </w:t>
      </w:r>
      <w:r>
        <w:rPr>
          <w:rFonts w:ascii="Times New Roman" w:hAnsi="Times New Roman" w:cs="Times New Roman" w:eastAsia="Times New Roman"/>
          <w:i/>
          <w:color w:val="000000"/>
          <w:spacing w:val="0"/>
          <w:position w:val="0"/>
          <w:sz w:val="24"/>
          <w:shd w:fill="FFFFFF" w:val="clear"/>
        </w:rPr>
        <w:t xml:space="preserve">Review of International Political Economy</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24</w:t>
      </w:r>
      <w:r>
        <w:rPr>
          <w:rFonts w:ascii="Times New Roman" w:hAnsi="Times New Roman" w:cs="Times New Roman" w:eastAsia="Times New Roman"/>
          <w:color w:val="000000"/>
          <w:spacing w:val="0"/>
          <w:position w:val="0"/>
          <w:sz w:val="24"/>
          <w:shd w:fill="FFFFFF" w:val="clear"/>
        </w:rPr>
        <w:t xml:space="preserve">(1), pp.56-86.</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Christensen, H.B., Nikolaev, V.V. and Wittenberg</w:t>
      </w:r>
      <w:r>
        <w:rPr>
          <w:rFonts w:ascii="Cambria Math" w:hAnsi="Cambria Math" w:cs="Cambria Math" w:eastAsia="Cambria Math"/>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Moerman, R., (2016). Accounting information in financial contracting: The incomplete contract theory perspective.</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Journal of Accounting Research</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54</w:t>
      </w:r>
      <w:r>
        <w:rPr>
          <w:rFonts w:ascii="Times New Roman" w:hAnsi="Times New Roman" w:cs="Times New Roman" w:eastAsia="Times New Roman"/>
          <w:color w:val="000000"/>
          <w:spacing w:val="0"/>
          <w:position w:val="0"/>
          <w:sz w:val="24"/>
          <w:shd w:fill="FFFFFF" w:val="clear"/>
        </w:rPr>
        <w:t xml:space="preserve">(2), pp.397-435. </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Feldstein, M., (2015). Raising revenue by limiting tax expenditures. </w:t>
      </w:r>
      <w:r>
        <w:rPr>
          <w:rFonts w:ascii="Times New Roman" w:hAnsi="Times New Roman" w:cs="Times New Roman" w:eastAsia="Times New Roman"/>
          <w:i/>
          <w:color w:val="000000"/>
          <w:spacing w:val="0"/>
          <w:position w:val="0"/>
          <w:sz w:val="24"/>
          <w:shd w:fill="FFFFFF" w:val="clear"/>
        </w:rPr>
        <w:t xml:space="preserve">Tax Policy and Economy</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29</w:t>
      </w:r>
      <w:r>
        <w:rPr>
          <w:rFonts w:ascii="Times New Roman" w:hAnsi="Times New Roman" w:cs="Times New Roman" w:eastAsia="Times New Roman"/>
          <w:color w:val="000000"/>
          <w:spacing w:val="0"/>
          <w:position w:val="0"/>
          <w:sz w:val="24"/>
          <w:shd w:fill="FFFFFF" w:val="clear"/>
        </w:rPr>
        <w:t xml:space="preserve">(1), pp.1-11.</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Mohanty, A.R. and Patra, S.K., (2016). Impact of Non</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Tax Revenue on Revenue Expenditure in Sub National Public Finance in Economic Sector.</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IOSR Journal of Economics and Finance</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7</w:t>
      </w:r>
      <w:r>
        <w:rPr>
          <w:rFonts w:ascii="Times New Roman" w:hAnsi="Times New Roman" w:cs="Times New Roman" w:eastAsia="Times New Roman"/>
          <w:color w:val="000000"/>
          <w:spacing w:val="0"/>
          <w:position w:val="0"/>
          <w:sz w:val="24"/>
          <w:shd w:fill="FFFFFF" w:val="clear"/>
        </w:rPr>
        <w:t xml:space="preserve">(5), pp.47-62.</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Tayeh, M., Al-Jarrah, I.M. and Tarhini, A., (2015). Accounting vs. market-based measures of firm performance related to information technology investments. </w:t>
      </w:r>
      <w:r>
        <w:rPr>
          <w:rFonts w:ascii="Times New Roman" w:hAnsi="Times New Roman" w:cs="Times New Roman" w:eastAsia="Times New Roman"/>
          <w:i/>
          <w:color w:val="000000"/>
          <w:spacing w:val="0"/>
          <w:position w:val="0"/>
          <w:sz w:val="24"/>
          <w:shd w:fill="FFFFFF" w:val="clear"/>
        </w:rPr>
        <w:t xml:space="preserve">International Review of Social Sciences and Humanities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9</w:t>
      </w:r>
      <w:r>
        <w:rPr>
          <w:rFonts w:ascii="Times New Roman" w:hAnsi="Times New Roman" w:cs="Times New Roman" w:eastAsia="Times New Roman"/>
          <w:color w:val="000000"/>
          <w:spacing w:val="0"/>
          <w:position w:val="0"/>
          <w:sz w:val="24"/>
          <w:shd w:fill="FFFFFF" w:val="clear"/>
        </w:rPr>
        <w:t xml:space="preserve">(1), pp.129-145.</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Temelli, F., (2018). ACCOUNTING SYSTEM IN STATE UNIVERSITIES: BUDGETARY ACCOUNTS AND IMPLEMENTATIONS. </w:t>
      </w:r>
      <w:r>
        <w:rPr>
          <w:rFonts w:ascii="Times New Roman" w:hAnsi="Times New Roman" w:cs="Times New Roman" w:eastAsia="Times New Roman"/>
          <w:i/>
          <w:color w:val="000000"/>
          <w:spacing w:val="0"/>
          <w:position w:val="0"/>
          <w:sz w:val="24"/>
          <w:shd w:fill="FFFFFF" w:val="clear"/>
        </w:rPr>
        <w:t xml:space="preserve">Journal of Economics Finance and Accounting</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5</w:t>
      </w:r>
      <w:r>
        <w:rPr>
          <w:rFonts w:ascii="Times New Roman" w:hAnsi="Times New Roman" w:cs="Times New Roman" w:eastAsia="Times New Roman"/>
          <w:color w:val="000000"/>
          <w:spacing w:val="0"/>
          <w:position w:val="0"/>
          <w:sz w:val="24"/>
          <w:shd w:fill="FFFFFF" w:val="clear"/>
        </w:rPr>
        <w:t xml:space="preserve">(1), pp.84-99.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