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2673908"/>
        <w:docPartObj>
          <w:docPartGallery w:val="Cover Pages"/>
          <w:docPartUnique/>
        </w:docPartObj>
      </w:sdtPr>
      <w:sdtEndPr>
        <w:rPr>
          <w:rFonts w:ascii="Times New Roman" w:hAnsi="Times New Roman" w:cs="Times New Roman"/>
          <w:b/>
          <w:bCs/>
          <w:color w:val="156082" w:themeColor="accent1"/>
          <w:u w:val="thick"/>
        </w:rPr>
      </w:sdtEndPr>
      <w:sdtContent>
        <w:p w14:paraId="0A251F15" w14:textId="7DEBD8C1" w:rsidR="00EE0C44" w:rsidRPr="00EE0C44" w:rsidRDefault="00EE0C44" w:rsidP="00EE0C44">
          <w:pPr>
            <w:rPr>
              <w:rFonts w:ascii="Times New Roman" w:hAnsi="Times New Roman" w:cs="Times New Roman"/>
              <w:b/>
              <w:bCs/>
              <w:color w:val="156082" w:themeColor="accent1"/>
              <w:sz w:val="44"/>
              <w:szCs w:val="44"/>
            </w:rPr>
          </w:pPr>
          <w:r w:rsidRPr="00EE0C44">
            <w:rPr>
              <w:rFonts w:ascii="Times New Roman" w:hAnsi="Times New Roman" w:cs="Times New Roman"/>
              <w:b/>
              <w:bCs/>
              <w:color w:val="156082" w:themeColor="accent1"/>
              <w:sz w:val="44"/>
              <w:szCs w:val="44"/>
            </w:rPr>
            <w:t>Student name:</w:t>
          </w:r>
          <w:r w:rsidRPr="00EE0C44">
            <w:rPr>
              <w:rFonts w:ascii="Times New Roman" w:hAnsi="Times New Roman" w:cs="Times New Roman"/>
              <w:b/>
              <w:bCs/>
              <w:color w:val="156082" w:themeColor="accent1"/>
              <w:sz w:val="44"/>
              <w:szCs w:val="44"/>
            </w:rPr>
            <w:t xml:space="preserve"> Marinel Toader</w:t>
          </w:r>
          <w:r w:rsidRPr="00EE0C44">
            <w:rPr>
              <w:rFonts w:ascii="Times New Roman" w:hAnsi="Times New Roman" w:cs="Times New Roman"/>
              <w:b/>
              <w:bCs/>
              <w:color w:val="156082" w:themeColor="accent1"/>
              <w:sz w:val="44"/>
              <w:szCs w:val="44"/>
            </w:rPr>
            <w:tab/>
            <w:t xml:space="preserve">     </w:t>
          </w:r>
        </w:p>
        <w:p w14:paraId="4D260CD2" w14:textId="7C20EBB9" w:rsidR="00EE0C44" w:rsidRPr="00EE0C44" w:rsidRDefault="00EE0C44" w:rsidP="00EE0C44">
          <w:pPr>
            <w:rPr>
              <w:rFonts w:ascii="Times New Roman" w:hAnsi="Times New Roman" w:cs="Times New Roman"/>
              <w:b/>
              <w:bCs/>
              <w:color w:val="156082" w:themeColor="accent1"/>
              <w:sz w:val="44"/>
              <w:szCs w:val="44"/>
            </w:rPr>
          </w:pPr>
          <w:r w:rsidRPr="00EE0C44">
            <w:rPr>
              <w:rFonts w:ascii="Times New Roman" w:hAnsi="Times New Roman" w:cs="Times New Roman"/>
              <w:b/>
              <w:bCs/>
              <w:color w:val="156082" w:themeColor="accent1"/>
              <w:sz w:val="44"/>
              <w:szCs w:val="44"/>
            </w:rPr>
            <w:t>Programme:</w:t>
          </w:r>
          <w:r>
            <w:rPr>
              <w:rFonts w:ascii="Times New Roman" w:hAnsi="Times New Roman" w:cs="Times New Roman"/>
              <w:b/>
              <w:bCs/>
              <w:color w:val="156082" w:themeColor="accent1"/>
              <w:sz w:val="44"/>
              <w:szCs w:val="44"/>
            </w:rPr>
            <w:t xml:space="preserve"> </w:t>
          </w:r>
          <w:r w:rsidRPr="00EE0C44">
            <w:rPr>
              <w:rFonts w:ascii="Times New Roman" w:hAnsi="Times New Roman" w:cs="Times New Roman"/>
              <w:b/>
              <w:bCs/>
              <w:color w:val="156082" w:themeColor="accent1"/>
              <w:sz w:val="44"/>
              <w:szCs w:val="44"/>
            </w:rPr>
            <w:t xml:space="preserve">BA Business and Management </w:t>
          </w:r>
        </w:p>
        <w:p w14:paraId="47C6A3DD" w14:textId="76539533" w:rsidR="00EE0C44" w:rsidRPr="00EE0C44" w:rsidRDefault="00EE0C44" w:rsidP="00EE0C44">
          <w:pPr>
            <w:rPr>
              <w:rFonts w:ascii="Times New Roman" w:hAnsi="Times New Roman" w:cs="Times New Roman"/>
              <w:b/>
              <w:bCs/>
              <w:color w:val="156082" w:themeColor="accent1"/>
              <w:sz w:val="44"/>
              <w:szCs w:val="44"/>
            </w:rPr>
          </w:pPr>
          <w:r w:rsidRPr="00EE0C44">
            <w:rPr>
              <w:rFonts w:ascii="Times New Roman" w:hAnsi="Times New Roman" w:cs="Times New Roman"/>
              <w:b/>
              <w:bCs/>
              <w:color w:val="156082" w:themeColor="accent1"/>
              <w:sz w:val="44"/>
              <w:szCs w:val="44"/>
            </w:rPr>
            <w:t>Module:</w:t>
          </w:r>
          <w:r w:rsidRPr="00EE0C44">
            <w:rPr>
              <w:rFonts w:ascii="Times New Roman" w:hAnsi="Times New Roman" w:cs="Times New Roman"/>
              <w:b/>
              <w:bCs/>
              <w:color w:val="156082" w:themeColor="accent1"/>
              <w:sz w:val="44"/>
              <w:szCs w:val="44"/>
            </w:rPr>
            <w:t xml:space="preserve"> </w:t>
          </w:r>
          <w:r w:rsidRPr="00EE0C44">
            <w:rPr>
              <w:rFonts w:ascii="Times New Roman" w:hAnsi="Times New Roman" w:cs="Times New Roman"/>
              <w:b/>
              <w:bCs/>
              <w:color w:val="156082" w:themeColor="accent1"/>
              <w:sz w:val="44"/>
              <w:szCs w:val="44"/>
            </w:rPr>
            <w:t>Distinctiveness and Regeneration</w:t>
          </w:r>
        </w:p>
        <w:p w14:paraId="2A892B61" w14:textId="1A3442A9" w:rsidR="00EE0C44" w:rsidRPr="00EE0C44" w:rsidRDefault="00EE0C44" w:rsidP="00EE0C44">
          <w:pPr>
            <w:rPr>
              <w:rFonts w:ascii="Times New Roman" w:hAnsi="Times New Roman" w:cs="Times New Roman"/>
              <w:b/>
              <w:bCs/>
              <w:color w:val="156082" w:themeColor="accent1"/>
              <w:sz w:val="44"/>
              <w:szCs w:val="44"/>
            </w:rPr>
          </w:pPr>
          <w:r w:rsidRPr="00EE0C44">
            <w:rPr>
              <w:rFonts w:ascii="Times New Roman" w:hAnsi="Times New Roman" w:cs="Times New Roman"/>
              <w:b/>
              <w:bCs/>
              <w:color w:val="156082" w:themeColor="accent1"/>
              <w:sz w:val="44"/>
              <w:szCs w:val="44"/>
            </w:rPr>
            <w:t>Module code:</w:t>
          </w:r>
          <w:r>
            <w:rPr>
              <w:rFonts w:ascii="Times New Roman" w:hAnsi="Times New Roman" w:cs="Times New Roman"/>
              <w:b/>
              <w:bCs/>
              <w:color w:val="156082" w:themeColor="accent1"/>
              <w:sz w:val="44"/>
              <w:szCs w:val="44"/>
            </w:rPr>
            <w:t xml:space="preserve"> </w:t>
          </w:r>
          <w:r w:rsidRPr="00EE0C44">
            <w:rPr>
              <w:rFonts w:ascii="Times New Roman" w:hAnsi="Times New Roman" w:cs="Times New Roman"/>
              <w:b/>
              <w:bCs/>
              <w:color w:val="156082" w:themeColor="accent1"/>
              <w:sz w:val="44"/>
              <w:szCs w:val="44"/>
            </w:rPr>
            <w:t>BMSP4016D</w:t>
          </w:r>
        </w:p>
        <w:p w14:paraId="3068566E" w14:textId="466E2D9D" w:rsidR="00FA67F4" w:rsidRPr="00EE0C44" w:rsidRDefault="00EE0C44" w:rsidP="00EE0C44">
          <w:pPr>
            <w:rPr>
              <w:rFonts w:ascii="Times New Roman" w:hAnsi="Times New Roman" w:cs="Times New Roman"/>
              <w:b/>
              <w:bCs/>
              <w:color w:val="156082" w:themeColor="accent1"/>
              <w:sz w:val="44"/>
              <w:szCs w:val="44"/>
            </w:rPr>
          </w:pPr>
          <w:r w:rsidRPr="00EE0C44">
            <w:rPr>
              <w:rFonts w:ascii="Times New Roman" w:hAnsi="Times New Roman" w:cs="Times New Roman"/>
              <w:b/>
              <w:bCs/>
              <w:color w:val="156082" w:themeColor="accent1"/>
              <w:sz w:val="44"/>
              <w:szCs w:val="44"/>
            </w:rPr>
            <w:t>Lecturer:</w:t>
          </w:r>
          <w:r w:rsidRPr="00EE0C44">
            <w:rPr>
              <w:rFonts w:ascii="Times New Roman" w:hAnsi="Times New Roman" w:cs="Times New Roman"/>
              <w:b/>
              <w:bCs/>
              <w:color w:val="156082" w:themeColor="accent1"/>
              <w:sz w:val="44"/>
              <w:szCs w:val="44"/>
            </w:rPr>
            <w:t xml:space="preserve"> </w:t>
          </w:r>
          <w:r w:rsidRPr="00EE0C44">
            <w:rPr>
              <w:rFonts w:ascii="Times New Roman" w:hAnsi="Times New Roman" w:cs="Times New Roman"/>
              <w:b/>
              <w:bCs/>
              <w:color w:val="156082" w:themeColor="accent1"/>
              <w:sz w:val="44"/>
              <w:szCs w:val="44"/>
            </w:rPr>
            <w:t>Jessica Shore</w:t>
          </w:r>
        </w:p>
        <w:p w14:paraId="4ACF3422" w14:textId="575DF892" w:rsidR="00FA67F4" w:rsidRDefault="00FA67F4">
          <w:pPr>
            <w:rPr>
              <w:rFonts w:ascii="Times New Roman" w:hAnsi="Times New Roman" w:cs="Times New Roman"/>
              <w:b/>
              <w:bCs/>
              <w:color w:val="156082" w:themeColor="accent1"/>
              <w:u w:val="thick"/>
            </w:rPr>
          </w:pPr>
          <w:r>
            <w:rPr>
              <w:noProof/>
            </w:rPr>
            <mc:AlternateContent>
              <mc:Choice Requires="wps">
                <w:drawing>
                  <wp:anchor distT="0" distB="0" distL="182880" distR="182880" simplePos="0" relativeHeight="251660288" behindDoc="0" locked="0" layoutInCell="1" allowOverlap="1" wp14:anchorId="0003B1DE" wp14:editId="28CB4B7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563502" w14:textId="4D422918" w:rsidR="00FA67F4" w:rsidRPr="00EE0C44" w:rsidRDefault="00EE0C44" w:rsidP="00EE0C44">
                                <w:pPr>
                                  <w:pStyle w:val="NoSpacing"/>
                                  <w:spacing w:before="40" w:after="560" w:line="216" w:lineRule="auto"/>
                                  <w:jc w:val="center"/>
                                  <w:rPr>
                                    <w:color w:val="156082" w:themeColor="accent1"/>
                                    <w:sz w:val="72"/>
                                    <w:szCs w:val="72"/>
                                    <w:u w:val="thick"/>
                                  </w:rPr>
                                </w:pPr>
                                <w:sdt>
                                  <w:sdtPr>
                                    <w:rPr>
                                      <w:rFonts w:ascii="Times New Roman" w:hAnsi="Times New Roman" w:cs="Times New Roman"/>
                                      <w:b/>
                                      <w:bCs/>
                                      <w:color w:val="156082" w:themeColor="accent1"/>
                                      <w:sz w:val="96"/>
                                      <w:szCs w:val="96"/>
                                      <w:u w:val="thick"/>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E0C44">
                                      <w:rPr>
                                        <w:rFonts w:ascii="Times New Roman" w:hAnsi="Times New Roman" w:cs="Times New Roman"/>
                                        <w:b/>
                                        <w:bCs/>
                                        <w:color w:val="156082" w:themeColor="accent1"/>
                                        <w:sz w:val="96"/>
                                        <w:szCs w:val="96"/>
                                        <w:u w:val="thick"/>
                                      </w:rPr>
                                      <w:t>Regeneration in Wrexham City Centre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003B1D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A563502" w14:textId="4D422918" w:rsidR="00FA67F4" w:rsidRPr="00EE0C44" w:rsidRDefault="00EE0C44" w:rsidP="00EE0C44">
                          <w:pPr>
                            <w:pStyle w:val="NoSpacing"/>
                            <w:spacing w:before="40" w:after="560" w:line="216" w:lineRule="auto"/>
                            <w:jc w:val="center"/>
                            <w:rPr>
                              <w:color w:val="156082" w:themeColor="accent1"/>
                              <w:sz w:val="72"/>
                              <w:szCs w:val="72"/>
                              <w:u w:val="thick"/>
                            </w:rPr>
                          </w:pPr>
                          <w:sdt>
                            <w:sdtPr>
                              <w:rPr>
                                <w:rFonts w:ascii="Times New Roman" w:hAnsi="Times New Roman" w:cs="Times New Roman"/>
                                <w:b/>
                                <w:bCs/>
                                <w:color w:val="156082" w:themeColor="accent1"/>
                                <w:sz w:val="96"/>
                                <w:szCs w:val="96"/>
                                <w:u w:val="thick"/>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EE0C44">
                                <w:rPr>
                                  <w:rFonts w:ascii="Times New Roman" w:hAnsi="Times New Roman" w:cs="Times New Roman"/>
                                  <w:b/>
                                  <w:bCs/>
                                  <w:color w:val="156082" w:themeColor="accent1"/>
                                  <w:sz w:val="96"/>
                                  <w:szCs w:val="96"/>
                                  <w:u w:val="thick"/>
                                </w:rPr>
                                <w:t>Regeneration in Wrexham City Centre</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A1C034F" wp14:editId="3FB7A98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36"/>
                                    <w:szCs w:val="36"/>
                                  </w:rPr>
                                  <w:alias w:val="Year"/>
                                  <w:tag w:val=""/>
                                  <w:id w:val="-785116381"/>
                                  <w:dataBinding w:prefixMappings="xmlns:ns0='http://schemas.microsoft.com/office/2006/coverPageProps' " w:xpath="/ns0:CoverPageProperties[1]/ns0:PublishDate[1]" w:storeItemID="{55AF091B-3C7A-41E3-B477-F2FDAA23CFDA}"/>
                                  <w:date w:fullDate="2026-03-20T00:00:00Z">
                                    <w:dateFormat w:val="yyyy"/>
                                    <w:lid w:val="en-US"/>
                                    <w:storeMappedDataAs w:val="dateTime"/>
                                    <w:calendar w:val="gregorian"/>
                                  </w:date>
                                </w:sdtPr>
                                <w:sdtContent>
                                  <w:p w14:paraId="11F904DB" w14:textId="2B4A9EC9" w:rsidR="00FA67F4" w:rsidRPr="00EE0C44" w:rsidRDefault="00FA67F4">
                                    <w:pPr>
                                      <w:pStyle w:val="NoSpacing"/>
                                      <w:jc w:val="right"/>
                                      <w:rPr>
                                        <w:rFonts w:ascii="Times New Roman" w:hAnsi="Times New Roman" w:cs="Times New Roman"/>
                                        <w:b/>
                                        <w:bCs/>
                                        <w:color w:val="FFFFFF" w:themeColor="background1"/>
                                        <w:sz w:val="36"/>
                                        <w:szCs w:val="36"/>
                                      </w:rPr>
                                    </w:pPr>
                                    <w:r w:rsidRPr="00EE0C44">
                                      <w:rPr>
                                        <w:rFonts w:ascii="Times New Roman" w:hAnsi="Times New Roman" w:cs="Times New Roman"/>
                                        <w:b/>
                                        <w:bCs/>
                                        <w:color w:val="FFFFFF" w:themeColor="background1"/>
                                        <w:sz w:val="36"/>
                                        <w:szCs w:val="36"/>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1C034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rFonts w:ascii="Times New Roman" w:hAnsi="Times New Roman" w:cs="Times New Roman"/>
                              <w:b/>
                              <w:bCs/>
                              <w:color w:val="FFFFFF" w:themeColor="background1"/>
                              <w:sz w:val="36"/>
                              <w:szCs w:val="36"/>
                            </w:rPr>
                            <w:alias w:val="Year"/>
                            <w:tag w:val=""/>
                            <w:id w:val="-785116381"/>
                            <w:dataBinding w:prefixMappings="xmlns:ns0='http://schemas.microsoft.com/office/2006/coverPageProps' " w:xpath="/ns0:CoverPageProperties[1]/ns0:PublishDate[1]" w:storeItemID="{55AF091B-3C7A-41E3-B477-F2FDAA23CFDA}"/>
                            <w:date w:fullDate="2026-03-20T00:00:00Z">
                              <w:dateFormat w:val="yyyy"/>
                              <w:lid w:val="en-US"/>
                              <w:storeMappedDataAs w:val="dateTime"/>
                              <w:calendar w:val="gregorian"/>
                            </w:date>
                          </w:sdtPr>
                          <w:sdtContent>
                            <w:p w14:paraId="11F904DB" w14:textId="2B4A9EC9" w:rsidR="00FA67F4" w:rsidRPr="00EE0C44" w:rsidRDefault="00FA67F4">
                              <w:pPr>
                                <w:pStyle w:val="NoSpacing"/>
                                <w:jc w:val="right"/>
                                <w:rPr>
                                  <w:rFonts w:ascii="Times New Roman" w:hAnsi="Times New Roman" w:cs="Times New Roman"/>
                                  <w:b/>
                                  <w:bCs/>
                                  <w:color w:val="FFFFFF" w:themeColor="background1"/>
                                  <w:sz w:val="36"/>
                                  <w:szCs w:val="36"/>
                                </w:rPr>
                              </w:pPr>
                              <w:r w:rsidRPr="00EE0C44">
                                <w:rPr>
                                  <w:rFonts w:ascii="Times New Roman" w:hAnsi="Times New Roman" w:cs="Times New Roman"/>
                                  <w:b/>
                                  <w:bCs/>
                                  <w:color w:val="FFFFFF" w:themeColor="background1"/>
                                  <w:sz w:val="36"/>
                                  <w:szCs w:val="36"/>
                                </w:rPr>
                                <w:t>2026</w:t>
                              </w:r>
                            </w:p>
                          </w:sdtContent>
                        </w:sdt>
                      </w:txbxContent>
                    </v:textbox>
                    <w10:wrap anchorx="margin" anchory="page"/>
                  </v:rect>
                </w:pict>
              </mc:Fallback>
            </mc:AlternateContent>
          </w:r>
          <w:r>
            <w:rPr>
              <w:rFonts w:ascii="Times New Roman" w:hAnsi="Times New Roman" w:cs="Times New Roman"/>
              <w:b/>
              <w:bCs/>
              <w:color w:val="156082" w:themeColor="accent1"/>
              <w:u w:val="thick"/>
            </w:rPr>
            <w:br w:type="page"/>
          </w:r>
        </w:p>
      </w:sdtContent>
    </w:sdt>
    <w:p w14:paraId="08DDA235" w14:textId="22A2637B" w:rsidR="004D6578" w:rsidRPr="00153105" w:rsidRDefault="004D6578" w:rsidP="00153105">
      <w:pPr>
        <w:pStyle w:val="ListParagraph"/>
        <w:numPr>
          <w:ilvl w:val="0"/>
          <w:numId w:val="1"/>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lastRenderedPageBreak/>
        <w:t>Introduction</w:t>
      </w:r>
    </w:p>
    <w:p w14:paraId="39A48AA5" w14:textId="77777777"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Wrexham is a unique town in that while it suffers from the same factors affecting all towns (i.e. economic decline, gentrification), it also has additional opportunities as it now holds City status. The City Centre of Wrexham has experienced a long history of retail decline and changes in urban usage; however, with new political interest and an increasingly positive narrative for investing in Wrexham, it is developing into one of the best success stories of recovering the lost momentum of town centres over the past 20+ years and becoming an important example of what transitioning to mixed use and sustainable Urban Living looks like.</w:t>
      </w:r>
    </w:p>
    <w:p w14:paraId="3BCCE150" w14:textId="3F6B01FE"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This report will provide information regarding the historical changes in Wrexham, the existing assets, key stakeholders and the policies surrounding the future regeneration of Wrexham. The report will then identify two opportunities for future regeneration done sustainably and continuously</w:t>
      </w:r>
      <w:r w:rsidR="00153105">
        <w:rPr>
          <w:rFonts w:ascii="Times New Roman" w:hAnsi="Times New Roman" w:cs="Times New Roman"/>
        </w:rPr>
        <w:t>,</w:t>
      </w:r>
      <w:r w:rsidRPr="004D6578">
        <w:rPr>
          <w:rFonts w:ascii="Times New Roman" w:hAnsi="Times New Roman" w:cs="Times New Roman"/>
        </w:rPr>
        <w:t xml:space="preserve"> while providing for participation. The report concludes that Wrexham's future regeneration should be less focused on developing a specific image and more focused on creating a place where the City Centre is active, inclusive</w:t>
      </w:r>
      <w:r w:rsidR="00153105">
        <w:rPr>
          <w:rFonts w:ascii="Times New Roman" w:hAnsi="Times New Roman" w:cs="Times New Roman"/>
        </w:rPr>
        <w:t>,</w:t>
      </w:r>
      <w:r w:rsidRPr="004D6578">
        <w:rPr>
          <w:rFonts w:ascii="Times New Roman" w:hAnsi="Times New Roman" w:cs="Times New Roman"/>
        </w:rPr>
        <w:t xml:space="preserve"> and adaptable as a product of being used </w:t>
      </w:r>
      <w:r w:rsidR="00153105">
        <w:rPr>
          <w:rFonts w:ascii="Times New Roman" w:hAnsi="Times New Roman" w:cs="Times New Roman"/>
        </w:rPr>
        <w:t>every day</w:t>
      </w:r>
      <w:r w:rsidRPr="004D6578">
        <w:rPr>
          <w:rFonts w:ascii="Times New Roman" w:hAnsi="Times New Roman" w:cs="Times New Roman"/>
        </w:rPr>
        <w:t>. Recent studies on the transformation of town centres</w:t>
      </w:r>
      <w:r w:rsidR="00153105">
        <w:rPr>
          <w:rFonts w:ascii="Times New Roman" w:hAnsi="Times New Roman" w:cs="Times New Roman"/>
        </w:rPr>
        <w:t>,</w:t>
      </w:r>
      <w:r w:rsidRPr="004D6578">
        <w:rPr>
          <w:rFonts w:ascii="Times New Roman" w:hAnsi="Times New Roman" w:cs="Times New Roman"/>
        </w:rPr>
        <w:t xml:space="preserve"> participatory regeneration</w:t>
      </w:r>
      <w:r w:rsidR="00153105">
        <w:rPr>
          <w:rFonts w:ascii="Times New Roman" w:hAnsi="Times New Roman" w:cs="Times New Roman"/>
        </w:rPr>
        <w:t>,</w:t>
      </w:r>
      <w:r w:rsidRPr="004D6578">
        <w:rPr>
          <w:rFonts w:ascii="Times New Roman" w:hAnsi="Times New Roman" w:cs="Times New Roman"/>
        </w:rPr>
        <w:t xml:space="preserve"> social innovation; culture led regeneration continue to support this premise (Bahar, 2025; Ahsan, 2026; Popa et al, 2025).</w:t>
      </w:r>
    </w:p>
    <w:p w14:paraId="3962C609" w14:textId="24849C6D" w:rsidR="004D6578" w:rsidRPr="00153105" w:rsidRDefault="004D6578" w:rsidP="00153105">
      <w:pPr>
        <w:pStyle w:val="ListParagraph"/>
        <w:numPr>
          <w:ilvl w:val="0"/>
          <w:numId w:val="1"/>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t>Historical Change and Current Challenge</w:t>
      </w:r>
    </w:p>
    <w:p w14:paraId="1D542A41" w14:textId="6E80981B"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Over time, Wrexham’s identity as a commercial and civic centre changes </w:t>
      </w:r>
      <w:r w:rsidR="00153105" w:rsidRPr="004D6578">
        <w:rPr>
          <w:rFonts w:ascii="Times New Roman" w:hAnsi="Times New Roman" w:cs="Times New Roman"/>
        </w:rPr>
        <w:t>because of</w:t>
      </w:r>
      <w:r w:rsidRPr="004D6578">
        <w:rPr>
          <w:rFonts w:ascii="Times New Roman" w:hAnsi="Times New Roman" w:cs="Times New Roman"/>
        </w:rPr>
        <w:t xml:space="preserve"> its historical antecedents</w:t>
      </w:r>
      <w:r w:rsidR="00153105">
        <w:rPr>
          <w:rFonts w:ascii="Times New Roman" w:hAnsi="Times New Roman" w:cs="Times New Roman"/>
        </w:rPr>
        <w:t>,</w:t>
      </w:r>
      <w:r w:rsidRPr="004D6578">
        <w:rPr>
          <w:rFonts w:ascii="Times New Roman" w:hAnsi="Times New Roman" w:cs="Times New Roman"/>
        </w:rPr>
        <w:t xml:space="preserve"> which were driven by trade, the rise of industry and market activity, the evolution of businesses and industries and its position as the centre of North Wales. Traditionally, these economic activities have generated considerable employment, service and economic diversity in Wrexham’s City Centre</w:t>
      </w:r>
      <w:r w:rsidR="00153105">
        <w:rPr>
          <w:rFonts w:ascii="Times New Roman" w:hAnsi="Times New Roman" w:cs="Times New Roman"/>
        </w:rPr>
        <w:t>,</w:t>
      </w:r>
      <w:r w:rsidRPr="004D6578">
        <w:rPr>
          <w:rFonts w:ascii="Times New Roman" w:hAnsi="Times New Roman" w:cs="Times New Roman"/>
        </w:rPr>
        <w:t xml:space="preserve"> and Wrexham’s City Centre has been a </w:t>
      </w:r>
      <w:r w:rsidRPr="004D6578">
        <w:rPr>
          <w:rFonts w:ascii="Times New Roman" w:hAnsi="Times New Roman" w:cs="Times New Roman"/>
        </w:rPr>
        <w:lastRenderedPageBreak/>
        <w:t>commercial and civic focal point. However, Wrexham has also suffered significantly from economic restructuring resulting from the general decline of the perception (and reality) of the 'traditional high street' (i.e. shopping streets).</w:t>
      </w:r>
      <w:r w:rsidR="00153105">
        <w:rPr>
          <w:rFonts w:ascii="Times New Roman" w:hAnsi="Times New Roman" w:cs="Times New Roman"/>
        </w:rPr>
        <w:t xml:space="preserve"> </w:t>
      </w:r>
      <w:proofErr w:type="gramStart"/>
      <w:r w:rsidRPr="004D6578">
        <w:rPr>
          <w:rFonts w:ascii="Times New Roman" w:hAnsi="Times New Roman" w:cs="Times New Roman"/>
        </w:rPr>
        <w:t>Declining</w:t>
      </w:r>
      <w:proofErr w:type="gramEnd"/>
      <w:r w:rsidRPr="004D6578">
        <w:rPr>
          <w:rFonts w:ascii="Times New Roman" w:hAnsi="Times New Roman" w:cs="Times New Roman"/>
        </w:rPr>
        <w:t xml:space="preserve"> retail, evolving shopping behaviour and competing modes of consumption have diminished the long-standing supremacy of shopping in city-centres (Bahar, 2025; Hehir, </w:t>
      </w:r>
      <w:proofErr w:type="spellStart"/>
      <w:r w:rsidRPr="004D6578">
        <w:rPr>
          <w:rFonts w:ascii="Times New Roman" w:hAnsi="Times New Roman" w:cs="Times New Roman"/>
        </w:rPr>
        <w:t>Warnaby</w:t>
      </w:r>
      <w:proofErr w:type="spellEnd"/>
      <w:r w:rsidRPr="004D6578">
        <w:rPr>
          <w:rFonts w:ascii="Times New Roman" w:hAnsi="Times New Roman" w:cs="Times New Roman"/>
        </w:rPr>
        <w:t xml:space="preserve"> and Theodoridis, 2023).</w:t>
      </w:r>
    </w:p>
    <w:p w14:paraId="46C6AE85" w14:textId="3E5FA3E6"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Concurrently, Wrexham’s recent fortunes have changed through enhanced visibility and greater ambition. The granting of city status has provided Wrexham with both a symbolic and political advantage and made it easier to regenerate through continued funding for placemaking and regeneration, thus generating increased local momentum. However, while the symbolic enhancement of Wrexham provides the basis for successful regeneration, research into urban renewal has found that public perceptions of success may not be accompanied by tangible improvements in the public realm, local business vitality, and community involvement (Lin and van Ameijde, 2026; Park, Kang and Shin, 2025). Therefore, Wrexham faces the challenge of converting this new focus and attention into a long-term</w:t>
      </w:r>
      <w:r w:rsidR="00153105">
        <w:rPr>
          <w:rFonts w:ascii="Times New Roman" w:hAnsi="Times New Roman" w:cs="Times New Roman"/>
        </w:rPr>
        <w:t>,</w:t>
      </w:r>
      <w:r w:rsidRPr="004D6578">
        <w:rPr>
          <w:rFonts w:ascii="Times New Roman" w:hAnsi="Times New Roman" w:cs="Times New Roman"/>
        </w:rPr>
        <w:t xml:space="preserve"> everyday impact.</w:t>
      </w:r>
    </w:p>
    <w:p w14:paraId="657C3D93" w14:textId="0571FC55"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The history of change is currently reflected in the structure of the </w:t>
      </w:r>
      <w:r w:rsidR="00153105">
        <w:rPr>
          <w:rFonts w:ascii="Times New Roman" w:hAnsi="Times New Roman" w:cs="Times New Roman"/>
        </w:rPr>
        <w:t>city centre</w:t>
      </w:r>
      <w:r w:rsidRPr="004D6578">
        <w:rPr>
          <w:rFonts w:ascii="Times New Roman" w:hAnsi="Times New Roman" w:cs="Times New Roman"/>
        </w:rPr>
        <w:t xml:space="preserve">. The </w:t>
      </w:r>
      <w:r w:rsidR="00153105">
        <w:rPr>
          <w:rFonts w:ascii="Times New Roman" w:hAnsi="Times New Roman" w:cs="Times New Roman"/>
        </w:rPr>
        <w:t>city centre</w:t>
      </w:r>
      <w:r w:rsidRPr="004D6578">
        <w:rPr>
          <w:rFonts w:ascii="Times New Roman" w:hAnsi="Times New Roman" w:cs="Times New Roman"/>
        </w:rPr>
        <w:t xml:space="preserve"> is still significant as a service, civic and cultural hub; however, there are also vacant or underperforming properties, a weaker retail market and unequal levels of activity present. This suggests that regeneration cannot be based on a return to the previous retail-centric model; it should facilitate a wider set of roles for the city-centre that include culture, smaller businesses, public space, housing, and civic activities.</w:t>
      </w:r>
    </w:p>
    <w:p w14:paraId="0F6096D4" w14:textId="5C8C709E" w:rsidR="004D6578" w:rsidRPr="00153105" w:rsidRDefault="004D6578" w:rsidP="00153105">
      <w:pPr>
        <w:pStyle w:val="ListParagraph"/>
        <w:numPr>
          <w:ilvl w:val="0"/>
          <w:numId w:val="1"/>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t xml:space="preserve">Existing economic assets and </w:t>
      </w:r>
      <w:r w:rsidR="00153105" w:rsidRPr="00153105">
        <w:rPr>
          <w:rFonts w:ascii="Times New Roman" w:hAnsi="Times New Roman" w:cs="Times New Roman"/>
          <w:b/>
          <w:bCs/>
          <w:color w:val="156082" w:themeColor="accent1"/>
          <w:u w:val="thick"/>
        </w:rPr>
        <w:t xml:space="preserve">the </w:t>
      </w:r>
      <w:r w:rsidRPr="00153105">
        <w:rPr>
          <w:rFonts w:ascii="Times New Roman" w:hAnsi="Times New Roman" w:cs="Times New Roman"/>
          <w:b/>
          <w:bCs/>
          <w:color w:val="156082" w:themeColor="accent1"/>
          <w:u w:val="thick"/>
        </w:rPr>
        <w:t>character of Wrexham</w:t>
      </w:r>
    </w:p>
    <w:p w14:paraId="5EE4BA5E" w14:textId="3A2D9E54" w:rsidR="004D6578" w:rsidRPr="004D6578" w:rsidRDefault="00153105" w:rsidP="004D6578">
      <w:pPr>
        <w:spacing w:line="480" w:lineRule="auto"/>
        <w:rPr>
          <w:rFonts w:ascii="Times New Roman" w:hAnsi="Times New Roman" w:cs="Times New Roman"/>
        </w:rPr>
      </w:pPr>
      <w:r>
        <w:rPr>
          <w:rFonts w:ascii="Times New Roman" w:hAnsi="Times New Roman" w:cs="Times New Roman"/>
        </w:rPr>
        <w:t>Many significant existing economic assets in Wrexham will</w:t>
      </w:r>
      <w:r w:rsidR="004D6578" w:rsidRPr="004D6578">
        <w:rPr>
          <w:rFonts w:ascii="Times New Roman" w:hAnsi="Times New Roman" w:cs="Times New Roman"/>
        </w:rPr>
        <w:t xml:space="preserve"> support the City’s regeneration by providing a clear framework to work towards. Wrexham has an established position as the </w:t>
      </w:r>
      <w:r w:rsidR="004D6578" w:rsidRPr="004D6578">
        <w:rPr>
          <w:rFonts w:ascii="Times New Roman" w:hAnsi="Times New Roman" w:cs="Times New Roman"/>
        </w:rPr>
        <w:lastRenderedPageBreak/>
        <w:t xml:space="preserve">main centre for larger county boroughs. Wrexham is also </w:t>
      </w:r>
      <w:r>
        <w:rPr>
          <w:rFonts w:ascii="Times New Roman" w:hAnsi="Times New Roman" w:cs="Times New Roman"/>
        </w:rPr>
        <w:t>benefiting</w:t>
      </w:r>
      <w:r w:rsidR="004D6578" w:rsidRPr="004D6578">
        <w:rPr>
          <w:rFonts w:ascii="Times New Roman" w:hAnsi="Times New Roman" w:cs="Times New Roman"/>
        </w:rPr>
        <w:t xml:space="preserve"> from the current momentum towards placemaking, which provides impetus to implement a clear long-term strategy for the city. The </w:t>
      </w:r>
      <w:r>
        <w:rPr>
          <w:rFonts w:ascii="Times New Roman" w:hAnsi="Times New Roman" w:cs="Times New Roman"/>
        </w:rPr>
        <w:t>city centre</w:t>
      </w:r>
      <w:r w:rsidR="004D6578" w:rsidRPr="004D6578">
        <w:rPr>
          <w:rFonts w:ascii="Times New Roman" w:hAnsi="Times New Roman" w:cs="Times New Roman"/>
        </w:rPr>
        <w:t xml:space="preserve"> also boasts hospitality outlets, service providers, civic buildings, and various cultural </w:t>
      </w:r>
      <w:r w:rsidRPr="004D6578">
        <w:rPr>
          <w:rFonts w:ascii="Times New Roman" w:hAnsi="Times New Roman" w:cs="Times New Roman"/>
        </w:rPr>
        <w:t>opportunities. These</w:t>
      </w:r>
      <w:r w:rsidR="004D6578" w:rsidRPr="004D6578">
        <w:rPr>
          <w:rFonts w:ascii="Times New Roman" w:hAnsi="Times New Roman" w:cs="Times New Roman"/>
        </w:rPr>
        <w:t xml:space="preserve"> characteristics indicate that Wrexham is not an area that has no foundation; however, it does have a solid foundation that must be restructured and reinforced.</w:t>
      </w:r>
    </w:p>
    <w:p w14:paraId="1AAADE13" w14:textId="6E407337"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Wrexham has a hybrid economy that contains retail, cafes, restaurants, public amenities, education, and cultural activities. This is advantageous because hybrid economies are often much more flexible than solely specialised economies. Additionally</w:t>
      </w:r>
      <w:r w:rsidR="00153105">
        <w:rPr>
          <w:rFonts w:ascii="Times New Roman" w:hAnsi="Times New Roman" w:cs="Times New Roman"/>
        </w:rPr>
        <w:t>,</w:t>
      </w:r>
      <w:r w:rsidR="00153105" w:rsidRPr="004D6578">
        <w:rPr>
          <w:rFonts w:ascii="Times New Roman" w:hAnsi="Times New Roman" w:cs="Times New Roman"/>
        </w:rPr>
        <w:t xml:space="preserve"> redevelopment</w:t>
      </w:r>
      <w:r w:rsidRPr="004D6578">
        <w:rPr>
          <w:rFonts w:ascii="Times New Roman" w:hAnsi="Times New Roman" w:cs="Times New Roman"/>
        </w:rPr>
        <w:t xml:space="preserve"> must support several different sectors at the same time rather than focusing only on one type of growth. Research indicates that successful city centres are built upon multiple levels of activity whereby commerce, civic activities, residential dwellings, and leisure all overlap (Hehir, </w:t>
      </w:r>
      <w:proofErr w:type="spellStart"/>
      <w:r w:rsidRPr="004D6578">
        <w:rPr>
          <w:rFonts w:ascii="Times New Roman" w:hAnsi="Times New Roman" w:cs="Times New Roman"/>
        </w:rPr>
        <w:t>Warnaby</w:t>
      </w:r>
      <w:proofErr w:type="spellEnd"/>
      <w:r w:rsidRPr="004D6578">
        <w:rPr>
          <w:rFonts w:ascii="Times New Roman" w:hAnsi="Times New Roman" w:cs="Times New Roman"/>
        </w:rPr>
        <w:t xml:space="preserve"> and Theodoridis, 2023; Ricciardelli, Amoruso and Di Liddo, 2025).</w:t>
      </w:r>
    </w:p>
    <w:p w14:paraId="7666A71B" w14:textId="21599C83"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Another positive factor for Wrexham is its current prominence. The increase in visibility from the outside will help attract both investment and tourist traffic. However, it will not result in revitalisation. The available literature regarding culture-based and socially innovative redevelopment outlines that visibility only becomes useful when combined with inclusive economic activity, improved public space, and the growth of locally owned businesses and services (Popa, Pop and Marian-Potra, 2025; Ricciardelli, Amoruso and Di Liddo, 2025). Therefore, Wrexham would not only benefit from the current position it is in, but also from the potential for taking advantage of that position through the benefit of the </w:t>
      </w:r>
      <w:r w:rsidR="00153105" w:rsidRPr="004D6578">
        <w:rPr>
          <w:rFonts w:ascii="Times New Roman" w:hAnsi="Times New Roman" w:cs="Times New Roman"/>
        </w:rPr>
        <w:t>community</w:t>
      </w:r>
      <w:r w:rsidRPr="004D6578">
        <w:rPr>
          <w:rFonts w:ascii="Times New Roman" w:hAnsi="Times New Roman" w:cs="Times New Roman"/>
        </w:rPr>
        <w:t>.</w:t>
      </w:r>
    </w:p>
    <w:p w14:paraId="4FD9AC0C" w14:textId="2D8A2956" w:rsidR="004D6578" w:rsidRPr="00153105" w:rsidRDefault="004D6578" w:rsidP="00153105">
      <w:pPr>
        <w:pStyle w:val="ListParagraph"/>
        <w:numPr>
          <w:ilvl w:val="0"/>
          <w:numId w:val="1"/>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t xml:space="preserve">Participants and stakeholders in Wrexham </w:t>
      </w:r>
      <w:r w:rsidR="00153105" w:rsidRPr="00153105">
        <w:rPr>
          <w:rFonts w:ascii="Times New Roman" w:hAnsi="Times New Roman" w:cs="Times New Roman"/>
          <w:b/>
          <w:bCs/>
          <w:color w:val="156082" w:themeColor="accent1"/>
          <w:u w:val="thick"/>
        </w:rPr>
        <w:t>County</w:t>
      </w:r>
    </w:p>
    <w:p w14:paraId="570B6365" w14:textId="48DFE63E"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Wrexham County Borough Council is the main public stakeholder as it is involved with placemaking, economic goals</w:t>
      </w:r>
      <w:r w:rsidR="00153105">
        <w:rPr>
          <w:rFonts w:ascii="Times New Roman" w:hAnsi="Times New Roman" w:cs="Times New Roman"/>
        </w:rPr>
        <w:t>,</w:t>
      </w:r>
      <w:r w:rsidRPr="004D6578">
        <w:rPr>
          <w:rFonts w:ascii="Times New Roman" w:hAnsi="Times New Roman" w:cs="Times New Roman"/>
        </w:rPr>
        <w:t xml:space="preserve"> and interventions in the city centre of Wrexham. The Welsh </w:t>
      </w:r>
      <w:r w:rsidRPr="004D6578">
        <w:rPr>
          <w:rFonts w:ascii="Times New Roman" w:hAnsi="Times New Roman" w:cs="Times New Roman"/>
        </w:rPr>
        <w:lastRenderedPageBreak/>
        <w:t xml:space="preserve">Government is another important stakeholder in Wrexham; </w:t>
      </w:r>
      <w:r w:rsidR="00153105">
        <w:rPr>
          <w:rFonts w:ascii="Times New Roman" w:hAnsi="Times New Roman" w:cs="Times New Roman"/>
        </w:rPr>
        <w:t>it is</w:t>
      </w:r>
      <w:r w:rsidRPr="004D6578">
        <w:rPr>
          <w:rFonts w:ascii="Times New Roman" w:hAnsi="Times New Roman" w:cs="Times New Roman"/>
        </w:rPr>
        <w:t xml:space="preserve"> a major contributor of funding for broader revitalisation and development of urban </w:t>
      </w:r>
      <w:r w:rsidR="00153105" w:rsidRPr="004D6578">
        <w:rPr>
          <w:rFonts w:ascii="Times New Roman" w:hAnsi="Times New Roman" w:cs="Times New Roman"/>
        </w:rPr>
        <w:t>areas. A</w:t>
      </w:r>
      <w:r w:rsidRPr="004D6578">
        <w:rPr>
          <w:rFonts w:ascii="Times New Roman" w:hAnsi="Times New Roman" w:cs="Times New Roman"/>
        </w:rPr>
        <w:t xml:space="preserve"> variety of players from both the private and community sectors are involved in preparing investment development and redesigning the way that Wrexham operates.</w:t>
      </w:r>
    </w:p>
    <w:p w14:paraId="3AC6A28B" w14:textId="0A9342FF"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Along with other stakeholder groups, the contribution to the design of Wrexham's economy is made by private stakeholders such as landlords, developers, local businesses, hospitality and cultural/</w:t>
      </w:r>
      <w:r w:rsidR="00153105">
        <w:rPr>
          <w:rFonts w:ascii="Times New Roman" w:hAnsi="Times New Roman" w:cs="Times New Roman"/>
        </w:rPr>
        <w:t>event-based</w:t>
      </w:r>
      <w:r w:rsidRPr="004D6578">
        <w:rPr>
          <w:rFonts w:ascii="Times New Roman" w:hAnsi="Times New Roman" w:cs="Times New Roman"/>
        </w:rPr>
        <w:t xml:space="preserve"> organisations</w:t>
      </w:r>
      <w:r w:rsidR="00153105">
        <w:rPr>
          <w:rFonts w:ascii="Times New Roman" w:hAnsi="Times New Roman" w:cs="Times New Roman"/>
        </w:rPr>
        <w:t>, who</w:t>
      </w:r>
      <w:r w:rsidRPr="004D6578">
        <w:rPr>
          <w:rFonts w:ascii="Times New Roman" w:hAnsi="Times New Roman" w:cs="Times New Roman"/>
        </w:rPr>
        <w:t xml:space="preserve"> are involved in the preparation of investment proposals and the ambition for regeneration. In addition, community stakeholders such as residents, small traders, volunteer organisations, schools, and daily users of the centre also contribute to preparing the investment development and redesigning how Wrexham works.</w:t>
      </w:r>
    </w:p>
    <w:p w14:paraId="1C7D422A" w14:textId="77777777"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The regeneration of Wrexham is occurring at a time of increased visibility; therefore, there may be different expectations for the various stakeholders. For example, some people may view regeneration as an investment and brand-related activity, while others, such as residents and small traders, may be more focused on practical considerations like affordability, safety, accessibility, and the support of their local businesses.</w:t>
      </w:r>
    </w:p>
    <w:p w14:paraId="586E9AA0" w14:textId="5EF40E55"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Recent academic discussions suggest that these differing expectations create challenges for the participatory regeneration process. Ahsan (2026) argues that participatory regeneration requires balancing the internal/external interests of the diverse range of stakeholders in Wrexham, while He et al. (2026) present information that suggests that sustainable place planning will be enhanced as partnership-type relationships develop between the various stakeholder groups involved in the participatory regeneration process. Therefore, Wrexham needs a governance framework for the participatory regeneration process that not only praises ambition but also integrates the necessity and knowledge of the community users</w:t>
      </w:r>
      <w:r w:rsidR="00153105">
        <w:rPr>
          <w:rFonts w:ascii="Times New Roman" w:hAnsi="Times New Roman" w:cs="Times New Roman"/>
        </w:rPr>
        <w:t>.</w:t>
      </w:r>
    </w:p>
    <w:p w14:paraId="262EC06C" w14:textId="77777777" w:rsidR="004D6578" w:rsidRPr="004D6578" w:rsidRDefault="004D6578" w:rsidP="004D6578">
      <w:pPr>
        <w:spacing w:line="480" w:lineRule="auto"/>
        <w:rPr>
          <w:rFonts w:ascii="Times New Roman" w:hAnsi="Times New Roman" w:cs="Times New Roman"/>
        </w:rPr>
      </w:pPr>
    </w:p>
    <w:p w14:paraId="6A98AFF8" w14:textId="41EBB5EC" w:rsidR="004D6578" w:rsidRPr="00153105" w:rsidRDefault="004D6578" w:rsidP="00153105">
      <w:pPr>
        <w:pStyle w:val="ListParagraph"/>
        <w:numPr>
          <w:ilvl w:val="0"/>
          <w:numId w:val="1"/>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lastRenderedPageBreak/>
        <w:t>Local Directions and Policies, Strategies</w:t>
      </w:r>
    </w:p>
    <w:p w14:paraId="6A45E26B" w14:textId="69C7F9DB"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Wrexham's current strategy environment supports the regeneration process. Current local placemaking studies have identified opportunities to enhance the public realm, reduce </w:t>
      </w:r>
      <w:r w:rsidR="00153105">
        <w:rPr>
          <w:rFonts w:ascii="Times New Roman" w:hAnsi="Times New Roman" w:cs="Times New Roman"/>
        </w:rPr>
        <w:t xml:space="preserve">the </w:t>
      </w:r>
      <w:r w:rsidRPr="004D6578">
        <w:rPr>
          <w:rFonts w:ascii="Times New Roman" w:hAnsi="Times New Roman" w:cs="Times New Roman"/>
        </w:rPr>
        <w:t>number of empty and problematic properties in Wrexham, and create a more attractive, vibrant Centre. Planned improvements are aligned with the current Welsh Government's regeneration programme and are consistent with recent research contained in the above uploaded reference group.</w:t>
      </w:r>
      <w:r w:rsidR="00153105">
        <w:rPr>
          <w:rFonts w:ascii="Times New Roman" w:hAnsi="Times New Roman" w:cs="Times New Roman"/>
        </w:rPr>
        <w:t xml:space="preserve"> </w:t>
      </w:r>
      <w:r w:rsidRPr="004D6578">
        <w:rPr>
          <w:rFonts w:ascii="Times New Roman" w:hAnsi="Times New Roman" w:cs="Times New Roman"/>
        </w:rPr>
        <w:t>Recent research indicates that the successful regeneration of an area depends on a combination of physical regeneration and stronger social infrastructure</w:t>
      </w:r>
      <w:r w:rsidR="00153105">
        <w:rPr>
          <w:rFonts w:ascii="Times New Roman" w:hAnsi="Times New Roman" w:cs="Times New Roman"/>
        </w:rPr>
        <w:t>,</w:t>
      </w:r>
      <w:r w:rsidRPr="004D6578">
        <w:rPr>
          <w:rFonts w:ascii="Times New Roman" w:hAnsi="Times New Roman" w:cs="Times New Roman"/>
        </w:rPr>
        <w:t xml:space="preserve"> as well as support for local businesses and public participation (Park, Kang, &amp; Shin, 2025; Ricciardelli, Amoruso</w:t>
      </w:r>
      <w:r w:rsidR="00153105">
        <w:rPr>
          <w:rFonts w:ascii="Times New Roman" w:hAnsi="Times New Roman" w:cs="Times New Roman"/>
        </w:rPr>
        <w:t>,</w:t>
      </w:r>
      <w:r w:rsidRPr="004D6578">
        <w:rPr>
          <w:rFonts w:ascii="Times New Roman" w:hAnsi="Times New Roman" w:cs="Times New Roman"/>
        </w:rPr>
        <w:t xml:space="preserve"> &amp; Di Liddo, 2025).</w:t>
      </w:r>
    </w:p>
    <w:p w14:paraId="67630756" w14:textId="59A45BD2"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This strategic context is valuable in that it demonstrates that Wrexham does not attempt to regenerate via a narrow retail-based recovery agenda. The existing planning framework already acknowledges a requirement for broader transformation</w:t>
      </w:r>
      <w:r w:rsidR="00153105">
        <w:rPr>
          <w:rFonts w:ascii="Times New Roman" w:hAnsi="Times New Roman" w:cs="Times New Roman"/>
        </w:rPr>
        <w:t>,</w:t>
      </w:r>
      <w:r w:rsidRPr="004D6578">
        <w:rPr>
          <w:rFonts w:ascii="Times New Roman" w:hAnsi="Times New Roman" w:cs="Times New Roman"/>
        </w:rPr>
        <w:t xml:space="preserve"> and the focus now is </w:t>
      </w:r>
      <w:r w:rsidR="00153105">
        <w:rPr>
          <w:rFonts w:ascii="Times New Roman" w:hAnsi="Times New Roman" w:cs="Times New Roman"/>
        </w:rPr>
        <w:t xml:space="preserve">on </w:t>
      </w:r>
      <w:r w:rsidRPr="004D6578">
        <w:rPr>
          <w:rFonts w:ascii="Times New Roman" w:hAnsi="Times New Roman" w:cs="Times New Roman"/>
        </w:rPr>
        <w:t>ensuring that any delivery creates a city centre that is much more active and inclusive rather than simply a more marketable centre in terms of how policies are worded.</w:t>
      </w:r>
    </w:p>
    <w:p w14:paraId="496E47C3" w14:textId="1C4C87B8" w:rsidR="004D6578" w:rsidRPr="00153105" w:rsidRDefault="004D6578" w:rsidP="00153105">
      <w:pPr>
        <w:pStyle w:val="ListParagraph"/>
        <w:numPr>
          <w:ilvl w:val="0"/>
          <w:numId w:val="1"/>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t>Community opportunities and the experience of residents</w:t>
      </w:r>
    </w:p>
    <w:p w14:paraId="53885B1C" w14:textId="77777777" w:rsidR="00153105"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Wrexham’s city centre already provides employment opportunities, local services, hospitality </w:t>
      </w:r>
      <w:r w:rsidR="00153105">
        <w:rPr>
          <w:rFonts w:ascii="Times New Roman" w:hAnsi="Times New Roman" w:cs="Times New Roman"/>
        </w:rPr>
        <w:t>and</w:t>
      </w:r>
      <w:r w:rsidRPr="004D6578">
        <w:rPr>
          <w:rFonts w:ascii="Times New Roman" w:hAnsi="Times New Roman" w:cs="Times New Roman"/>
        </w:rPr>
        <w:t xml:space="preserve"> civic functions</w:t>
      </w:r>
      <w:r w:rsidR="00153105">
        <w:rPr>
          <w:rFonts w:ascii="Times New Roman" w:hAnsi="Times New Roman" w:cs="Times New Roman"/>
        </w:rPr>
        <w:t>,</w:t>
      </w:r>
      <w:r w:rsidRPr="004D6578">
        <w:rPr>
          <w:rFonts w:ascii="Times New Roman" w:hAnsi="Times New Roman" w:cs="Times New Roman"/>
        </w:rPr>
        <w:t xml:space="preserve"> but regeneration will offer further opportunities for local businesses, events, structural reuse and improved public space. However, the success of these opportunities will only be realised by residents if they are visible and accessible on the ground. Residents will form their opinion of the change in their area based on the standard of streets, the usage of empty properties, </w:t>
      </w:r>
      <w:r w:rsidR="00153105">
        <w:rPr>
          <w:rFonts w:ascii="Times New Roman" w:hAnsi="Times New Roman" w:cs="Times New Roman"/>
        </w:rPr>
        <w:t xml:space="preserve">the </w:t>
      </w:r>
      <w:r w:rsidRPr="004D6578">
        <w:rPr>
          <w:rFonts w:ascii="Times New Roman" w:hAnsi="Times New Roman" w:cs="Times New Roman"/>
        </w:rPr>
        <w:t>strength of independent traders and the degree to which the centre appears to belong to 'normal' everyday users rather than just being used by people from outside Wrexham visiting the area</w:t>
      </w:r>
    </w:p>
    <w:p w14:paraId="5E60AD6B" w14:textId="76FAC06D"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lastRenderedPageBreak/>
        <w:t>The literature surrounding place attachment and social exclusion is relevant within this context. While many aspects of a centre may be improved through good physical regeneration, attachments to place will only be created if residents feel they have been involved (through engagement/perception) in shaping change in their area (Lin and van Ameijde, 2026).</w:t>
      </w:r>
      <w:r w:rsidR="00153105">
        <w:rPr>
          <w:rFonts w:ascii="Times New Roman" w:hAnsi="Times New Roman" w:cs="Times New Roman"/>
        </w:rPr>
        <w:t xml:space="preserve"> </w:t>
      </w:r>
      <w:r w:rsidRPr="004D6578">
        <w:rPr>
          <w:rFonts w:ascii="Times New Roman" w:hAnsi="Times New Roman" w:cs="Times New Roman"/>
        </w:rPr>
        <w:t>The regeneration process can also heighten exclusion if parameters for the use of public space are not taken into account (Phillipson, 2025); therefore, Wrexham’s regeneration will also need to be evaluated on its ability to develop a more accessible and useful centre for local populations.</w:t>
      </w:r>
    </w:p>
    <w:p w14:paraId="4B3A8222" w14:textId="4BCD8D46" w:rsidR="004D6578" w:rsidRPr="00153105" w:rsidRDefault="004D6578" w:rsidP="00153105">
      <w:pPr>
        <w:pStyle w:val="ListParagraph"/>
        <w:numPr>
          <w:ilvl w:val="0"/>
          <w:numId w:val="1"/>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t>Regeneration opportunities</w:t>
      </w:r>
    </w:p>
    <w:p w14:paraId="1E9F30D7" w14:textId="08E9BC82" w:rsidR="004D6578" w:rsidRPr="00153105" w:rsidRDefault="004D6578" w:rsidP="00153105">
      <w:pPr>
        <w:pStyle w:val="ListParagraph"/>
        <w:numPr>
          <w:ilvl w:val="0"/>
          <w:numId w:val="2"/>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t>Opportunities arising from Empty Property Reuse and City-Centre Living</w:t>
      </w:r>
    </w:p>
    <w:p w14:paraId="5C215D74" w14:textId="0FE0DD85"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The first opportunity for regeneration through empty property reuse involves the provision of an empty property reuse programme specifically targeting upper-floor and town centre residential development. The aim will be to bring problem and vacant properties back into productive use through the establishment of a mixed-use space for housing, work and small enterprise. This will also improve the visual appearance of the centres</w:t>
      </w:r>
      <w:r w:rsidR="00153105">
        <w:rPr>
          <w:rFonts w:ascii="Times New Roman" w:hAnsi="Times New Roman" w:cs="Times New Roman"/>
        </w:rPr>
        <w:t>,</w:t>
      </w:r>
      <w:r w:rsidRPr="004D6578">
        <w:rPr>
          <w:rFonts w:ascii="Times New Roman" w:hAnsi="Times New Roman" w:cs="Times New Roman"/>
        </w:rPr>
        <w:t xml:space="preserve"> increase footfall to the centre</w:t>
      </w:r>
      <w:r w:rsidR="00153105">
        <w:rPr>
          <w:rFonts w:ascii="Times New Roman" w:hAnsi="Times New Roman" w:cs="Times New Roman"/>
        </w:rPr>
        <w:t>,</w:t>
      </w:r>
      <w:r w:rsidRPr="004D6578">
        <w:rPr>
          <w:rFonts w:ascii="Times New Roman" w:hAnsi="Times New Roman" w:cs="Times New Roman"/>
        </w:rPr>
        <w:t xml:space="preserve"> and strengthen the role of city centres beyond traditional retail hours. Research on town centre paradigms </w:t>
      </w:r>
      <w:r w:rsidR="00153105">
        <w:rPr>
          <w:rFonts w:ascii="Times New Roman" w:hAnsi="Times New Roman" w:cs="Times New Roman"/>
        </w:rPr>
        <w:t>indicates</w:t>
      </w:r>
      <w:r w:rsidRPr="004D6578">
        <w:rPr>
          <w:rFonts w:ascii="Times New Roman" w:hAnsi="Times New Roman" w:cs="Times New Roman"/>
        </w:rPr>
        <w:t xml:space="preserve"> that this mixed-use </w:t>
      </w:r>
      <w:r w:rsidR="00153105">
        <w:rPr>
          <w:rFonts w:ascii="Times New Roman" w:hAnsi="Times New Roman" w:cs="Times New Roman"/>
        </w:rPr>
        <w:t>adaptation</w:t>
      </w:r>
      <w:r w:rsidRPr="004D6578">
        <w:rPr>
          <w:rFonts w:ascii="Times New Roman" w:hAnsi="Times New Roman" w:cs="Times New Roman"/>
        </w:rPr>
        <w:t xml:space="preserve"> will be a key factor in enhancing the resilience of urban centres (Hehir, </w:t>
      </w:r>
      <w:proofErr w:type="spellStart"/>
      <w:r w:rsidRPr="004D6578">
        <w:rPr>
          <w:rFonts w:ascii="Times New Roman" w:hAnsi="Times New Roman" w:cs="Times New Roman"/>
        </w:rPr>
        <w:t>Warnaby</w:t>
      </w:r>
      <w:proofErr w:type="spellEnd"/>
      <w:r w:rsidRPr="004D6578">
        <w:rPr>
          <w:rFonts w:ascii="Times New Roman" w:hAnsi="Times New Roman" w:cs="Times New Roman"/>
        </w:rPr>
        <w:t xml:space="preserve"> and Theodoridis, 2023).</w:t>
      </w:r>
    </w:p>
    <w:p w14:paraId="1EB49AD7" w14:textId="77777777" w:rsidR="00153105"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The emphasis should be on flexible reuse as opposed to reliance on </w:t>
      </w:r>
      <w:r w:rsidR="00153105">
        <w:rPr>
          <w:rFonts w:ascii="Times New Roman" w:hAnsi="Times New Roman" w:cs="Times New Roman"/>
        </w:rPr>
        <w:t>large-scale</w:t>
      </w:r>
      <w:r w:rsidRPr="004D6578">
        <w:rPr>
          <w:rFonts w:ascii="Times New Roman" w:hAnsi="Times New Roman" w:cs="Times New Roman"/>
        </w:rPr>
        <w:t xml:space="preserve"> redevelopments. Smaller developments typically provide more expedient and locally relevant results, particularly in relation to the promotion of small independent </w:t>
      </w:r>
      <w:r w:rsidR="00153105">
        <w:rPr>
          <w:rFonts w:ascii="Times New Roman" w:hAnsi="Times New Roman" w:cs="Times New Roman"/>
        </w:rPr>
        <w:t>enterprises</w:t>
      </w:r>
      <w:r w:rsidRPr="004D6578">
        <w:rPr>
          <w:rFonts w:ascii="Times New Roman" w:hAnsi="Times New Roman" w:cs="Times New Roman"/>
        </w:rPr>
        <w:t xml:space="preserve"> and affordable housing. Additionally, research into community-centred regeneration indicates that reuse of assets will also provide a means of preventing displacement and maintaining the local benefits of regeneration (Earley, 2025).</w:t>
      </w:r>
    </w:p>
    <w:p w14:paraId="1E3E0E92" w14:textId="70518CAC" w:rsidR="004D6578" w:rsidRPr="00153105" w:rsidRDefault="004D6578" w:rsidP="00153105">
      <w:pPr>
        <w:pStyle w:val="ListParagraph"/>
        <w:numPr>
          <w:ilvl w:val="0"/>
          <w:numId w:val="2"/>
        </w:numPr>
        <w:spacing w:line="480" w:lineRule="auto"/>
        <w:rPr>
          <w:rFonts w:ascii="Times New Roman" w:hAnsi="Times New Roman" w:cs="Times New Roman"/>
          <w:b/>
          <w:bCs/>
          <w:color w:val="156082" w:themeColor="accent1"/>
          <w:u w:val="thick"/>
        </w:rPr>
      </w:pPr>
      <w:r w:rsidRPr="00153105">
        <w:rPr>
          <w:rFonts w:ascii="Times New Roman" w:hAnsi="Times New Roman" w:cs="Times New Roman"/>
          <w:b/>
          <w:bCs/>
          <w:color w:val="156082" w:themeColor="accent1"/>
          <w:u w:val="thick"/>
        </w:rPr>
        <w:lastRenderedPageBreak/>
        <w:t>Opportunities arising from a Participatory Culture and Green Public Space Strategy</w:t>
      </w:r>
    </w:p>
    <w:p w14:paraId="4DC1B29B" w14:textId="3AB38105"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The second opportunity for regeneration can be achieved through the establishment of a participatory culture and green public space strategy. This strategy would combine the co-design of improvements to public spaces with </w:t>
      </w:r>
      <w:r w:rsidR="00FA67F4">
        <w:rPr>
          <w:rFonts w:ascii="Times New Roman" w:hAnsi="Times New Roman" w:cs="Times New Roman"/>
        </w:rPr>
        <w:t>small-scale</w:t>
      </w:r>
      <w:r w:rsidRPr="004D6578">
        <w:rPr>
          <w:rFonts w:ascii="Times New Roman" w:hAnsi="Times New Roman" w:cs="Times New Roman"/>
        </w:rPr>
        <w:t xml:space="preserve"> greening of the centre, the programming of events and promotion of culture-based activity in the centre. The goal of the strategy would be to create a more social, active and attractive environment for the city centre, which will also support the resilience of the city to the impacts of climate change. Recent literature has highlighted the impact of culture-led regeneration when it is based on locally produced images rather than solely </w:t>
      </w:r>
      <w:r w:rsidR="00FA67F4">
        <w:rPr>
          <w:rFonts w:ascii="Times New Roman" w:hAnsi="Times New Roman" w:cs="Times New Roman"/>
        </w:rPr>
        <w:t>on</w:t>
      </w:r>
      <w:r w:rsidRPr="004D6578">
        <w:rPr>
          <w:rFonts w:ascii="Times New Roman" w:hAnsi="Times New Roman" w:cs="Times New Roman"/>
        </w:rPr>
        <w:t xml:space="preserve"> the perceptions of outside actors (Popa, Pop and Marian-Potra, 2025). More recently, other literature has indicated the impact of green/nature-based interventions on increasing the quality of the environment and wellbeing (Russo, Baresi and </w:t>
      </w:r>
      <w:proofErr w:type="spellStart"/>
      <w:r w:rsidRPr="004D6578">
        <w:rPr>
          <w:rFonts w:ascii="Times New Roman" w:hAnsi="Times New Roman" w:cs="Times New Roman"/>
        </w:rPr>
        <w:t>Cheshmehzangi</w:t>
      </w:r>
      <w:proofErr w:type="spellEnd"/>
      <w:r w:rsidRPr="004D6578">
        <w:rPr>
          <w:rFonts w:ascii="Times New Roman" w:hAnsi="Times New Roman" w:cs="Times New Roman"/>
        </w:rPr>
        <w:t>, 2026).</w:t>
      </w:r>
    </w:p>
    <w:p w14:paraId="2FF78EB5" w14:textId="77777777"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The participatory aspect of the strategy is paramount. The input of residents, businesses and local organisations should be sought to define how public spaces will be used and improved. A focus on participatory involvement in the regeneration process will also provide a way to strengthen trust and attachment to local communities and create positive change through the improvements made to the appearance of public spaces.</w:t>
      </w:r>
    </w:p>
    <w:p w14:paraId="45667C51" w14:textId="6991A70F" w:rsidR="004D6578" w:rsidRPr="00FA67F4" w:rsidRDefault="004D6578" w:rsidP="00FA67F4">
      <w:pPr>
        <w:pStyle w:val="ListParagraph"/>
        <w:numPr>
          <w:ilvl w:val="0"/>
          <w:numId w:val="1"/>
        </w:numPr>
        <w:spacing w:line="480" w:lineRule="auto"/>
        <w:rPr>
          <w:rFonts w:ascii="Times New Roman" w:hAnsi="Times New Roman" w:cs="Times New Roman"/>
          <w:b/>
          <w:bCs/>
          <w:color w:val="156082" w:themeColor="accent1"/>
          <w:u w:val="thick"/>
        </w:rPr>
      </w:pPr>
      <w:r w:rsidRPr="00FA67F4">
        <w:rPr>
          <w:rFonts w:ascii="Times New Roman" w:hAnsi="Times New Roman" w:cs="Times New Roman"/>
          <w:b/>
          <w:bCs/>
          <w:color w:val="156082" w:themeColor="accent1"/>
          <w:u w:val="thick"/>
        </w:rPr>
        <w:t>Conclusion</w:t>
      </w:r>
    </w:p>
    <w:p w14:paraId="07BBFB1B" w14:textId="0590AD01" w:rsidR="004D6578" w:rsidRPr="004D6578"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Wrexham’s regeneration challenge is influenced by structural pressures and unique opportunities. The city centre is experiencing the same trends of decline in retail dominance seen in many other places. However, the current momentum of visibility and </w:t>
      </w:r>
      <w:r w:rsidR="00FA67F4">
        <w:rPr>
          <w:rFonts w:ascii="Times New Roman" w:hAnsi="Times New Roman" w:cs="Times New Roman"/>
        </w:rPr>
        <w:t>placemaking</w:t>
      </w:r>
      <w:r w:rsidRPr="004D6578">
        <w:rPr>
          <w:rFonts w:ascii="Times New Roman" w:hAnsi="Times New Roman" w:cs="Times New Roman"/>
        </w:rPr>
        <w:t xml:space="preserve"> provides an opportunity for change. The results indicate that Wrexham already has the elements of a resilient centre</w:t>
      </w:r>
      <w:r w:rsidR="00FA67F4">
        <w:rPr>
          <w:rFonts w:ascii="Times New Roman" w:hAnsi="Times New Roman" w:cs="Times New Roman"/>
        </w:rPr>
        <w:t>, mixed-use</w:t>
      </w:r>
      <w:r w:rsidRPr="004D6578">
        <w:rPr>
          <w:rFonts w:ascii="Times New Roman" w:hAnsi="Times New Roman" w:cs="Times New Roman"/>
        </w:rPr>
        <w:t xml:space="preserve"> economy</w:t>
      </w:r>
      <w:r w:rsidR="00FA67F4">
        <w:rPr>
          <w:rFonts w:ascii="Times New Roman" w:hAnsi="Times New Roman" w:cs="Times New Roman"/>
        </w:rPr>
        <w:t>,</w:t>
      </w:r>
      <w:r w:rsidRPr="004D6578">
        <w:rPr>
          <w:rFonts w:ascii="Times New Roman" w:hAnsi="Times New Roman" w:cs="Times New Roman"/>
        </w:rPr>
        <w:t xml:space="preserve"> civic importance and policy support as </w:t>
      </w:r>
      <w:r w:rsidRPr="004D6578">
        <w:rPr>
          <w:rFonts w:ascii="Times New Roman" w:hAnsi="Times New Roman" w:cs="Times New Roman"/>
        </w:rPr>
        <w:lastRenderedPageBreak/>
        <w:t>part of a regeneration process. However, the evidence also demonstrates that regeneration needs to be more than branding or improving physical aspects.</w:t>
      </w:r>
    </w:p>
    <w:p w14:paraId="04BA9C29" w14:textId="1205023B" w:rsidR="004D6578" w:rsidRDefault="004D6578" w:rsidP="004D6578">
      <w:pPr>
        <w:spacing w:line="480" w:lineRule="auto"/>
        <w:rPr>
          <w:rFonts w:ascii="Times New Roman" w:hAnsi="Times New Roman" w:cs="Times New Roman"/>
        </w:rPr>
      </w:pPr>
      <w:r w:rsidRPr="004D6578">
        <w:rPr>
          <w:rFonts w:ascii="Times New Roman" w:hAnsi="Times New Roman" w:cs="Times New Roman"/>
        </w:rPr>
        <w:t xml:space="preserve">The two opportunities identified above are direct responses to these issues. The reuse of empty properties and the establishment of city-centre living will increase the amount of everyday activity and decrease the negative economic effects of vacancy. The establishment of a participatory culture and green public space strategy will provide </w:t>
      </w:r>
      <w:r w:rsidR="00FA67F4">
        <w:rPr>
          <w:rFonts w:ascii="Times New Roman" w:hAnsi="Times New Roman" w:cs="Times New Roman"/>
        </w:rPr>
        <w:t xml:space="preserve">an </w:t>
      </w:r>
      <w:r w:rsidRPr="004D6578">
        <w:rPr>
          <w:rFonts w:ascii="Times New Roman" w:hAnsi="Times New Roman" w:cs="Times New Roman"/>
        </w:rPr>
        <w:t>improved public environment and support the development of local attachment and political identity. Collectively, these two approaches will assist Wrexham to become a more sustainable, inclusive and adaptable city centre.</w:t>
      </w:r>
    </w:p>
    <w:p w14:paraId="6C0C64DF" w14:textId="77777777" w:rsidR="00FA67F4" w:rsidRDefault="00FA67F4" w:rsidP="004D6578">
      <w:pPr>
        <w:spacing w:line="480" w:lineRule="auto"/>
        <w:rPr>
          <w:rFonts w:ascii="Times New Roman" w:hAnsi="Times New Roman" w:cs="Times New Roman"/>
        </w:rPr>
      </w:pPr>
    </w:p>
    <w:p w14:paraId="7645B404" w14:textId="77777777" w:rsidR="00FA67F4" w:rsidRDefault="00FA67F4" w:rsidP="004D6578">
      <w:pPr>
        <w:spacing w:line="480" w:lineRule="auto"/>
        <w:rPr>
          <w:rFonts w:ascii="Times New Roman" w:hAnsi="Times New Roman" w:cs="Times New Roman"/>
        </w:rPr>
      </w:pPr>
    </w:p>
    <w:p w14:paraId="13D2378A" w14:textId="77777777" w:rsidR="00FA67F4" w:rsidRDefault="00FA67F4" w:rsidP="004D6578">
      <w:pPr>
        <w:spacing w:line="480" w:lineRule="auto"/>
        <w:rPr>
          <w:rFonts w:ascii="Times New Roman" w:hAnsi="Times New Roman" w:cs="Times New Roman"/>
        </w:rPr>
      </w:pPr>
    </w:p>
    <w:p w14:paraId="398E7919" w14:textId="77777777" w:rsidR="00FA67F4" w:rsidRDefault="00FA67F4" w:rsidP="004D6578">
      <w:pPr>
        <w:spacing w:line="480" w:lineRule="auto"/>
        <w:rPr>
          <w:rFonts w:ascii="Times New Roman" w:hAnsi="Times New Roman" w:cs="Times New Roman"/>
        </w:rPr>
      </w:pPr>
    </w:p>
    <w:p w14:paraId="0E443C0D" w14:textId="77777777" w:rsidR="00FA67F4" w:rsidRDefault="00FA67F4" w:rsidP="004D6578">
      <w:pPr>
        <w:spacing w:line="480" w:lineRule="auto"/>
        <w:rPr>
          <w:rFonts w:ascii="Times New Roman" w:hAnsi="Times New Roman" w:cs="Times New Roman"/>
        </w:rPr>
      </w:pPr>
    </w:p>
    <w:p w14:paraId="73AD82EA" w14:textId="77777777" w:rsidR="00FA67F4" w:rsidRDefault="00FA67F4" w:rsidP="004D6578">
      <w:pPr>
        <w:spacing w:line="480" w:lineRule="auto"/>
        <w:rPr>
          <w:rFonts w:ascii="Times New Roman" w:hAnsi="Times New Roman" w:cs="Times New Roman"/>
        </w:rPr>
      </w:pPr>
    </w:p>
    <w:p w14:paraId="03EDBA58" w14:textId="77777777" w:rsidR="00FA67F4" w:rsidRDefault="00FA67F4" w:rsidP="004D6578">
      <w:pPr>
        <w:spacing w:line="480" w:lineRule="auto"/>
        <w:rPr>
          <w:rFonts w:ascii="Times New Roman" w:hAnsi="Times New Roman" w:cs="Times New Roman"/>
        </w:rPr>
      </w:pPr>
    </w:p>
    <w:p w14:paraId="26A9A530" w14:textId="77777777" w:rsidR="00FA67F4" w:rsidRDefault="00FA67F4" w:rsidP="004D6578">
      <w:pPr>
        <w:spacing w:line="480" w:lineRule="auto"/>
        <w:rPr>
          <w:rFonts w:ascii="Times New Roman" w:hAnsi="Times New Roman" w:cs="Times New Roman"/>
        </w:rPr>
      </w:pPr>
    </w:p>
    <w:p w14:paraId="1B2E1935" w14:textId="77777777" w:rsidR="00FA67F4" w:rsidRDefault="00FA67F4" w:rsidP="004D6578">
      <w:pPr>
        <w:spacing w:line="480" w:lineRule="auto"/>
        <w:rPr>
          <w:rFonts w:ascii="Times New Roman" w:hAnsi="Times New Roman" w:cs="Times New Roman"/>
        </w:rPr>
      </w:pPr>
    </w:p>
    <w:p w14:paraId="0A4D9999" w14:textId="77777777" w:rsidR="00FA67F4" w:rsidRDefault="00FA67F4" w:rsidP="004D6578">
      <w:pPr>
        <w:spacing w:line="480" w:lineRule="auto"/>
        <w:rPr>
          <w:rFonts w:ascii="Times New Roman" w:hAnsi="Times New Roman" w:cs="Times New Roman"/>
        </w:rPr>
      </w:pPr>
    </w:p>
    <w:p w14:paraId="49EB020F" w14:textId="77777777" w:rsidR="00FA67F4" w:rsidRDefault="00FA67F4" w:rsidP="004D6578">
      <w:pPr>
        <w:spacing w:line="480" w:lineRule="auto"/>
        <w:rPr>
          <w:rFonts w:ascii="Times New Roman" w:hAnsi="Times New Roman" w:cs="Times New Roman"/>
        </w:rPr>
      </w:pPr>
    </w:p>
    <w:p w14:paraId="3614A660" w14:textId="77777777" w:rsidR="00FA67F4" w:rsidRDefault="00FA67F4" w:rsidP="004D6578">
      <w:pPr>
        <w:spacing w:line="480" w:lineRule="auto"/>
        <w:rPr>
          <w:rFonts w:ascii="Times New Roman" w:hAnsi="Times New Roman" w:cs="Times New Roman"/>
        </w:rPr>
      </w:pPr>
    </w:p>
    <w:p w14:paraId="0A0D6A72" w14:textId="5DEEF1B7" w:rsidR="00FA67F4" w:rsidRPr="00FA67F4" w:rsidRDefault="00FA67F4" w:rsidP="004D6578">
      <w:pPr>
        <w:spacing w:line="480" w:lineRule="auto"/>
        <w:rPr>
          <w:rFonts w:ascii="Times New Roman" w:hAnsi="Times New Roman" w:cs="Times New Roman"/>
          <w:b/>
          <w:bCs/>
          <w:color w:val="156082" w:themeColor="accent1"/>
          <w:u w:val="thick"/>
        </w:rPr>
      </w:pPr>
      <w:r w:rsidRPr="00FA67F4">
        <w:rPr>
          <w:rFonts w:ascii="Times New Roman" w:hAnsi="Times New Roman" w:cs="Times New Roman"/>
          <w:b/>
          <w:bCs/>
          <w:color w:val="156082" w:themeColor="accent1"/>
          <w:u w:val="thick"/>
        </w:rPr>
        <w:lastRenderedPageBreak/>
        <w:t xml:space="preserve">References </w:t>
      </w:r>
    </w:p>
    <w:p w14:paraId="4EA52B0A" w14:textId="3AE05133"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Ahsan, M. (2026)</w:t>
      </w:r>
      <w:r>
        <w:rPr>
          <w:rFonts w:ascii="Times New Roman" w:hAnsi="Times New Roman" w:cs="Times New Roman"/>
        </w:rPr>
        <w:t>.</w:t>
      </w:r>
      <w:r w:rsidRPr="00FA67F4">
        <w:rPr>
          <w:rFonts w:ascii="Times New Roman" w:hAnsi="Times New Roman" w:cs="Times New Roman"/>
        </w:rPr>
        <w:t xml:space="preserve"> Comprehending the internal–external mode of participatory urban regeneration practice</w:t>
      </w:r>
      <w:r>
        <w:rPr>
          <w:rFonts w:ascii="Times New Roman" w:hAnsi="Times New Roman" w:cs="Times New Roman"/>
        </w:rPr>
        <w:t>.</w:t>
      </w:r>
      <w:r w:rsidRPr="00FA67F4">
        <w:rPr>
          <w:rFonts w:ascii="Times New Roman" w:hAnsi="Times New Roman" w:cs="Times New Roman"/>
        </w:rPr>
        <w:t xml:space="preserve"> </w:t>
      </w:r>
      <w:r w:rsidRPr="00FA67F4">
        <w:rPr>
          <w:rFonts w:ascii="Times New Roman" w:hAnsi="Times New Roman" w:cs="Times New Roman"/>
          <w:i/>
          <w:iCs/>
        </w:rPr>
        <w:t>Journal of Urban Regeneration &amp; Renewal, 19(</w:t>
      </w:r>
      <w:r w:rsidRPr="00FA67F4">
        <w:rPr>
          <w:rFonts w:ascii="Times New Roman" w:hAnsi="Times New Roman" w:cs="Times New Roman"/>
        </w:rPr>
        <w:t>2), pp. 200-217.</w:t>
      </w:r>
    </w:p>
    <w:p w14:paraId="3170F57A" w14:textId="7A6D1DB7"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Bahar, U. (2025)</w:t>
      </w:r>
      <w:r>
        <w:rPr>
          <w:rFonts w:ascii="Times New Roman" w:hAnsi="Times New Roman" w:cs="Times New Roman"/>
        </w:rPr>
        <w:t>.</w:t>
      </w:r>
      <w:r w:rsidRPr="00FA67F4">
        <w:rPr>
          <w:rFonts w:ascii="Times New Roman" w:hAnsi="Times New Roman" w:cs="Times New Roman"/>
        </w:rPr>
        <w:t xml:space="preserve"> Transforming urban retail environments</w:t>
      </w:r>
      <w:r>
        <w:rPr>
          <w:rFonts w:ascii="Times New Roman" w:hAnsi="Times New Roman" w:cs="Times New Roman"/>
        </w:rPr>
        <w:t xml:space="preserve">. </w:t>
      </w:r>
      <w:r w:rsidRPr="00FA67F4">
        <w:rPr>
          <w:rFonts w:ascii="Times New Roman" w:hAnsi="Times New Roman" w:cs="Times New Roman"/>
          <w:i/>
          <w:iCs/>
        </w:rPr>
        <w:t>Journal of Urban Regeneration &amp; Renewal, 18(</w:t>
      </w:r>
      <w:r w:rsidRPr="00FA67F4">
        <w:rPr>
          <w:rFonts w:ascii="Times New Roman" w:hAnsi="Times New Roman" w:cs="Times New Roman"/>
        </w:rPr>
        <w:t>3), pp. 239-251.</w:t>
      </w:r>
    </w:p>
    <w:p w14:paraId="558610CD" w14:textId="4B4F368B"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Earley, A. (2025)</w:t>
      </w:r>
      <w:r>
        <w:rPr>
          <w:rFonts w:ascii="Times New Roman" w:hAnsi="Times New Roman" w:cs="Times New Roman"/>
        </w:rPr>
        <w:t>.</w:t>
      </w:r>
      <w:r w:rsidRPr="00FA67F4">
        <w:rPr>
          <w:rFonts w:ascii="Times New Roman" w:hAnsi="Times New Roman" w:cs="Times New Roman"/>
        </w:rPr>
        <w:t xml:space="preserve"> Achieving urban regeneration without gentrification?</w:t>
      </w:r>
      <w:r>
        <w:rPr>
          <w:rFonts w:ascii="Times New Roman" w:hAnsi="Times New Roman" w:cs="Times New Roman"/>
        </w:rPr>
        <w:t xml:space="preserve"> </w:t>
      </w:r>
      <w:r w:rsidRPr="00FA67F4">
        <w:rPr>
          <w:rFonts w:ascii="Times New Roman" w:hAnsi="Times New Roman" w:cs="Times New Roman"/>
        </w:rPr>
        <w:t xml:space="preserve"> </w:t>
      </w:r>
      <w:r w:rsidRPr="00FA67F4">
        <w:rPr>
          <w:rFonts w:ascii="Times New Roman" w:hAnsi="Times New Roman" w:cs="Times New Roman"/>
          <w:i/>
          <w:iCs/>
        </w:rPr>
        <w:t>Journal of Urban Affairs, 47(</w:t>
      </w:r>
      <w:r w:rsidRPr="00FA67F4">
        <w:rPr>
          <w:rFonts w:ascii="Times New Roman" w:hAnsi="Times New Roman" w:cs="Times New Roman"/>
        </w:rPr>
        <w:t>4), pp. 1125-1148.</w:t>
      </w:r>
    </w:p>
    <w:p w14:paraId="133F6D41" w14:textId="7BE13C13"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He, P. et al. (2026)</w:t>
      </w:r>
      <w:r>
        <w:rPr>
          <w:rFonts w:ascii="Times New Roman" w:hAnsi="Times New Roman" w:cs="Times New Roman"/>
        </w:rPr>
        <w:t>.</w:t>
      </w:r>
      <w:r w:rsidRPr="00FA67F4">
        <w:rPr>
          <w:rFonts w:ascii="Times New Roman" w:hAnsi="Times New Roman" w:cs="Times New Roman"/>
        </w:rPr>
        <w:t xml:space="preserve"> From participation to partnership</w:t>
      </w:r>
      <w:r>
        <w:rPr>
          <w:rFonts w:ascii="Times New Roman" w:hAnsi="Times New Roman" w:cs="Times New Roman"/>
        </w:rPr>
        <w:t xml:space="preserve">. </w:t>
      </w:r>
      <w:r w:rsidRPr="00FA67F4">
        <w:rPr>
          <w:rFonts w:ascii="Times New Roman" w:hAnsi="Times New Roman" w:cs="Times New Roman"/>
          <w:i/>
          <w:iCs/>
        </w:rPr>
        <w:t xml:space="preserve">Environmental Impact Assessment Review, </w:t>
      </w:r>
      <w:r w:rsidRPr="00FA67F4">
        <w:rPr>
          <w:rFonts w:ascii="Times New Roman" w:hAnsi="Times New Roman" w:cs="Times New Roman"/>
        </w:rPr>
        <w:t>117, p. 108187.</w:t>
      </w:r>
    </w:p>
    <w:p w14:paraId="034F15DB" w14:textId="3B1446B4"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 xml:space="preserve">Hehir, A., </w:t>
      </w:r>
      <w:proofErr w:type="spellStart"/>
      <w:r w:rsidRPr="00FA67F4">
        <w:rPr>
          <w:rFonts w:ascii="Times New Roman" w:hAnsi="Times New Roman" w:cs="Times New Roman"/>
        </w:rPr>
        <w:t>Warnaby</w:t>
      </w:r>
      <w:proofErr w:type="spellEnd"/>
      <w:r w:rsidRPr="00FA67F4">
        <w:rPr>
          <w:rFonts w:ascii="Times New Roman" w:hAnsi="Times New Roman" w:cs="Times New Roman"/>
        </w:rPr>
        <w:t xml:space="preserve">, G. </w:t>
      </w:r>
      <w:r>
        <w:rPr>
          <w:rFonts w:ascii="Times New Roman" w:hAnsi="Times New Roman" w:cs="Times New Roman"/>
        </w:rPr>
        <w:t>&amp;</w:t>
      </w:r>
      <w:r w:rsidRPr="00FA67F4">
        <w:rPr>
          <w:rFonts w:ascii="Times New Roman" w:hAnsi="Times New Roman" w:cs="Times New Roman"/>
        </w:rPr>
        <w:t xml:space="preserve"> Theodoridis, C. (2023)</w:t>
      </w:r>
      <w:r>
        <w:rPr>
          <w:rFonts w:ascii="Times New Roman" w:hAnsi="Times New Roman" w:cs="Times New Roman"/>
        </w:rPr>
        <w:t>. T</w:t>
      </w:r>
      <w:r w:rsidRPr="00FA67F4">
        <w:rPr>
          <w:rFonts w:ascii="Times New Roman" w:hAnsi="Times New Roman" w:cs="Times New Roman"/>
        </w:rPr>
        <w:t>own centre paradigms and retail landscapes</w:t>
      </w:r>
      <w:r>
        <w:rPr>
          <w:rFonts w:ascii="Times New Roman" w:hAnsi="Times New Roman" w:cs="Times New Roman"/>
        </w:rPr>
        <w:t xml:space="preserve">. </w:t>
      </w:r>
      <w:r w:rsidRPr="00FA67F4">
        <w:rPr>
          <w:rFonts w:ascii="Times New Roman" w:hAnsi="Times New Roman" w:cs="Times New Roman"/>
          <w:i/>
          <w:iCs/>
        </w:rPr>
        <w:t>Environment and Planning C, 41(</w:t>
      </w:r>
      <w:r w:rsidRPr="00FA67F4">
        <w:rPr>
          <w:rFonts w:ascii="Times New Roman" w:hAnsi="Times New Roman" w:cs="Times New Roman"/>
        </w:rPr>
        <w:t>1), pp. 37-55.</w:t>
      </w:r>
    </w:p>
    <w:p w14:paraId="0C0631BA" w14:textId="36392EE4"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Lin, S. and van Ameijde, J. (2026)</w:t>
      </w:r>
      <w:r>
        <w:rPr>
          <w:rFonts w:ascii="Times New Roman" w:hAnsi="Times New Roman" w:cs="Times New Roman"/>
        </w:rPr>
        <w:t>.</w:t>
      </w:r>
      <w:r w:rsidRPr="00FA67F4">
        <w:rPr>
          <w:rFonts w:ascii="Times New Roman" w:hAnsi="Times New Roman" w:cs="Times New Roman"/>
        </w:rPr>
        <w:t xml:space="preserve"> The impact of urban renewal on place attachment</w:t>
      </w:r>
      <w:r>
        <w:rPr>
          <w:rFonts w:ascii="Times New Roman" w:hAnsi="Times New Roman" w:cs="Times New Roman"/>
        </w:rPr>
        <w:t xml:space="preserve">. </w:t>
      </w:r>
      <w:r w:rsidRPr="00FA67F4">
        <w:rPr>
          <w:rFonts w:ascii="Times New Roman" w:hAnsi="Times New Roman" w:cs="Times New Roman"/>
          <w:i/>
          <w:iCs/>
        </w:rPr>
        <w:t>Cities,</w:t>
      </w:r>
      <w:r w:rsidRPr="00FA67F4">
        <w:rPr>
          <w:rFonts w:ascii="Times New Roman" w:hAnsi="Times New Roman" w:cs="Times New Roman"/>
        </w:rPr>
        <w:t xml:space="preserve"> 172, p. 106894.</w:t>
      </w:r>
    </w:p>
    <w:p w14:paraId="64AE64C4" w14:textId="5DC672A7" w:rsidR="00FA67F4" w:rsidRPr="00FA67F4" w:rsidRDefault="00FA67F4" w:rsidP="00FA67F4">
      <w:pPr>
        <w:spacing w:line="480" w:lineRule="auto"/>
        <w:ind w:left="720" w:hanging="720"/>
        <w:rPr>
          <w:rFonts w:ascii="Times New Roman" w:hAnsi="Times New Roman" w:cs="Times New Roman"/>
          <w:i/>
          <w:iCs/>
        </w:rPr>
      </w:pPr>
      <w:r w:rsidRPr="00FA67F4">
        <w:rPr>
          <w:rFonts w:ascii="Times New Roman" w:hAnsi="Times New Roman" w:cs="Times New Roman"/>
        </w:rPr>
        <w:t xml:space="preserve">Park, E. J., Kang, E. </w:t>
      </w:r>
      <w:r>
        <w:rPr>
          <w:rFonts w:ascii="Times New Roman" w:hAnsi="Times New Roman" w:cs="Times New Roman"/>
        </w:rPr>
        <w:t>&amp;</w:t>
      </w:r>
      <w:r w:rsidRPr="00FA67F4">
        <w:rPr>
          <w:rFonts w:ascii="Times New Roman" w:hAnsi="Times New Roman" w:cs="Times New Roman"/>
        </w:rPr>
        <w:t xml:space="preserve"> Shin, Y. J. (2025)</w:t>
      </w:r>
      <w:r>
        <w:rPr>
          <w:rFonts w:ascii="Times New Roman" w:hAnsi="Times New Roman" w:cs="Times New Roman"/>
        </w:rPr>
        <w:t xml:space="preserve">. </w:t>
      </w:r>
      <w:r w:rsidRPr="00FA67F4">
        <w:rPr>
          <w:rFonts w:ascii="Times New Roman" w:hAnsi="Times New Roman" w:cs="Times New Roman"/>
        </w:rPr>
        <w:t xml:space="preserve">Urban regeneration and community participation, </w:t>
      </w:r>
      <w:r w:rsidRPr="00FA67F4">
        <w:rPr>
          <w:rFonts w:ascii="Times New Roman" w:hAnsi="Times New Roman" w:cs="Times New Roman"/>
          <w:i/>
          <w:iCs/>
        </w:rPr>
        <w:t>Open House International.</w:t>
      </w:r>
    </w:p>
    <w:p w14:paraId="115CACE1" w14:textId="64A2813D"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Phillipson, C. (2025)</w:t>
      </w:r>
      <w:r>
        <w:rPr>
          <w:rFonts w:ascii="Times New Roman" w:hAnsi="Times New Roman" w:cs="Times New Roman"/>
        </w:rPr>
        <w:t xml:space="preserve">. </w:t>
      </w:r>
      <w:r w:rsidRPr="00FA67F4">
        <w:rPr>
          <w:rFonts w:ascii="Times New Roman" w:hAnsi="Times New Roman" w:cs="Times New Roman"/>
          <w:i/>
          <w:iCs/>
        </w:rPr>
        <w:t>Neighbourhood regeneration and social exclusion in later life</w:t>
      </w:r>
      <w:r>
        <w:rPr>
          <w:rFonts w:ascii="Times New Roman" w:hAnsi="Times New Roman" w:cs="Times New Roman"/>
        </w:rPr>
        <w:t xml:space="preserve">. </w:t>
      </w:r>
      <w:r w:rsidRPr="00FA67F4">
        <w:rPr>
          <w:rFonts w:ascii="Times New Roman" w:hAnsi="Times New Roman" w:cs="Times New Roman"/>
        </w:rPr>
        <w:t>Quality in Ageing and Older Adults, pp. 1-11.</w:t>
      </w:r>
    </w:p>
    <w:p w14:paraId="2B60FDB2" w14:textId="13E9353E"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Popa, N., Pop, A. M.</w:t>
      </w:r>
      <w:r>
        <w:rPr>
          <w:rFonts w:ascii="Times New Roman" w:hAnsi="Times New Roman" w:cs="Times New Roman"/>
        </w:rPr>
        <w:t>,</w:t>
      </w:r>
      <w:r w:rsidRPr="00FA67F4">
        <w:rPr>
          <w:rFonts w:ascii="Times New Roman" w:hAnsi="Times New Roman" w:cs="Times New Roman"/>
        </w:rPr>
        <w:t xml:space="preserve"> </w:t>
      </w:r>
      <w:r>
        <w:rPr>
          <w:rFonts w:ascii="Times New Roman" w:hAnsi="Times New Roman" w:cs="Times New Roman"/>
        </w:rPr>
        <w:t>&amp;</w:t>
      </w:r>
      <w:r w:rsidRPr="00FA67F4">
        <w:rPr>
          <w:rFonts w:ascii="Times New Roman" w:hAnsi="Times New Roman" w:cs="Times New Roman"/>
        </w:rPr>
        <w:t xml:space="preserve"> Marian-Potra, A. C. (2025)</w:t>
      </w:r>
      <w:r>
        <w:rPr>
          <w:rFonts w:ascii="Times New Roman" w:hAnsi="Times New Roman" w:cs="Times New Roman"/>
        </w:rPr>
        <w:t xml:space="preserve">. </w:t>
      </w:r>
      <w:r w:rsidRPr="00FA67F4">
        <w:rPr>
          <w:rFonts w:ascii="Times New Roman" w:hAnsi="Times New Roman" w:cs="Times New Roman"/>
          <w:i/>
          <w:iCs/>
        </w:rPr>
        <w:t>Culture-led urban regeneration</w:t>
      </w:r>
      <w:r>
        <w:rPr>
          <w:rFonts w:ascii="Times New Roman" w:hAnsi="Times New Roman" w:cs="Times New Roman"/>
        </w:rPr>
        <w:t xml:space="preserve">. </w:t>
      </w:r>
      <w:r w:rsidRPr="00FA67F4">
        <w:rPr>
          <w:rFonts w:ascii="Times New Roman" w:hAnsi="Times New Roman" w:cs="Times New Roman"/>
        </w:rPr>
        <w:t>Cities, 158, p. 105707.</w:t>
      </w:r>
    </w:p>
    <w:p w14:paraId="75F7ECD1" w14:textId="77777777" w:rsid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Ricciardelli, A., Amoruso, P.</w:t>
      </w:r>
      <w:r>
        <w:rPr>
          <w:rFonts w:ascii="Times New Roman" w:hAnsi="Times New Roman" w:cs="Times New Roman"/>
        </w:rPr>
        <w:t xml:space="preserve"> &amp; </w:t>
      </w:r>
      <w:r w:rsidRPr="00FA67F4">
        <w:rPr>
          <w:rFonts w:ascii="Times New Roman" w:hAnsi="Times New Roman" w:cs="Times New Roman"/>
        </w:rPr>
        <w:t>Di Liddo, F. (2025)</w:t>
      </w:r>
      <w:r>
        <w:rPr>
          <w:rFonts w:ascii="Times New Roman" w:hAnsi="Times New Roman" w:cs="Times New Roman"/>
        </w:rPr>
        <w:t xml:space="preserve">. </w:t>
      </w:r>
      <w:r w:rsidRPr="00FA67F4">
        <w:rPr>
          <w:rFonts w:ascii="Times New Roman" w:hAnsi="Times New Roman" w:cs="Times New Roman"/>
        </w:rPr>
        <w:t>Urban Regeneration: From Design to Social Innovation</w:t>
      </w:r>
      <w:r>
        <w:rPr>
          <w:rFonts w:ascii="Times New Roman" w:hAnsi="Times New Roman" w:cs="Times New Roman"/>
        </w:rPr>
        <w:t xml:space="preserve">. </w:t>
      </w:r>
      <w:r w:rsidRPr="00FA67F4">
        <w:rPr>
          <w:rFonts w:ascii="Times New Roman" w:hAnsi="Times New Roman" w:cs="Times New Roman"/>
          <w:i/>
          <w:iCs/>
        </w:rPr>
        <w:t>Urban Science, 9(</w:t>
      </w:r>
      <w:r w:rsidRPr="00FA67F4">
        <w:rPr>
          <w:rFonts w:ascii="Times New Roman" w:hAnsi="Times New Roman" w:cs="Times New Roman"/>
        </w:rPr>
        <w:t>3), p. 79.</w:t>
      </w:r>
    </w:p>
    <w:p w14:paraId="3F2AC942" w14:textId="3CECF944"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lastRenderedPageBreak/>
        <w:t xml:space="preserve">Russo, A., Baresi, U. </w:t>
      </w:r>
      <w:r>
        <w:rPr>
          <w:rFonts w:ascii="Times New Roman" w:hAnsi="Times New Roman" w:cs="Times New Roman"/>
        </w:rPr>
        <w:t>&amp;</w:t>
      </w:r>
      <w:r w:rsidRPr="00FA67F4">
        <w:rPr>
          <w:rFonts w:ascii="Times New Roman" w:hAnsi="Times New Roman" w:cs="Times New Roman"/>
        </w:rPr>
        <w:t xml:space="preserve"> </w:t>
      </w:r>
      <w:proofErr w:type="spellStart"/>
      <w:r w:rsidRPr="00FA67F4">
        <w:rPr>
          <w:rFonts w:ascii="Times New Roman" w:hAnsi="Times New Roman" w:cs="Times New Roman"/>
        </w:rPr>
        <w:t>Cheshmehzangi</w:t>
      </w:r>
      <w:proofErr w:type="spellEnd"/>
      <w:r w:rsidRPr="00FA67F4">
        <w:rPr>
          <w:rFonts w:ascii="Times New Roman" w:hAnsi="Times New Roman" w:cs="Times New Roman"/>
        </w:rPr>
        <w:t>, A. (2026)</w:t>
      </w:r>
      <w:r>
        <w:rPr>
          <w:rFonts w:ascii="Times New Roman" w:hAnsi="Times New Roman" w:cs="Times New Roman"/>
        </w:rPr>
        <w:t>.</w:t>
      </w:r>
      <w:r w:rsidRPr="00FA67F4">
        <w:rPr>
          <w:rFonts w:ascii="Times New Roman" w:hAnsi="Times New Roman" w:cs="Times New Roman"/>
        </w:rPr>
        <w:t xml:space="preserve"> Nature-Based Solutions in Urban Regeneration</w:t>
      </w:r>
      <w:r>
        <w:rPr>
          <w:rFonts w:ascii="Times New Roman" w:hAnsi="Times New Roman" w:cs="Times New Roman"/>
        </w:rPr>
        <w:t xml:space="preserve">. </w:t>
      </w:r>
      <w:r w:rsidRPr="00FA67F4">
        <w:rPr>
          <w:rFonts w:ascii="Times New Roman" w:hAnsi="Times New Roman" w:cs="Times New Roman"/>
          <w:i/>
          <w:iCs/>
        </w:rPr>
        <w:t>Urban Science, 10(</w:t>
      </w:r>
      <w:r w:rsidRPr="00FA67F4">
        <w:rPr>
          <w:rFonts w:ascii="Times New Roman" w:hAnsi="Times New Roman" w:cs="Times New Roman"/>
        </w:rPr>
        <w:t>3), p. 130.</w:t>
      </w:r>
    </w:p>
    <w:p w14:paraId="6777B481" w14:textId="0D8927B2"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 xml:space="preserve">Wrexham County Borough Council. (2025) Developing the Economy / Placemaking </w:t>
      </w:r>
      <w:r>
        <w:rPr>
          <w:rFonts w:ascii="Times New Roman" w:hAnsi="Times New Roman" w:cs="Times New Roman"/>
        </w:rPr>
        <w:t>Priorities</w:t>
      </w:r>
      <w:r w:rsidRPr="00FA67F4">
        <w:rPr>
          <w:rFonts w:ascii="Times New Roman" w:hAnsi="Times New Roman" w:cs="Times New Roman"/>
        </w:rPr>
        <w:t>.</w:t>
      </w:r>
      <w:r>
        <w:rPr>
          <w:rFonts w:ascii="Times New Roman" w:hAnsi="Times New Roman" w:cs="Times New Roman"/>
        </w:rPr>
        <w:t xml:space="preserve"> </w:t>
      </w:r>
      <w:hyperlink r:id="rId8" w:history="1">
        <w:r w:rsidRPr="001B6952">
          <w:rPr>
            <w:rStyle w:val="Hyperlink"/>
            <w:rFonts w:ascii="Times New Roman" w:hAnsi="Times New Roman" w:cs="Times New Roman"/>
          </w:rPr>
          <w:t>https://www.wrexham.gov.uk/service/our-council-priorities/developing-economy</w:t>
        </w:r>
      </w:hyperlink>
      <w:r>
        <w:rPr>
          <w:rFonts w:ascii="Times New Roman" w:hAnsi="Times New Roman" w:cs="Times New Roman"/>
        </w:rPr>
        <w:t xml:space="preserve"> </w:t>
      </w:r>
    </w:p>
    <w:p w14:paraId="7654964C" w14:textId="3EB7DA35"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Wrexham Placemaking. (2025) City status, placemaking and socio-economic impacts materials.</w:t>
      </w:r>
      <w:r>
        <w:rPr>
          <w:rFonts w:ascii="Times New Roman" w:hAnsi="Times New Roman" w:cs="Times New Roman"/>
        </w:rPr>
        <w:t xml:space="preserve"> </w:t>
      </w:r>
      <w:hyperlink r:id="rId9" w:history="1">
        <w:r w:rsidRPr="001B6952">
          <w:rPr>
            <w:rStyle w:val="Hyperlink"/>
            <w:rFonts w:ascii="Times New Roman" w:hAnsi="Times New Roman" w:cs="Times New Roman"/>
          </w:rPr>
          <w:t>https://wrexhamplacemaking.info/</w:t>
        </w:r>
      </w:hyperlink>
      <w:r>
        <w:rPr>
          <w:rFonts w:ascii="Times New Roman" w:hAnsi="Times New Roman" w:cs="Times New Roman"/>
        </w:rPr>
        <w:t xml:space="preserve"> </w:t>
      </w:r>
    </w:p>
    <w:p w14:paraId="2616CEDB" w14:textId="3FD29B7B" w:rsidR="00FA67F4" w:rsidRPr="00FA67F4"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Welsh Government. (2025) Transforming Towns funding and regeneration announcements.</w:t>
      </w:r>
      <w:r>
        <w:rPr>
          <w:rFonts w:ascii="Times New Roman" w:hAnsi="Times New Roman" w:cs="Times New Roman"/>
        </w:rPr>
        <w:t xml:space="preserve"> </w:t>
      </w:r>
      <w:hyperlink r:id="rId10" w:history="1">
        <w:r w:rsidRPr="001B6952">
          <w:rPr>
            <w:rStyle w:val="Hyperlink"/>
            <w:rFonts w:ascii="Times New Roman" w:hAnsi="Times New Roman" w:cs="Times New Roman"/>
          </w:rPr>
          <w:t>https://www.gov.wales/support-improve-town-centres/targeted-regeneration-investment-programme</w:t>
        </w:r>
      </w:hyperlink>
      <w:r>
        <w:rPr>
          <w:rFonts w:ascii="Times New Roman" w:hAnsi="Times New Roman" w:cs="Times New Roman"/>
        </w:rPr>
        <w:t xml:space="preserve"> </w:t>
      </w:r>
    </w:p>
    <w:p w14:paraId="6A284826" w14:textId="41B06E7D" w:rsidR="00FA67F4" w:rsidRPr="004D6578" w:rsidRDefault="00FA67F4" w:rsidP="00FA67F4">
      <w:pPr>
        <w:spacing w:line="480" w:lineRule="auto"/>
        <w:ind w:left="720" w:hanging="720"/>
        <w:rPr>
          <w:rFonts w:ascii="Times New Roman" w:hAnsi="Times New Roman" w:cs="Times New Roman"/>
        </w:rPr>
      </w:pPr>
      <w:r w:rsidRPr="00FA67F4">
        <w:rPr>
          <w:rFonts w:ascii="Times New Roman" w:hAnsi="Times New Roman" w:cs="Times New Roman"/>
        </w:rPr>
        <w:t xml:space="preserve">Armstrong, K. and </w:t>
      </w:r>
      <w:proofErr w:type="spellStart"/>
      <w:r w:rsidRPr="00FA67F4">
        <w:rPr>
          <w:rFonts w:ascii="Times New Roman" w:hAnsi="Times New Roman" w:cs="Times New Roman"/>
        </w:rPr>
        <w:t>Wiejak</w:t>
      </w:r>
      <w:proofErr w:type="spellEnd"/>
      <w:r w:rsidRPr="00FA67F4">
        <w:rPr>
          <w:rFonts w:ascii="Times New Roman" w:hAnsi="Times New Roman" w:cs="Times New Roman"/>
        </w:rPr>
        <w:t>-Roy, G. (2024)</w:t>
      </w:r>
      <w:r>
        <w:rPr>
          <w:rFonts w:ascii="Times New Roman" w:hAnsi="Times New Roman" w:cs="Times New Roman"/>
        </w:rPr>
        <w:t>.</w:t>
      </w:r>
      <w:r w:rsidRPr="00FA67F4">
        <w:rPr>
          <w:rFonts w:ascii="Times New Roman" w:hAnsi="Times New Roman" w:cs="Times New Roman"/>
        </w:rPr>
        <w:t xml:space="preserve"> Role of local landlords in small-town high streets</w:t>
      </w:r>
      <w:r>
        <w:rPr>
          <w:rFonts w:ascii="Times New Roman" w:hAnsi="Times New Roman" w:cs="Times New Roman"/>
        </w:rPr>
        <w:t xml:space="preserve">. </w:t>
      </w:r>
      <w:r w:rsidRPr="00FA67F4">
        <w:rPr>
          <w:rFonts w:ascii="Times New Roman" w:hAnsi="Times New Roman" w:cs="Times New Roman"/>
          <w:i/>
          <w:iCs/>
        </w:rPr>
        <w:t>Infrastructure Asset Management, 11(</w:t>
      </w:r>
      <w:r w:rsidRPr="00FA67F4">
        <w:rPr>
          <w:rFonts w:ascii="Times New Roman" w:hAnsi="Times New Roman" w:cs="Times New Roman"/>
        </w:rPr>
        <w:t>4), pp. 200-211.</w:t>
      </w:r>
    </w:p>
    <w:sectPr w:rsidR="00FA67F4" w:rsidRPr="004D6578" w:rsidSect="00FA67F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4AADF" w14:textId="77777777" w:rsidR="00F45FB8" w:rsidRDefault="00F45FB8" w:rsidP="00FA67F4">
      <w:pPr>
        <w:spacing w:after="0" w:line="240" w:lineRule="auto"/>
      </w:pPr>
      <w:r>
        <w:separator/>
      </w:r>
    </w:p>
  </w:endnote>
  <w:endnote w:type="continuationSeparator" w:id="0">
    <w:p w14:paraId="4011455D" w14:textId="77777777" w:rsidR="00F45FB8" w:rsidRDefault="00F45FB8" w:rsidP="00FA6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450141"/>
      <w:docPartObj>
        <w:docPartGallery w:val="Page Numbers (Bottom of Page)"/>
        <w:docPartUnique/>
      </w:docPartObj>
    </w:sdtPr>
    <w:sdtEndPr>
      <w:rPr>
        <w:color w:val="7F7F7F" w:themeColor="background1" w:themeShade="7F"/>
        <w:spacing w:val="60"/>
      </w:rPr>
    </w:sdtEndPr>
    <w:sdtContent>
      <w:p w14:paraId="01D87144" w14:textId="2C9DB593" w:rsidR="00FA67F4" w:rsidRDefault="00FA67F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DB1A82D" w14:textId="77777777" w:rsidR="00FA67F4" w:rsidRDefault="00FA6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0243E" w14:textId="77777777" w:rsidR="00F45FB8" w:rsidRDefault="00F45FB8" w:rsidP="00FA67F4">
      <w:pPr>
        <w:spacing w:after="0" w:line="240" w:lineRule="auto"/>
      </w:pPr>
      <w:r>
        <w:separator/>
      </w:r>
    </w:p>
  </w:footnote>
  <w:footnote w:type="continuationSeparator" w:id="0">
    <w:p w14:paraId="39E8280E" w14:textId="77777777" w:rsidR="00F45FB8" w:rsidRDefault="00F45FB8" w:rsidP="00FA67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6A7007"/>
    <w:multiLevelType w:val="hybridMultilevel"/>
    <w:tmpl w:val="78000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286483"/>
    <w:multiLevelType w:val="hybridMultilevel"/>
    <w:tmpl w:val="991AE3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7589218">
    <w:abstractNumId w:val="0"/>
  </w:num>
  <w:num w:numId="2" w16cid:durableId="285624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578"/>
    <w:rsid w:val="00153105"/>
    <w:rsid w:val="00247BE0"/>
    <w:rsid w:val="004D6578"/>
    <w:rsid w:val="00EE0C44"/>
    <w:rsid w:val="00F45FB8"/>
    <w:rsid w:val="00FA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F5DBC"/>
  <w15:chartTrackingRefBased/>
  <w15:docId w15:val="{44DAAA11-CA0A-4FA2-9B99-50AEC6BD4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5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65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65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5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5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5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5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5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5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5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65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5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5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5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5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5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5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578"/>
    <w:rPr>
      <w:rFonts w:eastAsiaTheme="majorEastAsia" w:cstheme="majorBidi"/>
      <w:color w:val="272727" w:themeColor="text1" w:themeTint="D8"/>
    </w:rPr>
  </w:style>
  <w:style w:type="paragraph" w:styleId="Title">
    <w:name w:val="Title"/>
    <w:basedOn w:val="Normal"/>
    <w:next w:val="Normal"/>
    <w:link w:val="TitleChar"/>
    <w:uiPriority w:val="10"/>
    <w:qFormat/>
    <w:rsid w:val="004D6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5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5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5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578"/>
    <w:pPr>
      <w:spacing w:before="160"/>
      <w:jc w:val="center"/>
    </w:pPr>
    <w:rPr>
      <w:i/>
      <w:iCs/>
      <w:color w:val="404040" w:themeColor="text1" w:themeTint="BF"/>
    </w:rPr>
  </w:style>
  <w:style w:type="character" w:customStyle="1" w:styleId="QuoteChar">
    <w:name w:val="Quote Char"/>
    <w:basedOn w:val="DefaultParagraphFont"/>
    <w:link w:val="Quote"/>
    <w:uiPriority w:val="29"/>
    <w:rsid w:val="004D6578"/>
    <w:rPr>
      <w:i/>
      <w:iCs/>
      <w:color w:val="404040" w:themeColor="text1" w:themeTint="BF"/>
    </w:rPr>
  </w:style>
  <w:style w:type="paragraph" w:styleId="ListParagraph">
    <w:name w:val="List Paragraph"/>
    <w:basedOn w:val="Normal"/>
    <w:uiPriority w:val="34"/>
    <w:qFormat/>
    <w:rsid w:val="004D6578"/>
    <w:pPr>
      <w:ind w:left="720"/>
      <w:contextualSpacing/>
    </w:pPr>
  </w:style>
  <w:style w:type="character" w:styleId="IntenseEmphasis">
    <w:name w:val="Intense Emphasis"/>
    <w:basedOn w:val="DefaultParagraphFont"/>
    <w:uiPriority w:val="21"/>
    <w:qFormat/>
    <w:rsid w:val="004D6578"/>
    <w:rPr>
      <w:i/>
      <w:iCs/>
      <w:color w:val="0F4761" w:themeColor="accent1" w:themeShade="BF"/>
    </w:rPr>
  </w:style>
  <w:style w:type="paragraph" w:styleId="IntenseQuote">
    <w:name w:val="Intense Quote"/>
    <w:basedOn w:val="Normal"/>
    <w:next w:val="Normal"/>
    <w:link w:val="IntenseQuoteChar"/>
    <w:uiPriority w:val="30"/>
    <w:qFormat/>
    <w:rsid w:val="004D65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578"/>
    <w:rPr>
      <w:i/>
      <w:iCs/>
      <w:color w:val="0F4761" w:themeColor="accent1" w:themeShade="BF"/>
    </w:rPr>
  </w:style>
  <w:style w:type="character" w:styleId="IntenseReference">
    <w:name w:val="Intense Reference"/>
    <w:basedOn w:val="DefaultParagraphFont"/>
    <w:uiPriority w:val="32"/>
    <w:qFormat/>
    <w:rsid w:val="004D6578"/>
    <w:rPr>
      <w:b/>
      <w:bCs/>
      <w:smallCaps/>
      <w:color w:val="0F4761" w:themeColor="accent1" w:themeShade="BF"/>
      <w:spacing w:val="5"/>
    </w:rPr>
  </w:style>
  <w:style w:type="character" w:styleId="Hyperlink">
    <w:name w:val="Hyperlink"/>
    <w:basedOn w:val="DefaultParagraphFont"/>
    <w:uiPriority w:val="99"/>
    <w:unhideWhenUsed/>
    <w:rsid w:val="00FA67F4"/>
    <w:rPr>
      <w:color w:val="467886" w:themeColor="hyperlink"/>
      <w:u w:val="single"/>
    </w:rPr>
  </w:style>
  <w:style w:type="character" w:styleId="UnresolvedMention">
    <w:name w:val="Unresolved Mention"/>
    <w:basedOn w:val="DefaultParagraphFont"/>
    <w:uiPriority w:val="99"/>
    <w:semiHidden/>
    <w:unhideWhenUsed/>
    <w:rsid w:val="00FA67F4"/>
    <w:rPr>
      <w:color w:val="605E5C"/>
      <w:shd w:val="clear" w:color="auto" w:fill="E1DFDD"/>
    </w:rPr>
  </w:style>
  <w:style w:type="paragraph" w:styleId="Header">
    <w:name w:val="header"/>
    <w:basedOn w:val="Normal"/>
    <w:link w:val="HeaderChar"/>
    <w:uiPriority w:val="99"/>
    <w:unhideWhenUsed/>
    <w:rsid w:val="00FA67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7F4"/>
  </w:style>
  <w:style w:type="paragraph" w:styleId="Footer">
    <w:name w:val="footer"/>
    <w:basedOn w:val="Normal"/>
    <w:link w:val="FooterChar"/>
    <w:uiPriority w:val="99"/>
    <w:unhideWhenUsed/>
    <w:rsid w:val="00FA67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7F4"/>
  </w:style>
  <w:style w:type="paragraph" w:styleId="NoSpacing">
    <w:name w:val="No Spacing"/>
    <w:link w:val="NoSpacingChar"/>
    <w:uiPriority w:val="1"/>
    <w:qFormat/>
    <w:rsid w:val="00FA67F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A67F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our-council-priorities/developing-econom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wales/support-improve-town-centres/targeted-regeneration-investment-programme" TargetMode="External"/><Relationship Id="rId4" Type="http://schemas.openxmlformats.org/officeDocument/2006/relationships/settings" Target="settings.xml"/><Relationship Id="rId9" Type="http://schemas.openxmlformats.org/officeDocument/2006/relationships/hyperlink" Target="https://wrexhamplacemaking.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2530</Words>
  <Characters>14422</Characters>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Regeneration in Wrexham City Centre</dc:title>
  <dc:subject/>
  <cp:keywords/>
  <dc:description/>
  <dcterms:created xsi:type="dcterms:W3CDTF">2026-03-20T20:37:00Z</dcterms:created>
  <dcterms:modified xsi:type="dcterms:W3CDTF">2026-03-20T21:34:00Z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6d855642-c014-436e-972d-f8e646b6d987</vt:lpwstr>
  </property>
</Properties>
</file>