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6723D" w14:textId="3960CB4A" w:rsidR="00396EA3" w:rsidRPr="00827F58" w:rsidRDefault="008C3189">
      <w:pPr>
        <w:rPr>
          <w:rFonts w:ascii="Arial" w:hAnsi="Arial" w:cs="Arial"/>
          <w:b/>
          <w:bCs/>
          <w:sz w:val="24"/>
          <w:szCs w:val="24"/>
        </w:rPr>
      </w:pPr>
      <w:r w:rsidRPr="00827F58">
        <w:rPr>
          <w:rFonts w:ascii="Arial" w:hAnsi="Arial" w:cs="Arial"/>
          <w:b/>
          <w:bCs/>
          <w:sz w:val="24"/>
          <w:szCs w:val="24"/>
        </w:rPr>
        <w:t xml:space="preserve">                                        </w:t>
      </w:r>
      <w:r w:rsidR="00C97D5A" w:rsidRPr="00827F58">
        <w:rPr>
          <w:rFonts w:ascii="Arial" w:hAnsi="Arial" w:cs="Arial"/>
          <w:b/>
          <w:bCs/>
          <w:sz w:val="24"/>
          <w:szCs w:val="24"/>
        </w:rPr>
        <w:t>Module Name:</w:t>
      </w:r>
      <w:r w:rsidR="00DE4BCE" w:rsidRPr="00827F58">
        <w:rPr>
          <w:rFonts w:ascii="Arial" w:hAnsi="Arial" w:cs="Arial"/>
          <w:b/>
          <w:bCs/>
          <w:sz w:val="24"/>
          <w:szCs w:val="24"/>
        </w:rPr>
        <w:t xml:space="preserve"> LCLM5001</w:t>
      </w:r>
    </w:p>
    <w:p w14:paraId="7F434A44" w14:textId="7F20BE0F" w:rsidR="00DE4BCE" w:rsidRPr="00827F58" w:rsidRDefault="008C3189">
      <w:pPr>
        <w:rPr>
          <w:rFonts w:ascii="Arial" w:hAnsi="Arial" w:cs="Arial"/>
          <w:b/>
          <w:bCs/>
          <w:sz w:val="24"/>
          <w:szCs w:val="24"/>
        </w:rPr>
      </w:pPr>
      <w:r w:rsidRPr="00827F58">
        <w:rPr>
          <w:rFonts w:ascii="Arial" w:hAnsi="Arial" w:cs="Arial"/>
          <w:b/>
          <w:bCs/>
          <w:sz w:val="24"/>
          <w:szCs w:val="24"/>
        </w:rPr>
        <w:t xml:space="preserve">                                         </w:t>
      </w:r>
      <w:r w:rsidR="00DE4BCE" w:rsidRPr="00827F58">
        <w:rPr>
          <w:rFonts w:ascii="Arial" w:hAnsi="Arial" w:cs="Arial"/>
          <w:b/>
          <w:bCs/>
          <w:sz w:val="24"/>
          <w:szCs w:val="24"/>
        </w:rPr>
        <w:t>Lecture</w:t>
      </w:r>
      <w:r w:rsidR="002E116A" w:rsidRPr="00827F58">
        <w:rPr>
          <w:rFonts w:ascii="Arial" w:hAnsi="Arial" w:cs="Arial"/>
          <w:b/>
          <w:bCs/>
          <w:sz w:val="24"/>
          <w:szCs w:val="24"/>
        </w:rPr>
        <w:t>r</w:t>
      </w:r>
      <w:r w:rsidR="00456C5D" w:rsidRPr="00827F58">
        <w:rPr>
          <w:rFonts w:ascii="Arial" w:hAnsi="Arial" w:cs="Arial"/>
          <w:b/>
          <w:bCs/>
          <w:sz w:val="24"/>
          <w:szCs w:val="24"/>
        </w:rPr>
        <w:t xml:space="preserve"> Name:</w:t>
      </w:r>
      <w:r w:rsidR="002E116A" w:rsidRPr="00827F58">
        <w:rPr>
          <w:rFonts w:ascii="Arial" w:hAnsi="Arial" w:cs="Arial"/>
          <w:b/>
          <w:bCs/>
          <w:sz w:val="24"/>
          <w:szCs w:val="24"/>
        </w:rPr>
        <w:t xml:space="preserve"> Sharin </w:t>
      </w:r>
      <w:r w:rsidRPr="00827F58">
        <w:rPr>
          <w:rFonts w:ascii="Arial" w:hAnsi="Arial" w:cs="Arial"/>
          <w:b/>
          <w:bCs/>
          <w:sz w:val="24"/>
          <w:szCs w:val="24"/>
        </w:rPr>
        <w:t>McDowall</w:t>
      </w:r>
      <w:r w:rsidR="002E116A" w:rsidRPr="00827F58">
        <w:rPr>
          <w:rFonts w:ascii="Arial" w:hAnsi="Arial" w:cs="Arial"/>
          <w:b/>
          <w:bCs/>
          <w:sz w:val="24"/>
          <w:szCs w:val="24"/>
        </w:rPr>
        <w:t xml:space="preserve"> </w:t>
      </w:r>
      <w:proofErr w:type="spellStart"/>
      <w:r w:rsidR="002E116A" w:rsidRPr="00827F58">
        <w:rPr>
          <w:rFonts w:ascii="Arial" w:hAnsi="Arial" w:cs="Arial"/>
          <w:b/>
          <w:bCs/>
          <w:sz w:val="24"/>
          <w:szCs w:val="24"/>
        </w:rPr>
        <w:t>Em</w:t>
      </w:r>
      <w:r w:rsidR="00F730B5" w:rsidRPr="00827F58">
        <w:rPr>
          <w:rFonts w:ascii="Arial" w:hAnsi="Arial" w:cs="Arial"/>
          <w:b/>
          <w:bCs/>
          <w:sz w:val="24"/>
          <w:szCs w:val="24"/>
        </w:rPr>
        <w:t>efiele</w:t>
      </w:r>
      <w:proofErr w:type="spellEnd"/>
    </w:p>
    <w:p w14:paraId="271ECA4C" w14:textId="72FAA631" w:rsidR="00F730B5" w:rsidRPr="00827F58" w:rsidRDefault="008C3189">
      <w:pPr>
        <w:rPr>
          <w:rFonts w:ascii="Arial" w:hAnsi="Arial" w:cs="Arial"/>
          <w:b/>
          <w:bCs/>
          <w:sz w:val="24"/>
          <w:szCs w:val="24"/>
        </w:rPr>
      </w:pPr>
      <w:r w:rsidRPr="00827F58">
        <w:rPr>
          <w:rFonts w:ascii="Arial" w:hAnsi="Arial" w:cs="Arial"/>
          <w:b/>
          <w:bCs/>
          <w:sz w:val="24"/>
          <w:szCs w:val="24"/>
        </w:rPr>
        <w:t xml:space="preserve">                                         </w:t>
      </w:r>
      <w:r w:rsidR="00F730B5" w:rsidRPr="00827F58">
        <w:rPr>
          <w:rFonts w:ascii="Arial" w:hAnsi="Arial" w:cs="Arial"/>
          <w:b/>
          <w:bCs/>
          <w:sz w:val="24"/>
          <w:szCs w:val="24"/>
        </w:rPr>
        <w:t>Student name: Muhammad Ali</w:t>
      </w:r>
    </w:p>
    <w:p w14:paraId="1CB2C226" w14:textId="62A093D0" w:rsidR="00F730B5" w:rsidRPr="00827F58" w:rsidRDefault="008C3189">
      <w:pPr>
        <w:rPr>
          <w:rFonts w:ascii="Arial" w:hAnsi="Arial" w:cs="Arial"/>
          <w:b/>
          <w:bCs/>
          <w:sz w:val="24"/>
          <w:szCs w:val="24"/>
        </w:rPr>
      </w:pPr>
      <w:r w:rsidRPr="00827F58">
        <w:rPr>
          <w:rFonts w:ascii="Arial" w:hAnsi="Arial" w:cs="Arial"/>
          <w:b/>
          <w:bCs/>
          <w:sz w:val="24"/>
          <w:szCs w:val="24"/>
        </w:rPr>
        <w:t xml:space="preserve">                                         </w:t>
      </w:r>
      <w:r w:rsidR="00F730B5" w:rsidRPr="00827F58">
        <w:rPr>
          <w:rFonts w:ascii="Arial" w:hAnsi="Arial" w:cs="Arial"/>
          <w:b/>
          <w:bCs/>
          <w:sz w:val="24"/>
          <w:szCs w:val="24"/>
        </w:rPr>
        <w:t>Student number:</w:t>
      </w:r>
      <w:r w:rsidRPr="00827F58">
        <w:rPr>
          <w:rFonts w:ascii="Arial" w:hAnsi="Arial" w:cs="Arial"/>
          <w:b/>
          <w:bCs/>
          <w:sz w:val="24"/>
          <w:szCs w:val="24"/>
        </w:rPr>
        <w:t>2415145</w:t>
      </w:r>
    </w:p>
    <w:p w14:paraId="60B14851" w14:textId="77777777" w:rsidR="000540DF" w:rsidRPr="00827F58" w:rsidRDefault="000540DF">
      <w:pPr>
        <w:rPr>
          <w:rFonts w:ascii="Arial" w:hAnsi="Arial" w:cs="Arial"/>
        </w:rPr>
      </w:pPr>
    </w:p>
    <w:p w14:paraId="32C9BD0F" w14:textId="77777777" w:rsidR="000540DF" w:rsidRPr="00827F58" w:rsidRDefault="000540DF">
      <w:pPr>
        <w:rPr>
          <w:rFonts w:ascii="Arial" w:hAnsi="Arial" w:cs="Arial"/>
        </w:rPr>
      </w:pPr>
    </w:p>
    <w:p w14:paraId="007AAB18" w14:textId="77777777" w:rsidR="000540DF" w:rsidRPr="00827F58" w:rsidRDefault="000540DF">
      <w:pPr>
        <w:rPr>
          <w:rFonts w:ascii="Arial" w:hAnsi="Arial" w:cs="Arial"/>
        </w:rPr>
      </w:pPr>
    </w:p>
    <w:p w14:paraId="614A3809" w14:textId="77777777" w:rsidR="000540DF" w:rsidRPr="00827F58" w:rsidRDefault="000540DF">
      <w:pPr>
        <w:rPr>
          <w:rFonts w:ascii="Arial" w:hAnsi="Arial" w:cs="Arial"/>
        </w:rPr>
      </w:pPr>
    </w:p>
    <w:p w14:paraId="02FBF0BE" w14:textId="77777777" w:rsidR="000540DF" w:rsidRPr="00827F58" w:rsidRDefault="000540DF">
      <w:pPr>
        <w:rPr>
          <w:rFonts w:ascii="Arial" w:hAnsi="Arial" w:cs="Arial"/>
        </w:rPr>
      </w:pPr>
    </w:p>
    <w:p w14:paraId="7D576F46" w14:textId="77777777" w:rsidR="000540DF" w:rsidRPr="00827F58" w:rsidRDefault="000540DF">
      <w:pPr>
        <w:rPr>
          <w:rFonts w:ascii="Arial" w:hAnsi="Arial" w:cs="Arial"/>
        </w:rPr>
      </w:pPr>
    </w:p>
    <w:p w14:paraId="37C8FD88" w14:textId="77777777" w:rsidR="000540DF" w:rsidRPr="00827F58" w:rsidRDefault="000540DF">
      <w:pPr>
        <w:rPr>
          <w:rFonts w:ascii="Arial" w:hAnsi="Arial" w:cs="Arial"/>
        </w:rPr>
      </w:pPr>
    </w:p>
    <w:p w14:paraId="56B08000" w14:textId="23CA368C" w:rsidR="000540DF" w:rsidRPr="00827F58" w:rsidRDefault="000540DF" w:rsidP="000540DF">
      <w:pPr>
        <w:pStyle w:val="Heading1"/>
        <w:rPr>
          <w:rFonts w:ascii="Arial" w:hAnsi="Arial" w:cs="Arial"/>
          <w:b/>
          <w:bCs/>
          <w:color w:val="000000" w:themeColor="text1"/>
          <w:sz w:val="24"/>
          <w:szCs w:val="24"/>
        </w:rPr>
      </w:pPr>
      <w:r w:rsidRPr="00827F58">
        <w:rPr>
          <w:rFonts w:ascii="Arial" w:hAnsi="Arial" w:cs="Arial"/>
          <w:b/>
          <w:bCs/>
          <w:color w:val="000000" w:themeColor="text1"/>
          <w:sz w:val="24"/>
          <w:szCs w:val="24"/>
        </w:rPr>
        <w:t>Introduction</w:t>
      </w:r>
    </w:p>
    <w:p w14:paraId="2337A238" w14:textId="5894262F" w:rsidR="000540DF" w:rsidRPr="00827F58" w:rsidRDefault="000540DF" w:rsidP="000540DF">
      <w:pPr>
        <w:rPr>
          <w:rFonts w:ascii="Arial" w:hAnsi="Arial" w:cs="Arial"/>
          <w:lang w:val="en-GB"/>
        </w:rPr>
      </w:pPr>
      <w:r w:rsidRPr="00827F58">
        <w:rPr>
          <w:rFonts w:ascii="Arial" w:hAnsi="Arial" w:cs="Arial"/>
          <w:lang w:val="en-GB"/>
        </w:rPr>
        <w:t xml:space="preserve">Omron Healthcare’s move into the wearable tech space isn’t just a product launch—it’s a strategic shift. Known for its clinically trusted blood pressure monitors and health devices, Omron enters a market that’s buzzing with innovation but often light on medical credibility. This gives Omron a rare edge: it’s not chasing </w:t>
      </w:r>
      <w:r w:rsidR="007229F6" w:rsidRPr="00827F58">
        <w:rPr>
          <w:rFonts w:ascii="Arial" w:hAnsi="Arial" w:cs="Arial"/>
          <w:lang w:val="en-GB"/>
        </w:rPr>
        <w:t>trends;</w:t>
      </w:r>
      <w:r w:rsidRPr="00827F58">
        <w:rPr>
          <w:rFonts w:ascii="Arial" w:hAnsi="Arial" w:cs="Arial"/>
          <w:lang w:val="en-GB"/>
        </w:rPr>
        <w:t xml:space="preserve"> it’s building on decades of expertise in helping people manage chronic conditions like hypertension. That’s a powerful story in a world where wearables are increasingly expected to do more than count steps—they’re expected to support real health outcomes.</w:t>
      </w:r>
    </w:p>
    <w:p w14:paraId="7BFD1A1A" w14:textId="3048C323" w:rsidR="009A3446" w:rsidRPr="00827F58" w:rsidRDefault="000540DF" w:rsidP="009A3446">
      <w:pPr>
        <w:rPr>
          <w:rFonts w:ascii="Arial" w:hAnsi="Arial" w:cs="Arial"/>
          <w:lang w:val="en-GB"/>
        </w:rPr>
      </w:pPr>
      <w:r w:rsidRPr="00827F58">
        <w:rPr>
          <w:rFonts w:ascii="Arial" w:hAnsi="Arial" w:cs="Arial"/>
          <w:lang w:val="en-GB"/>
        </w:rPr>
        <w:t>But the challenge is clear. The wearable market is crowded, fast-paced, and dominated by consumer tech giants with deep pockets and flashy ecosystems. Omron must translate its clinical strength into something that feels intuitive, engaging, and relevant to everyday users. It’s not just about sensors and data</w:t>
      </w:r>
      <w:r w:rsidR="005E6FD0" w:rsidRPr="00827F58">
        <w:rPr>
          <w:rFonts w:ascii="Arial" w:hAnsi="Arial" w:cs="Arial"/>
          <w:lang w:val="en-GB"/>
        </w:rPr>
        <w:t xml:space="preserve"> </w:t>
      </w:r>
      <w:r w:rsidRPr="00827F58">
        <w:rPr>
          <w:rFonts w:ascii="Arial" w:hAnsi="Arial" w:cs="Arial"/>
          <w:lang w:val="en-GB"/>
        </w:rPr>
        <w:t>it’s about trust, usability, and impact. This SWOT analysis explores how Omron’s strengths and weaknesses interact with market opportunities and threats, offering a grounded look at what success could really mean. It’s a chance to rethink what wearables can be—not just smart, but genuinely health-sm</w:t>
      </w:r>
      <w:r w:rsidR="00625B47" w:rsidRPr="00827F58">
        <w:rPr>
          <w:rFonts w:ascii="Arial" w:hAnsi="Arial" w:cs="Arial"/>
          <w:lang w:val="en-GB"/>
        </w:rPr>
        <w:t>art</w:t>
      </w:r>
    </w:p>
    <w:p w14:paraId="37DF4EA8" w14:textId="77777777" w:rsidR="009A3446" w:rsidRPr="00827F58" w:rsidRDefault="00000000" w:rsidP="009A3446">
      <w:pPr>
        <w:rPr>
          <w:rFonts w:ascii="Arial" w:hAnsi="Arial" w:cs="Arial"/>
          <w:lang w:val="en-GB"/>
        </w:rPr>
      </w:pPr>
      <w:r w:rsidRPr="00827F58">
        <w:rPr>
          <w:rFonts w:ascii="Arial" w:hAnsi="Arial" w:cs="Arial"/>
          <w:lang w:val="en-GB"/>
        </w:rPr>
        <w:pict w14:anchorId="45306121">
          <v:rect id="_x0000_i1217" style="width:0;height:1.5pt" o:hralign="center" o:hrstd="t" o:hr="t" fillcolor="#a0a0a0" stroked="f"/>
        </w:pict>
      </w:r>
    </w:p>
    <w:p w14:paraId="0CD95C93" w14:textId="4689CE0A" w:rsidR="009A3446" w:rsidRPr="00827F58" w:rsidRDefault="009A3446" w:rsidP="009A3446">
      <w:pPr>
        <w:rPr>
          <w:rFonts w:ascii="Arial" w:hAnsi="Arial" w:cs="Arial"/>
          <w:b/>
          <w:bCs/>
          <w:lang w:val="en-GB"/>
        </w:rPr>
      </w:pPr>
      <w:r w:rsidRPr="00827F58">
        <w:rPr>
          <w:rFonts w:ascii="Arial" w:hAnsi="Arial" w:cs="Arial"/>
          <w:b/>
          <w:bCs/>
          <w:lang w:val="en-GB"/>
        </w:rPr>
        <w:t xml:space="preserve"> Strategic Appraisal: Omron Healthcare’s Wearable Strategy </w:t>
      </w:r>
    </w:p>
    <w:p w14:paraId="09C12934" w14:textId="77777777" w:rsidR="009A3446" w:rsidRPr="00827F58" w:rsidRDefault="009A3446" w:rsidP="009A3446">
      <w:pPr>
        <w:rPr>
          <w:rFonts w:ascii="Arial" w:hAnsi="Arial" w:cs="Arial"/>
          <w:lang w:val="en-GB"/>
        </w:rPr>
      </w:pPr>
      <w:r w:rsidRPr="00827F58">
        <w:rPr>
          <w:rFonts w:ascii="Arial" w:hAnsi="Arial" w:cs="Arial"/>
          <w:lang w:val="en-GB"/>
        </w:rPr>
        <w:t xml:space="preserve">Omron Healthcare’s entry into the wearable tech market is a bold move rooted in its legacy of clinical precision and health-focused innovation. Unlike many consumer brands that approach wearables from a fitness or lifestyle angle, Omron’s strategy is anchored in medical credibility. This positions the company to serve a growing segment of users who want more than step </w:t>
      </w:r>
      <w:r w:rsidRPr="00827F58">
        <w:rPr>
          <w:rFonts w:ascii="Arial" w:hAnsi="Arial" w:cs="Arial"/>
          <w:lang w:val="en-GB"/>
        </w:rPr>
        <w:lastRenderedPageBreak/>
        <w:t>counts—they want meaningful insights into their health, especially around chronic conditions like hypertension and cardiovascular risk.</w:t>
      </w:r>
    </w:p>
    <w:p w14:paraId="52567366" w14:textId="41C1E951" w:rsidR="009A3446" w:rsidRPr="00827F58" w:rsidRDefault="009A3446" w:rsidP="009A3446">
      <w:pPr>
        <w:rPr>
          <w:rFonts w:ascii="Arial" w:hAnsi="Arial" w:cs="Arial"/>
          <w:lang w:val="en-GB"/>
        </w:rPr>
      </w:pPr>
      <w:r w:rsidRPr="00827F58">
        <w:rPr>
          <w:rFonts w:ascii="Arial" w:hAnsi="Arial" w:cs="Arial"/>
          <w:b/>
          <w:bCs/>
          <w:lang w:val="en-GB"/>
        </w:rPr>
        <w:t>Strengths</w:t>
      </w:r>
      <w:r w:rsidRPr="00827F58">
        <w:rPr>
          <w:rFonts w:ascii="Arial" w:hAnsi="Arial" w:cs="Arial"/>
          <w:lang w:val="en-GB"/>
        </w:rPr>
        <w:t xml:space="preserve"> include Omron’s decades-long reputation for accuracy, its global distribution network, and its deep expertise in health monitoring. These assets give it a strong foundation to build wearables that are trusted by both consumers and healthcare professionals. Its devices, such as the </w:t>
      </w:r>
      <w:r w:rsidR="00087DE1" w:rsidRPr="00827F58">
        <w:rPr>
          <w:rFonts w:ascii="Arial" w:hAnsi="Arial" w:cs="Arial"/>
          <w:lang w:val="en-GB"/>
        </w:rPr>
        <w:t>Heart Guide</w:t>
      </w:r>
      <w:r w:rsidRPr="00827F58">
        <w:rPr>
          <w:rFonts w:ascii="Arial" w:hAnsi="Arial" w:cs="Arial"/>
          <w:lang w:val="en-GB"/>
        </w:rPr>
        <w:t xml:space="preserve"> smartwatch, already reflect this blend of clinical-grade monitoring and wearable convenience.</w:t>
      </w:r>
    </w:p>
    <w:p w14:paraId="59960325" w14:textId="77777777" w:rsidR="009A3446" w:rsidRPr="00827F58" w:rsidRDefault="009A3446" w:rsidP="009A3446">
      <w:pPr>
        <w:rPr>
          <w:rFonts w:ascii="Arial" w:hAnsi="Arial" w:cs="Arial"/>
          <w:lang w:val="en-GB"/>
        </w:rPr>
      </w:pPr>
      <w:r w:rsidRPr="00827F58">
        <w:rPr>
          <w:rFonts w:ascii="Arial" w:hAnsi="Arial" w:cs="Arial"/>
          <w:lang w:val="en-GB"/>
        </w:rPr>
        <w:t xml:space="preserve">However, </w:t>
      </w:r>
      <w:r w:rsidRPr="00827F58">
        <w:rPr>
          <w:rFonts w:ascii="Arial" w:hAnsi="Arial" w:cs="Arial"/>
          <w:b/>
          <w:bCs/>
          <w:lang w:val="en-GB"/>
        </w:rPr>
        <w:t>weaknesses</w:t>
      </w:r>
      <w:r w:rsidRPr="00827F58">
        <w:rPr>
          <w:rFonts w:ascii="Arial" w:hAnsi="Arial" w:cs="Arial"/>
          <w:lang w:val="en-GB"/>
        </w:rPr>
        <w:t xml:space="preserve"> remain. Omron’s brand is not widely recognized in the consumer tech space, and its design language leans more clinical than lifestyle. This can limit appeal among younger users or those drawn to sleek, fashion-forward devices. Additionally, Omron’s digital ecosystem—apps, cloud integration, and user interfaces—lags behind competitors who prioritize seamless, intuitive experiences.</w:t>
      </w:r>
    </w:p>
    <w:p w14:paraId="6B037C47" w14:textId="77777777" w:rsidR="009A3446" w:rsidRPr="00827F58" w:rsidRDefault="009A3446" w:rsidP="009A3446">
      <w:pPr>
        <w:rPr>
          <w:rFonts w:ascii="Arial" w:hAnsi="Arial" w:cs="Arial"/>
          <w:lang w:val="en-GB"/>
        </w:rPr>
      </w:pPr>
      <w:r w:rsidRPr="00827F58">
        <w:rPr>
          <w:rFonts w:ascii="Arial" w:hAnsi="Arial" w:cs="Arial"/>
          <w:lang w:val="en-GB"/>
        </w:rPr>
        <w:t xml:space="preserve">The market offers compelling </w:t>
      </w:r>
      <w:r w:rsidRPr="00827F58">
        <w:rPr>
          <w:rFonts w:ascii="Arial" w:hAnsi="Arial" w:cs="Arial"/>
          <w:b/>
          <w:bCs/>
          <w:lang w:val="en-GB"/>
        </w:rPr>
        <w:t>opportunities</w:t>
      </w:r>
      <w:r w:rsidRPr="00827F58">
        <w:rPr>
          <w:rFonts w:ascii="Arial" w:hAnsi="Arial" w:cs="Arial"/>
          <w:lang w:val="en-GB"/>
        </w:rPr>
        <w:t>. There’s rising demand for wearables that support preventive care, remote monitoring, and personalized health insights. Governments and insurers are increasingly open to reimbursing digital health tools, especially those that reduce hospital visits or improve chronic disease management. Omron can also explore partnerships with telehealth platforms, AI startups, and wellness providers to expand its reach and relevance.</w:t>
      </w:r>
    </w:p>
    <w:p w14:paraId="7FC3A7D3" w14:textId="77777777" w:rsidR="009A3446" w:rsidRPr="00827F58" w:rsidRDefault="009A3446" w:rsidP="009A3446">
      <w:pPr>
        <w:rPr>
          <w:rFonts w:ascii="Arial" w:hAnsi="Arial" w:cs="Arial"/>
          <w:lang w:val="en-GB"/>
        </w:rPr>
      </w:pPr>
      <w:r w:rsidRPr="00827F58">
        <w:rPr>
          <w:rFonts w:ascii="Arial" w:hAnsi="Arial" w:cs="Arial"/>
          <w:lang w:val="en-GB"/>
        </w:rPr>
        <w:t xml:space="preserve">Yet, </w:t>
      </w:r>
      <w:r w:rsidRPr="00827F58">
        <w:rPr>
          <w:rFonts w:ascii="Arial" w:hAnsi="Arial" w:cs="Arial"/>
          <w:b/>
          <w:bCs/>
          <w:lang w:val="en-GB"/>
        </w:rPr>
        <w:t>threats</w:t>
      </w:r>
      <w:r w:rsidRPr="00827F58">
        <w:rPr>
          <w:rFonts w:ascii="Arial" w:hAnsi="Arial" w:cs="Arial"/>
          <w:lang w:val="en-GB"/>
        </w:rPr>
        <w:t xml:space="preserve"> are real. The wearable space is saturated with fast-moving competitors who iterate quickly and dominate consumer attention. Data privacy regulations are tightening, and users are becoming more cautious about sharing health data. Omron must navigate these challenges while maintaining its clinical integrity and building consumer trust.</w:t>
      </w:r>
    </w:p>
    <w:p w14:paraId="100A498F" w14:textId="77777777" w:rsidR="009A3446" w:rsidRPr="00827F58" w:rsidRDefault="009A3446" w:rsidP="009A3446">
      <w:pPr>
        <w:rPr>
          <w:rFonts w:ascii="Arial" w:hAnsi="Arial" w:cs="Arial"/>
          <w:lang w:val="en-GB"/>
        </w:rPr>
      </w:pPr>
      <w:r w:rsidRPr="00827F58">
        <w:rPr>
          <w:rFonts w:ascii="Arial" w:hAnsi="Arial" w:cs="Arial"/>
          <w:lang w:val="en-GB"/>
        </w:rPr>
        <w:t>To succeed, Omron must evolve from a trusted medical brand into a hybrid health-tech leader. This means investing in user experience design, expanding its digital ecosystem, and communicating its value in ways that resonate emotionally—not just clinically. It must also remain agile, adapting to market shifts while staying true to its mission: empowering people to live healthier lives through accurate, accessible technology.</w:t>
      </w:r>
    </w:p>
    <w:p w14:paraId="75B4A8D2" w14:textId="77777777" w:rsidR="009A3446" w:rsidRPr="00827F58" w:rsidRDefault="00000000" w:rsidP="009A3446">
      <w:pPr>
        <w:rPr>
          <w:rFonts w:ascii="Arial" w:hAnsi="Arial" w:cs="Arial"/>
          <w:lang w:val="en-GB"/>
        </w:rPr>
      </w:pPr>
      <w:r w:rsidRPr="00827F58">
        <w:rPr>
          <w:rFonts w:ascii="Arial" w:hAnsi="Arial" w:cs="Arial"/>
          <w:lang w:val="en-GB"/>
        </w:rPr>
        <w:pict w14:anchorId="6C0AF8F1">
          <v:rect id="_x0000_i1218" style="width:0;height:1.5pt" o:hralign="center" o:hrstd="t" o:hr="t" fillcolor="#a0a0a0" stroked="f"/>
        </w:pict>
      </w:r>
    </w:p>
    <w:p w14:paraId="2EBD7122" w14:textId="62A2FD51" w:rsidR="009A3446" w:rsidRPr="00827F58" w:rsidRDefault="009A3446" w:rsidP="009A3446">
      <w:pPr>
        <w:rPr>
          <w:rFonts w:ascii="Arial" w:hAnsi="Arial" w:cs="Arial"/>
          <w:b/>
          <w:bCs/>
          <w:lang w:val="en-GB"/>
        </w:rPr>
      </w:pPr>
      <w:r w:rsidRPr="00827F58">
        <w:rPr>
          <w:rFonts w:ascii="Arial" w:hAnsi="Arial" w:cs="Arial"/>
          <w:b/>
          <w:bCs/>
          <w:lang w:val="en-GB"/>
        </w:rPr>
        <w:t>Key Stakeholders in Omron’s Wearable Strategy</w:t>
      </w:r>
    </w:p>
    <w:p w14:paraId="34A9EE1C" w14:textId="77777777" w:rsidR="009A3446" w:rsidRPr="00827F58" w:rsidRDefault="009A3446" w:rsidP="009A3446">
      <w:pPr>
        <w:rPr>
          <w:rFonts w:ascii="Arial" w:hAnsi="Arial" w:cs="Arial"/>
          <w:b/>
          <w:bCs/>
          <w:lang w:val="en-GB"/>
        </w:rPr>
      </w:pPr>
      <w:r w:rsidRPr="00827F58">
        <w:rPr>
          <w:rFonts w:ascii="Arial" w:hAnsi="Arial" w:cs="Arial"/>
          <w:b/>
          <w:bCs/>
          <w:lang w:val="en-GB"/>
        </w:rPr>
        <w:t>Internal Stakeholders</w:t>
      </w:r>
    </w:p>
    <w:p w14:paraId="762069F5" w14:textId="77777777" w:rsidR="009A3446" w:rsidRPr="00827F58" w:rsidRDefault="009A3446" w:rsidP="009A3446">
      <w:pPr>
        <w:numPr>
          <w:ilvl w:val="0"/>
          <w:numId w:val="3"/>
        </w:numPr>
        <w:rPr>
          <w:rFonts w:ascii="Arial" w:hAnsi="Arial" w:cs="Arial"/>
          <w:lang w:val="en-GB"/>
        </w:rPr>
      </w:pPr>
      <w:r w:rsidRPr="00827F58">
        <w:rPr>
          <w:rFonts w:ascii="Arial" w:hAnsi="Arial" w:cs="Arial"/>
          <w:b/>
          <w:bCs/>
          <w:lang w:val="en-GB"/>
        </w:rPr>
        <w:t>Product Development Team</w:t>
      </w:r>
      <w:r w:rsidRPr="00827F58">
        <w:rPr>
          <w:rFonts w:ascii="Arial" w:hAnsi="Arial" w:cs="Arial"/>
          <w:lang w:val="en-GB"/>
        </w:rPr>
        <w:t>: Responsible for translating clinical insights into wearable form factors that are accurate, comfortable, and user-friendly.</w:t>
      </w:r>
    </w:p>
    <w:p w14:paraId="548DC846" w14:textId="77777777" w:rsidR="009A3446" w:rsidRPr="00827F58" w:rsidRDefault="009A3446" w:rsidP="009A3446">
      <w:pPr>
        <w:numPr>
          <w:ilvl w:val="0"/>
          <w:numId w:val="3"/>
        </w:numPr>
        <w:rPr>
          <w:rFonts w:ascii="Arial" w:hAnsi="Arial" w:cs="Arial"/>
          <w:lang w:val="en-GB"/>
        </w:rPr>
      </w:pPr>
      <w:r w:rsidRPr="00827F58">
        <w:rPr>
          <w:rFonts w:ascii="Arial" w:hAnsi="Arial" w:cs="Arial"/>
          <w:b/>
          <w:bCs/>
          <w:lang w:val="en-GB"/>
        </w:rPr>
        <w:t>R&amp;D Division</w:t>
      </w:r>
      <w:r w:rsidRPr="00827F58">
        <w:rPr>
          <w:rFonts w:ascii="Arial" w:hAnsi="Arial" w:cs="Arial"/>
          <w:lang w:val="en-GB"/>
        </w:rPr>
        <w:t>: Drives innovation in biosensors, AI algorithms, and data analytics to support chronic disease management.</w:t>
      </w:r>
    </w:p>
    <w:p w14:paraId="5E491166" w14:textId="77777777" w:rsidR="009A3446" w:rsidRPr="00827F58" w:rsidRDefault="009A3446" w:rsidP="009A3446">
      <w:pPr>
        <w:numPr>
          <w:ilvl w:val="0"/>
          <w:numId w:val="3"/>
        </w:numPr>
        <w:rPr>
          <w:rFonts w:ascii="Arial" w:hAnsi="Arial" w:cs="Arial"/>
          <w:lang w:val="en-GB"/>
        </w:rPr>
      </w:pPr>
      <w:r w:rsidRPr="00827F58">
        <w:rPr>
          <w:rFonts w:ascii="Arial" w:hAnsi="Arial" w:cs="Arial"/>
          <w:b/>
          <w:bCs/>
          <w:lang w:val="en-GB"/>
        </w:rPr>
        <w:t>Marketing and Communications</w:t>
      </w:r>
      <w:r w:rsidRPr="00827F58">
        <w:rPr>
          <w:rFonts w:ascii="Arial" w:hAnsi="Arial" w:cs="Arial"/>
          <w:lang w:val="en-GB"/>
        </w:rPr>
        <w:t>: Shapes brand messaging, educates consumers, and positions Omron as a health-tech leader.</w:t>
      </w:r>
    </w:p>
    <w:p w14:paraId="342D6C71" w14:textId="77777777" w:rsidR="009A3446" w:rsidRPr="00827F58" w:rsidRDefault="009A3446" w:rsidP="009A3446">
      <w:pPr>
        <w:numPr>
          <w:ilvl w:val="0"/>
          <w:numId w:val="3"/>
        </w:numPr>
        <w:rPr>
          <w:rFonts w:ascii="Arial" w:hAnsi="Arial" w:cs="Arial"/>
          <w:lang w:val="en-GB"/>
        </w:rPr>
      </w:pPr>
      <w:r w:rsidRPr="00827F58">
        <w:rPr>
          <w:rFonts w:ascii="Arial" w:hAnsi="Arial" w:cs="Arial"/>
          <w:b/>
          <w:bCs/>
          <w:lang w:val="en-GB"/>
        </w:rPr>
        <w:lastRenderedPageBreak/>
        <w:t>Executive Leadership</w:t>
      </w:r>
      <w:r w:rsidRPr="00827F58">
        <w:rPr>
          <w:rFonts w:ascii="Arial" w:hAnsi="Arial" w:cs="Arial"/>
          <w:lang w:val="en-GB"/>
        </w:rPr>
        <w:t>: Sets strategic direction, approves investments, and fosters partnerships across healthcare and tech sectors.</w:t>
      </w:r>
    </w:p>
    <w:p w14:paraId="4DA60497" w14:textId="77777777" w:rsidR="009A3446" w:rsidRPr="00827F58" w:rsidRDefault="009A3446" w:rsidP="009A3446">
      <w:pPr>
        <w:numPr>
          <w:ilvl w:val="0"/>
          <w:numId w:val="3"/>
        </w:numPr>
        <w:rPr>
          <w:rFonts w:ascii="Arial" w:hAnsi="Arial" w:cs="Arial"/>
          <w:lang w:val="en-GB"/>
        </w:rPr>
      </w:pPr>
      <w:r w:rsidRPr="00827F58">
        <w:rPr>
          <w:rFonts w:ascii="Arial" w:hAnsi="Arial" w:cs="Arial"/>
          <w:b/>
          <w:bCs/>
          <w:lang w:val="en-GB"/>
        </w:rPr>
        <w:t>Regulatory and Compliance Team</w:t>
      </w:r>
      <w:r w:rsidRPr="00827F58">
        <w:rPr>
          <w:rFonts w:ascii="Arial" w:hAnsi="Arial" w:cs="Arial"/>
          <w:lang w:val="en-GB"/>
        </w:rPr>
        <w:t>: Ensures all devices meet international standards for safety, data protection, and medical certification.</w:t>
      </w:r>
    </w:p>
    <w:p w14:paraId="750AF104" w14:textId="77777777" w:rsidR="009A3446" w:rsidRPr="00827F58" w:rsidRDefault="009A3446" w:rsidP="009A3446">
      <w:pPr>
        <w:rPr>
          <w:rFonts w:ascii="Arial" w:hAnsi="Arial" w:cs="Arial"/>
          <w:b/>
          <w:bCs/>
          <w:lang w:val="en-GB"/>
        </w:rPr>
      </w:pPr>
      <w:r w:rsidRPr="00827F58">
        <w:rPr>
          <w:rFonts w:ascii="Arial" w:hAnsi="Arial" w:cs="Arial"/>
          <w:b/>
          <w:bCs/>
          <w:lang w:val="en-GB"/>
        </w:rPr>
        <w:t>External Stakeholders</w:t>
      </w:r>
    </w:p>
    <w:p w14:paraId="3FCD1054" w14:textId="77777777" w:rsidR="009A3446" w:rsidRPr="00827F58" w:rsidRDefault="009A3446" w:rsidP="009A3446">
      <w:pPr>
        <w:numPr>
          <w:ilvl w:val="0"/>
          <w:numId w:val="4"/>
        </w:numPr>
        <w:rPr>
          <w:rFonts w:ascii="Arial" w:hAnsi="Arial" w:cs="Arial"/>
          <w:lang w:val="en-GB"/>
        </w:rPr>
      </w:pPr>
      <w:r w:rsidRPr="00827F58">
        <w:rPr>
          <w:rFonts w:ascii="Arial" w:hAnsi="Arial" w:cs="Arial"/>
          <w:b/>
          <w:bCs/>
          <w:lang w:val="en-GB"/>
        </w:rPr>
        <w:t>Healthcare Providers</w:t>
      </w:r>
      <w:r w:rsidRPr="00827F58">
        <w:rPr>
          <w:rFonts w:ascii="Arial" w:hAnsi="Arial" w:cs="Arial"/>
          <w:lang w:val="en-GB"/>
        </w:rPr>
        <w:t>: Physicians and clinics who may recommend Omron wearables as part of treatment plans or remote monitoring.</w:t>
      </w:r>
    </w:p>
    <w:p w14:paraId="38F83351" w14:textId="77777777" w:rsidR="009A3446" w:rsidRPr="00827F58" w:rsidRDefault="009A3446" w:rsidP="009A3446">
      <w:pPr>
        <w:numPr>
          <w:ilvl w:val="0"/>
          <w:numId w:val="4"/>
        </w:numPr>
        <w:rPr>
          <w:rFonts w:ascii="Arial" w:hAnsi="Arial" w:cs="Arial"/>
          <w:lang w:val="en-GB"/>
        </w:rPr>
      </w:pPr>
      <w:r w:rsidRPr="00827F58">
        <w:rPr>
          <w:rFonts w:ascii="Arial" w:hAnsi="Arial" w:cs="Arial"/>
          <w:b/>
          <w:bCs/>
          <w:lang w:val="en-GB"/>
        </w:rPr>
        <w:t>Retail and Distribution Partners</w:t>
      </w:r>
      <w:r w:rsidRPr="00827F58">
        <w:rPr>
          <w:rFonts w:ascii="Arial" w:hAnsi="Arial" w:cs="Arial"/>
          <w:lang w:val="en-GB"/>
        </w:rPr>
        <w:t>: Pharmacies, e-commerce platforms, and electronics retailers that influence product visibility and accessibility.</w:t>
      </w:r>
    </w:p>
    <w:p w14:paraId="24D58B3C" w14:textId="77777777" w:rsidR="009A3446" w:rsidRPr="00827F58" w:rsidRDefault="009A3446" w:rsidP="009A3446">
      <w:pPr>
        <w:numPr>
          <w:ilvl w:val="0"/>
          <w:numId w:val="4"/>
        </w:numPr>
        <w:rPr>
          <w:rFonts w:ascii="Arial" w:hAnsi="Arial" w:cs="Arial"/>
          <w:lang w:val="en-GB"/>
        </w:rPr>
      </w:pPr>
      <w:r w:rsidRPr="00827F58">
        <w:rPr>
          <w:rFonts w:ascii="Arial" w:hAnsi="Arial" w:cs="Arial"/>
          <w:b/>
          <w:bCs/>
          <w:lang w:val="en-GB"/>
        </w:rPr>
        <w:t>Technology Partners</w:t>
      </w:r>
      <w:r w:rsidRPr="00827F58">
        <w:rPr>
          <w:rFonts w:ascii="Arial" w:hAnsi="Arial" w:cs="Arial"/>
          <w:lang w:val="en-GB"/>
        </w:rPr>
        <w:t>: App developers, cloud service providers, and analytics firms that enable data integration and enhance user engagement.</w:t>
      </w:r>
    </w:p>
    <w:p w14:paraId="2F4B4A59" w14:textId="77777777" w:rsidR="009A3446" w:rsidRPr="00827F58" w:rsidRDefault="009A3446" w:rsidP="009A3446">
      <w:pPr>
        <w:numPr>
          <w:ilvl w:val="0"/>
          <w:numId w:val="4"/>
        </w:numPr>
        <w:rPr>
          <w:rFonts w:ascii="Arial" w:hAnsi="Arial" w:cs="Arial"/>
          <w:lang w:val="en-GB"/>
        </w:rPr>
      </w:pPr>
      <w:r w:rsidRPr="00827F58">
        <w:rPr>
          <w:rFonts w:ascii="Arial" w:hAnsi="Arial" w:cs="Arial"/>
          <w:b/>
          <w:bCs/>
          <w:lang w:val="en-GB"/>
        </w:rPr>
        <w:t>Consumers</w:t>
      </w:r>
      <w:r w:rsidRPr="00827F58">
        <w:rPr>
          <w:rFonts w:ascii="Arial" w:hAnsi="Arial" w:cs="Arial"/>
          <w:lang w:val="en-GB"/>
        </w:rPr>
        <w:t>: Individuals managing chronic conditions, wellness-focused users, and caregivers who rely on accurate, actionable health data.</w:t>
      </w:r>
    </w:p>
    <w:p w14:paraId="76701218" w14:textId="77777777" w:rsidR="009A3446" w:rsidRPr="00827F58" w:rsidRDefault="009A3446" w:rsidP="009A3446">
      <w:pPr>
        <w:numPr>
          <w:ilvl w:val="0"/>
          <w:numId w:val="4"/>
        </w:numPr>
        <w:rPr>
          <w:rFonts w:ascii="Arial" w:hAnsi="Arial" w:cs="Arial"/>
          <w:lang w:val="en-GB"/>
        </w:rPr>
      </w:pPr>
      <w:r w:rsidRPr="00827F58">
        <w:rPr>
          <w:rFonts w:ascii="Arial" w:hAnsi="Arial" w:cs="Arial"/>
          <w:b/>
          <w:bCs/>
          <w:lang w:val="en-GB"/>
        </w:rPr>
        <w:t>Regulatory Bodies</w:t>
      </w:r>
      <w:r w:rsidRPr="00827F58">
        <w:rPr>
          <w:rFonts w:ascii="Arial" w:hAnsi="Arial" w:cs="Arial"/>
          <w:lang w:val="en-GB"/>
        </w:rPr>
        <w:t>: Agencies like the FDA, EMA, and GDPR authorities that oversee device approval, safety, and data governance.</w:t>
      </w:r>
    </w:p>
    <w:p w14:paraId="46F5FEA1" w14:textId="3DF5A962" w:rsidR="003B0E15" w:rsidRPr="00827F58" w:rsidRDefault="009A3446" w:rsidP="003B0E15">
      <w:pPr>
        <w:numPr>
          <w:ilvl w:val="0"/>
          <w:numId w:val="4"/>
        </w:numPr>
        <w:rPr>
          <w:rFonts w:ascii="Arial" w:hAnsi="Arial" w:cs="Arial"/>
          <w:lang w:val="en-GB"/>
        </w:rPr>
      </w:pPr>
      <w:r w:rsidRPr="00827F58">
        <w:rPr>
          <w:rFonts w:ascii="Arial" w:hAnsi="Arial" w:cs="Arial"/>
          <w:b/>
          <w:bCs/>
          <w:lang w:val="en-GB"/>
        </w:rPr>
        <w:t>Insurance and Telehealth Providers</w:t>
      </w:r>
      <w:r w:rsidRPr="00827F58">
        <w:rPr>
          <w:rFonts w:ascii="Arial" w:hAnsi="Arial" w:cs="Arial"/>
          <w:lang w:val="en-GB"/>
        </w:rPr>
        <w:t>: Potential partners in embedding wearables into reimbursable care models and virtual health platforms.</w:t>
      </w:r>
    </w:p>
    <w:p w14:paraId="0DDAC297" w14:textId="0D9F66A1" w:rsidR="003B0E15" w:rsidRPr="00827F58" w:rsidRDefault="003B0E15" w:rsidP="003B0E15">
      <w:pPr>
        <w:rPr>
          <w:rFonts w:ascii="Arial" w:hAnsi="Arial" w:cs="Arial"/>
          <w:lang w:val="en-GB"/>
        </w:rPr>
      </w:pPr>
    </w:p>
    <w:p w14:paraId="1C67C4E5" w14:textId="77777777" w:rsidR="003B0E15" w:rsidRPr="00827F58" w:rsidRDefault="003B0E15" w:rsidP="003B0E15">
      <w:pPr>
        <w:rPr>
          <w:rFonts w:ascii="Arial" w:hAnsi="Arial" w:cs="Arial"/>
          <w:b/>
          <w:bCs/>
          <w:lang w:val="en-GB"/>
        </w:rPr>
      </w:pPr>
      <w:r w:rsidRPr="00827F58">
        <w:rPr>
          <w:rFonts w:ascii="Arial" w:hAnsi="Arial" w:cs="Arial"/>
          <w:b/>
          <w:bCs/>
          <w:lang w:val="en-GB"/>
        </w:rPr>
        <w:t>Internal Stakeholders</w:t>
      </w:r>
    </w:p>
    <w:p w14:paraId="53F934D8" w14:textId="77777777" w:rsidR="003B0E15" w:rsidRPr="00827F58" w:rsidRDefault="003B0E15" w:rsidP="003B0E15">
      <w:pPr>
        <w:rPr>
          <w:rFonts w:ascii="Arial" w:hAnsi="Arial" w:cs="Arial"/>
          <w:lang w:val="en-GB"/>
        </w:rPr>
      </w:pPr>
      <w:r w:rsidRPr="00827F58">
        <w:rPr>
          <w:rFonts w:ascii="Arial" w:hAnsi="Arial" w:cs="Arial"/>
          <w:b/>
          <w:bCs/>
          <w:lang w:val="en-GB"/>
        </w:rPr>
        <w:t>1. Product Development Team</w:t>
      </w:r>
      <w:r w:rsidRPr="00827F58">
        <w:rPr>
          <w:rFonts w:ascii="Arial" w:hAnsi="Arial" w:cs="Arial"/>
          <w:lang w:val="en-GB"/>
        </w:rPr>
        <w:br/>
      </w:r>
      <w:r w:rsidRPr="00827F58">
        <w:rPr>
          <w:rFonts w:ascii="Arial" w:hAnsi="Arial" w:cs="Arial"/>
          <w:i/>
          <w:iCs/>
          <w:lang w:val="en-GB"/>
        </w:rPr>
        <w:t>Role &amp; Responsibilities</w:t>
      </w:r>
      <w:r w:rsidRPr="00827F58">
        <w:rPr>
          <w:rFonts w:ascii="Arial" w:hAnsi="Arial" w:cs="Arial"/>
          <w:lang w:val="en-GB"/>
        </w:rPr>
        <w:t>: This team designs and engineers the wearable devices, ensuring they meet both clinical standards and consumer expectations. They balance functionality, accuracy, and aesthetics while collaborating with UX designers to create intuitive interfaces.</w:t>
      </w:r>
      <w:r w:rsidRPr="00827F58">
        <w:rPr>
          <w:rFonts w:ascii="Arial" w:hAnsi="Arial" w:cs="Arial"/>
          <w:lang w:val="en-GB"/>
        </w:rPr>
        <w:br/>
      </w:r>
      <w:r w:rsidRPr="00827F58">
        <w:rPr>
          <w:rFonts w:ascii="Arial" w:hAnsi="Arial" w:cs="Arial"/>
          <w:i/>
          <w:iCs/>
          <w:lang w:val="en-GB"/>
        </w:rPr>
        <w:t>Benefits</w:t>
      </w:r>
      <w:r w:rsidRPr="00827F58">
        <w:rPr>
          <w:rFonts w:ascii="Arial" w:hAnsi="Arial" w:cs="Arial"/>
          <w:lang w:val="en-GB"/>
        </w:rPr>
        <w:t>: Their technical expertise ensures the product is reliable, safe, and competitive.</w:t>
      </w:r>
      <w:r w:rsidRPr="00827F58">
        <w:rPr>
          <w:rFonts w:ascii="Arial" w:hAnsi="Arial" w:cs="Arial"/>
          <w:lang w:val="en-GB"/>
        </w:rPr>
        <w:br/>
      </w:r>
      <w:r w:rsidRPr="00827F58">
        <w:rPr>
          <w:rFonts w:ascii="Arial" w:hAnsi="Arial" w:cs="Arial"/>
          <w:i/>
          <w:iCs/>
          <w:lang w:val="en-GB"/>
        </w:rPr>
        <w:t>Challenges</w:t>
      </w:r>
      <w:r w:rsidRPr="00827F58">
        <w:rPr>
          <w:rFonts w:ascii="Arial" w:hAnsi="Arial" w:cs="Arial"/>
          <w:lang w:val="en-GB"/>
        </w:rPr>
        <w:t>: They must reconcile clinical precision with consumer-friendly design, often under tight timelines and evolving market demands.</w:t>
      </w:r>
    </w:p>
    <w:p w14:paraId="1A6D3064" w14:textId="77777777" w:rsidR="003B0E15" w:rsidRPr="00827F58" w:rsidRDefault="003B0E15" w:rsidP="003B0E15">
      <w:pPr>
        <w:rPr>
          <w:rFonts w:ascii="Arial" w:hAnsi="Arial" w:cs="Arial"/>
          <w:lang w:val="en-GB"/>
        </w:rPr>
      </w:pPr>
      <w:r w:rsidRPr="00827F58">
        <w:rPr>
          <w:rFonts w:ascii="Arial" w:hAnsi="Arial" w:cs="Arial"/>
          <w:b/>
          <w:bCs/>
          <w:lang w:val="en-GB"/>
        </w:rPr>
        <w:t>2. R&amp;D Division</w:t>
      </w:r>
      <w:r w:rsidRPr="00827F58">
        <w:rPr>
          <w:rFonts w:ascii="Arial" w:hAnsi="Arial" w:cs="Arial"/>
          <w:lang w:val="en-GB"/>
        </w:rPr>
        <w:br/>
      </w:r>
      <w:r w:rsidRPr="00827F58">
        <w:rPr>
          <w:rFonts w:ascii="Arial" w:hAnsi="Arial" w:cs="Arial"/>
          <w:i/>
          <w:iCs/>
          <w:lang w:val="en-GB"/>
        </w:rPr>
        <w:t>Role &amp; Responsibilities</w:t>
      </w:r>
      <w:r w:rsidRPr="00827F58">
        <w:rPr>
          <w:rFonts w:ascii="Arial" w:hAnsi="Arial" w:cs="Arial"/>
          <w:lang w:val="en-GB"/>
        </w:rPr>
        <w:t>: Responsible for innovating sensor technologies, AI algorithms, and data analytics that power the wearables. They also conduct trials and validate health metrics.</w:t>
      </w:r>
      <w:r w:rsidRPr="00827F58">
        <w:rPr>
          <w:rFonts w:ascii="Arial" w:hAnsi="Arial" w:cs="Arial"/>
          <w:lang w:val="en-GB"/>
        </w:rPr>
        <w:br/>
      </w:r>
      <w:r w:rsidRPr="00827F58">
        <w:rPr>
          <w:rFonts w:ascii="Arial" w:hAnsi="Arial" w:cs="Arial"/>
          <w:i/>
          <w:iCs/>
          <w:lang w:val="en-GB"/>
        </w:rPr>
        <w:t>Benefits</w:t>
      </w:r>
      <w:r w:rsidRPr="00827F58">
        <w:rPr>
          <w:rFonts w:ascii="Arial" w:hAnsi="Arial" w:cs="Arial"/>
          <w:lang w:val="en-GB"/>
        </w:rPr>
        <w:t>: They drive differentiation through innovation, helping Omron stay ahead in a crowded market.</w:t>
      </w:r>
      <w:r w:rsidRPr="00827F58">
        <w:rPr>
          <w:rFonts w:ascii="Arial" w:hAnsi="Arial" w:cs="Arial"/>
          <w:lang w:val="en-GB"/>
        </w:rPr>
        <w:br/>
      </w:r>
      <w:r w:rsidRPr="00827F58">
        <w:rPr>
          <w:rFonts w:ascii="Arial" w:hAnsi="Arial" w:cs="Arial"/>
          <w:i/>
          <w:iCs/>
          <w:lang w:val="en-GB"/>
        </w:rPr>
        <w:t>Challenges</w:t>
      </w:r>
      <w:r w:rsidRPr="00827F58">
        <w:rPr>
          <w:rFonts w:ascii="Arial" w:hAnsi="Arial" w:cs="Arial"/>
          <w:lang w:val="en-GB"/>
        </w:rPr>
        <w:t>: High R&amp;D costs, regulatory hurdles, and the need to rapidly adapt to technological shifts can strain resources.</w:t>
      </w:r>
    </w:p>
    <w:p w14:paraId="69E631B6" w14:textId="77777777" w:rsidR="003B0E15" w:rsidRPr="00827F58" w:rsidRDefault="003B0E15" w:rsidP="003B0E15">
      <w:pPr>
        <w:rPr>
          <w:rFonts w:ascii="Arial" w:hAnsi="Arial" w:cs="Arial"/>
          <w:lang w:val="en-GB"/>
        </w:rPr>
      </w:pPr>
      <w:r w:rsidRPr="00827F58">
        <w:rPr>
          <w:rFonts w:ascii="Arial" w:hAnsi="Arial" w:cs="Arial"/>
          <w:b/>
          <w:bCs/>
          <w:lang w:val="en-GB"/>
        </w:rPr>
        <w:t>3. Marketing &amp; Communications</w:t>
      </w:r>
      <w:r w:rsidRPr="00827F58">
        <w:rPr>
          <w:rFonts w:ascii="Arial" w:hAnsi="Arial" w:cs="Arial"/>
          <w:lang w:val="en-GB"/>
        </w:rPr>
        <w:br/>
      </w:r>
      <w:r w:rsidRPr="00827F58">
        <w:rPr>
          <w:rFonts w:ascii="Arial" w:hAnsi="Arial" w:cs="Arial"/>
          <w:i/>
          <w:iCs/>
          <w:lang w:val="en-GB"/>
        </w:rPr>
        <w:t>Role &amp; Responsibilities</w:t>
      </w:r>
      <w:r w:rsidRPr="00827F58">
        <w:rPr>
          <w:rFonts w:ascii="Arial" w:hAnsi="Arial" w:cs="Arial"/>
          <w:lang w:val="en-GB"/>
        </w:rPr>
        <w:t xml:space="preserve">: This team crafts messaging, educates consumers, and positions </w:t>
      </w:r>
      <w:r w:rsidRPr="00827F58">
        <w:rPr>
          <w:rFonts w:ascii="Arial" w:hAnsi="Arial" w:cs="Arial"/>
          <w:lang w:val="en-GB"/>
        </w:rPr>
        <w:lastRenderedPageBreak/>
        <w:t>Omron as a trusted health-tech brand. They manage campaigns, digital outreach, and partnerships.</w:t>
      </w:r>
      <w:r w:rsidRPr="00827F58">
        <w:rPr>
          <w:rFonts w:ascii="Arial" w:hAnsi="Arial" w:cs="Arial"/>
          <w:lang w:val="en-GB"/>
        </w:rPr>
        <w:br/>
      </w:r>
      <w:r w:rsidRPr="00827F58">
        <w:rPr>
          <w:rFonts w:ascii="Arial" w:hAnsi="Arial" w:cs="Arial"/>
          <w:i/>
          <w:iCs/>
          <w:lang w:val="en-GB"/>
        </w:rPr>
        <w:t>Benefits</w:t>
      </w:r>
      <w:r w:rsidRPr="00827F58">
        <w:rPr>
          <w:rFonts w:ascii="Arial" w:hAnsi="Arial" w:cs="Arial"/>
          <w:lang w:val="en-GB"/>
        </w:rPr>
        <w:t>: They translate technical features into compelling narratives that build brand awareness and trust.</w:t>
      </w:r>
      <w:r w:rsidRPr="00827F58">
        <w:rPr>
          <w:rFonts w:ascii="Arial" w:hAnsi="Arial" w:cs="Arial"/>
          <w:lang w:val="en-GB"/>
        </w:rPr>
        <w:br/>
      </w:r>
      <w:r w:rsidRPr="00827F58">
        <w:rPr>
          <w:rFonts w:ascii="Arial" w:hAnsi="Arial" w:cs="Arial"/>
          <w:i/>
          <w:iCs/>
          <w:lang w:val="en-GB"/>
        </w:rPr>
        <w:t>Challenges</w:t>
      </w:r>
      <w:r w:rsidRPr="00827F58">
        <w:rPr>
          <w:rFonts w:ascii="Arial" w:hAnsi="Arial" w:cs="Arial"/>
          <w:lang w:val="en-GB"/>
        </w:rPr>
        <w:t>: Competing against tech giants with larger budgets and more lifestyle-oriented branding.</w:t>
      </w:r>
    </w:p>
    <w:p w14:paraId="3F0DF499" w14:textId="77777777" w:rsidR="003B0E15" w:rsidRPr="00827F58" w:rsidRDefault="003B0E15" w:rsidP="003B0E15">
      <w:pPr>
        <w:rPr>
          <w:rFonts w:ascii="Arial" w:hAnsi="Arial" w:cs="Arial"/>
          <w:lang w:val="en-GB"/>
        </w:rPr>
      </w:pPr>
      <w:r w:rsidRPr="00827F58">
        <w:rPr>
          <w:rFonts w:ascii="Arial" w:hAnsi="Arial" w:cs="Arial"/>
          <w:b/>
          <w:bCs/>
          <w:lang w:val="en-GB"/>
        </w:rPr>
        <w:t>4. Executive Leadership</w:t>
      </w:r>
      <w:r w:rsidRPr="00827F58">
        <w:rPr>
          <w:rFonts w:ascii="Arial" w:hAnsi="Arial" w:cs="Arial"/>
          <w:lang w:val="en-GB"/>
        </w:rPr>
        <w:br/>
      </w:r>
      <w:r w:rsidRPr="00827F58">
        <w:rPr>
          <w:rFonts w:ascii="Arial" w:hAnsi="Arial" w:cs="Arial"/>
          <w:i/>
          <w:iCs/>
          <w:lang w:val="en-GB"/>
        </w:rPr>
        <w:t>Role &amp; Responsibilities</w:t>
      </w:r>
      <w:r w:rsidRPr="00827F58">
        <w:rPr>
          <w:rFonts w:ascii="Arial" w:hAnsi="Arial" w:cs="Arial"/>
          <w:lang w:val="en-GB"/>
        </w:rPr>
        <w:t>: Sets strategic direction, approves investments, and fosters cross-sector partnerships. They ensure alignment across departments and drive long-term vision.</w:t>
      </w:r>
      <w:r w:rsidRPr="00827F58">
        <w:rPr>
          <w:rFonts w:ascii="Arial" w:hAnsi="Arial" w:cs="Arial"/>
          <w:lang w:val="en-GB"/>
        </w:rPr>
        <w:br/>
      </w:r>
      <w:r w:rsidRPr="00827F58">
        <w:rPr>
          <w:rFonts w:ascii="Arial" w:hAnsi="Arial" w:cs="Arial"/>
          <w:i/>
          <w:iCs/>
          <w:lang w:val="en-GB"/>
        </w:rPr>
        <w:t>Benefits</w:t>
      </w:r>
      <w:r w:rsidRPr="00827F58">
        <w:rPr>
          <w:rFonts w:ascii="Arial" w:hAnsi="Arial" w:cs="Arial"/>
          <w:lang w:val="en-GB"/>
        </w:rPr>
        <w:t>: Their decisions shape the company’s agility, innovation, and market positioning.</w:t>
      </w:r>
      <w:r w:rsidRPr="00827F58">
        <w:rPr>
          <w:rFonts w:ascii="Arial" w:hAnsi="Arial" w:cs="Arial"/>
          <w:lang w:val="en-GB"/>
        </w:rPr>
        <w:br/>
      </w:r>
      <w:r w:rsidRPr="00827F58">
        <w:rPr>
          <w:rFonts w:ascii="Arial" w:hAnsi="Arial" w:cs="Arial"/>
          <w:i/>
          <w:iCs/>
          <w:lang w:val="en-GB"/>
        </w:rPr>
        <w:t>Challenges</w:t>
      </w:r>
      <w:r w:rsidRPr="00827F58">
        <w:rPr>
          <w:rFonts w:ascii="Arial" w:hAnsi="Arial" w:cs="Arial"/>
          <w:lang w:val="en-GB"/>
        </w:rPr>
        <w:t>: Balancing risk with opportunity in a fast-evolving sector, while maintaining core values.</w:t>
      </w:r>
    </w:p>
    <w:p w14:paraId="156D777D" w14:textId="77777777" w:rsidR="003B0E15" w:rsidRPr="00827F58" w:rsidRDefault="003B0E15" w:rsidP="003B0E15">
      <w:pPr>
        <w:rPr>
          <w:rFonts w:ascii="Arial" w:hAnsi="Arial" w:cs="Arial"/>
          <w:lang w:val="en-GB"/>
        </w:rPr>
      </w:pPr>
      <w:r w:rsidRPr="00827F58">
        <w:rPr>
          <w:rFonts w:ascii="Arial" w:hAnsi="Arial" w:cs="Arial"/>
          <w:b/>
          <w:bCs/>
          <w:lang w:val="en-GB"/>
        </w:rPr>
        <w:t>5. Regulatory &amp; Compliance Team</w:t>
      </w:r>
      <w:r w:rsidRPr="00827F58">
        <w:rPr>
          <w:rFonts w:ascii="Arial" w:hAnsi="Arial" w:cs="Arial"/>
          <w:lang w:val="en-GB"/>
        </w:rPr>
        <w:br/>
      </w:r>
      <w:r w:rsidRPr="00827F58">
        <w:rPr>
          <w:rFonts w:ascii="Arial" w:hAnsi="Arial" w:cs="Arial"/>
          <w:i/>
          <w:iCs/>
          <w:lang w:val="en-GB"/>
        </w:rPr>
        <w:t>Role &amp; Responsibilities</w:t>
      </w:r>
      <w:r w:rsidRPr="00827F58">
        <w:rPr>
          <w:rFonts w:ascii="Arial" w:hAnsi="Arial" w:cs="Arial"/>
          <w:lang w:val="en-GB"/>
        </w:rPr>
        <w:t>: Ensures all devices meet global health and data protection standards (e.g., FDA, GDPR). They manage certifications and legal documentation.</w:t>
      </w:r>
      <w:r w:rsidRPr="00827F58">
        <w:rPr>
          <w:rFonts w:ascii="Arial" w:hAnsi="Arial" w:cs="Arial"/>
          <w:lang w:val="en-GB"/>
        </w:rPr>
        <w:br/>
      </w:r>
      <w:r w:rsidRPr="00827F58">
        <w:rPr>
          <w:rFonts w:ascii="Arial" w:hAnsi="Arial" w:cs="Arial"/>
          <w:i/>
          <w:iCs/>
          <w:lang w:val="en-GB"/>
        </w:rPr>
        <w:t>Benefits</w:t>
      </w:r>
      <w:r w:rsidRPr="00827F58">
        <w:rPr>
          <w:rFonts w:ascii="Arial" w:hAnsi="Arial" w:cs="Arial"/>
          <w:lang w:val="en-GB"/>
        </w:rPr>
        <w:t>: They safeguard Omron’s reputation and ensure market access.</w:t>
      </w:r>
      <w:r w:rsidRPr="00827F58">
        <w:rPr>
          <w:rFonts w:ascii="Arial" w:hAnsi="Arial" w:cs="Arial"/>
          <w:lang w:val="en-GB"/>
        </w:rPr>
        <w:br/>
      </w:r>
      <w:r w:rsidRPr="00827F58">
        <w:rPr>
          <w:rFonts w:ascii="Arial" w:hAnsi="Arial" w:cs="Arial"/>
          <w:i/>
          <w:iCs/>
          <w:lang w:val="en-GB"/>
        </w:rPr>
        <w:t>Challenges</w:t>
      </w:r>
      <w:r w:rsidRPr="00827F58">
        <w:rPr>
          <w:rFonts w:ascii="Arial" w:hAnsi="Arial" w:cs="Arial"/>
          <w:lang w:val="en-GB"/>
        </w:rPr>
        <w:t>: Navigating complex, shifting regulations across regions and product categories.</w:t>
      </w:r>
    </w:p>
    <w:p w14:paraId="238DAB16" w14:textId="77777777" w:rsidR="003B0E15" w:rsidRPr="00827F58" w:rsidRDefault="00000000" w:rsidP="003B0E15">
      <w:pPr>
        <w:rPr>
          <w:rFonts w:ascii="Arial" w:hAnsi="Arial" w:cs="Arial"/>
          <w:lang w:val="en-GB"/>
        </w:rPr>
      </w:pPr>
      <w:r w:rsidRPr="00827F58">
        <w:rPr>
          <w:rFonts w:ascii="Arial" w:hAnsi="Arial" w:cs="Arial"/>
          <w:lang w:val="en-GB"/>
        </w:rPr>
        <w:pict w14:anchorId="312A5FE7">
          <v:rect id="_x0000_i1219" style="width:0;height:1.5pt" o:hralign="center" o:hrstd="t" o:hr="t" fillcolor="#a0a0a0" stroked="f"/>
        </w:pict>
      </w:r>
    </w:p>
    <w:p w14:paraId="0CE93912" w14:textId="77777777" w:rsidR="003B0E15" w:rsidRPr="00827F58" w:rsidRDefault="003B0E15" w:rsidP="003B0E15">
      <w:pPr>
        <w:rPr>
          <w:rFonts w:ascii="Arial" w:hAnsi="Arial" w:cs="Arial"/>
          <w:b/>
          <w:bCs/>
          <w:lang w:val="en-GB"/>
        </w:rPr>
      </w:pPr>
      <w:r w:rsidRPr="00827F58">
        <w:rPr>
          <w:rFonts w:ascii="Arial" w:hAnsi="Arial" w:cs="Arial"/>
          <w:b/>
          <w:bCs/>
          <w:lang w:val="en-GB"/>
        </w:rPr>
        <w:t>External Stakeholders</w:t>
      </w:r>
    </w:p>
    <w:p w14:paraId="6A3F255A" w14:textId="77777777" w:rsidR="003B0E15" w:rsidRPr="00827F58" w:rsidRDefault="003B0E15" w:rsidP="003B0E15">
      <w:pPr>
        <w:rPr>
          <w:rFonts w:ascii="Arial" w:hAnsi="Arial" w:cs="Arial"/>
          <w:lang w:val="en-GB"/>
        </w:rPr>
      </w:pPr>
      <w:r w:rsidRPr="00827F58">
        <w:rPr>
          <w:rFonts w:ascii="Arial" w:hAnsi="Arial" w:cs="Arial"/>
          <w:b/>
          <w:bCs/>
          <w:lang w:val="en-GB"/>
        </w:rPr>
        <w:t>1. Healthcare Providers</w:t>
      </w:r>
      <w:r w:rsidRPr="00827F58">
        <w:rPr>
          <w:rFonts w:ascii="Arial" w:hAnsi="Arial" w:cs="Arial"/>
          <w:lang w:val="en-GB"/>
        </w:rPr>
        <w:br/>
      </w:r>
      <w:r w:rsidRPr="00827F58">
        <w:rPr>
          <w:rFonts w:ascii="Arial" w:hAnsi="Arial" w:cs="Arial"/>
          <w:i/>
          <w:iCs/>
          <w:lang w:val="en-GB"/>
        </w:rPr>
        <w:t>Role &amp; Responsibilities</w:t>
      </w:r>
      <w:r w:rsidRPr="00827F58">
        <w:rPr>
          <w:rFonts w:ascii="Arial" w:hAnsi="Arial" w:cs="Arial"/>
          <w:lang w:val="en-GB"/>
        </w:rPr>
        <w:t>: Recommend Omron wearables for patient monitoring and chronic condition management.</w:t>
      </w:r>
      <w:r w:rsidRPr="00827F58">
        <w:rPr>
          <w:rFonts w:ascii="Arial" w:hAnsi="Arial" w:cs="Arial"/>
          <w:lang w:val="en-GB"/>
        </w:rPr>
        <w:br/>
      </w:r>
      <w:r w:rsidRPr="00827F58">
        <w:rPr>
          <w:rFonts w:ascii="Arial" w:hAnsi="Arial" w:cs="Arial"/>
          <w:i/>
          <w:iCs/>
          <w:lang w:val="en-GB"/>
        </w:rPr>
        <w:t>Benefits</w:t>
      </w:r>
      <w:r w:rsidRPr="00827F58">
        <w:rPr>
          <w:rFonts w:ascii="Arial" w:hAnsi="Arial" w:cs="Arial"/>
          <w:lang w:val="en-GB"/>
        </w:rPr>
        <w:t>: Their endorsement lends credibility and facilitates clinical integration.</w:t>
      </w:r>
      <w:r w:rsidRPr="00827F58">
        <w:rPr>
          <w:rFonts w:ascii="Arial" w:hAnsi="Arial" w:cs="Arial"/>
          <w:lang w:val="en-GB"/>
        </w:rPr>
        <w:br/>
      </w:r>
      <w:r w:rsidRPr="00827F58">
        <w:rPr>
          <w:rFonts w:ascii="Arial" w:hAnsi="Arial" w:cs="Arial"/>
          <w:i/>
          <w:iCs/>
          <w:lang w:val="en-GB"/>
        </w:rPr>
        <w:t>Challenges</w:t>
      </w:r>
      <w:r w:rsidRPr="00827F58">
        <w:rPr>
          <w:rFonts w:ascii="Arial" w:hAnsi="Arial" w:cs="Arial"/>
          <w:lang w:val="en-GB"/>
        </w:rPr>
        <w:t>: They require evidence-based outcomes and seamless data sharing, which demands robust interoperability.</w:t>
      </w:r>
    </w:p>
    <w:p w14:paraId="1388E848" w14:textId="77777777" w:rsidR="003B0E15" w:rsidRPr="00827F58" w:rsidRDefault="003B0E15" w:rsidP="003B0E15">
      <w:pPr>
        <w:rPr>
          <w:rFonts w:ascii="Arial" w:hAnsi="Arial" w:cs="Arial"/>
          <w:lang w:val="en-GB"/>
        </w:rPr>
      </w:pPr>
      <w:r w:rsidRPr="00827F58">
        <w:rPr>
          <w:rFonts w:ascii="Arial" w:hAnsi="Arial" w:cs="Arial"/>
          <w:b/>
          <w:bCs/>
          <w:lang w:val="en-GB"/>
        </w:rPr>
        <w:t>2. Retail &amp; Distribution Partners</w:t>
      </w:r>
      <w:r w:rsidRPr="00827F58">
        <w:rPr>
          <w:rFonts w:ascii="Arial" w:hAnsi="Arial" w:cs="Arial"/>
          <w:lang w:val="en-GB"/>
        </w:rPr>
        <w:br/>
      </w:r>
      <w:r w:rsidRPr="00827F58">
        <w:rPr>
          <w:rFonts w:ascii="Arial" w:hAnsi="Arial" w:cs="Arial"/>
          <w:i/>
          <w:iCs/>
          <w:lang w:val="en-GB"/>
        </w:rPr>
        <w:t>Role &amp; Responsibilities</w:t>
      </w:r>
      <w:r w:rsidRPr="00827F58">
        <w:rPr>
          <w:rFonts w:ascii="Arial" w:hAnsi="Arial" w:cs="Arial"/>
          <w:lang w:val="en-GB"/>
        </w:rPr>
        <w:t>: Sell and promote Omron wearables through pharmacies, e-commerce platforms, and electronics stores.</w:t>
      </w:r>
      <w:r w:rsidRPr="00827F58">
        <w:rPr>
          <w:rFonts w:ascii="Arial" w:hAnsi="Arial" w:cs="Arial"/>
          <w:lang w:val="en-GB"/>
        </w:rPr>
        <w:br/>
      </w:r>
      <w:r w:rsidRPr="00827F58">
        <w:rPr>
          <w:rFonts w:ascii="Arial" w:hAnsi="Arial" w:cs="Arial"/>
          <w:i/>
          <w:iCs/>
          <w:lang w:val="en-GB"/>
        </w:rPr>
        <w:t>Benefits</w:t>
      </w:r>
      <w:r w:rsidRPr="00827F58">
        <w:rPr>
          <w:rFonts w:ascii="Arial" w:hAnsi="Arial" w:cs="Arial"/>
          <w:lang w:val="en-GB"/>
        </w:rPr>
        <w:t>: They expand reach and improve accessibility.</w:t>
      </w:r>
      <w:r w:rsidRPr="00827F58">
        <w:rPr>
          <w:rFonts w:ascii="Arial" w:hAnsi="Arial" w:cs="Arial"/>
          <w:lang w:val="en-GB"/>
        </w:rPr>
        <w:br/>
      </w:r>
      <w:r w:rsidRPr="00827F58">
        <w:rPr>
          <w:rFonts w:ascii="Arial" w:hAnsi="Arial" w:cs="Arial"/>
          <w:i/>
          <w:iCs/>
          <w:lang w:val="en-GB"/>
        </w:rPr>
        <w:t>Challenges</w:t>
      </w:r>
      <w:r w:rsidRPr="00827F58">
        <w:rPr>
          <w:rFonts w:ascii="Arial" w:hAnsi="Arial" w:cs="Arial"/>
          <w:lang w:val="en-GB"/>
        </w:rPr>
        <w:t>: They may prioritize high-demand consumer brands, requiring Omron to prove market appeal.</w:t>
      </w:r>
    </w:p>
    <w:p w14:paraId="0643CBEE" w14:textId="77777777" w:rsidR="003B0E15" w:rsidRPr="00827F58" w:rsidRDefault="003B0E15" w:rsidP="003B0E15">
      <w:pPr>
        <w:rPr>
          <w:rFonts w:ascii="Arial" w:hAnsi="Arial" w:cs="Arial"/>
          <w:lang w:val="en-GB"/>
        </w:rPr>
      </w:pPr>
      <w:r w:rsidRPr="00827F58">
        <w:rPr>
          <w:rFonts w:ascii="Arial" w:hAnsi="Arial" w:cs="Arial"/>
          <w:b/>
          <w:bCs/>
          <w:lang w:val="en-GB"/>
        </w:rPr>
        <w:t>3. Technology Partners</w:t>
      </w:r>
      <w:r w:rsidRPr="00827F58">
        <w:rPr>
          <w:rFonts w:ascii="Arial" w:hAnsi="Arial" w:cs="Arial"/>
          <w:lang w:val="en-GB"/>
        </w:rPr>
        <w:br/>
      </w:r>
      <w:r w:rsidRPr="00827F58">
        <w:rPr>
          <w:rFonts w:ascii="Arial" w:hAnsi="Arial" w:cs="Arial"/>
          <w:i/>
          <w:iCs/>
          <w:lang w:val="en-GB"/>
        </w:rPr>
        <w:t>Role &amp; Responsibilities</w:t>
      </w:r>
      <w:r w:rsidRPr="00827F58">
        <w:rPr>
          <w:rFonts w:ascii="Arial" w:hAnsi="Arial" w:cs="Arial"/>
          <w:lang w:val="en-GB"/>
        </w:rPr>
        <w:t>: Support app development, cloud integration, and data analytics.</w:t>
      </w:r>
      <w:r w:rsidRPr="00827F58">
        <w:rPr>
          <w:rFonts w:ascii="Arial" w:hAnsi="Arial" w:cs="Arial"/>
          <w:lang w:val="en-GB"/>
        </w:rPr>
        <w:br/>
      </w:r>
      <w:r w:rsidRPr="00827F58">
        <w:rPr>
          <w:rFonts w:ascii="Arial" w:hAnsi="Arial" w:cs="Arial"/>
          <w:i/>
          <w:iCs/>
          <w:lang w:val="en-GB"/>
        </w:rPr>
        <w:t>Benefits</w:t>
      </w:r>
      <w:r w:rsidRPr="00827F58">
        <w:rPr>
          <w:rFonts w:ascii="Arial" w:hAnsi="Arial" w:cs="Arial"/>
          <w:lang w:val="en-GB"/>
        </w:rPr>
        <w:t>: They enhance user experience and enable personalized insights.</w:t>
      </w:r>
      <w:r w:rsidRPr="00827F58">
        <w:rPr>
          <w:rFonts w:ascii="Arial" w:hAnsi="Arial" w:cs="Arial"/>
          <w:lang w:val="en-GB"/>
        </w:rPr>
        <w:br/>
      </w:r>
      <w:r w:rsidRPr="00827F58">
        <w:rPr>
          <w:rFonts w:ascii="Arial" w:hAnsi="Arial" w:cs="Arial"/>
          <w:i/>
          <w:iCs/>
          <w:lang w:val="en-GB"/>
        </w:rPr>
        <w:t>Challenges</w:t>
      </w:r>
      <w:r w:rsidRPr="00827F58">
        <w:rPr>
          <w:rFonts w:ascii="Arial" w:hAnsi="Arial" w:cs="Arial"/>
          <w:lang w:val="en-GB"/>
        </w:rPr>
        <w:t>: Ensuring secure, compliant data handling and maintaining compatibility across platforms.</w:t>
      </w:r>
    </w:p>
    <w:p w14:paraId="71F31EA8" w14:textId="77777777" w:rsidR="003B0E15" w:rsidRPr="00827F58" w:rsidRDefault="003B0E15" w:rsidP="003B0E15">
      <w:pPr>
        <w:rPr>
          <w:rFonts w:ascii="Arial" w:hAnsi="Arial" w:cs="Arial"/>
          <w:lang w:val="en-GB"/>
        </w:rPr>
      </w:pPr>
      <w:r w:rsidRPr="00827F58">
        <w:rPr>
          <w:rFonts w:ascii="Arial" w:hAnsi="Arial" w:cs="Arial"/>
          <w:b/>
          <w:bCs/>
          <w:lang w:val="en-GB"/>
        </w:rPr>
        <w:t>4. Consumers</w:t>
      </w:r>
      <w:r w:rsidRPr="00827F58">
        <w:rPr>
          <w:rFonts w:ascii="Arial" w:hAnsi="Arial" w:cs="Arial"/>
          <w:lang w:val="en-GB"/>
        </w:rPr>
        <w:br/>
      </w:r>
      <w:r w:rsidRPr="00827F58">
        <w:rPr>
          <w:rFonts w:ascii="Arial" w:hAnsi="Arial" w:cs="Arial"/>
          <w:i/>
          <w:iCs/>
          <w:lang w:val="en-GB"/>
        </w:rPr>
        <w:t>Role &amp; Responsibilities</w:t>
      </w:r>
      <w:r w:rsidRPr="00827F58">
        <w:rPr>
          <w:rFonts w:ascii="Arial" w:hAnsi="Arial" w:cs="Arial"/>
          <w:lang w:val="en-GB"/>
        </w:rPr>
        <w:t>: Use the devices, provide feedback, and influence product evolution.</w:t>
      </w:r>
      <w:r w:rsidRPr="00827F58">
        <w:rPr>
          <w:rFonts w:ascii="Arial" w:hAnsi="Arial" w:cs="Arial"/>
          <w:lang w:val="en-GB"/>
        </w:rPr>
        <w:br/>
      </w:r>
      <w:r w:rsidRPr="00827F58">
        <w:rPr>
          <w:rFonts w:ascii="Arial" w:hAnsi="Arial" w:cs="Arial"/>
          <w:i/>
          <w:iCs/>
          <w:lang w:val="en-GB"/>
        </w:rPr>
        <w:t>Benefits</w:t>
      </w:r>
      <w:r w:rsidRPr="00827F58">
        <w:rPr>
          <w:rFonts w:ascii="Arial" w:hAnsi="Arial" w:cs="Arial"/>
          <w:lang w:val="en-GB"/>
        </w:rPr>
        <w:t>: Their trust and engagement drive adoption and brand loyalty.</w:t>
      </w:r>
      <w:r w:rsidRPr="00827F58">
        <w:rPr>
          <w:rFonts w:ascii="Arial" w:hAnsi="Arial" w:cs="Arial"/>
          <w:lang w:val="en-GB"/>
        </w:rPr>
        <w:br/>
      </w:r>
      <w:r w:rsidRPr="00827F58">
        <w:rPr>
          <w:rFonts w:ascii="Arial" w:hAnsi="Arial" w:cs="Arial"/>
          <w:i/>
          <w:iCs/>
          <w:lang w:val="en-GB"/>
        </w:rPr>
        <w:lastRenderedPageBreak/>
        <w:t>Challenges</w:t>
      </w:r>
      <w:r w:rsidRPr="00827F58">
        <w:rPr>
          <w:rFonts w:ascii="Arial" w:hAnsi="Arial" w:cs="Arial"/>
          <w:lang w:val="en-GB"/>
        </w:rPr>
        <w:t>: They expect seamless usability, real-time insights, and privacy assurance—often with minimal onboarding.</w:t>
      </w:r>
    </w:p>
    <w:p w14:paraId="643660D2" w14:textId="77C9A246" w:rsidR="003B0E15" w:rsidRPr="00827F58" w:rsidRDefault="003B0E15" w:rsidP="003B0E15">
      <w:pPr>
        <w:rPr>
          <w:rFonts w:ascii="Arial" w:hAnsi="Arial" w:cs="Arial"/>
          <w:lang w:val="en-GB"/>
        </w:rPr>
      </w:pPr>
      <w:r w:rsidRPr="00827F58">
        <w:rPr>
          <w:rFonts w:ascii="Arial" w:hAnsi="Arial" w:cs="Arial"/>
          <w:b/>
          <w:bCs/>
          <w:lang w:val="en-GB"/>
        </w:rPr>
        <w:t>5. Regulatory Bodies</w:t>
      </w:r>
      <w:r w:rsidRPr="00827F58">
        <w:rPr>
          <w:rFonts w:ascii="Arial" w:hAnsi="Arial" w:cs="Arial"/>
          <w:lang w:val="en-GB"/>
        </w:rPr>
        <w:br/>
      </w:r>
      <w:r w:rsidRPr="00827F58">
        <w:rPr>
          <w:rFonts w:ascii="Arial" w:hAnsi="Arial" w:cs="Arial"/>
          <w:i/>
          <w:iCs/>
          <w:lang w:val="en-GB"/>
        </w:rPr>
        <w:t>Role &amp; Responsibilities</w:t>
      </w:r>
      <w:r w:rsidRPr="00827F58">
        <w:rPr>
          <w:rFonts w:ascii="Arial" w:hAnsi="Arial" w:cs="Arial"/>
          <w:lang w:val="en-GB"/>
        </w:rPr>
        <w:t>: Approve devices, monitor safety, and enforce data protection laws.</w:t>
      </w:r>
      <w:r w:rsidRPr="00827F58">
        <w:rPr>
          <w:rFonts w:ascii="Arial" w:hAnsi="Arial" w:cs="Arial"/>
          <w:lang w:val="en-GB"/>
        </w:rPr>
        <w:br/>
      </w:r>
      <w:r w:rsidRPr="00827F58">
        <w:rPr>
          <w:rFonts w:ascii="Arial" w:hAnsi="Arial" w:cs="Arial"/>
          <w:i/>
          <w:iCs/>
          <w:lang w:val="en-GB"/>
        </w:rPr>
        <w:t>Benefits</w:t>
      </w:r>
      <w:r w:rsidRPr="00827F58">
        <w:rPr>
          <w:rFonts w:ascii="Arial" w:hAnsi="Arial" w:cs="Arial"/>
          <w:lang w:val="en-GB"/>
        </w:rPr>
        <w:t>: Their approval enables market entry and consumer confidence.</w:t>
      </w:r>
      <w:r w:rsidRPr="00827F58">
        <w:rPr>
          <w:rFonts w:ascii="Arial" w:hAnsi="Arial" w:cs="Arial"/>
          <w:lang w:val="en-GB"/>
        </w:rPr>
        <w:br/>
      </w:r>
      <w:r w:rsidRPr="00827F58">
        <w:rPr>
          <w:rFonts w:ascii="Arial" w:hAnsi="Arial" w:cs="Arial"/>
          <w:i/>
          <w:iCs/>
          <w:lang w:val="en-GB"/>
        </w:rPr>
        <w:t>Challenges</w:t>
      </w:r>
      <w:r w:rsidRPr="00827F58">
        <w:rPr>
          <w:rFonts w:ascii="Arial" w:hAnsi="Arial" w:cs="Arial"/>
          <w:lang w:val="en-GB"/>
        </w:rPr>
        <w:t xml:space="preserve">: Delays or rejections can derail timelines and </w:t>
      </w:r>
      <w:r w:rsidR="00AB15D9" w:rsidRPr="00827F58">
        <w:rPr>
          <w:rFonts w:ascii="Arial" w:hAnsi="Arial" w:cs="Arial"/>
        </w:rPr>
        <w:t>increase costs.</w:t>
      </w:r>
    </w:p>
    <w:p w14:paraId="062635A4" w14:textId="77777777" w:rsidR="006E4624" w:rsidRPr="00827F58" w:rsidRDefault="006E4624" w:rsidP="006E4624">
      <w:pPr>
        <w:rPr>
          <w:rFonts w:ascii="Arial" w:hAnsi="Arial" w:cs="Arial"/>
          <w:lang w:val="en-GB"/>
        </w:rPr>
      </w:pPr>
      <w:r w:rsidRPr="00827F58">
        <w:rPr>
          <w:rFonts w:ascii="Arial" w:hAnsi="Arial" w:cs="Arial"/>
          <w:lang w:val="en-GB"/>
        </w:rPr>
        <w:t>To successfully engage stakeholders in Omron Healthcare’s wearable strategy, a structured approach using proven frameworks is essential. These tools help clarify roles, manage expectations, and foster collaboration across clinical, technical, and consumer-facing teams. Below is a breakdown of four key models—each offering practical value in aligning stakeholder interests and actions.</w:t>
      </w:r>
    </w:p>
    <w:p w14:paraId="02E47D1E" w14:textId="77777777" w:rsidR="006E4624" w:rsidRPr="00827F58" w:rsidRDefault="00000000" w:rsidP="006E4624">
      <w:pPr>
        <w:rPr>
          <w:rFonts w:ascii="Arial" w:hAnsi="Arial" w:cs="Arial"/>
          <w:lang w:val="en-GB"/>
        </w:rPr>
      </w:pPr>
      <w:r w:rsidRPr="00827F58">
        <w:rPr>
          <w:rFonts w:ascii="Arial" w:hAnsi="Arial" w:cs="Arial"/>
          <w:lang w:val="en-GB"/>
        </w:rPr>
        <w:pict w14:anchorId="192DF87F">
          <v:rect id="_x0000_i1220" style="width:0;height:1.5pt" o:hralign="center" o:hrstd="t" o:hr="t" fillcolor="#a0a0a0" stroked="f"/>
        </w:pict>
      </w:r>
    </w:p>
    <w:p w14:paraId="12A0A5A4" w14:textId="000CCFEE" w:rsidR="006E4624" w:rsidRPr="00827F58" w:rsidRDefault="006E4624" w:rsidP="006E4624">
      <w:pPr>
        <w:rPr>
          <w:rFonts w:ascii="Arial" w:hAnsi="Arial" w:cs="Arial"/>
          <w:b/>
          <w:bCs/>
          <w:lang w:val="en-GB"/>
        </w:rPr>
      </w:pPr>
      <w:r w:rsidRPr="00827F58">
        <w:rPr>
          <w:rFonts w:ascii="Arial" w:hAnsi="Arial" w:cs="Arial"/>
          <w:b/>
          <w:bCs/>
          <w:lang w:val="en-GB"/>
        </w:rPr>
        <w:t>1. Stakeholder Matrix (Power–Interest Grid)</w:t>
      </w:r>
    </w:p>
    <w:p w14:paraId="37FF51D5" w14:textId="77777777" w:rsidR="006E4624" w:rsidRPr="00827F58" w:rsidRDefault="006E4624" w:rsidP="006E4624">
      <w:pPr>
        <w:rPr>
          <w:rFonts w:ascii="Arial" w:hAnsi="Arial" w:cs="Arial"/>
          <w:lang w:val="en-GB"/>
        </w:rPr>
      </w:pPr>
      <w:r w:rsidRPr="00827F58">
        <w:rPr>
          <w:rFonts w:ascii="Arial" w:hAnsi="Arial" w:cs="Arial"/>
          <w:lang w:val="en-GB"/>
        </w:rPr>
        <w:t>This model, often attributed to Howard Stayle, maps stakeholders based on their level of influence (power) and concern (interest). It helps prioritize engagement strategies:</w:t>
      </w:r>
    </w:p>
    <w:p w14:paraId="58F32D45" w14:textId="77777777" w:rsidR="006E4624" w:rsidRPr="00827F58" w:rsidRDefault="006E4624" w:rsidP="006E4624">
      <w:pPr>
        <w:numPr>
          <w:ilvl w:val="0"/>
          <w:numId w:val="5"/>
        </w:numPr>
        <w:rPr>
          <w:rFonts w:ascii="Arial" w:hAnsi="Arial" w:cs="Arial"/>
          <w:lang w:val="en-GB"/>
        </w:rPr>
      </w:pPr>
      <w:r w:rsidRPr="00827F58">
        <w:rPr>
          <w:rFonts w:ascii="Arial" w:hAnsi="Arial" w:cs="Arial"/>
          <w:b/>
          <w:bCs/>
          <w:lang w:val="en-GB"/>
        </w:rPr>
        <w:t>High Power, High Interest</w:t>
      </w:r>
      <w:r w:rsidRPr="00827F58">
        <w:rPr>
          <w:rFonts w:ascii="Arial" w:hAnsi="Arial" w:cs="Arial"/>
          <w:lang w:val="en-GB"/>
        </w:rPr>
        <w:t>: Executive leadership, regulatory bodies. These stakeholders require close management and regular updates.</w:t>
      </w:r>
    </w:p>
    <w:p w14:paraId="041CA88E" w14:textId="77777777" w:rsidR="006E4624" w:rsidRPr="00827F58" w:rsidRDefault="006E4624" w:rsidP="006E4624">
      <w:pPr>
        <w:numPr>
          <w:ilvl w:val="0"/>
          <w:numId w:val="5"/>
        </w:numPr>
        <w:rPr>
          <w:rFonts w:ascii="Arial" w:hAnsi="Arial" w:cs="Arial"/>
          <w:lang w:val="en-GB"/>
        </w:rPr>
      </w:pPr>
      <w:r w:rsidRPr="00827F58">
        <w:rPr>
          <w:rFonts w:ascii="Arial" w:hAnsi="Arial" w:cs="Arial"/>
          <w:b/>
          <w:bCs/>
          <w:lang w:val="en-GB"/>
        </w:rPr>
        <w:t>High Power, Low Interest</w:t>
      </w:r>
      <w:r w:rsidRPr="00827F58">
        <w:rPr>
          <w:rFonts w:ascii="Arial" w:hAnsi="Arial" w:cs="Arial"/>
          <w:lang w:val="en-GB"/>
        </w:rPr>
        <w:t>: Retail partners and insurers. Keep satisfied with strategic briefings and performance metrics.</w:t>
      </w:r>
    </w:p>
    <w:p w14:paraId="5A7B060F" w14:textId="77777777" w:rsidR="006E4624" w:rsidRPr="00827F58" w:rsidRDefault="006E4624" w:rsidP="006E4624">
      <w:pPr>
        <w:numPr>
          <w:ilvl w:val="0"/>
          <w:numId w:val="5"/>
        </w:numPr>
        <w:rPr>
          <w:rFonts w:ascii="Arial" w:hAnsi="Arial" w:cs="Arial"/>
          <w:lang w:val="en-GB"/>
        </w:rPr>
      </w:pPr>
      <w:r w:rsidRPr="00827F58">
        <w:rPr>
          <w:rFonts w:ascii="Arial" w:hAnsi="Arial" w:cs="Arial"/>
          <w:b/>
          <w:bCs/>
          <w:lang w:val="en-GB"/>
        </w:rPr>
        <w:t>Low Power, High Interest</w:t>
      </w:r>
      <w:r w:rsidRPr="00827F58">
        <w:rPr>
          <w:rFonts w:ascii="Arial" w:hAnsi="Arial" w:cs="Arial"/>
          <w:lang w:val="en-GB"/>
        </w:rPr>
        <w:t>: Product development and R&amp;D teams. Engage actively through workshops and feedback loops.</w:t>
      </w:r>
    </w:p>
    <w:p w14:paraId="3CA44950" w14:textId="77777777" w:rsidR="006E4624" w:rsidRPr="00827F58" w:rsidRDefault="006E4624" w:rsidP="006E4624">
      <w:pPr>
        <w:numPr>
          <w:ilvl w:val="0"/>
          <w:numId w:val="5"/>
        </w:numPr>
        <w:rPr>
          <w:rFonts w:ascii="Arial" w:hAnsi="Arial" w:cs="Arial"/>
          <w:lang w:val="en-GB"/>
        </w:rPr>
      </w:pPr>
      <w:r w:rsidRPr="00827F58">
        <w:rPr>
          <w:rFonts w:ascii="Arial" w:hAnsi="Arial" w:cs="Arial"/>
          <w:b/>
          <w:bCs/>
          <w:lang w:val="en-GB"/>
        </w:rPr>
        <w:t>Low Power, Low Interest</w:t>
      </w:r>
      <w:r w:rsidRPr="00827F58">
        <w:rPr>
          <w:rFonts w:ascii="Arial" w:hAnsi="Arial" w:cs="Arial"/>
          <w:lang w:val="en-GB"/>
        </w:rPr>
        <w:t>: General consumers (pre-launch). Monitor sentiment and educate through marketing.</w:t>
      </w:r>
    </w:p>
    <w:p w14:paraId="059D5011" w14:textId="724BFA44" w:rsidR="006E4624" w:rsidRPr="00827F58" w:rsidRDefault="006E4624" w:rsidP="006E4624">
      <w:pPr>
        <w:rPr>
          <w:rFonts w:ascii="Arial" w:hAnsi="Arial" w:cs="Arial"/>
          <w:lang w:val="en-GB"/>
        </w:rPr>
      </w:pPr>
      <w:r w:rsidRPr="00827F58">
        <w:rPr>
          <w:rFonts w:ascii="Arial" w:hAnsi="Arial" w:cs="Arial"/>
          <w:lang w:val="en-GB"/>
        </w:rPr>
        <w:t xml:space="preserve">This matrix ensures that resources are focused </w:t>
      </w:r>
      <w:r w:rsidR="00734670" w:rsidRPr="00827F58">
        <w:rPr>
          <w:rFonts w:ascii="Arial" w:hAnsi="Arial" w:cs="Arial"/>
          <w:lang w:val="en-GB"/>
        </w:rPr>
        <w:t>were</w:t>
      </w:r>
      <w:r w:rsidRPr="00827F58">
        <w:rPr>
          <w:rFonts w:ascii="Arial" w:hAnsi="Arial" w:cs="Arial"/>
          <w:lang w:val="en-GB"/>
        </w:rPr>
        <w:t xml:space="preserve"> influence and engagement matter most.</w:t>
      </w:r>
    </w:p>
    <w:p w14:paraId="7F155305" w14:textId="77777777" w:rsidR="006E4624" w:rsidRPr="00827F58" w:rsidRDefault="00000000" w:rsidP="006E4624">
      <w:pPr>
        <w:rPr>
          <w:rFonts w:ascii="Arial" w:hAnsi="Arial" w:cs="Arial"/>
          <w:lang w:val="en-GB"/>
        </w:rPr>
      </w:pPr>
      <w:r w:rsidRPr="00827F58">
        <w:rPr>
          <w:rFonts w:ascii="Arial" w:hAnsi="Arial" w:cs="Arial"/>
          <w:lang w:val="en-GB"/>
        </w:rPr>
        <w:pict w14:anchorId="13A2E4A0">
          <v:rect id="_x0000_i1221" style="width:0;height:1.5pt" o:hralign="center" o:hrstd="t" o:hr="t" fillcolor="#a0a0a0" stroked="f"/>
        </w:pict>
      </w:r>
    </w:p>
    <w:p w14:paraId="701EE584" w14:textId="3F5CCB5F" w:rsidR="006E4624" w:rsidRPr="00827F58" w:rsidRDefault="006E4624" w:rsidP="006E4624">
      <w:pPr>
        <w:rPr>
          <w:rFonts w:ascii="Arial" w:hAnsi="Arial" w:cs="Arial"/>
          <w:b/>
          <w:bCs/>
          <w:lang w:val="en-GB"/>
        </w:rPr>
      </w:pPr>
      <w:r w:rsidRPr="00827F58">
        <w:rPr>
          <w:rFonts w:ascii="Arial" w:hAnsi="Arial" w:cs="Arial"/>
          <w:b/>
          <w:bCs/>
          <w:lang w:val="en-GB"/>
        </w:rPr>
        <w:t>2. Stakeholder Engagement Plan</w:t>
      </w:r>
    </w:p>
    <w:p w14:paraId="6C57FF26" w14:textId="77777777" w:rsidR="006E4624" w:rsidRPr="00827F58" w:rsidRDefault="006E4624" w:rsidP="006E4624">
      <w:pPr>
        <w:rPr>
          <w:rFonts w:ascii="Arial" w:hAnsi="Arial" w:cs="Arial"/>
          <w:lang w:val="en-GB"/>
        </w:rPr>
      </w:pPr>
      <w:r w:rsidRPr="00827F58">
        <w:rPr>
          <w:rFonts w:ascii="Arial" w:hAnsi="Arial" w:cs="Arial"/>
          <w:lang w:val="en-GB"/>
        </w:rPr>
        <w:t>This plan outlines how each stakeholder group will be involved throughout the project lifecycle. It includes:</w:t>
      </w:r>
    </w:p>
    <w:p w14:paraId="06E43AF0" w14:textId="77777777" w:rsidR="006E4624" w:rsidRPr="00827F58" w:rsidRDefault="006E4624" w:rsidP="006E4624">
      <w:pPr>
        <w:numPr>
          <w:ilvl w:val="0"/>
          <w:numId w:val="6"/>
        </w:numPr>
        <w:rPr>
          <w:rFonts w:ascii="Arial" w:hAnsi="Arial" w:cs="Arial"/>
          <w:lang w:val="en-GB"/>
        </w:rPr>
      </w:pPr>
      <w:r w:rsidRPr="00827F58">
        <w:rPr>
          <w:rFonts w:ascii="Arial" w:hAnsi="Arial" w:cs="Arial"/>
          <w:b/>
          <w:bCs/>
          <w:lang w:val="en-GB"/>
        </w:rPr>
        <w:t>Engagement objectives</w:t>
      </w:r>
      <w:r w:rsidRPr="00827F58">
        <w:rPr>
          <w:rFonts w:ascii="Arial" w:hAnsi="Arial" w:cs="Arial"/>
          <w:lang w:val="en-GB"/>
        </w:rPr>
        <w:t xml:space="preserve"> (e.g., build trust, gather feedback, secure approvals)</w:t>
      </w:r>
    </w:p>
    <w:p w14:paraId="7CB5AC7A" w14:textId="77777777" w:rsidR="006E4624" w:rsidRPr="00827F58" w:rsidRDefault="006E4624" w:rsidP="006E4624">
      <w:pPr>
        <w:numPr>
          <w:ilvl w:val="0"/>
          <w:numId w:val="6"/>
        </w:numPr>
        <w:rPr>
          <w:rFonts w:ascii="Arial" w:hAnsi="Arial" w:cs="Arial"/>
          <w:lang w:val="en-GB"/>
        </w:rPr>
      </w:pPr>
      <w:r w:rsidRPr="00827F58">
        <w:rPr>
          <w:rFonts w:ascii="Arial" w:hAnsi="Arial" w:cs="Arial"/>
          <w:b/>
          <w:bCs/>
          <w:lang w:val="en-GB"/>
        </w:rPr>
        <w:t>Preferred channels</w:t>
      </w:r>
      <w:r w:rsidRPr="00827F58">
        <w:rPr>
          <w:rFonts w:ascii="Arial" w:hAnsi="Arial" w:cs="Arial"/>
          <w:lang w:val="en-GB"/>
        </w:rPr>
        <w:t xml:space="preserve"> (e.g., email, workshops, dashboards, webinars)</w:t>
      </w:r>
    </w:p>
    <w:p w14:paraId="60A6B35D" w14:textId="77777777" w:rsidR="006E4624" w:rsidRPr="00827F58" w:rsidRDefault="006E4624" w:rsidP="006E4624">
      <w:pPr>
        <w:numPr>
          <w:ilvl w:val="0"/>
          <w:numId w:val="6"/>
        </w:numPr>
        <w:rPr>
          <w:rFonts w:ascii="Arial" w:hAnsi="Arial" w:cs="Arial"/>
          <w:lang w:val="en-GB"/>
        </w:rPr>
      </w:pPr>
      <w:r w:rsidRPr="00827F58">
        <w:rPr>
          <w:rFonts w:ascii="Arial" w:hAnsi="Arial" w:cs="Arial"/>
          <w:b/>
          <w:bCs/>
          <w:lang w:val="en-GB"/>
        </w:rPr>
        <w:t>Frequency of interaction</w:t>
      </w:r>
      <w:r w:rsidRPr="00827F58">
        <w:rPr>
          <w:rFonts w:ascii="Arial" w:hAnsi="Arial" w:cs="Arial"/>
          <w:lang w:val="en-GB"/>
        </w:rPr>
        <w:t xml:space="preserve"> (e.g., weekly stand-ups for internal teams, quarterly reviews for external partners)</w:t>
      </w:r>
    </w:p>
    <w:p w14:paraId="763BD81D" w14:textId="77777777" w:rsidR="006E4624" w:rsidRPr="00827F58" w:rsidRDefault="006E4624" w:rsidP="006E4624">
      <w:pPr>
        <w:numPr>
          <w:ilvl w:val="0"/>
          <w:numId w:val="6"/>
        </w:numPr>
        <w:rPr>
          <w:rFonts w:ascii="Arial" w:hAnsi="Arial" w:cs="Arial"/>
          <w:lang w:val="en-GB"/>
        </w:rPr>
      </w:pPr>
      <w:r w:rsidRPr="00827F58">
        <w:rPr>
          <w:rFonts w:ascii="Arial" w:hAnsi="Arial" w:cs="Arial"/>
          <w:b/>
          <w:bCs/>
          <w:lang w:val="en-GB"/>
        </w:rPr>
        <w:lastRenderedPageBreak/>
        <w:t>Success indicators</w:t>
      </w:r>
      <w:r w:rsidRPr="00827F58">
        <w:rPr>
          <w:rFonts w:ascii="Arial" w:hAnsi="Arial" w:cs="Arial"/>
          <w:lang w:val="en-GB"/>
        </w:rPr>
        <w:t xml:space="preserve"> (e.g., adoption rates, regulatory clearance, positive sentiment)</w:t>
      </w:r>
    </w:p>
    <w:p w14:paraId="70DECEDD" w14:textId="77777777" w:rsidR="006E4624" w:rsidRPr="00827F58" w:rsidRDefault="006E4624" w:rsidP="006E4624">
      <w:pPr>
        <w:rPr>
          <w:rFonts w:ascii="Arial" w:hAnsi="Arial" w:cs="Arial"/>
          <w:lang w:val="en-GB"/>
        </w:rPr>
      </w:pPr>
      <w:r w:rsidRPr="00827F58">
        <w:rPr>
          <w:rFonts w:ascii="Arial" w:hAnsi="Arial" w:cs="Arial"/>
          <w:lang w:val="en-GB"/>
        </w:rPr>
        <w:t>For Omron, this plan ensures that clinical teams, tech partners, and consumers are not just informed—but actively shaping the product.</w:t>
      </w:r>
    </w:p>
    <w:p w14:paraId="2EB2D7B7" w14:textId="77777777" w:rsidR="006E4624" w:rsidRPr="00827F58" w:rsidRDefault="00000000" w:rsidP="006E4624">
      <w:pPr>
        <w:rPr>
          <w:rFonts w:ascii="Arial" w:hAnsi="Arial" w:cs="Arial"/>
          <w:lang w:val="en-GB"/>
        </w:rPr>
      </w:pPr>
      <w:r w:rsidRPr="00827F58">
        <w:rPr>
          <w:rFonts w:ascii="Arial" w:hAnsi="Arial" w:cs="Arial"/>
          <w:lang w:val="en-GB"/>
        </w:rPr>
        <w:pict w14:anchorId="6B298259">
          <v:rect id="_x0000_i1222" style="width:0;height:1.5pt" o:hralign="center" o:hrstd="t" o:hr="t" fillcolor="#a0a0a0" stroked="f"/>
        </w:pict>
      </w:r>
    </w:p>
    <w:p w14:paraId="1E0A62D2" w14:textId="65F2E0F6" w:rsidR="006E4624" w:rsidRPr="00827F58" w:rsidRDefault="006E4624" w:rsidP="006E4624">
      <w:pPr>
        <w:rPr>
          <w:rFonts w:ascii="Arial" w:hAnsi="Arial" w:cs="Arial"/>
          <w:b/>
          <w:bCs/>
          <w:lang w:val="en-GB"/>
        </w:rPr>
      </w:pPr>
      <w:r w:rsidRPr="00827F58">
        <w:rPr>
          <w:rFonts w:ascii="Arial" w:hAnsi="Arial" w:cs="Arial"/>
          <w:b/>
          <w:bCs/>
          <w:lang w:val="en-GB"/>
        </w:rPr>
        <w:t xml:space="preserve"> 3. Communication Plan</w:t>
      </w:r>
    </w:p>
    <w:p w14:paraId="0F7DD5E1" w14:textId="77777777" w:rsidR="006E4624" w:rsidRPr="00827F58" w:rsidRDefault="006E4624" w:rsidP="006E4624">
      <w:pPr>
        <w:rPr>
          <w:rFonts w:ascii="Arial" w:hAnsi="Arial" w:cs="Arial"/>
          <w:lang w:val="en-GB"/>
        </w:rPr>
      </w:pPr>
      <w:r w:rsidRPr="00827F58">
        <w:rPr>
          <w:rFonts w:ascii="Arial" w:hAnsi="Arial" w:cs="Arial"/>
          <w:lang w:val="en-GB"/>
        </w:rPr>
        <w:t>Clear, consistent communication is vital—especially when bridging clinical rigor with consumer usability. A communication plan defines:</w:t>
      </w:r>
    </w:p>
    <w:p w14:paraId="6982C611" w14:textId="77777777" w:rsidR="006E4624" w:rsidRPr="00827F58" w:rsidRDefault="006E4624" w:rsidP="006E4624">
      <w:pPr>
        <w:numPr>
          <w:ilvl w:val="0"/>
          <w:numId w:val="7"/>
        </w:numPr>
        <w:rPr>
          <w:rFonts w:ascii="Arial" w:hAnsi="Arial" w:cs="Arial"/>
          <w:lang w:val="en-GB"/>
        </w:rPr>
      </w:pPr>
      <w:r w:rsidRPr="00827F58">
        <w:rPr>
          <w:rFonts w:ascii="Arial" w:hAnsi="Arial" w:cs="Arial"/>
          <w:b/>
          <w:bCs/>
          <w:lang w:val="en-GB"/>
        </w:rPr>
        <w:t>Audience segmentation</w:t>
      </w:r>
      <w:r w:rsidRPr="00827F58">
        <w:rPr>
          <w:rFonts w:ascii="Arial" w:hAnsi="Arial" w:cs="Arial"/>
          <w:lang w:val="en-GB"/>
        </w:rPr>
        <w:t>: Tailoring messages for healthcare providers vs. retail partners vs. end-users.</w:t>
      </w:r>
    </w:p>
    <w:p w14:paraId="58F57641" w14:textId="77777777" w:rsidR="006E4624" w:rsidRPr="00827F58" w:rsidRDefault="006E4624" w:rsidP="006E4624">
      <w:pPr>
        <w:numPr>
          <w:ilvl w:val="0"/>
          <w:numId w:val="7"/>
        </w:numPr>
        <w:rPr>
          <w:rFonts w:ascii="Arial" w:hAnsi="Arial" w:cs="Arial"/>
          <w:lang w:val="en-GB"/>
        </w:rPr>
      </w:pPr>
      <w:r w:rsidRPr="00827F58">
        <w:rPr>
          <w:rFonts w:ascii="Arial" w:hAnsi="Arial" w:cs="Arial"/>
          <w:b/>
          <w:bCs/>
          <w:lang w:val="en-GB"/>
        </w:rPr>
        <w:t>Message tone</w:t>
      </w:r>
      <w:r w:rsidRPr="00827F58">
        <w:rPr>
          <w:rFonts w:ascii="Arial" w:hAnsi="Arial" w:cs="Arial"/>
          <w:lang w:val="en-GB"/>
        </w:rPr>
        <w:t>: Professional and evidence-based for regulators; empathetic and accessible for consumers.</w:t>
      </w:r>
    </w:p>
    <w:p w14:paraId="5BC69406" w14:textId="77777777" w:rsidR="006E4624" w:rsidRPr="00827F58" w:rsidRDefault="006E4624" w:rsidP="006E4624">
      <w:pPr>
        <w:numPr>
          <w:ilvl w:val="0"/>
          <w:numId w:val="7"/>
        </w:numPr>
        <w:rPr>
          <w:rFonts w:ascii="Arial" w:hAnsi="Arial" w:cs="Arial"/>
          <w:lang w:val="en-GB"/>
        </w:rPr>
      </w:pPr>
      <w:r w:rsidRPr="00827F58">
        <w:rPr>
          <w:rFonts w:ascii="Arial" w:hAnsi="Arial" w:cs="Arial"/>
          <w:b/>
          <w:bCs/>
          <w:lang w:val="en-GB"/>
        </w:rPr>
        <w:t>Channels</w:t>
      </w:r>
      <w:r w:rsidRPr="00827F58">
        <w:rPr>
          <w:rFonts w:ascii="Arial" w:hAnsi="Arial" w:cs="Arial"/>
          <w:lang w:val="en-GB"/>
        </w:rPr>
        <w:t>: Internal platforms (e.g., Slack, SharePoint), external (e.g., social media, press releases), and hybrid (e.g., webinars).</w:t>
      </w:r>
    </w:p>
    <w:p w14:paraId="6C29800C" w14:textId="77777777" w:rsidR="006E4624" w:rsidRPr="00827F58" w:rsidRDefault="006E4624" w:rsidP="006E4624">
      <w:pPr>
        <w:numPr>
          <w:ilvl w:val="0"/>
          <w:numId w:val="7"/>
        </w:numPr>
        <w:rPr>
          <w:rFonts w:ascii="Arial" w:hAnsi="Arial" w:cs="Arial"/>
          <w:lang w:val="en-GB"/>
        </w:rPr>
      </w:pPr>
      <w:r w:rsidRPr="00827F58">
        <w:rPr>
          <w:rFonts w:ascii="Arial" w:hAnsi="Arial" w:cs="Arial"/>
          <w:b/>
          <w:bCs/>
          <w:lang w:val="en-GB"/>
        </w:rPr>
        <w:t>Feedback mechanisms</w:t>
      </w:r>
      <w:r w:rsidRPr="00827F58">
        <w:rPr>
          <w:rFonts w:ascii="Arial" w:hAnsi="Arial" w:cs="Arial"/>
          <w:lang w:val="en-GB"/>
        </w:rPr>
        <w:t>: Surveys, beta testing, and advisory boards to capture stakeholder input.</w:t>
      </w:r>
    </w:p>
    <w:p w14:paraId="0F222C59" w14:textId="77777777" w:rsidR="006E4624" w:rsidRPr="00827F58" w:rsidRDefault="006E4624" w:rsidP="006E4624">
      <w:pPr>
        <w:rPr>
          <w:rFonts w:ascii="Arial" w:hAnsi="Arial" w:cs="Arial"/>
          <w:lang w:val="en-GB"/>
        </w:rPr>
      </w:pPr>
      <w:r w:rsidRPr="00827F58">
        <w:rPr>
          <w:rFonts w:ascii="Arial" w:hAnsi="Arial" w:cs="Arial"/>
          <w:lang w:val="en-GB"/>
        </w:rPr>
        <w:t>This plan helps Omron maintain transparency, build trust, and adapt messaging as the project evolves.</w:t>
      </w:r>
    </w:p>
    <w:p w14:paraId="2D0BF9AC" w14:textId="77777777" w:rsidR="006E4624" w:rsidRPr="00827F58" w:rsidRDefault="00000000" w:rsidP="006E4624">
      <w:pPr>
        <w:rPr>
          <w:rFonts w:ascii="Arial" w:hAnsi="Arial" w:cs="Arial"/>
          <w:lang w:val="en-GB"/>
        </w:rPr>
      </w:pPr>
      <w:r w:rsidRPr="00827F58">
        <w:rPr>
          <w:rFonts w:ascii="Arial" w:hAnsi="Arial" w:cs="Arial"/>
          <w:lang w:val="en-GB"/>
        </w:rPr>
        <w:pict w14:anchorId="327A8153">
          <v:rect id="_x0000_i1223" style="width:0;height:1.5pt" o:hralign="center" o:hrstd="t" o:hr="t" fillcolor="#a0a0a0" stroked="f"/>
        </w:pict>
      </w:r>
    </w:p>
    <w:p w14:paraId="3F75FCD2" w14:textId="5DC99F97" w:rsidR="006E4624" w:rsidRPr="00827F58" w:rsidRDefault="006E4624" w:rsidP="006E4624">
      <w:pPr>
        <w:rPr>
          <w:rFonts w:ascii="Arial" w:hAnsi="Arial" w:cs="Arial"/>
          <w:b/>
          <w:bCs/>
          <w:lang w:val="en-GB"/>
        </w:rPr>
      </w:pPr>
      <w:r w:rsidRPr="00827F58">
        <w:rPr>
          <w:rFonts w:ascii="Arial" w:hAnsi="Arial" w:cs="Arial"/>
          <w:b/>
          <w:bCs/>
          <w:lang w:val="en-GB"/>
        </w:rPr>
        <w:t>4. RACI Matrix (Responsible, Accountable, Consulted, Informed)</w:t>
      </w:r>
    </w:p>
    <w:p w14:paraId="2C70ED1E" w14:textId="77777777" w:rsidR="006E4624" w:rsidRPr="00827F58" w:rsidRDefault="006E4624" w:rsidP="006E4624">
      <w:pPr>
        <w:rPr>
          <w:rFonts w:ascii="Arial" w:hAnsi="Arial" w:cs="Arial"/>
          <w:lang w:val="en-GB"/>
        </w:rPr>
      </w:pPr>
      <w:r w:rsidRPr="00827F58">
        <w:rPr>
          <w:rFonts w:ascii="Arial" w:hAnsi="Arial" w:cs="Arial"/>
          <w:lang w:val="en-GB"/>
        </w:rPr>
        <w:t>The RACI model clarifies who does what—especially in cross-functional teams. For 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6"/>
        <w:gridCol w:w="1774"/>
        <w:gridCol w:w="1461"/>
        <w:gridCol w:w="2248"/>
        <w:gridCol w:w="1991"/>
      </w:tblGrid>
      <w:tr w:rsidR="006E4624" w:rsidRPr="00827F58" w14:paraId="511FA4DE" w14:textId="77777777">
        <w:trPr>
          <w:tblHeader/>
          <w:tblCellSpacing w:w="15" w:type="dxa"/>
        </w:trPr>
        <w:tc>
          <w:tcPr>
            <w:tcW w:w="0" w:type="auto"/>
            <w:vAlign w:val="center"/>
            <w:hideMark/>
          </w:tcPr>
          <w:p w14:paraId="03454FCD" w14:textId="77777777" w:rsidR="006E4624" w:rsidRPr="00827F58" w:rsidRDefault="006E4624" w:rsidP="006E4624">
            <w:pPr>
              <w:rPr>
                <w:rFonts w:ascii="Arial" w:hAnsi="Arial" w:cs="Arial"/>
                <w:b/>
                <w:bCs/>
                <w:lang w:val="en-GB"/>
              </w:rPr>
            </w:pPr>
            <w:r w:rsidRPr="00827F58">
              <w:rPr>
                <w:rFonts w:ascii="Arial" w:hAnsi="Arial" w:cs="Arial"/>
                <w:b/>
                <w:bCs/>
                <w:lang w:val="en-GB"/>
              </w:rPr>
              <w:t>Task</w:t>
            </w:r>
          </w:p>
        </w:tc>
        <w:tc>
          <w:tcPr>
            <w:tcW w:w="0" w:type="auto"/>
            <w:vAlign w:val="center"/>
            <w:hideMark/>
          </w:tcPr>
          <w:p w14:paraId="15130BEB" w14:textId="77777777" w:rsidR="006E4624" w:rsidRPr="00827F58" w:rsidRDefault="006E4624" w:rsidP="006E4624">
            <w:pPr>
              <w:rPr>
                <w:rFonts w:ascii="Arial" w:hAnsi="Arial" w:cs="Arial"/>
                <w:b/>
                <w:bCs/>
                <w:lang w:val="en-GB"/>
              </w:rPr>
            </w:pPr>
            <w:r w:rsidRPr="00827F58">
              <w:rPr>
                <w:rFonts w:ascii="Arial" w:hAnsi="Arial" w:cs="Arial"/>
                <w:b/>
                <w:bCs/>
                <w:lang w:val="en-GB"/>
              </w:rPr>
              <w:t>Responsible</w:t>
            </w:r>
          </w:p>
        </w:tc>
        <w:tc>
          <w:tcPr>
            <w:tcW w:w="0" w:type="auto"/>
            <w:vAlign w:val="center"/>
            <w:hideMark/>
          </w:tcPr>
          <w:p w14:paraId="16BD02CE" w14:textId="77777777" w:rsidR="006E4624" w:rsidRPr="00827F58" w:rsidRDefault="006E4624" w:rsidP="006E4624">
            <w:pPr>
              <w:rPr>
                <w:rFonts w:ascii="Arial" w:hAnsi="Arial" w:cs="Arial"/>
                <w:b/>
                <w:bCs/>
                <w:lang w:val="en-GB"/>
              </w:rPr>
            </w:pPr>
            <w:r w:rsidRPr="00827F58">
              <w:rPr>
                <w:rFonts w:ascii="Arial" w:hAnsi="Arial" w:cs="Arial"/>
                <w:b/>
                <w:bCs/>
                <w:lang w:val="en-GB"/>
              </w:rPr>
              <w:t>Accountable</w:t>
            </w:r>
          </w:p>
        </w:tc>
        <w:tc>
          <w:tcPr>
            <w:tcW w:w="0" w:type="auto"/>
            <w:vAlign w:val="center"/>
            <w:hideMark/>
          </w:tcPr>
          <w:p w14:paraId="6C214770" w14:textId="77777777" w:rsidR="006E4624" w:rsidRPr="00827F58" w:rsidRDefault="006E4624" w:rsidP="006E4624">
            <w:pPr>
              <w:rPr>
                <w:rFonts w:ascii="Arial" w:hAnsi="Arial" w:cs="Arial"/>
                <w:b/>
                <w:bCs/>
                <w:lang w:val="en-GB"/>
              </w:rPr>
            </w:pPr>
            <w:r w:rsidRPr="00827F58">
              <w:rPr>
                <w:rFonts w:ascii="Arial" w:hAnsi="Arial" w:cs="Arial"/>
                <w:b/>
                <w:bCs/>
                <w:lang w:val="en-GB"/>
              </w:rPr>
              <w:t>Consulted</w:t>
            </w:r>
          </w:p>
        </w:tc>
        <w:tc>
          <w:tcPr>
            <w:tcW w:w="0" w:type="auto"/>
            <w:vAlign w:val="center"/>
            <w:hideMark/>
          </w:tcPr>
          <w:p w14:paraId="53BE9324" w14:textId="77777777" w:rsidR="006E4624" w:rsidRPr="00827F58" w:rsidRDefault="006E4624" w:rsidP="006E4624">
            <w:pPr>
              <w:rPr>
                <w:rFonts w:ascii="Arial" w:hAnsi="Arial" w:cs="Arial"/>
                <w:b/>
                <w:bCs/>
                <w:lang w:val="en-GB"/>
              </w:rPr>
            </w:pPr>
            <w:r w:rsidRPr="00827F58">
              <w:rPr>
                <w:rFonts w:ascii="Arial" w:hAnsi="Arial" w:cs="Arial"/>
                <w:b/>
                <w:bCs/>
                <w:lang w:val="en-GB"/>
              </w:rPr>
              <w:t>Informed</w:t>
            </w:r>
          </w:p>
        </w:tc>
      </w:tr>
      <w:tr w:rsidR="006E4624" w:rsidRPr="00827F58" w14:paraId="0AADAA09" w14:textId="77777777">
        <w:trPr>
          <w:tblCellSpacing w:w="15" w:type="dxa"/>
        </w:trPr>
        <w:tc>
          <w:tcPr>
            <w:tcW w:w="0" w:type="auto"/>
            <w:vAlign w:val="center"/>
            <w:hideMark/>
          </w:tcPr>
          <w:p w14:paraId="4604BBDA" w14:textId="77777777" w:rsidR="006E4624" w:rsidRPr="00827F58" w:rsidRDefault="006E4624" w:rsidP="006E4624">
            <w:pPr>
              <w:rPr>
                <w:rFonts w:ascii="Arial" w:hAnsi="Arial" w:cs="Arial"/>
                <w:lang w:val="en-GB"/>
              </w:rPr>
            </w:pPr>
            <w:r w:rsidRPr="00827F58">
              <w:rPr>
                <w:rFonts w:ascii="Arial" w:hAnsi="Arial" w:cs="Arial"/>
                <w:lang w:val="en-GB"/>
              </w:rPr>
              <w:t>Device Design</w:t>
            </w:r>
          </w:p>
        </w:tc>
        <w:tc>
          <w:tcPr>
            <w:tcW w:w="0" w:type="auto"/>
            <w:vAlign w:val="center"/>
            <w:hideMark/>
          </w:tcPr>
          <w:p w14:paraId="3EA786EB" w14:textId="77777777" w:rsidR="006E4624" w:rsidRPr="00827F58" w:rsidRDefault="006E4624" w:rsidP="006E4624">
            <w:pPr>
              <w:rPr>
                <w:rFonts w:ascii="Arial" w:hAnsi="Arial" w:cs="Arial"/>
                <w:lang w:val="en-GB"/>
              </w:rPr>
            </w:pPr>
            <w:r w:rsidRPr="00827F58">
              <w:rPr>
                <w:rFonts w:ascii="Arial" w:hAnsi="Arial" w:cs="Arial"/>
                <w:lang w:val="en-GB"/>
              </w:rPr>
              <w:t>Product Dev Team</w:t>
            </w:r>
          </w:p>
        </w:tc>
        <w:tc>
          <w:tcPr>
            <w:tcW w:w="0" w:type="auto"/>
            <w:vAlign w:val="center"/>
            <w:hideMark/>
          </w:tcPr>
          <w:p w14:paraId="3BEFAE5A" w14:textId="77777777" w:rsidR="006E4624" w:rsidRPr="00827F58" w:rsidRDefault="006E4624" w:rsidP="006E4624">
            <w:pPr>
              <w:rPr>
                <w:rFonts w:ascii="Arial" w:hAnsi="Arial" w:cs="Arial"/>
                <w:lang w:val="en-GB"/>
              </w:rPr>
            </w:pPr>
            <w:r w:rsidRPr="00827F58">
              <w:rPr>
                <w:rFonts w:ascii="Arial" w:hAnsi="Arial" w:cs="Arial"/>
                <w:lang w:val="en-GB"/>
              </w:rPr>
              <w:t>Head of R&amp;D</w:t>
            </w:r>
          </w:p>
        </w:tc>
        <w:tc>
          <w:tcPr>
            <w:tcW w:w="0" w:type="auto"/>
            <w:vAlign w:val="center"/>
            <w:hideMark/>
          </w:tcPr>
          <w:p w14:paraId="75008962" w14:textId="77777777" w:rsidR="006E4624" w:rsidRPr="00827F58" w:rsidRDefault="006E4624" w:rsidP="006E4624">
            <w:pPr>
              <w:rPr>
                <w:rFonts w:ascii="Arial" w:hAnsi="Arial" w:cs="Arial"/>
                <w:lang w:val="en-GB"/>
              </w:rPr>
            </w:pPr>
            <w:r w:rsidRPr="00827F58">
              <w:rPr>
                <w:rFonts w:ascii="Arial" w:hAnsi="Arial" w:cs="Arial"/>
                <w:lang w:val="en-GB"/>
              </w:rPr>
              <w:t>UX Designers, Clinicians</w:t>
            </w:r>
          </w:p>
        </w:tc>
        <w:tc>
          <w:tcPr>
            <w:tcW w:w="0" w:type="auto"/>
            <w:vAlign w:val="center"/>
            <w:hideMark/>
          </w:tcPr>
          <w:p w14:paraId="30A37AE0" w14:textId="77777777" w:rsidR="006E4624" w:rsidRPr="00827F58" w:rsidRDefault="006E4624" w:rsidP="006E4624">
            <w:pPr>
              <w:rPr>
                <w:rFonts w:ascii="Arial" w:hAnsi="Arial" w:cs="Arial"/>
                <w:lang w:val="en-GB"/>
              </w:rPr>
            </w:pPr>
            <w:r w:rsidRPr="00827F58">
              <w:rPr>
                <w:rFonts w:ascii="Arial" w:hAnsi="Arial" w:cs="Arial"/>
                <w:lang w:val="en-GB"/>
              </w:rPr>
              <w:t>Marketing Team</w:t>
            </w:r>
          </w:p>
        </w:tc>
      </w:tr>
      <w:tr w:rsidR="006E4624" w:rsidRPr="00827F58" w14:paraId="6D5A0B13" w14:textId="77777777">
        <w:trPr>
          <w:tblCellSpacing w:w="15" w:type="dxa"/>
        </w:trPr>
        <w:tc>
          <w:tcPr>
            <w:tcW w:w="0" w:type="auto"/>
            <w:vAlign w:val="center"/>
            <w:hideMark/>
          </w:tcPr>
          <w:p w14:paraId="4360D9C3" w14:textId="77777777" w:rsidR="006E4624" w:rsidRPr="00827F58" w:rsidRDefault="006E4624" w:rsidP="006E4624">
            <w:pPr>
              <w:rPr>
                <w:rFonts w:ascii="Arial" w:hAnsi="Arial" w:cs="Arial"/>
                <w:lang w:val="en-GB"/>
              </w:rPr>
            </w:pPr>
            <w:r w:rsidRPr="00827F58">
              <w:rPr>
                <w:rFonts w:ascii="Arial" w:hAnsi="Arial" w:cs="Arial"/>
                <w:lang w:val="en-GB"/>
              </w:rPr>
              <w:t>Regulatory Approval</w:t>
            </w:r>
          </w:p>
        </w:tc>
        <w:tc>
          <w:tcPr>
            <w:tcW w:w="0" w:type="auto"/>
            <w:vAlign w:val="center"/>
            <w:hideMark/>
          </w:tcPr>
          <w:p w14:paraId="758ED40B" w14:textId="77777777" w:rsidR="006E4624" w:rsidRPr="00827F58" w:rsidRDefault="006E4624" w:rsidP="006E4624">
            <w:pPr>
              <w:rPr>
                <w:rFonts w:ascii="Arial" w:hAnsi="Arial" w:cs="Arial"/>
                <w:lang w:val="en-GB"/>
              </w:rPr>
            </w:pPr>
            <w:r w:rsidRPr="00827F58">
              <w:rPr>
                <w:rFonts w:ascii="Arial" w:hAnsi="Arial" w:cs="Arial"/>
                <w:lang w:val="en-GB"/>
              </w:rPr>
              <w:t>Compliance Team</w:t>
            </w:r>
          </w:p>
        </w:tc>
        <w:tc>
          <w:tcPr>
            <w:tcW w:w="0" w:type="auto"/>
            <w:vAlign w:val="center"/>
            <w:hideMark/>
          </w:tcPr>
          <w:p w14:paraId="0369B1C5" w14:textId="77777777" w:rsidR="006E4624" w:rsidRPr="00827F58" w:rsidRDefault="006E4624" w:rsidP="006E4624">
            <w:pPr>
              <w:rPr>
                <w:rFonts w:ascii="Arial" w:hAnsi="Arial" w:cs="Arial"/>
                <w:lang w:val="en-GB"/>
              </w:rPr>
            </w:pPr>
            <w:r w:rsidRPr="00827F58">
              <w:rPr>
                <w:rFonts w:ascii="Arial" w:hAnsi="Arial" w:cs="Arial"/>
                <w:lang w:val="en-GB"/>
              </w:rPr>
              <w:t>Legal Lead</w:t>
            </w:r>
          </w:p>
        </w:tc>
        <w:tc>
          <w:tcPr>
            <w:tcW w:w="0" w:type="auto"/>
            <w:vAlign w:val="center"/>
            <w:hideMark/>
          </w:tcPr>
          <w:p w14:paraId="08D58B24" w14:textId="77777777" w:rsidR="006E4624" w:rsidRPr="00827F58" w:rsidRDefault="006E4624" w:rsidP="006E4624">
            <w:pPr>
              <w:rPr>
                <w:rFonts w:ascii="Arial" w:hAnsi="Arial" w:cs="Arial"/>
                <w:lang w:val="en-GB"/>
              </w:rPr>
            </w:pPr>
            <w:r w:rsidRPr="00827F58">
              <w:rPr>
                <w:rFonts w:ascii="Arial" w:hAnsi="Arial" w:cs="Arial"/>
                <w:lang w:val="en-GB"/>
              </w:rPr>
              <w:t>Executive Leadership</w:t>
            </w:r>
          </w:p>
        </w:tc>
        <w:tc>
          <w:tcPr>
            <w:tcW w:w="0" w:type="auto"/>
            <w:vAlign w:val="center"/>
            <w:hideMark/>
          </w:tcPr>
          <w:p w14:paraId="03479CE1" w14:textId="77777777" w:rsidR="006E4624" w:rsidRPr="00827F58" w:rsidRDefault="006E4624" w:rsidP="006E4624">
            <w:pPr>
              <w:rPr>
                <w:rFonts w:ascii="Arial" w:hAnsi="Arial" w:cs="Arial"/>
                <w:lang w:val="en-GB"/>
              </w:rPr>
            </w:pPr>
            <w:r w:rsidRPr="00827F58">
              <w:rPr>
                <w:rFonts w:ascii="Arial" w:hAnsi="Arial" w:cs="Arial"/>
                <w:lang w:val="en-GB"/>
              </w:rPr>
              <w:t>Product Team</w:t>
            </w:r>
          </w:p>
        </w:tc>
      </w:tr>
      <w:tr w:rsidR="006E4624" w:rsidRPr="00827F58" w14:paraId="0673611F" w14:textId="77777777">
        <w:trPr>
          <w:tblCellSpacing w:w="15" w:type="dxa"/>
        </w:trPr>
        <w:tc>
          <w:tcPr>
            <w:tcW w:w="0" w:type="auto"/>
            <w:vAlign w:val="center"/>
            <w:hideMark/>
          </w:tcPr>
          <w:p w14:paraId="3267BF9B" w14:textId="77777777" w:rsidR="006E4624" w:rsidRPr="00827F58" w:rsidRDefault="006E4624" w:rsidP="006E4624">
            <w:pPr>
              <w:rPr>
                <w:rFonts w:ascii="Arial" w:hAnsi="Arial" w:cs="Arial"/>
                <w:lang w:val="en-GB"/>
              </w:rPr>
            </w:pPr>
            <w:r w:rsidRPr="00827F58">
              <w:rPr>
                <w:rFonts w:ascii="Arial" w:hAnsi="Arial" w:cs="Arial"/>
                <w:lang w:val="en-GB"/>
              </w:rPr>
              <w:t>Consumer Launch</w:t>
            </w:r>
          </w:p>
        </w:tc>
        <w:tc>
          <w:tcPr>
            <w:tcW w:w="0" w:type="auto"/>
            <w:vAlign w:val="center"/>
            <w:hideMark/>
          </w:tcPr>
          <w:p w14:paraId="512E76D9" w14:textId="77777777" w:rsidR="006E4624" w:rsidRPr="00827F58" w:rsidRDefault="006E4624" w:rsidP="006E4624">
            <w:pPr>
              <w:rPr>
                <w:rFonts w:ascii="Arial" w:hAnsi="Arial" w:cs="Arial"/>
                <w:lang w:val="en-GB"/>
              </w:rPr>
            </w:pPr>
            <w:r w:rsidRPr="00827F58">
              <w:rPr>
                <w:rFonts w:ascii="Arial" w:hAnsi="Arial" w:cs="Arial"/>
                <w:lang w:val="en-GB"/>
              </w:rPr>
              <w:t>Marketing Team</w:t>
            </w:r>
          </w:p>
        </w:tc>
        <w:tc>
          <w:tcPr>
            <w:tcW w:w="0" w:type="auto"/>
            <w:vAlign w:val="center"/>
            <w:hideMark/>
          </w:tcPr>
          <w:p w14:paraId="7E923EFE" w14:textId="77777777" w:rsidR="006E4624" w:rsidRPr="00827F58" w:rsidRDefault="006E4624" w:rsidP="006E4624">
            <w:pPr>
              <w:rPr>
                <w:rFonts w:ascii="Arial" w:hAnsi="Arial" w:cs="Arial"/>
                <w:lang w:val="en-GB"/>
              </w:rPr>
            </w:pPr>
            <w:r w:rsidRPr="00827F58">
              <w:rPr>
                <w:rFonts w:ascii="Arial" w:hAnsi="Arial" w:cs="Arial"/>
                <w:lang w:val="en-GB"/>
              </w:rPr>
              <w:t>Brand Director</w:t>
            </w:r>
          </w:p>
        </w:tc>
        <w:tc>
          <w:tcPr>
            <w:tcW w:w="0" w:type="auto"/>
            <w:vAlign w:val="center"/>
            <w:hideMark/>
          </w:tcPr>
          <w:p w14:paraId="4B878026" w14:textId="77777777" w:rsidR="006E4624" w:rsidRPr="00827F58" w:rsidRDefault="006E4624" w:rsidP="006E4624">
            <w:pPr>
              <w:rPr>
                <w:rFonts w:ascii="Arial" w:hAnsi="Arial" w:cs="Arial"/>
                <w:lang w:val="en-GB"/>
              </w:rPr>
            </w:pPr>
            <w:r w:rsidRPr="00827F58">
              <w:rPr>
                <w:rFonts w:ascii="Arial" w:hAnsi="Arial" w:cs="Arial"/>
                <w:lang w:val="en-GB"/>
              </w:rPr>
              <w:t>Retail Partners</w:t>
            </w:r>
          </w:p>
        </w:tc>
        <w:tc>
          <w:tcPr>
            <w:tcW w:w="0" w:type="auto"/>
            <w:vAlign w:val="center"/>
            <w:hideMark/>
          </w:tcPr>
          <w:p w14:paraId="284BFE9C" w14:textId="77777777" w:rsidR="006E4624" w:rsidRPr="00827F58" w:rsidRDefault="006E4624" w:rsidP="006E4624">
            <w:pPr>
              <w:rPr>
                <w:rFonts w:ascii="Arial" w:hAnsi="Arial" w:cs="Arial"/>
                <w:lang w:val="en-GB"/>
              </w:rPr>
            </w:pPr>
            <w:r w:rsidRPr="00827F58">
              <w:rPr>
                <w:rFonts w:ascii="Arial" w:hAnsi="Arial" w:cs="Arial"/>
                <w:lang w:val="en-GB"/>
              </w:rPr>
              <w:t>All Internal Teams</w:t>
            </w:r>
          </w:p>
        </w:tc>
      </w:tr>
      <w:tr w:rsidR="006E4624" w:rsidRPr="00827F58" w14:paraId="5A9D8452" w14:textId="77777777">
        <w:trPr>
          <w:tblCellSpacing w:w="15" w:type="dxa"/>
        </w:trPr>
        <w:tc>
          <w:tcPr>
            <w:tcW w:w="0" w:type="auto"/>
            <w:vAlign w:val="center"/>
            <w:hideMark/>
          </w:tcPr>
          <w:p w14:paraId="13618974" w14:textId="77777777" w:rsidR="006E4624" w:rsidRPr="00827F58" w:rsidRDefault="006E4624" w:rsidP="006E4624">
            <w:pPr>
              <w:rPr>
                <w:rFonts w:ascii="Arial" w:hAnsi="Arial" w:cs="Arial"/>
                <w:lang w:val="en-GB"/>
              </w:rPr>
            </w:pPr>
            <w:r w:rsidRPr="00827F58">
              <w:rPr>
                <w:rFonts w:ascii="Arial" w:hAnsi="Arial" w:cs="Arial"/>
                <w:lang w:val="en-GB"/>
              </w:rPr>
              <w:t>Data Integration</w:t>
            </w:r>
          </w:p>
        </w:tc>
        <w:tc>
          <w:tcPr>
            <w:tcW w:w="0" w:type="auto"/>
            <w:vAlign w:val="center"/>
            <w:hideMark/>
          </w:tcPr>
          <w:p w14:paraId="1FE2DA8B" w14:textId="77777777" w:rsidR="006E4624" w:rsidRPr="00827F58" w:rsidRDefault="006E4624" w:rsidP="006E4624">
            <w:pPr>
              <w:rPr>
                <w:rFonts w:ascii="Arial" w:hAnsi="Arial" w:cs="Arial"/>
                <w:lang w:val="en-GB"/>
              </w:rPr>
            </w:pPr>
            <w:r w:rsidRPr="00827F58">
              <w:rPr>
                <w:rFonts w:ascii="Arial" w:hAnsi="Arial" w:cs="Arial"/>
                <w:lang w:val="en-GB"/>
              </w:rPr>
              <w:t>Tech Partners</w:t>
            </w:r>
          </w:p>
        </w:tc>
        <w:tc>
          <w:tcPr>
            <w:tcW w:w="0" w:type="auto"/>
            <w:vAlign w:val="center"/>
            <w:hideMark/>
          </w:tcPr>
          <w:p w14:paraId="5CE6D133" w14:textId="77777777" w:rsidR="006E4624" w:rsidRPr="00827F58" w:rsidRDefault="006E4624" w:rsidP="006E4624">
            <w:pPr>
              <w:rPr>
                <w:rFonts w:ascii="Arial" w:hAnsi="Arial" w:cs="Arial"/>
                <w:lang w:val="en-GB"/>
              </w:rPr>
            </w:pPr>
            <w:r w:rsidRPr="00827F58">
              <w:rPr>
                <w:rFonts w:ascii="Arial" w:hAnsi="Arial" w:cs="Arial"/>
                <w:lang w:val="en-GB"/>
              </w:rPr>
              <w:t>CTO</w:t>
            </w:r>
          </w:p>
        </w:tc>
        <w:tc>
          <w:tcPr>
            <w:tcW w:w="0" w:type="auto"/>
            <w:vAlign w:val="center"/>
            <w:hideMark/>
          </w:tcPr>
          <w:p w14:paraId="1DF46F0A" w14:textId="77777777" w:rsidR="006E4624" w:rsidRPr="00827F58" w:rsidRDefault="006E4624" w:rsidP="006E4624">
            <w:pPr>
              <w:rPr>
                <w:rFonts w:ascii="Arial" w:hAnsi="Arial" w:cs="Arial"/>
                <w:lang w:val="en-GB"/>
              </w:rPr>
            </w:pPr>
            <w:r w:rsidRPr="00827F58">
              <w:rPr>
                <w:rFonts w:ascii="Arial" w:hAnsi="Arial" w:cs="Arial"/>
                <w:lang w:val="en-GB"/>
              </w:rPr>
              <w:t>R&amp;D, Compliance</w:t>
            </w:r>
          </w:p>
        </w:tc>
        <w:tc>
          <w:tcPr>
            <w:tcW w:w="0" w:type="auto"/>
            <w:vAlign w:val="center"/>
            <w:hideMark/>
          </w:tcPr>
          <w:p w14:paraId="4554A07C" w14:textId="77777777" w:rsidR="006E4624" w:rsidRPr="00827F58" w:rsidRDefault="006E4624" w:rsidP="006E4624">
            <w:pPr>
              <w:rPr>
                <w:rFonts w:ascii="Arial" w:hAnsi="Arial" w:cs="Arial"/>
                <w:lang w:val="en-GB"/>
              </w:rPr>
            </w:pPr>
            <w:r w:rsidRPr="00827F58">
              <w:rPr>
                <w:rFonts w:ascii="Arial" w:hAnsi="Arial" w:cs="Arial"/>
                <w:lang w:val="en-GB"/>
              </w:rPr>
              <w:t>Executive Leadership</w:t>
            </w:r>
          </w:p>
        </w:tc>
      </w:tr>
    </w:tbl>
    <w:p w14:paraId="67EA1E5F" w14:textId="77777777" w:rsidR="006E4624" w:rsidRPr="00827F58" w:rsidRDefault="006E4624" w:rsidP="006E4624">
      <w:pPr>
        <w:rPr>
          <w:rFonts w:ascii="Arial" w:hAnsi="Arial" w:cs="Arial"/>
          <w:lang w:val="en-GB"/>
        </w:rPr>
      </w:pPr>
      <w:r w:rsidRPr="00827F58">
        <w:rPr>
          <w:rFonts w:ascii="Arial" w:hAnsi="Arial" w:cs="Arial"/>
          <w:lang w:val="en-GB"/>
        </w:rPr>
        <w:t>This matrix reduces confusion, speeds up decision-making, and ensures accountability across the wearable rollout.</w:t>
      </w:r>
    </w:p>
    <w:p w14:paraId="1B9C0186" w14:textId="77777777" w:rsidR="006E4624" w:rsidRPr="00827F58" w:rsidRDefault="00000000" w:rsidP="006E4624">
      <w:pPr>
        <w:rPr>
          <w:rFonts w:ascii="Arial" w:hAnsi="Arial" w:cs="Arial"/>
          <w:lang w:val="en-GB"/>
        </w:rPr>
      </w:pPr>
      <w:r w:rsidRPr="00827F58">
        <w:rPr>
          <w:rFonts w:ascii="Arial" w:hAnsi="Arial" w:cs="Arial"/>
          <w:lang w:val="en-GB"/>
        </w:rPr>
        <w:lastRenderedPageBreak/>
        <w:pict w14:anchorId="20C023B2">
          <v:rect id="_x0000_i1224" style="width:0;height:1.5pt" o:hralign="center" o:hrstd="t" o:hr="t" fillcolor="#a0a0a0" stroked="f"/>
        </w:pict>
      </w:r>
    </w:p>
    <w:p w14:paraId="6EBCABFE" w14:textId="1CE0DD02" w:rsidR="006E4624" w:rsidRPr="00827F58" w:rsidRDefault="006E4624" w:rsidP="006E4624">
      <w:pPr>
        <w:rPr>
          <w:rFonts w:ascii="Arial" w:hAnsi="Arial" w:cs="Arial"/>
          <w:lang w:val="en-GB"/>
        </w:rPr>
      </w:pPr>
      <w:r w:rsidRPr="00827F58">
        <w:rPr>
          <w:rFonts w:ascii="Arial" w:hAnsi="Arial" w:cs="Arial"/>
          <w:lang w:val="en-GB"/>
        </w:rPr>
        <w:t xml:space="preserve">Together, these frameworks create a robust engagement ecosystem—one that supports Omron’s strategic goals while </w:t>
      </w:r>
      <w:r w:rsidR="00C4432F" w:rsidRPr="00827F58">
        <w:rPr>
          <w:rFonts w:ascii="Arial" w:hAnsi="Arial" w:cs="Arial"/>
          <w:lang w:val="en-GB"/>
        </w:rPr>
        <w:t>honouring</w:t>
      </w:r>
      <w:r w:rsidRPr="00827F58">
        <w:rPr>
          <w:rFonts w:ascii="Arial" w:hAnsi="Arial" w:cs="Arial"/>
          <w:lang w:val="en-GB"/>
        </w:rPr>
        <w:t xml:space="preserve"> the needs and contributions of every stakeholde</w:t>
      </w:r>
      <w:r w:rsidR="00C4432F" w:rsidRPr="00827F58">
        <w:rPr>
          <w:rFonts w:ascii="Arial" w:hAnsi="Arial" w:cs="Arial"/>
          <w:lang w:val="en-GB"/>
        </w:rPr>
        <w:t>r</w:t>
      </w:r>
    </w:p>
    <w:p w14:paraId="2E56FDAE" w14:textId="77777777" w:rsidR="00EC7A5D" w:rsidRPr="00827F58" w:rsidRDefault="00EC7A5D" w:rsidP="00EC7A5D">
      <w:pPr>
        <w:rPr>
          <w:rFonts w:ascii="Arial" w:hAnsi="Arial" w:cs="Arial"/>
          <w:lang w:val="en-GB"/>
        </w:rPr>
      </w:pPr>
      <w:r w:rsidRPr="00827F58">
        <w:rPr>
          <w:rFonts w:ascii="Arial" w:hAnsi="Arial" w:cs="Arial"/>
          <w:lang w:val="en-GB"/>
        </w:rPr>
        <w:t>As the project manager leading Omron Healthcare’s wearable strategy, my role is not just to deliver a product—it’s to orchestrate a complex web of relationships, expectations, and expertise. Stakeholder engagement is at the heart of this process. To ensure alignment, trust, and momentum, I would apply the 4C’s model—</w:t>
      </w:r>
      <w:r w:rsidRPr="00827F58">
        <w:rPr>
          <w:rFonts w:ascii="Arial" w:hAnsi="Arial" w:cs="Arial"/>
          <w:b/>
          <w:bCs/>
          <w:lang w:val="en-GB"/>
        </w:rPr>
        <w:t>Communication, Coordination, Cooperation, and Collaboration</w:t>
      </w:r>
      <w:r w:rsidRPr="00827F58">
        <w:rPr>
          <w:rFonts w:ascii="Arial" w:hAnsi="Arial" w:cs="Arial"/>
          <w:lang w:val="en-GB"/>
        </w:rPr>
        <w:t>—as a practical framework for engagement and conflict resolution.</w:t>
      </w:r>
    </w:p>
    <w:p w14:paraId="5A4EDA2B" w14:textId="77777777" w:rsidR="00EC7A5D" w:rsidRPr="00827F58" w:rsidRDefault="00000000" w:rsidP="00EC7A5D">
      <w:pPr>
        <w:rPr>
          <w:rFonts w:ascii="Arial" w:hAnsi="Arial" w:cs="Arial"/>
          <w:lang w:val="en-GB"/>
        </w:rPr>
      </w:pPr>
      <w:r w:rsidRPr="00827F58">
        <w:rPr>
          <w:rFonts w:ascii="Arial" w:hAnsi="Arial" w:cs="Arial"/>
          <w:lang w:val="en-GB"/>
        </w:rPr>
        <w:pict w14:anchorId="75B0C144">
          <v:rect id="_x0000_i1225" style="width:0;height:1.5pt" o:hralign="center" o:hrstd="t" o:hr="t" fillcolor="#a0a0a0" stroked="f"/>
        </w:pict>
      </w:r>
    </w:p>
    <w:p w14:paraId="1E149B49" w14:textId="77777777" w:rsidR="00EC7A5D" w:rsidRPr="00827F58" w:rsidRDefault="00EC7A5D" w:rsidP="00EC7A5D">
      <w:pPr>
        <w:rPr>
          <w:rFonts w:ascii="Arial" w:hAnsi="Arial" w:cs="Arial"/>
          <w:b/>
          <w:bCs/>
          <w:lang w:val="en-GB"/>
        </w:rPr>
      </w:pPr>
      <w:r w:rsidRPr="00827F58">
        <w:rPr>
          <w:rFonts w:ascii="Arial" w:hAnsi="Arial" w:cs="Arial"/>
          <w:b/>
          <w:bCs/>
          <w:lang w:val="en-GB"/>
        </w:rPr>
        <w:t>1. Communication: Building Trust Through Clarity and Consistency</w:t>
      </w:r>
    </w:p>
    <w:p w14:paraId="1795F612" w14:textId="77777777" w:rsidR="00EC7A5D" w:rsidRPr="00827F58" w:rsidRDefault="00EC7A5D" w:rsidP="00EC7A5D">
      <w:pPr>
        <w:rPr>
          <w:rFonts w:ascii="Arial" w:hAnsi="Arial" w:cs="Arial"/>
          <w:lang w:val="en-GB"/>
        </w:rPr>
      </w:pPr>
      <w:r w:rsidRPr="00827F58">
        <w:rPr>
          <w:rFonts w:ascii="Arial" w:hAnsi="Arial" w:cs="Arial"/>
          <w:lang w:val="en-GB"/>
        </w:rPr>
        <w:t>Effective communication is the foundation of stakeholder engagement. My first step would be to establish clear, tailored communication channels for each stakeholder group. For example:</w:t>
      </w:r>
    </w:p>
    <w:p w14:paraId="6F0DCD01" w14:textId="77777777" w:rsidR="00EC7A5D" w:rsidRPr="00827F58" w:rsidRDefault="00EC7A5D" w:rsidP="00EC7A5D">
      <w:pPr>
        <w:numPr>
          <w:ilvl w:val="0"/>
          <w:numId w:val="8"/>
        </w:numPr>
        <w:rPr>
          <w:rFonts w:ascii="Arial" w:hAnsi="Arial" w:cs="Arial"/>
          <w:lang w:val="en-GB"/>
        </w:rPr>
      </w:pPr>
      <w:r w:rsidRPr="00827F58">
        <w:rPr>
          <w:rFonts w:ascii="Arial" w:hAnsi="Arial" w:cs="Arial"/>
          <w:b/>
          <w:bCs/>
          <w:lang w:val="en-GB"/>
        </w:rPr>
        <w:t>Internal teams</w:t>
      </w:r>
      <w:r w:rsidRPr="00827F58">
        <w:rPr>
          <w:rFonts w:ascii="Arial" w:hAnsi="Arial" w:cs="Arial"/>
          <w:lang w:val="en-GB"/>
        </w:rPr>
        <w:t xml:space="preserve"> (product development, R&amp;D, marketing) would receive weekly updates via project dashboards and stand-up meetings.</w:t>
      </w:r>
    </w:p>
    <w:p w14:paraId="7F7E8F9A" w14:textId="77777777" w:rsidR="00EC7A5D" w:rsidRPr="00827F58" w:rsidRDefault="00EC7A5D" w:rsidP="00EC7A5D">
      <w:pPr>
        <w:numPr>
          <w:ilvl w:val="0"/>
          <w:numId w:val="8"/>
        </w:numPr>
        <w:rPr>
          <w:rFonts w:ascii="Arial" w:hAnsi="Arial" w:cs="Arial"/>
          <w:lang w:val="en-GB"/>
        </w:rPr>
      </w:pPr>
      <w:r w:rsidRPr="00827F58">
        <w:rPr>
          <w:rFonts w:ascii="Arial" w:hAnsi="Arial" w:cs="Arial"/>
          <w:b/>
          <w:bCs/>
          <w:lang w:val="en-GB"/>
        </w:rPr>
        <w:t>External stakeholders</w:t>
      </w:r>
      <w:r w:rsidRPr="00827F58">
        <w:rPr>
          <w:rFonts w:ascii="Arial" w:hAnsi="Arial" w:cs="Arial"/>
          <w:lang w:val="en-GB"/>
        </w:rPr>
        <w:t xml:space="preserve"> (healthcare providers, tech partners, regulators) would be engaged through structured briefings, milestone reviews, and feedback sessions.</w:t>
      </w:r>
    </w:p>
    <w:p w14:paraId="35580B0B" w14:textId="77777777" w:rsidR="00EC7A5D" w:rsidRPr="00827F58" w:rsidRDefault="00EC7A5D" w:rsidP="00EC7A5D">
      <w:pPr>
        <w:rPr>
          <w:rFonts w:ascii="Arial" w:hAnsi="Arial" w:cs="Arial"/>
          <w:lang w:val="en-GB"/>
        </w:rPr>
      </w:pPr>
      <w:r w:rsidRPr="00827F58">
        <w:rPr>
          <w:rFonts w:ascii="Arial" w:hAnsi="Arial" w:cs="Arial"/>
          <w:lang w:val="en-GB"/>
        </w:rPr>
        <w:t>I would ensure that communication is two-way—encouraging questions, surfacing concerns early, and creating space for honest dialogue. Tone matters: for clinicians and regulators, I’d use evidence-based language; for consumers and retail partners, I’d prioritize clarity, empathy, and accessibility.</w:t>
      </w:r>
    </w:p>
    <w:p w14:paraId="0DAC87D4" w14:textId="77777777" w:rsidR="00EC7A5D" w:rsidRPr="00827F58" w:rsidRDefault="00EC7A5D" w:rsidP="00EC7A5D">
      <w:pPr>
        <w:rPr>
          <w:rFonts w:ascii="Arial" w:hAnsi="Arial" w:cs="Arial"/>
          <w:lang w:val="en-GB"/>
        </w:rPr>
      </w:pPr>
      <w:r w:rsidRPr="00827F58">
        <w:rPr>
          <w:rFonts w:ascii="Arial" w:hAnsi="Arial" w:cs="Arial"/>
          <w:lang w:val="en-GB"/>
        </w:rPr>
        <w:t>To prevent misalignment, I’d document key decisions, share meeting summaries, and use visual tools (e.g., stakeholder maps, RACI charts) to clarify roles. This transparency builds trust and reduces the risk of misunderstandings that often lead to conflict.</w:t>
      </w:r>
    </w:p>
    <w:p w14:paraId="2EE399E5" w14:textId="77777777" w:rsidR="00EC7A5D" w:rsidRPr="00827F58" w:rsidRDefault="00000000" w:rsidP="00EC7A5D">
      <w:pPr>
        <w:rPr>
          <w:rFonts w:ascii="Arial" w:hAnsi="Arial" w:cs="Arial"/>
          <w:lang w:val="en-GB"/>
        </w:rPr>
      </w:pPr>
      <w:r w:rsidRPr="00827F58">
        <w:rPr>
          <w:rFonts w:ascii="Arial" w:hAnsi="Arial" w:cs="Arial"/>
          <w:lang w:val="en-GB"/>
        </w:rPr>
        <w:pict w14:anchorId="18F34930">
          <v:rect id="_x0000_i1226" style="width:0;height:1.5pt" o:hralign="center" o:hrstd="t" o:hr="t" fillcolor="#a0a0a0" stroked="f"/>
        </w:pict>
      </w:r>
    </w:p>
    <w:p w14:paraId="6C93C3C6" w14:textId="77777777" w:rsidR="00EC7A5D" w:rsidRPr="00827F58" w:rsidRDefault="00EC7A5D" w:rsidP="00EC7A5D">
      <w:pPr>
        <w:rPr>
          <w:rFonts w:ascii="Arial" w:hAnsi="Arial" w:cs="Arial"/>
          <w:b/>
          <w:bCs/>
          <w:lang w:val="en-GB"/>
        </w:rPr>
      </w:pPr>
      <w:r w:rsidRPr="00827F58">
        <w:rPr>
          <w:rFonts w:ascii="Arial" w:hAnsi="Arial" w:cs="Arial"/>
          <w:b/>
          <w:bCs/>
          <w:lang w:val="en-GB"/>
        </w:rPr>
        <w:t>2. Coordination: Aligning Moving Parts Without Losing Momentum</w:t>
      </w:r>
    </w:p>
    <w:p w14:paraId="7BCA7E1C" w14:textId="77777777" w:rsidR="00EC7A5D" w:rsidRPr="00827F58" w:rsidRDefault="00EC7A5D" w:rsidP="00EC7A5D">
      <w:pPr>
        <w:rPr>
          <w:rFonts w:ascii="Arial" w:hAnsi="Arial" w:cs="Arial"/>
          <w:lang w:val="en-GB"/>
        </w:rPr>
      </w:pPr>
      <w:r w:rsidRPr="00827F58">
        <w:rPr>
          <w:rFonts w:ascii="Arial" w:hAnsi="Arial" w:cs="Arial"/>
          <w:lang w:val="en-GB"/>
        </w:rPr>
        <w:t>With multiple teams working across time zones and disciplines, coordination is essential. I would implement a centralized project management system (e.g., Asana or Microsoft Project) to track tasks, dependencies, and deadlines. This ensures that everyone—from engineers to marketers—has visibility into the project’s progress and their role in it.</w:t>
      </w:r>
    </w:p>
    <w:p w14:paraId="2254E9B1" w14:textId="77777777" w:rsidR="00EC7A5D" w:rsidRPr="00827F58" w:rsidRDefault="00EC7A5D" w:rsidP="00EC7A5D">
      <w:pPr>
        <w:rPr>
          <w:rFonts w:ascii="Arial" w:hAnsi="Arial" w:cs="Arial"/>
          <w:lang w:val="en-GB"/>
        </w:rPr>
      </w:pPr>
      <w:r w:rsidRPr="00827F58">
        <w:rPr>
          <w:rFonts w:ascii="Arial" w:hAnsi="Arial" w:cs="Arial"/>
          <w:lang w:val="en-GB"/>
        </w:rPr>
        <w:t>I’d also establish a rhythm of cross-functional check-ins to align priorities and flag risks early. For example, before a product sprint begins, I’d bring together R&amp;D, compliance, and UX to ensure that technical feasibility, regulatory requirements, and user needs are all accounted for.</w:t>
      </w:r>
    </w:p>
    <w:p w14:paraId="2E95E5F9" w14:textId="77777777" w:rsidR="00EC7A5D" w:rsidRPr="00827F58" w:rsidRDefault="00EC7A5D" w:rsidP="00EC7A5D">
      <w:pPr>
        <w:rPr>
          <w:rFonts w:ascii="Arial" w:hAnsi="Arial" w:cs="Arial"/>
          <w:lang w:val="en-GB"/>
        </w:rPr>
      </w:pPr>
      <w:r w:rsidRPr="00827F58">
        <w:rPr>
          <w:rFonts w:ascii="Arial" w:hAnsi="Arial" w:cs="Arial"/>
          <w:lang w:val="en-GB"/>
        </w:rPr>
        <w:t xml:space="preserve">Coordination also means managing expectations. If a regulatory delay impacts the launch timeline, I’d proactively communicate this to marketing and retail partners, offering revised plans </w:t>
      </w:r>
      <w:r w:rsidRPr="00827F58">
        <w:rPr>
          <w:rFonts w:ascii="Arial" w:hAnsi="Arial" w:cs="Arial"/>
          <w:lang w:val="en-GB"/>
        </w:rPr>
        <w:lastRenderedPageBreak/>
        <w:t>and mitigation strategies. This prevents frustration and keeps stakeholders engaged, even when plans shift.</w:t>
      </w:r>
    </w:p>
    <w:p w14:paraId="47A43D8D" w14:textId="77777777" w:rsidR="00EC7A5D" w:rsidRPr="00827F58" w:rsidRDefault="00000000" w:rsidP="00EC7A5D">
      <w:pPr>
        <w:rPr>
          <w:rFonts w:ascii="Arial" w:hAnsi="Arial" w:cs="Arial"/>
          <w:lang w:val="en-GB"/>
        </w:rPr>
      </w:pPr>
      <w:r w:rsidRPr="00827F58">
        <w:rPr>
          <w:rFonts w:ascii="Arial" w:hAnsi="Arial" w:cs="Arial"/>
          <w:lang w:val="en-GB"/>
        </w:rPr>
        <w:pict w14:anchorId="484B771A">
          <v:rect id="_x0000_i1227" style="width:0;height:1.5pt" o:hralign="center" o:hrstd="t" o:hr="t" fillcolor="#a0a0a0" stroked="f"/>
        </w:pict>
      </w:r>
    </w:p>
    <w:p w14:paraId="33F913C8" w14:textId="77777777" w:rsidR="003E5A06" w:rsidRPr="00827F58" w:rsidRDefault="003E5A06" w:rsidP="00EC7A5D">
      <w:pPr>
        <w:rPr>
          <w:rFonts w:ascii="Arial" w:hAnsi="Arial" w:cs="Arial"/>
          <w:b/>
          <w:bCs/>
          <w:lang w:val="en-GB"/>
        </w:rPr>
      </w:pPr>
    </w:p>
    <w:p w14:paraId="2F43BEEB" w14:textId="77777777" w:rsidR="003E5A06" w:rsidRPr="00827F58" w:rsidRDefault="003E5A06" w:rsidP="00EC7A5D">
      <w:pPr>
        <w:rPr>
          <w:rFonts w:ascii="Arial" w:hAnsi="Arial" w:cs="Arial"/>
          <w:b/>
          <w:bCs/>
          <w:lang w:val="en-GB"/>
        </w:rPr>
      </w:pPr>
    </w:p>
    <w:p w14:paraId="02DA17A1" w14:textId="75789D9E" w:rsidR="00EC7A5D" w:rsidRPr="00827F58" w:rsidRDefault="00EC7A5D" w:rsidP="00EC7A5D">
      <w:pPr>
        <w:rPr>
          <w:rFonts w:ascii="Arial" w:hAnsi="Arial" w:cs="Arial"/>
          <w:b/>
          <w:bCs/>
          <w:lang w:val="en-GB"/>
        </w:rPr>
      </w:pPr>
      <w:r w:rsidRPr="00827F58">
        <w:rPr>
          <w:rFonts w:ascii="Arial" w:hAnsi="Arial" w:cs="Arial"/>
          <w:b/>
          <w:bCs/>
          <w:lang w:val="en-GB"/>
        </w:rPr>
        <w:t>3. Cooperation: Creating Shared Ownership Without Silos</w:t>
      </w:r>
    </w:p>
    <w:p w14:paraId="03C920F5" w14:textId="77777777" w:rsidR="00EC7A5D" w:rsidRPr="00827F58" w:rsidRDefault="00EC7A5D" w:rsidP="00EC7A5D">
      <w:pPr>
        <w:rPr>
          <w:rFonts w:ascii="Arial" w:hAnsi="Arial" w:cs="Arial"/>
          <w:lang w:val="en-GB"/>
        </w:rPr>
      </w:pPr>
      <w:r w:rsidRPr="00827F58">
        <w:rPr>
          <w:rFonts w:ascii="Arial" w:hAnsi="Arial" w:cs="Arial"/>
          <w:lang w:val="en-GB"/>
        </w:rPr>
        <w:t>Cooperation is about fostering a culture where stakeholders feel invested in the project’s success—not just accountable for their own tasks. I would begin by co-creating goals with each stakeholder group. For example:</w:t>
      </w:r>
    </w:p>
    <w:p w14:paraId="56020396" w14:textId="77777777" w:rsidR="00EC7A5D" w:rsidRPr="00827F58" w:rsidRDefault="00EC7A5D" w:rsidP="00EC7A5D">
      <w:pPr>
        <w:numPr>
          <w:ilvl w:val="0"/>
          <w:numId w:val="9"/>
        </w:numPr>
        <w:rPr>
          <w:rFonts w:ascii="Arial" w:hAnsi="Arial" w:cs="Arial"/>
          <w:lang w:val="en-GB"/>
        </w:rPr>
      </w:pPr>
      <w:r w:rsidRPr="00827F58">
        <w:rPr>
          <w:rFonts w:ascii="Arial" w:hAnsi="Arial" w:cs="Arial"/>
          <w:lang w:val="en-GB"/>
        </w:rPr>
        <w:t xml:space="preserve">With </w:t>
      </w:r>
      <w:r w:rsidRPr="00827F58">
        <w:rPr>
          <w:rFonts w:ascii="Arial" w:hAnsi="Arial" w:cs="Arial"/>
          <w:b/>
          <w:bCs/>
          <w:lang w:val="en-GB"/>
        </w:rPr>
        <w:t>healthcare providers</w:t>
      </w:r>
      <w:r w:rsidRPr="00827F58">
        <w:rPr>
          <w:rFonts w:ascii="Arial" w:hAnsi="Arial" w:cs="Arial"/>
          <w:lang w:val="en-GB"/>
        </w:rPr>
        <w:t>, I’d explore how wearables can support patient outcomes and integrate into care pathways.</w:t>
      </w:r>
    </w:p>
    <w:p w14:paraId="26508540" w14:textId="77777777" w:rsidR="00EC7A5D" w:rsidRPr="00827F58" w:rsidRDefault="00EC7A5D" w:rsidP="00EC7A5D">
      <w:pPr>
        <w:numPr>
          <w:ilvl w:val="0"/>
          <w:numId w:val="9"/>
        </w:numPr>
        <w:rPr>
          <w:rFonts w:ascii="Arial" w:hAnsi="Arial" w:cs="Arial"/>
          <w:lang w:val="en-GB"/>
        </w:rPr>
      </w:pPr>
      <w:r w:rsidRPr="00827F58">
        <w:rPr>
          <w:rFonts w:ascii="Arial" w:hAnsi="Arial" w:cs="Arial"/>
          <w:lang w:val="en-GB"/>
        </w:rPr>
        <w:t xml:space="preserve">With </w:t>
      </w:r>
      <w:r w:rsidRPr="00827F58">
        <w:rPr>
          <w:rFonts w:ascii="Arial" w:hAnsi="Arial" w:cs="Arial"/>
          <w:b/>
          <w:bCs/>
          <w:lang w:val="en-GB"/>
        </w:rPr>
        <w:t>tech partners</w:t>
      </w:r>
      <w:r w:rsidRPr="00827F58">
        <w:rPr>
          <w:rFonts w:ascii="Arial" w:hAnsi="Arial" w:cs="Arial"/>
          <w:lang w:val="en-GB"/>
        </w:rPr>
        <w:t>, I’d define shared KPIs around data accuracy, app performance, and user retention.</w:t>
      </w:r>
    </w:p>
    <w:p w14:paraId="7A14A4CA" w14:textId="77777777" w:rsidR="00EC7A5D" w:rsidRPr="00827F58" w:rsidRDefault="00EC7A5D" w:rsidP="00EC7A5D">
      <w:pPr>
        <w:rPr>
          <w:rFonts w:ascii="Arial" w:hAnsi="Arial" w:cs="Arial"/>
          <w:lang w:val="en-GB"/>
        </w:rPr>
      </w:pPr>
      <w:r w:rsidRPr="00827F58">
        <w:rPr>
          <w:rFonts w:ascii="Arial" w:hAnsi="Arial" w:cs="Arial"/>
          <w:lang w:val="en-GB"/>
        </w:rPr>
        <w:t>This approach builds psychological ownership. People are more likely to support what they help shape.</w:t>
      </w:r>
    </w:p>
    <w:p w14:paraId="0502D099" w14:textId="77777777" w:rsidR="00EC7A5D" w:rsidRPr="00827F58" w:rsidRDefault="00EC7A5D" w:rsidP="00EC7A5D">
      <w:pPr>
        <w:rPr>
          <w:rFonts w:ascii="Arial" w:hAnsi="Arial" w:cs="Arial"/>
          <w:lang w:val="en-GB"/>
        </w:rPr>
      </w:pPr>
      <w:r w:rsidRPr="00827F58">
        <w:rPr>
          <w:rFonts w:ascii="Arial" w:hAnsi="Arial" w:cs="Arial"/>
          <w:lang w:val="en-GB"/>
        </w:rPr>
        <w:t>To reinforce cooperation, I’d recognize contributions publicly—whether it’s a developer solving a complex integration issue or a clinician offering valuable feedback during testing. Celebrating wins builds morale and reinforces a shared sense of purpose.</w:t>
      </w:r>
    </w:p>
    <w:p w14:paraId="580930C2" w14:textId="77777777" w:rsidR="00EC7A5D" w:rsidRPr="00827F58" w:rsidRDefault="00000000" w:rsidP="00EC7A5D">
      <w:pPr>
        <w:rPr>
          <w:rFonts w:ascii="Arial" w:hAnsi="Arial" w:cs="Arial"/>
          <w:lang w:val="en-GB"/>
        </w:rPr>
      </w:pPr>
      <w:r w:rsidRPr="00827F58">
        <w:rPr>
          <w:rFonts w:ascii="Arial" w:hAnsi="Arial" w:cs="Arial"/>
          <w:lang w:val="en-GB"/>
        </w:rPr>
        <w:pict w14:anchorId="1224F0EC">
          <v:rect id="_x0000_i1228" style="width:0;height:1.5pt" o:hralign="center" o:hrstd="t" o:hr="t" fillcolor="#a0a0a0" stroked="f"/>
        </w:pict>
      </w:r>
    </w:p>
    <w:p w14:paraId="73A05EA3" w14:textId="77777777" w:rsidR="00EC7A5D" w:rsidRPr="00827F58" w:rsidRDefault="00EC7A5D" w:rsidP="00EC7A5D">
      <w:pPr>
        <w:rPr>
          <w:rFonts w:ascii="Arial" w:hAnsi="Arial" w:cs="Arial"/>
          <w:b/>
          <w:bCs/>
          <w:lang w:val="en-GB"/>
        </w:rPr>
      </w:pPr>
      <w:r w:rsidRPr="00827F58">
        <w:rPr>
          <w:rFonts w:ascii="Arial" w:hAnsi="Arial" w:cs="Arial"/>
          <w:b/>
          <w:bCs/>
          <w:lang w:val="en-GB"/>
        </w:rPr>
        <w:t>4. Collaboration: Solving Problems Together, Not in Parallel</w:t>
      </w:r>
    </w:p>
    <w:p w14:paraId="6A5B7D16" w14:textId="77777777" w:rsidR="00EC7A5D" w:rsidRPr="00827F58" w:rsidRDefault="00EC7A5D" w:rsidP="00EC7A5D">
      <w:pPr>
        <w:rPr>
          <w:rFonts w:ascii="Arial" w:hAnsi="Arial" w:cs="Arial"/>
          <w:lang w:val="en-GB"/>
        </w:rPr>
      </w:pPr>
      <w:r w:rsidRPr="00827F58">
        <w:rPr>
          <w:rFonts w:ascii="Arial" w:hAnsi="Arial" w:cs="Arial"/>
          <w:lang w:val="en-GB"/>
        </w:rPr>
        <w:t>True collaboration goes beyond coordination—it’s about co-creating solutions. I would create cross-functional working groups for key challenges, such as:</w:t>
      </w:r>
    </w:p>
    <w:p w14:paraId="52DAA828" w14:textId="77777777" w:rsidR="00EC7A5D" w:rsidRPr="00827F58" w:rsidRDefault="00EC7A5D" w:rsidP="00EC7A5D">
      <w:pPr>
        <w:numPr>
          <w:ilvl w:val="0"/>
          <w:numId w:val="10"/>
        </w:numPr>
        <w:rPr>
          <w:rFonts w:ascii="Arial" w:hAnsi="Arial" w:cs="Arial"/>
          <w:lang w:val="en-GB"/>
        </w:rPr>
      </w:pPr>
      <w:r w:rsidRPr="00827F58">
        <w:rPr>
          <w:rFonts w:ascii="Arial" w:hAnsi="Arial" w:cs="Arial"/>
          <w:b/>
          <w:bCs/>
          <w:lang w:val="en-GB"/>
        </w:rPr>
        <w:t>Data privacy and compliance</w:t>
      </w:r>
      <w:r w:rsidRPr="00827F58">
        <w:rPr>
          <w:rFonts w:ascii="Arial" w:hAnsi="Arial" w:cs="Arial"/>
          <w:lang w:val="en-GB"/>
        </w:rPr>
        <w:t>: Bringing together legal, tech, and product teams to design secure, user-friendly consent flows.</w:t>
      </w:r>
    </w:p>
    <w:p w14:paraId="2971E757" w14:textId="77777777" w:rsidR="00EC7A5D" w:rsidRPr="00827F58" w:rsidRDefault="00EC7A5D" w:rsidP="00EC7A5D">
      <w:pPr>
        <w:numPr>
          <w:ilvl w:val="0"/>
          <w:numId w:val="10"/>
        </w:numPr>
        <w:rPr>
          <w:rFonts w:ascii="Arial" w:hAnsi="Arial" w:cs="Arial"/>
          <w:lang w:val="en-GB"/>
        </w:rPr>
      </w:pPr>
      <w:r w:rsidRPr="00827F58">
        <w:rPr>
          <w:rFonts w:ascii="Arial" w:hAnsi="Arial" w:cs="Arial"/>
          <w:b/>
          <w:bCs/>
          <w:lang w:val="en-GB"/>
        </w:rPr>
        <w:t>User experience</w:t>
      </w:r>
      <w:r w:rsidRPr="00827F58">
        <w:rPr>
          <w:rFonts w:ascii="Arial" w:hAnsi="Arial" w:cs="Arial"/>
          <w:lang w:val="en-GB"/>
        </w:rPr>
        <w:t>: Involving consumers, designers, and clinicians in iterative testing to ensure the device is both intuitive and clinically meaningful.</w:t>
      </w:r>
    </w:p>
    <w:p w14:paraId="11C4C229" w14:textId="77777777" w:rsidR="00EC7A5D" w:rsidRPr="00827F58" w:rsidRDefault="00EC7A5D" w:rsidP="00EC7A5D">
      <w:pPr>
        <w:rPr>
          <w:rFonts w:ascii="Arial" w:hAnsi="Arial" w:cs="Arial"/>
          <w:lang w:val="en-GB"/>
        </w:rPr>
      </w:pPr>
      <w:r w:rsidRPr="00827F58">
        <w:rPr>
          <w:rFonts w:ascii="Arial" w:hAnsi="Arial" w:cs="Arial"/>
          <w:lang w:val="en-GB"/>
        </w:rPr>
        <w:t>These groups would operate with clear charters, decision-making authority, and regular touchpoints. I’d facilitate workshops using design thinking and agile methods to encourage creativity and rapid iteration.</w:t>
      </w:r>
    </w:p>
    <w:p w14:paraId="4459524C" w14:textId="77777777" w:rsidR="00EC7A5D" w:rsidRPr="00827F58" w:rsidRDefault="00EC7A5D" w:rsidP="00EC7A5D">
      <w:pPr>
        <w:rPr>
          <w:rFonts w:ascii="Arial" w:hAnsi="Arial" w:cs="Arial"/>
          <w:lang w:val="en-GB"/>
        </w:rPr>
      </w:pPr>
      <w:r w:rsidRPr="00827F58">
        <w:rPr>
          <w:rFonts w:ascii="Arial" w:hAnsi="Arial" w:cs="Arial"/>
          <w:lang w:val="en-GB"/>
        </w:rPr>
        <w:t xml:space="preserve">When conflicts arise—and they will—I’d use collaboration as a tool for resolution. For example, if R&amp;D wants to prioritize sensor accuracy while marketing pushes for faster release, I’d convene a joint session to explore trade-offs, align on user needs, and agree on a phased </w:t>
      </w:r>
      <w:r w:rsidRPr="00827F58">
        <w:rPr>
          <w:rFonts w:ascii="Arial" w:hAnsi="Arial" w:cs="Arial"/>
          <w:lang w:val="en-GB"/>
        </w:rPr>
        <w:lastRenderedPageBreak/>
        <w:t>roadmap. This shifts the conversation from “who’s right” to “what’s best for the user and the business.”</w:t>
      </w:r>
    </w:p>
    <w:p w14:paraId="31B6F850" w14:textId="77777777" w:rsidR="00EC7A5D" w:rsidRPr="00827F58" w:rsidRDefault="00000000" w:rsidP="00EC7A5D">
      <w:pPr>
        <w:rPr>
          <w:rFonts w:ascii="Arial" w:hAnsi="Arial" w:cs="Arial"/>
          <w:lang w:val="en-GB"/>
        </w:rPr>
      </w:pPr>
      <w:r w:rsidRPr="00827F58">
        <w:rPr>
          <w:rFonts w:ascii="Arial" w:hAnsi="Arial" w:cs="Arial"/>
          <w:lang w:val="en-GB"/>
        </w:rPr>
        <w:pict w14:anchorId="2E3B445C">
          <v:rect id="_x0000_i1229" style="width:0;height:1.5pt" o:hralign="center" o:hrstd="t" o:hr="t" fillcolor="#a0a0a0" stroked="f"/>
        </w:pict>
      </w:r>
    </w:p>
    <w:p w14:paraId="5360F292" w14:textId="77777777" w:rsidR="00EC7A5D" w:rsidRPr="00827F58" w:rsidRDefault="00EC7A5D" w:rsidP="00EC7A5D">
      <w:pPr>
        <w:rPr>
          <w:rFonts w:ascii="Arial" w:hAnsi="Arial" w:cs="Arial"/>
          <w:b/>
          <w:bCs/>
          <w:lang w:val="en-GB"/>
        </w:rPr>
      </w:pPr>
      <w:r w:rsidRPr="00827F58">
        <w:rPr>
          <w:rFonts w:ascii="Arial" w:hAnsi="Arial" w:cs="Arial"/>
          <w:b/>
          <w:bCs/>
          <w:lang w:val="en-GB"/>
        </w:rPr>
        <w:t>Conflict Management: Applying the 4C’s in Practice</w:t>
      </w:r>
    </w:p>
    <w:p w14:paraId="4946BF41" w14:textId="77777777" w:rsidR="00EC7A5D" w:rsidRPr="00827F58" w:rsidRDefault="00EC7A5D" w:rsidP="00EC7A5D">
      <w:pPr>
        <w:rPr>
          <w:rFonts w:ascii="Arial" w:hAnsi="Arial" w:cs="Arial"/>
          <w:lang w:val="en-GB"/>
        </w:rPr>
      </w:pPr>
      <w:r w:rsidRPr="00827F58">
        <w:rPr>
          <w:rFonts w:ascii="Arial" w:hAnsi="Arial" w:cs="Arial"/>
          <w:lang w:val="en-GB"/>
        </w:rPr>
        <w:t>Conflicts are inevitable in complex projects. The key is to manage them constructively. Here’s how I’d apply the 4C’s:</w:t>
      </w:r>
    </w:p>
    <w:p w14:paraId="3A23EFE3" w14:textId="77777777" w:rsidR="00EC7A5D" w:rsidRPr="00827F58" w:rsidRDefault="00EC7A5D" w:rsidP="00EC7A5D">
      <w:pPr>
        <w:numPr>
          <w:ilvl w:val="0"/>
          <w:numId w:val="11"/>
        </w:numPr>
        <w:rPr>
          <w:rFonts w:ascii="Arial" w:hAnsi="Arial" w:cs="Arial"/>
          <w:lang w:val="en-GB"/>
        </w:rPr>
      </w:pPr>
      <w:r w:rsidRPr="00827F58">
        <w:rPr>
          <w:rFonts w:ascii="Arial" w:hAnsi="Arial" w:cs="Arial"/>
          <w:b/>
          <w:bCs/>
          <w:lang w:val="en-GB"/>
        </w:rPr>
        <w:t>Communication</w:t>
      </w:r>
      <w:r w:rsidRPr="00827F58">
        <w:rPr>
          <w:rFonts w:ascii="Arial" w:hAnsi="Arial" w:cs="Arial"/>
          <w:lang w:val="en-GB"/>
        </w:rPr>
        <w:t>: Address tensions early through one-on-one conversations or facilitated discussions. I’d listen actively, validate concerns, and clarify misunderstandings.</w:t>
      </w:r>
    </w:p>
    <w:p w14:paraId="0FB6B80D" w14:textId="77777777" w:rsidR="00EC7A5D" w:rsidRPr="00827F58" w:rsidRDefault="00EC7A5D" w:rsidP="00EC7A5D">
      <w:pPr>
        <w:numPr>
          <w:ilvl w:val="0"/>
          <w:numId w:val="11"/>
        </w:numPr>
        <w:rPr>
          <w:rFonts w:ascii="Arial" w:hAnsi="Arial" w:cs="Arial"/>
          <w:lang w:val="en-GB"/>
        </w:rPr>
      </w:pPr>
      <w:r w:rsidRPr="00827F58">
        <w:rPr>
          <w:rFonts w:ascii="Arial" w:hAnsi="Arial" w:cs="Arial"/>
          <w:b/>
          <w:bCs/>
          <w:lang w:val="en-GB"/>
        </w:rPr>
        <w:t>Coordination</w:t>
      </w:r>
      <w:r w:rsidRPr="00827F58">
        <w:rPr>
          <w:rFonts w:ascii="Arial" w:hAnsi="Arial" w:cs="Arial"/>
          <w:lang w:val="en-GB"/>
        </w:rPr>
        <w:t>: Use shared timelines and transparent workflows to reduce friction caused by misaligned expectations or resource bottlenecks.</w:t>
      </w:r>
    </w:p>
    <w:p w14:paraId="6FBF835E" w14:textId="77777777" w:rsidR="00EC7A5D" w:rsidRPr="00827F58" w:rsidRDefault="00EC7A5D" w:rsidP="00EC7A5D">
      <w:pPr>
        <w:numPr>
          <w:ilvl w:val="0"/>
          <w:numId w:val="11"/>
        </w:numPr>
        <w:rPr>
          <w:rFonts w:ascii="Arial" w:hAnsi="Arial" w:cs="Arial"/>
          <w:lang w:val="en-GB"/>
        </w:rPr>
      </w:pPr>
      <w:r w:rsidRPr="00827F58">
        <w:rPr>
          <w:rFonts w:ascii="Arial" w:hAnsi="Arial" w:cs="Arial"/>
          <w:b/>
          <w:bCs/>
          <w:lang w:val="en-GB"/>
        </w:rPr>
        <w:t>Cooperation</w:t>
      </w:r>
      <w:r w:rsidRPr="00827F58">
        <w:rPr>
          <w:rFonts w:ascii="Arial" w:hAnsi="Arial" w:cs="Arial"/>
          <w:lang w:val="en-GB"/>
        </w:rPr>
        <w:t>: Reframe conflicts as shared challenges. For example, if a tech partner misses a deadline, I’d explore root causes together rather than assign blame.</w:t>
      </w:r>
    </w:p>
    <w:p w14:paraId="211F9347" w14:textId="77777777" w:rsidR="00EC7A5D" w:rsidRPr="00827F58" w:rsidRDefault="00EC7A5D" w:rsidP="00EC7A5D">
      <w:pPr>
        <w:numPr>
          <w:ilvl w:val="0"/>
          <w:numId w:val="11"/>
        </w:numPr>
        <w:rPr>
          <w:rFonts w:ascii="Arial" w:hAnsi="Arial" w:cs="Arial"/>
          <w:lang w:val="en-GB"/>
        </w:rPr>
      </w:pPr>
      <w:r w:rsidRPr="00827F58">
        <w:rPr>
          <w:rFonts w:ascii="Arial" w:hAnsi="Arial" w:cs="Arial"/>
          <w:b/>
          <w:bCs/>
          <w:lang w:val="en-GB"/>
        </w:rPr>
        <w:t>Collaboration</w:t>
      </w:r>
      <w:r w:rsidRPr="00827F58">
        <w:rPr>
          <w:rFonts w:ascii="Arial" w:hAnsi="Arial" w:cs="Arial"/>
          <w:lang w:val="en-GB"/>
        </w:rPr>
        <w:t>: Bring conflicting parties into solution-focused sessions. I’d use structured frameworks (e.g., “What’s negotiable vs. non-negotiable?”) to find common ground.</w:t>
      </w:r>
    </w:p>
    <w:p w14:paraId="30D86990" w14:textId="49521DCA" w:rsidR="00AD2EFF" w:rsidRPr="00827F58" w:rsidRDefault="00AD2EFF" w:rsidP="00AD2EFF">
      <w:pPr>
        <w:rPr>
          <w:rFonts w:ascii="Arial" w:hAnsi="Arial" w:cs="Arial"/>
          <w:lang w:val="en-GB"/>
        </w:rPr>
      </w:pPr>
    </w:p>
    <w:p w14:paraId="25A8DE89" w14:textId="3D2627A6" w:rsidR="006A03C4" w:rsidRPr="00827F58" w:rsidRDefault="000F3A41" w:rsidP="00AD2EFF">
      <w:pPr>
        <w:rPr>
          <w:rFonts w:ascii="Arial" w:hAnsi="Arial" w:cs="Arial"/>
          <w:b/>
          <w:bCs/>
          <w:lang w:val="en-GB"/>
        </w:rPr>
      </w:pPr>
      <w:r w:rsidRPr="00827F58">
        <w:rPr>
          <w:rFonts w:ascii="Arial" w:hAnsi="Arial" w:cs="Arial"/>
          <w:b/>
          <w:bCs/>
        </w:rPr>
        <w:t xml:space="preserve">Evaluating the Impact of Stakeholder Engagement on Business Performance </w:t>
      </w:r>
    </w:p>
    <w:p w14:paraId="795690D3" w14:textId="77777777" w:rsidR="00AD2EFF" w:rsidRPr="00827F58" w:rsidRDefault="00AD2EFF" w:rsidP="00AD2EFF">
      <w:pPr>
        <w:rPr>
          <w:rFonts w:ascii="Arial" w:hAnsi="Arial" w:cs="Arial"/>
          <w:lang w:val="en-GB"/>
        </w:rPr>
      </w:pPr>
      <w:r w:rsidRPr="00827F58">
        <w:rPr>
          <w:rFonts w:ascii="Arial" w:hAnsi="Arial" w:cs="Arial"/>
          <w:lang w:val="en-GB"/>
        </w:rPr>
        <w:t>Stakeholder engagement is not a peripheral activity—it’s a strategic lever that directly influences business performance. In Omron Healthcare’s wearable technology initiative, the quality and depth of stakeholder engagement have a profound effect on innovation, market adoption, regulatory success, and brand reputation. When done well, it accelerates product development, builds trust, and creates alignment across diverse interests. When neglected, it leads to delays, miscommunication, and missed opportunities.</w:t>
      </w:r>
    </w:p>
    <w:p w14:paraId="08FEF4DA" w14:textId="77777777" w:rsidR="00AD2EFF" w:rsidRPr="00827F58" w:rsidRDefault="00AD2EFF" w:rsidP="00AD2EFF">
      <w:pPr>
        <w:rPr>
          <w:rFonts w:ascii="Arial" w:hAnsi="Arial" w:cs="Arial"/>
          <w:b/>
          <w:bCs/>
          <w:lang w:val="en-GB"/>
        </w:rPr>
      </w:pPr>
      <w:r w:rsidRPr="00827F58">
        <w:rPr>
          <w:rFonts w:ascii="Arial" w:hAnsi="Arial" w:cs="Arial"/>
          <w:b/>
          <w:bCs/>
          <w:lang w:val="en-GB"/>
        </w:rPr>
        <w:t>1. Accelerated Innovation and Product Relevance</w:t>
      </w:r>
    </w:p>
    <w:p w14:paraId="38040EF6" w14:textId="77777777" w:rsidR="00AD2EFF" w:rsidRPr="00827F58" w:rsidRDefault="00AD2EFF" w:rsidP="00AD2EFF">
      <w:pPr>
        <w:rPr>
          <w:rFonts w:ascii="Arial" w:hAnsi="Arial" w:cs="Arial"/>
          <w:lang w:val="en-GB"/>
        </w:rPr>
      </w:pPr>
      <w:r w:rsidRPr="00827F58">
        <w:rPr>
          <w:rFonts w:ascii="Arial" w:hAnsi="Arial" w:cs="Arial"/>
          <w:lang w:val="en-GB"/>
        </w:rPr>
        <w:t>Engaging internal stakeholders—particularly product development, R&amp;D, and marketing—ensures that innovation is not siloed. When engineers collaborate with UX designers and clinicians, the resulting product is both technically sound and user-friendly. This cross-pollination leads to wearables that meet real health needs while offering intuitive experiences.</w:t>
      </w:r>
    </w:p>
    <w:p w14:paraId="0EBEBCF3" w14:textId="77777777" w:rsidR="00AD2EFF" w:rsidRPr="00827F58" w:rsidRDefault="00AD2EFF" w:rsidP="00AD2EFF">
      <w:pPr>
        <w:rPr>
          <w:rFonts w:ascii="Arial" w:hAnsi="Arial" w:cs="Arial"/>
          <w:lang w:val="en-GB"/>
        </w:rPr>
      </w:pPr>
      <w:r w:rsidRPr="00827F58">
        <w:rPr>
          <w:rFonts w:ascii="Arial" w:hAnsi="Arial" w:cs="Arial"/>
          <w:lang w:val="en-GB"/>
        </w:rPr>
        <w:t>For example, involving healthcare providers early in the design phase allows Omron to tailor features that support clinical workflows, such as remote monitoring or integration with electronic health records. This relevance boosts adoption and positions Omron as a serious player in digital health—not just consumer tech.</w:t>
      </w:r>
    </w:p>
    <w:p w14:paraId="466377FD" w14:textId="77777777" w:rsidR="00AD2EFF" w:rsidRPr="00827F58" w:rsidRDefault="00AD2EFF" w:rsidP="00AD2EFF">
      <w:pPr>
        <w:rPr>
          <w:rFonts w:ascii="Arial" w:hAnsi="Arial" w:cs="Arial"/>
          <w:lang w:val="en-GB"/>
        </w:rPr>
      </w:pPr>
      <w:r w:rsidRPr="00827F58">
        <w:rPr>
          <w:rFonts w:ascii="Arial" w:hAnsi="Arial" w:cs="Arial"/>
          <w:b/>
          <w:bCs/>
          <w:lang w:val="en-GB"/>
        </w:rPr>
        <w:t>Impact</w:t>
      </w:r>
      <w:r w:rsidRPr="00827F58">
        <w:rPr>
          <w:rFonts w:ascii="Arial" w:hAnsi="Arial" w:cs="Arial"/>
          <w:lang w:val="en-GB"/>
        </w:rPr>
        <w:t>: Faster time-to-market, reduced rework, and higher product-market fit.</w:t>
      </w:r>
    </w:p>
    <w:p w14:paraId="70FF0A36" w14:textId="77777777" w:rsidR="00AD2EFF" w:rsidRPr="00827F58" w:rsidRDefault="00AD2EFF" w:rsidP="00AD2EFF">
      <w:pPr>
        <w:rPr>
          <w:rFonts w:ascii="Arial" w:hAnsi="Arial" w:cs="Arial"/>
          <w:b/>
          <w:bCs/>
          <w:lang w:val="en-GB"/>
        </w:rPr>
      </w:pPr>
      <w:r w:rsidRPr="00827F58">
        <w:rPr>
          <w:rFonts w:ascii="Arial" w:hAnsi="Arial" w:cs="Arial"/>
          <w:b/>
          <w:bCs/>
          <w:lang w:val="en-GB"/>
        </w:rPr>
        <w:t>2. Enhanced Regulatory Success and Risk Mitigation</w:t>
      </w:r>
    </w:p>
    <w:p w14:paraId="0337A9A4" w14:textId="77777777" w:rsidR="00AD2EFF" w:rsidRPr="00827F58" w:rsidRDefault="00AD2EFF" w:rsidP="00AD2EFF">
      <w:pPr>
        <w:rPr>
          <w:rFonts w:ascii="Arial" w:hAnsi="Arial" w:cs="Arial"/>
          <w:lang w:val="en-GB"/>
        </w:rPr>
      </w:pPr>
      <w:r w:rsidRPr="00827F58">
        <w:rPr>
          <w:rFonts w:ascii="Arial" w:hAnsi="Arial" w:cs="Arial"/>
          <w:lang w:val="en-GB"/>
        </w:rPr>
        <w:lastRenderedPageBreak/>
        <w:t>Regulatory bodies are critical stakeholders in health-tech. Engaging them proactively—through early consultations, transparent documentation, and compliance testing—reduces the risk of delays or rejections. Omron’s ability to navigate FDA or GDPR requirements hinges on its relationship with these agencies.</w:t>
      </w:r>
    </w:p>
    <w:p w14:paraId="09739AF9" w14:textId="77777777" w:rsidR="00AD2EFF" w:rsidRPr="00827F58" w:rsidRDefault="00AD2EFF" w:rsidP="00AD2EFF">
      <w:pPr>
        <w:rPr>
          <w:rFonts w:ascii="Arial" w:hAnsi="Arial" w:cs="Arial"/>
          <w:lang w:val="en-GB"/>
        </w:rPr>
      </w:pPr>
      <w:r w:rsidRPr="00827F58">
        <w:rPr>
          <w:rFonts w:ascii="Arial" w:hAnsi="Arial" w:cs="Arial"/>
          <w:lang w:val="en-GB"/>
        </w:rPr>
        <w:t>Moreover, involving legal and compliance teams throughout the product lifecycle ensures that data privacy, safety, and ethical standards are embedded—not retrofitted. This protects Omron from reputational damage and legal exposure.</w:t>
      </w:r>
    </w:p>
    <w:p w14:paraId="330D043F" w14:textId="5DD49AD1" w:rsidR="00AD2EFF" w:rsidRPr="00827F58" w:rsidRDefault="00AD2EFF" w:rsidP="00AD2EFF">
      <w:pPr>
        <w:rPr>
          <w:rFonts w:ascii="Arial" w:hAnsi="Arial" w:cs="Arial"/>
          <w:lang w:val="en-GB"/>
        </w:rPr>
      </w:pPr>
      <w:r w:rsidRPr="00827F58">
        <w:rPr>
          <w:rFonts w:ascii="Arial" w:hAnsi="Arial" w:cs="Arial"/>
          <w:b/>
          <w:bCs/>
          <w:lang w:val="en-GB"/>
        </w:rPr>
        <w:t>Impact</w:t>
      </w:r>
      <w:r w:rsidRPr="00827F58">
        <w:rPr>
          <w:rFonts w:ascii="Arial" w:hAnsi="Arial" w:cs="Arial"/>
          <w:lang w:val="en-GB"/>
        </w:rPr>
        <w:t>: Smoother approvals reduced compliance risk, and stronger brand integrity.</w:t>
      </w:r>
    </w:p>
    <w:p w14:paraId="1568C1CB" w14:textId="77777777" w:rsidR="00AD2EFF" w:rsidRPr="00827F58" w:rsidRDefault="00AD2EFF" w:rsidP="00AD2EFF">
      <w:pPr>
        <w:rPr>
          <w:rFonts w:ascii="Arial" w:hAnsi="Arial" w:cs="Arial"/>
          <w:b/>
          <w:bCs/>
          <w:lang w:val="en-GB"/>
        </w:rPr>
      </w:pPr>
      <w:r w:rsidRPr="00827F58">
        <w:rPr>
          <w:rFonts w:ascii="Arial" w:hAnsi="Arial" w:cs="Arial"/>
          <w:b/>
          <w:bCs/>
          <w:lang w:val="en-GB"/>
        </w:rPr>
        <w:t>3. Stronger Market Penetration and Consumer Trust</w:t>
      </w:r>
    </w:p>
    <w:p w14:paraId="6EDF35F6" w14:textId="77777777" w:rsidR="00AD2EFF" w:rsidRPr="00827F58" w:rsidRDefault="00AD2EFF" w:rsidP="00AD2EFF">
      <w:pPr>
        <w:rPr>
          <w:rFonts w:ascii="Arial" w:hAnsi="Arial" w:cs="Arial"/>
          <w:lang w:val="en-GB"/>
        </w:rPr>
      </w:pPr>
      <w:r w:rsidRPr="00827F58">
        <w:rPr>
          <w:rFonts w:ascii="Arial" w:hAnsi="Arial" w:cs="Arial"/>
          <w:lang w:val="en-GB"/>
        </w:rPr>
        <w:t>Retail partners, insurers, and consumers are external stakeholders whose engagement shapes market performance. Retailers influence visibility and accessibility; insurers determine reimbursement potential; consumers drive adoption and feedback.</w:t>
      </w:r>
    </w:p>
    <w:p w14:paraId="0426232E" w14:textId="77777777" w:rsidR="00AD2EFF" w:rsidRPr="00827F58" w:rsidRDefault="00AD2EFF" w:rsidP="00AD2EFF">
      <w:pPr>
        <w:rPr>
          <w:rFonts w:ascii="Arial" w:hAnsi="Arial" w:cs="Arial"/>
          <w:lang w:val="en-GB"/>
        </w:rPr>
      </w:pPr>
      <w:r w:rsidRPr="00827F58">
        <w:rPr>
          <w:rFonts w:ascii="Arial" w:hAnsi="Arial" w:cs="Arial"/>
          <w:lang w:val="en-GB"/>
        </w:rPr>
        <w:t>When Omron engages these groups through co-marketing campaigns, educational content, and pilot programs, it builds trust and awareness. For instance, partnering with pharmacies to offer in-store demos or with insurers to subsidize wearables for chronic patients can significantly boost uptake.</w:t>
      </w:r>
    </w:p>
    <w:p w14:paraId="462060DF" w14:textId="77777777" w:rsidR="00AD2EFF" w:rsidRPr="00827F58" w:rsidRDefault="00AD2EFF" w:rsidP="00AD2EFF">
      <w:pPr>
        <w:rPr>
          <w:rFonts w:ascii="Arial" w:hAnsi="Arial" w:cs="Arial"/>
          <w:lang w:val="en-GB"/>
        </w:rPr>
      </w:pPr>
      <w:r w:rsidRPr="00827F58">
        <w:rPr>
          <w:rFonts w:ascii="Arial" w:hAnsi="Arial" w:cs="Arial"/>
          <w:lang w:val="en-GB"/>
        </w:rPr>
        <w:t>Consumer engagement—especially through beta testing and feedback loops—helps refine the product and messaging. It also fosters loyalty, as users feel heard and valued.</w:t>
      </w:r>
    </w:p>
    <w:p w14:paraId="63311796" w14:textId="77777777" w:rsidR="00AD2EFF" w:rsidRPr="00827F58" w:rsidRDefault="00AD2EFF" w:rsidP="00AD2EFF">
      <w:pPr>
        <w:rPr>
          <w:rFonts w:ascii="Arial" w:hAnsi="Arial" w:cs="Arial"/>
          <w:lang w:val="en-GB"/>
        </w:rPr>
      </w:pPr>
      <w:r w:rsidRPr="00827F58">
        <w:rPr>
          <w:rFonts w:ascii="Arial" w:hAnsi="Arial" w:cs="Arial"/>
          <w:b/>
          <w:bCs/>
          <w:lang w:val="en-GB"/>
        </w:rPr>
        <w:t>Impact</w:t>
      </w:r>
      <w:r w:rsidRPr="00827F58">
        <w:rPr>
          <w:rFonts w:ascii="Arial" w:hAnsi="Arial" w:cs="Arial"/>
          <w:lang w:val="en-GB"/>
        </w:rPr>
        <w:t>: Increased sales, brand loyalty, and customer lifetime value.</w:t>
      </w:r>
    </w:p>
    <w:p w14:paraId="6D62C7C1" w14:textId="77777777" w:rsidR="00AD2EFF" w:rsidRPr="00827F58" w:rsidRDefault="00AD2EFF" w:rsidP="00AD2EFF">
      <w:pPr>
        <w:rPr>
          <w:rFonts w:ascii="Arial" w:hAnsi="Arial" w:cs="Arial"/>
          <w:b/>
          <w:bCs/>
          <w:lang w:val="en-GB"/>
        </w:rPr>
      </w:pPr>
      <w:r w:rsidRPr="00827F58">
        <w:rPr>
          <w:rFonts w:ascii="Arial" w:hAnsi="Arial" w:cs="Arial"/>
          <w:b/>
          <w:bCs/>
          <w:lang w:val="en-GB"/>
        </w:rPr>
        <w:t>4. Improved Cross-Functional Efficiency and Agility</w:t>
      </w:r>
    </w:p>
    <w:p w14:paraId="01963765" w14:textId="77777777" w:rsidR="00AD2EFF" w:rsidRPr="00827F58" w:rsidRDefault="00AD2EFF" w:rsidP="00AD2EFF">
      <w:pPr>
        <w:rPr>
          <w:rFonts w:ascii="Arial" w:hAnsi="Arial" w:cs="Arial"/>
          <w:lang w:val="en-GB"/>
        </w:rPr>
      </w:pPr>
      <w:r w:rsidRPr="00827F58">
        <w:rPr>
          <w:rFonts w:ascii="Arial" w:hAnsi="Arial" w:cs="Arial"/>
          <w:lang w:val="en-GB"/>
        </w:rPr>
        <w:t>Internally, stakeholder engagement improves coordination and decision-making. When roles are clearly defined (via RACI matrices) and communication is structured (via engagement plans), teams work more efficiently. Conflicts are resolved faster, and resources are allocated wisely.</w:t>
      </w:r>
    </w:p>
    <w:p w14:paraId="7AD7CFF7" w14:textId="77777777" w:rsidR="00AD2EFF" w:rsidRPr="00827F58" w:rsidRDefault="00AD2EFF" w:rsidP="00AD2EFF">
      <w:pPr>
        <w:rPr>
          <w:rFonts w:ascii="Arial" w:hAnsi="Arial" w:cs="Arial"/>
          <w:lang w:val="en-GB"/>
        </w:rPr>
      </w:pPr>
      <w:r w:rsidRPr="00827F58">
        <w:rPr>
          <w:rFonts w:ascii="Arial" w:hAnsi="Arial" w:cs="Arial"/>
          <w:lang w:val="en-GB"/>
        </w:rPr>
        <w:t>This agility is crucial in the wearable space, where innovation cycles are short and consumer expectations evolve rapidly. Engaged teams are more resilient, adaptable, and motivated.</w:t>
      </w:r>
    </w:p>
    <w:p w14:paraId="4452325D" w14:textId="77777777" w:rsidR="00AD2EFF" w:rsidRPr="00827F58" w:rsidRDefault="00AD2EFF" w:rsidP="00AD2EFF">
      <w:pPr>
        <w:rPr>
          <w:rFonts w:ascii="Arial" w:hAnsi="Arial" w:cs="Arial"/>
          <w:lang w:val="en-GB"/>
        </w:rPr>
      </w:pPr>
      <w:r w:rsidRPr="00827F58">
        <w:rPr>
          <w:rFonts w:ascii="Arial" w:hAnsi="Arial" w:cs="Arial"/>
          <w:b/>
          <w:bCs/>
          <w:lang w:val="en-GB"/>
        </w:rPr>
        <w:t>Impact</w:t>
      </w:r>
      <w:r w:rsidRPr="00827F58">
        <w:rPr>
          <w:rFonts w:ascii="Arial" w:hAnsi="Arial" w:cs="Arial"/>
          <w:lang w:val="en-GB"/>
        </w:rPr>
        <w:t>: Operational efficiency, reduced friction, and faster pivots.</w:t>
      </w:r>
    </w:p>
    <w:p w14:paraId="2062F3ED" w14:textId="77777777" w:rsidR="00AD2EFF" w:rsidRPr="00827F58" w:rsidRDefault="00000000" w:rsidP="00AD2EFF">
      <w:pPr>
        <w:rPr>
          <w:rFonts w:ascii="Arial" w:hAnsi="Arial" w:cs="Arial"/>
          <w:lang w:val="en-GB"/>
        </w:rPr>
      </w:pPr>
      <w:r w:rsidRPr="00827F58">
        <w:rPr>
          <w:rFonts w:ascii="Arial" w:hAnsi="Arial" w:cs="Arial"/>
          <w:lang w:val="en-GB"/>
        </w:rPr>
        <w:pict w14:anchorId="6ABFEFD6">
          <v:rect id="_x0000_i1230" style="width:0;height:1.5pt" o:hralign="center" o:hrstd="t" o:hr="t" fillcolor="#a0a0a0" stroked="f"/>
        </w:pict>
      </w:r>
    </w:p>
    <w:p w14:paraId="0F349248" w14:textId="77777777" w:rsidR="00AD2EFF" w:rsidRPr="00827F58" w:rsidRDefault="00AD2EFF" w:rsidP="00AD2EFF">
      <w:pPr>
        <w:rPr>
          <w:rFonts w:ascii="Arial" w:hAnsi="Arial" w:cs="Arial"/>
          <w:b/>
          <w:bCs/>
          <w:lang w:val="en-GB"/>
        </w:rPr>
      </w:pPr>
      <w:r w:rsidRPr="00827F58">
        <w:rPr>
          <w:rFonts w:ascii="Segoe UI Emoji" w:hAnsi="Segoe UI Emoji" w:cs="Segoe UI Emoji"/>
          <w:b/>
          <w:bCs/>
          <w:lang w:val="en-GB"/>
        </w:rPr>
        <w:t>🔮</w:t>
      </w:r>
      <w:r w:rsidRPr="00827F58">
        <w:rPr>
          <w:rFonts w:ascii="Arial" w:hAnsi="Arial" w:cs="Arial"/>
          <w:b/>
          <w:bCs/>
          <w:lang w:val="en-GB"/>
        </w:rPr>
        <w:t xml:space="preserve"> Recommendations for Future Stakeholder Engagement</w:t>
      </w:r>
    </w:p>
    <w:p w14:paraId="6EDC9D0F" w14:textId="77777777" w:rsidR="00AD2EFF" w:rsidRPr="00827F58" w:rsidRDefault="00AD2EFF" w:rsidP="00AD2EFF">
      <w:pPr>
        <w:rPr>
          <w:rFonts w:ascii="Arial" w:hAnsi="Arial" w:cs="Arial"/>
          <w:lang w:val="en-GB"/>
        </w:rPr>
      </w:pPr>
      <w:r w:rsidRPr="00827F58">
        <w:rPr>
          <w:rFonts w:ascii="Arial" w:hAnsi="Arial" w:cs="Arial"/>
          <w:lang w:val="en-GB"/>
        </w:rPr>
        <w:t>To sustain and deepen the impact of stakeholder engagement, Omron should consider the following strategic recommendations:</w:t>
      </w:r>
    </w:p>
    <w:p w14:paraId="20823E8A" w14:textId="77777777" w:rsidR="00AD2EFF" w:rsidRPr="00827F58" w:rsidRDefault="00AD2EFF" w:rsidP="00AD2EFF">
      <w:pPr>
        <w:rPr>
          <w:rFonts w:ascii="Arial" w:hAnsi="Arial" w:cs="Arial"/>
          <w:b/>
          <w:bCs/>
          <w:lang w:val="en-GB"/>
        </w:rPr>
      </w:pPr>
      <w:r w:rsidRPr="00827F58">
        <w:rPr>
          <w:rFonts w:ascii="Arial" w:hAnsi="Arial" w:cs="Arial"/>
          <w:b/>
          <w:bCs/>
          <w:lang w:val="en-GB"/>
        </w:rPr>
        <w:t>1. Institutionalize Engagement Frameworks</w:t>
      </w:r>
    </w:p>
    <w:p w14:paraId="3FA5F1CD" w14:textId="77777777" w:rsidR="00AD2EFF" w:rsidRPr="00827F58" w:rsidRDefault="00AD2EFF" w:rsidP="00AD2EFF">
      <w:pPr>
        <w:rPr>
          <w:rFonts w:ascii="Arial" w:hAnsi="Arial" w:cs="Arial"/>
          <w:lang w:val="en-GB"/>
        </w:rPr>
      </w:pPr>
      <w:r w:rsidRPr="00827F58">
        <w:rPr>
          <w:rFonts w:ascii="Arial" w:hAnsi="Arial" w:cs="Arial"/>
          <w:lang w:val="en-GB"/>
        </w:rPr>
        <w:lastRenderedPageBreak/>
        <w:t>Tools like the Power–Interest Grid, RACI matrix, and communication plans should be embedded into project workflows—not used ad hoc. This creates consistency and ensures that engagement is proactive, not reactive.</w:t>
      </w:r>
    </w:p>
    <w:p w14:paraId="5C3A0BC1" w14:textId="77777777" w:rsidR="00AD2EFF" w:rsidRPr="00827F58" w:rsidRDefault="00AD2EFF" w:rsidP="00AD2EFF">
      <w:pPr>
        <w:rPr>
          <w:rFonts w:ascii="Arial" w:hAnsi="Arial" w:cs="Arial"/>
          <w:lang w:val="en-GB"/>
        </w:rPr>
      </w:pPr>
      <w:r w:rsidRPr="00827F58">
        <w:rPr>
          <w:rFonts w:ascii="Arial" w:hAnsi="Arial" w:cs="Arial"/>
          <w:lang w:val="en-GB"/>
        </w:rPr>
        <w:t>Omron could develop a stakeholder engagement playbook tailored to wearable projects, outlining best practices, templates, and escalation paths.</w:t>
      </w:r>
    </w:p>
    <w:p w14:paraId="39E1D37D" w14:textId="77777777" w:rsidR="00AD2EFF" w:rsidRPr="00827F58" w:rsidRDefault="00AD2EFF" w:rsidP="00AD2EFF">
      <w:pPr>
        <w:rPr>
          <w:rFonts w:ascii="Arial" w:hAnsi="Arial" w:cs="Arial"/>
          <w:b/>
          <w:bCs/>
          <w:lang w:val="en-GB"/>
        </w:rPr>
      </w:pPr>
      <w:r w:rsidRPr="00827F58">
        <w:rPr>
          <w:rFonts w:ascii="Arial" w:hAnsi="Arial" w:cs="Arial"/>
          <w:b/>
          <w:bCs/>
          <w:lang w:val="en-GB"/>
        </w:rPr>
        <w:t>2. Invest in Stakeholder Intelligence</w:t>
      </w:r>
    </w:p>
    <w:p w14:paraId="277B3D3A" w14:textId="77777777" w:rsidR="00AD2EFF" w:rsidRPr="00827F58" w:rsidRDefault="00AD2EFF" w:rsidP="00AD2EFF">
      <w:pPr>
        <w:rPr>
          <w:rFonts w:ascii="Arial" w:hAnsi="Arial" w:cs="Arial"/>
          <w:lang w:val="en-GB"/>
        </w:rPr>
      </w:pPr>
      <w:r w:rsidRPr="00827F58">
        <w:rPr>
          <w:rFonts w:ascii="Arial" w:hAnsi="Arial" w:cs="Arial"/>
          <w:lang w:val="en-GB"/>
        </w:rPr>
        <w:t>Understanding stakeholder motivations, concerns, and influence is key. Omron should regularly map stakeholder sentiment through surveys, interviews, and analytics. This data can inform engagement strategies and help anticipate resistance or support.</w:t>
      </w:r>
    </w:p>
    <w:p w14:paraId="3DE8933E" w14:textId="77777777" w:rsidR="00AD2EFF" w:rsidRPr="00827F58" w:rsidRDefault="00AD2EFF" w:rsidP="00AD2EFF">
      <w:pPr>
        <w:rPr>
          <w:rFonts w:ascii="Arial" w:hAnsi="Arial" w:cs="Arial"/>
          <w:lang w:val="en-GB"/>
        </w:rPr>
      </w:pPr>
      <w:r w:rsidRPr="00827F58">
        <w:rPr>
          <w:rFonts w:ascii="Arial" w:hAnsi="Arial" w:cs="Arial"/>
          <w:lang w:val="en-GB"/>
        </w:rPr>
        <w:t>For example, if clinicians express concern about data accuracy, Omron can prioritize clinical validation and communicate results transparently.</w:t>
      </w:r>
    </w:p>
    <w:p w14:paraId="1E657BB4" w14:textId="77777777" w:rsidR="00AD2EFF" w:rsidRPr="00827F58" w:rsidRDefault="00AD2EFF" w:rsidP="00AD2EFF">
      <w:pPr>
        <w:rPr>
          <w:rFonts w:ascii="Arial" w:hAnsi="Arial" w:cs="Arial"/>
          <w:b/>
          <w:bCs/>
          <w:lang w:val="en-GB"/>
        </w:rPr>
      </w:pPr>
      <w:r w:rsidRPr="00827F58">
        <w:rPr>
          <w:rFonts w:ascii="Arial" w:hAnsi="Arial" w:cs="Arial"/>
          <w:b/>
          <w:bCs/>
          <w:lang w:val="en-GB"/>
        </w:rPr>
        <w:t>3. Foster Co-Creation and Advisory Boards</w:t>
      </w:r>
    </w:p>
    <w:p w14:paraId="36477B7D" w14:textId="77777777" w:rsidR="00AD2EFF" w:rsidRPr="00827F58" w:rsidRDefault="00AD2EFF" w:rsidP="00AD2EFF">
      <w:pPr>
        <w:rPr>
          <w:rFonts w:ascii="Arial" w:hAnsi="Arial" w:cs="Arial"/>
          <w:lang w:val="en-GB"/>
        </w:rPr>
      </w:pPr>
      <w:r w:rsidRPr="00827F58">
        <w:rPr>
          <w:rFonts w:ascii="Arial" w:hAnsi="Arial" w:cs="Arial"/>
          <w:lang w:val="en-GB"/>
        </w:rPr>
        <w:t>Rather than treating stakeholders as passive recipients, Omron should invite them into the design process. Creating advisory boards with clinicians, patients, and tech partners can surface insights that improve product relevance and usability.</w:t>
      </w:r>
    </w:p>
    <w:p w14:paraId="6F592EBE" w14:textId="77777777" w:rsidR="00AD2EFF" w:rsidRPr="00827F58" w:rsidRDefault="00AD2EFF" w:rsidP="00AD2EFF">
      <w:pPr>
        <w:rPr>
          <w:rFonts w:ascii="Arial" w:hAnsi="Arial" w:cs="Arial"/>
          <w:lang w:val="en-GB"/>
        </w:rPr>
      </w:pPr>
      <w:r w:rsidRPr="00827F58">
        <w:rPr>
          <w:rFonts w:ascii="Arial" w:hAnsi="Arial" w:cs="Arial"/>
          <w:lang w:val="en-GB"/>
        </w:rPr>
        <w:t>This also builds advocacy—stakeholders who co-create are more likely to champion the product.</w:t>
      </w:r>
    </w:p>
    <w:p w14:paraId="4B63220A" w14:textId="77777777" w:rsidR="00AD2EFF" w:rsidRPr="00827F58" w:rsidRDefault="00AD2EFF" w:rsidP="00AD2EFF">
      <w:pPr>
        <w:rPr>
          <w:rFonts w:ascii="Arial" w:hAnsi="Arial" w:cs="Arial"/>
          <w:b/>
          <w:bCs/>
          <w:lang w:val="en-GB"/>
        </w:rPr>
      </w:pPr>
      <w:r w:rsidRPr="00827F58">
        <w:rPr>
          <w:rFonts w:ascii="Arial" w:hAnsi="Arial" w:cs="Arial"/>
          <w:b/>
          <w:bCs/>
          <w:lang w:val="en-GB"/>
        </w:rPr>
        <w:t>4. Prioritize Transparent, Empathetic Communication</w:t>
      </w:r>
    </w:p>
    <w:p w14:paraId="351DAC94" w14:textId="77777777" w:rsidR="00AD2EFF" w:rsidRPr="00827F58" w:rsidRDefault="00AD2EFF" w:rsidP="00AD2EFF">
      <w:pPr>
        <w:rPr>
          <w:rFonts w:ascii="Arial" w:hAnsi="Arial" w:cs="Arial"/>
          <w:lang w:val="en-GB"/>
        </w:rPr>
      </w:pPr>
      <w:r w:rsidRPr="00827F58">
        <w:rPr>
          <w:rFonts w:ascii="Arial" w:hAnsi="Arial" w:cs="Arial"/>
          <w:lang w:val="en-GB"/>
        </w:rPr>
        <w:t>Especially in health-tech, trust is built through transparency. Omron should communicate not just what the product does, but how it protects user data, supports health outcomes, and evolves based on feedback.</w:t>
      </w:r>
    </w:p>
    <w:p w14:paraId="4E728687" w14:textId="77777777" w:rsidR="00AD2EFF" w:rsidRPr="00827F58" w:rsidRDefault="00AD2EFF" w:rsidP="00AD2EFF">
      <w:pPr>
        <w:rPr>
          <w:rFonts w:ascii="Arial" w:hAnsi="Arial" w:cs="Arial"/>
          <w:lang w:val="en-GB"/>
        </w:rPr>
      </w:pPr>
      <w:r w:rsidRPr="00827F58">
        <w:rPr>
          <w:rFonts w:ascii="Arial" w:hAnsi="Arial" w:cs="Arial"/>
          <w:lang w:val="en-GB"/>
        </w:rPr>
        <w:t>Empathetic messaging—acknowledging user concerns, celebrating milestones, and sharing stories—humanizes the brand and strengthens relationships.</w:t>
      </w:r>
    </w:p>
    <w:p w14:paraId="1A9FBDF0" w14:textId="77777777" w:rsidR="00AD2EFF" w:rsidRPr="00827F58" w:rsidRDefault="00AD2EFF" w:rsidP="00AD2EFF">
      <w:pPr>
        <w:rPr>
          <w:rFonts w:ascii="Arial" w:hAnsi="Arial" w:cs="Arial"/>
          <w:b/>
          <w:bCs/>
          <w:lang w:val="en-GB"/>
        </w:rPr>
      </w:pPr>
      <w:r w:rsidRPr="00827F58">
        <w:rPr>
          <w:rFonts w:ascii="Arial" w:hAnsi="Arial" w:cs="Arial"/>
          <w:b/>
          <w:bCs/>
          <w:lang w:val="en-GB"/>
        </w:rPr>
        <w:t>5. Align Engagement with Business KPIs</w:t>
      </w:r>
    </w:p>
    <w:p w14:paraId="7D46724E" w14:textId="77777777" w:rsidR="00AD2EFF" w:rsidRPr="00827F58" w:rsidRDefault="00AD2EFF" w:rsidP="00AD2EFF">
      <w:pPr>
        <w:rPr>
          <w:rFonts w:ascii="Arial" w:hAnsi="Arial" w:cs="Arial"/>
          <w:lang w:val="en-GB"/>
        </w:rPr>
      </w:pPr>
      <w:r w:rsidRPr="00827F58">
        <w:rPr>
          <w:rFonts w:ascii="Arial" w:hAnsi="Arial" w:cs="Arial"/>
          <w:lang w:val="en-GB"/>
        </w:rPr>
        <w:t>Stakeholder engagement should be measured and linked to business outcomes. Omron can track metrics such as:</w:t>
      </w:r>
    </w:p>
    <w:p w14:paraId="129C1D8A" w14:textId="77777777" w:rsidR="00AD2EFF" w:rsidRPr="00827F58" w:rsidRDefault="00AD2EFF" w:rsidP="00AD2EFF">
      <w:pPr>
        <w:numPr>
          <w:ilvl w:val="0"/>
          <w:numId w:val="12"/>
        </w:numPr>
        <w:rPr>
          <w:rFonts w:ascii="Arial" w:hAnsi="Arial" w:cs="Arial"/>
          <w:lang w:val="en-GB"/>
        </w:rPr>
      </w:pPr>
      <w:r w:rsidRPr="00827F58">
        <w:rPr>
          <w:rFonts w:ascii="Arial" w:hAnsi="Arial" w:cs="Arial"/>
          <w:lang w:val="en-GB"/>
        </w:rPr>
        <w:t>Time-to-market</w:t>
      </w:r>
    </w:p>
    <w:p w14:paraId="0A25ECB6" w14:textId="77777777" w:rsidR="00AD2EFF" w:rsidRPr="00827F58" w:rsidRDefault="00AD2EFF" w:rsidP="00AD2EFF">
      <w:pPr>
        <w:numPr>
          <w:ilvl w:val="0"/>
          <w:numId w:val="12"/>
        </w:numPr>
        <w:rPr>
          <w:rFonts w:ascii="Arial" w:hAnsi="Arial" w:cs="Arial"/>
          <w:lang w:val="en-GB"/>
        </w:rPr>
      </w:pPr>
      <w:r w:rsidRPr="00827F58">
        <w:rPr>
          <w:rFonts w:ascii="Arial" w:hAnsi="Arial" w:cs="Arial"/>
          <w:lang w:val="en-GB"/>
        </w:rPr>
        <w:t>Regulatory approval timelines</w:t>
      </w:r>
    </w:p>
    <w:p w14:paraId="6BF6B0B8" w14:textId="77777777" w:rsidR="00AD2EFF" w:rsidRPr="00827F58" w:rsidRDefault="00AD2EFF" w:rsidP="00AD2EFF">
      <w:pPr>
        <w:numPr>
          <w:ilvl w:val="0"/>
          <w:numId w:val="12"/>
        </w:numPr>
        <w:rPr>
          <w:rFonts w:ascii="Arial" w:hAnsi="Arial" w:cs="Arial"/>
          <w:lang w:val="en-GB"/>
        </w:rPr>
      </w:pPr>
      <w:r w:rsidRPr="00827F58">
        <w:rPr>
          <w:rFonts w:ascii="Arial" w:hAnsi="Arial" w:cs="Arial"/>
          <w:lang w:val="en-GB"/>
        </w:rPr>
        <w:t>Consumer adoption rates</w:t>
      </w:r>
    </w:p>
    <w:p w14:paraId="71E6824B" w14:textId="77777777" w:rsidR="00AD2EFF" w:rsidRPr="00827F58" w:rsidRDefault="00AD2EFF" w:rsidP="00AD2EFF">
      <w:pPr>
        <w:numPr>
          <w:ilvl w:val="0"/>
          <w:numId w:val="12"/>
        </w:numPr>
        <w:rPr>
          <w:rFonts w:ascii="Arial" w:hAnsi="Arial" w:cs="Arial"/>
          <w:lang w:val="en-GB"/>
        </w:rPr>
      </w:pPr>
      <w:r w:rsidRPr="00827F58">
        <w:rPr>
          <w:rFonts w:ascii="Arial" w:hAnsi="Arial" w:cs="Arial"/>
          <w:lang w:val="en-GB"/>
        </w:rPr>
        <w:t>Stakeholder satisfaction scores</w:t>
      </w:r>
    </w:p>
    <w:p w14:paraId="33217667" w14:textId="77777777" w:rsidR="00AD2EFF" w:rsidRPr="00827F58" w:rsidRDefault="00AD2EFF" w:rsidP="00AD2EFF">
      <w:pPr>
        <w:numPr>
          <w:ilvl w:val="0"/>
          <w:numId w:val="12"/>
        </w:numPr>
        <w:rPr>
          <w:rFonts w:ascii="Arial" w:hAnsi="Arial" w:cs="Arial"/>
          <w:lang w:val="en-GB"/>
        </w:rPr>
      </w:pPr>
      <w:r w:rsidRPr="00827F58">
        <w:rPr>
          <w:rFonts w:ascii="Arial" w:hAnsi="Arial" w:cs="Arial"/>
          <w:lang w:val="en-GB"/>
        </w:rPr>
        <w:t>Conflict resolution speed</w:t>
      </w:r>
    </w:p>
    <w:p w14:paraId="25C80A56" w14:textId="77777777" w:rsidR="00AD2EFF" w:rsidRPr="00827F58" w:rsidRDefault="00AD2EFF" w:rsidP="00AD2EFF">
      <w:pPr>
        <w:rPr>
          <w:rFonts w:ascii="Arial" w:hAnsi="Arial" w:cs="Arial"/>
          <w:lang w:val="en-GB"/>
        </w:rPr>
      </w:pPr>
      <w:r w:rsidRPr="00827F58">
        <w:rPr>
          <w:rFonts w:ascii="Arial" w:hAnsi="Arial" w:cs="Arial"/>
          <w:lang w:val="en-GB"/>
        </w:rPr>
        <w:t>This turns engagement from a soft skill into a strategic asset.</w:t>
      </w:r>
    </w:p>
    <w:p w14:paraId="06415292" w14:textId="77777777" w:rsidR="00AD2EFF" w:rsidRPr="00827F58" w:rsidRDefault="00000000" w:rsidP="00AD2EFF">
      <w:pPr>
        <w:rPr>
          <w:rFonts w:ascii="Arial" w:hAnsi="Arial" w:cs="Arial"/>
          <w:lang w:val="en-GB"/>
        </w:rPr>
      </w:pPr>
      <w:r w:rsidRPr="00827F58">
        <w:rPr>
          <w:rFonts w:ascii="Arial" w:hAnsi="Arial" w:cs="Arial"/>
          <w:lang w:val="en-GB"/>
        </w:rPr>
        <w:lastRenderedPageBreak/>
        <w:pict w14:anchorId="6060C360">
          <v:rect id="_x0000_i1231" style="width:0;height:1.5pt" o:hralign="center" o:hrstd="t" o:hr="t" fillcolor="#a0a0a0" stroked="f"/>
        </w:pict>
      </w:r>
    </w:p>
    <w:p w14:paraId="13096FE7" w14:textId="66BD5237" w:rsidR="00AD2EFF" w:rsidRPr="00827F58" w:rsidRDefault="00AD2EFF" w:rsidP="00AD2EFF">
      <w:pPr>
        <w:rPr>
          <w:rFonts w:ascii="Arial" w:hAnsi="Arial" w:cs="Arial"/>
          <w:b/>
          <w:bCs/>
          <w:lang w:val="en-GB"/>
        </w:rPr>
      </w:pPr>
      <w:r w:rsidRPr="00827F58">
        <w:rPr>
          <w:rFonts w:ascii="Arial" w:hAnsi="Arial" w:cs="Arial"/>
          <w:b/>
          <w:bCs/>
          <w:lang w:val="en-GB"/>
        </w:rPr>
        <w:t xml:space="preserve"> Final Thought</w:t>
      </w:r>
      <w:r w:rsidR="00DB0CF0" w:rsidRPr="00827F58">
        <w:rPr>
          <w:rFonts w:ascii="Arial" w:hAnsi="Arial" w:cs="Arial"/>
          <w:b/>
          <w:bCs/>
          <w:lang w:val="en-GB"/>
        </w:rPr>
        <w:t>:</w:t>
      </w:r>
    </w:p>
    <w:p w14:paraId="6C16A19E" w14:textId="77777777" w:rsidR="00AD2EFF" w:rsidRPr="00827F58" w:rsidRDefault="00AD2EFF" w:rsidP="00AD2EFF">
      <w:pPr>
        <w:rPr>
          <w:rFonts w:ascii="Arial" w:hAnsi="Arial" w:cs="Arial"/>
          <w:lang w:val="en-GB"/>
        </w:rPr>
      </w:pPr>
      <w:r w:rsidRPr="00827F58">
        <w:rPr>
          <w:rFonts w:ascii="Arial" w:hAnsi="Arial" w:cs="Arial"/>
          <w:lang w:val="en-GB"/>
        </w:rPr>
        <w:t>In the wearable tech space, where competition is fierce and trust is fragile, stakeholder engagement is a differentiator. For Omron Healthcare, it’s not just about managing relationships—it’s about activating them. When stakeholders are engaged with clarity, empathy, and purpose, they become co-creators of success.</w:t>
      </w:r>
    </w:p>
    <w:p w14:paraId="3B432D26" w14:textId="46ABD470" w:rsidR="00AD2EFF" w:rsidRPr="00827F58" w:rsidRDefault="00AD2EFF" w:rsidP="00AD2EFF">
      <w:pPr>
        <w:rPr>
          <w:rFonts w:ascii="Arial" w:hAnsi="Arial" w:cs="Arial"/>
          <w:lang w:val="en-GB"/>
        </w:rPr>
      </w:pPr>
    </w:p>
    <w:p w14:paraId="3A78F155" w14:textId="3562D970" w:rsidR="00C53567" w:rsidRPr="00827F58" w:rsidRDefault="00C53567" w:rsidP="00C53567">
      <w:pPr>
        <w:rPr>
          <w:rFonts w:ascii="Arial" w:hAnsi="Arial" w:cs="Arial"/>
          <w:b/>
          <w:bCs/>
          <w:lang w:val="en-GB"/>
        </w:rPr>
      </w:pPr>
      <w:r w:rsidRPr="00827F58">
        <w:rPr>
          <w:rFonts w:ascii="Arial" w:hAnsi="Arial" w:cs="Arial"/>
          <w:b/>
          <w:bCs/>
          <w:lang w:val="en-GB"/>
        </w:rPr>
        <w:t xml:space="preserve">Conclusion </w:t>
      </w:r>
    </w:p>
    <w:p w14:paraId="4CCF1E53" w14:textId="77777777" w:rsidR="00C53567" w:rsidRPr="00827F58" w:rsidRDefault="00C53567" w:rsidP="00C53567">
      <w:pPr>
        <w:rPr>
          <w:rFonts w:ascii="Arial" w:hAnsi="Arial" w:cs="Arial"/>
          <w:lang w:val="en-GB"/>
        </w:rPr>
      </w:pPr>
      <w:r w:rsidRPr="00827F58">
        <w:rPr>
          <w:rFonts w:ascii="Arial" w:hAnsi="Arial" w:cs="Arial"/>
          <w:lang w:val="en-GB"/>
        </w:rPr>
        <w:t>Omron Healthcare’s venture into wearable technology is more than a product innovation—it’s a strategic transformation that hinges on meaningful stakeholder engagement. From clinicians and engineers to regulators, retailers, and consumers, each stakeholder plays a vital role in shaping the product’s relevance, credibility, and market success. This journey has shown that when engagement is intentional, structured, and empathetic, it becomes a powerful driver of business performance.</w:t>
      </w:r>
    </w:p>
    <w:p w14:paraId="40CB24D4" w14:textId="77777777" w:rsidR="00C53567" w:rsidRPr="00827F58" w:rsidRDefault="00C53567" w:rsidP="00C53567">
      <w:pPr>
        <w:rPr>
          <w:rFonts w:ascii="Arial" w:hAnsi="Arial" w:cs="Arial"/>
          <w:lang w:val="en-GB"/>
        </w:rPr>
      </w:pPr>
      <w:r w:rsidRPr="00827F58">
        <w:rPr>
          <w:rFonts w:ascii="Arial" w:hAnsi="Arial" w:cs="Arial"/>
          <w:lang w:val="en-GB"/>
        </w:rPr>
        <w:t>Through frameworks like the Power–Interest Grid, RACI matrix, and the 4C’s model, Omron can manage complexity with clarity—ensuring that communication is open, coordination is seamless, cooperation is genuine, and collaboration is solution-focused. These tools don’t just reduce friction; they unlock innovation, accelerate delivery, and build trust across the ecosystem.</w:t>
      </w:r>
    </w:p>
    <w:p w14:paraId="4C50A837" w14:textId="77777777" w:rsidR="00C53567" w:rsidRPr="00827F58" w:rsidRDefault="00C53567" w:rsidP="00C53567">
      <w:pPr>
        <w:rPr>
          <w:rFonts w:ascii="Arial" w:hAnsi="Arial" w:cs="Arial"/>
          <w:lang w:val="en-GB"/>
        </w:rPr>
      </w:pPr>
      <w:r w:rsidRPr="00827F58">
        <w:rPr>
          <w:rFonts w:ascii="Arial" w:hAnsi="Arial" w:cs="Arial"/>
          <w:lang w:val="en-GB"/>
        </w:rPr>
        <w:t>Critically, stakeholder engagement has a direct impact on Omron’s ability to deliver wearables that are not only clinically accurate but also user-friendly and commercially viable. It influences everything from regulatory approval timelines to consumer adoption rates and brand reputation. In a fast-moving, competitive market, this engagement becomes a strategic asset—one that enables agility, resilience, and long-term growth.</w:t>
      </w:r>
    </w:p>
    <w:p w14:paraId="4D521F98" w14:textId="77777777" w:rsidR="00C53567" w:rsidRPr="00827F58" w:rsidRDefault="00C53567" w:rsidP="00C53567">
      <w:pPr>
        <w:rPr>
          <w:rFonts w:ascii="Arial" w:hAnsi="Arial" w:cs="Arial"/>
          <w:lang w:val="en-GB"/>
        </w:rPr>
      </w:pPr>
      <w:r w:rsidRPr="00827F58">
        <w:rPr>
          <w:rFonts w:ascii="Arial" w:hAnsi="Arial" w:cs="Arial"/>
          <w:lang w:val="en-GB"/>
        </w:rPr>
        <w:t>Looking ahead, Omron must continue to invest in stakeholder intelligence, co-creation, and transparent communication. Engagement should be embedded into the company’s culture—not just as a project phase, but as a continuous practice. By doing so, Omron can evolve from a trusted medical brand into a health-tech leader that empowers people to take control of their wellbeing through smart, connected solutions.</w:t>
      </w:r>
    </w:p>
    <w:p w14:paraId="17754DE5" w14:textId="6AAB2D38" w:rsidR="00CC52E7" w:rsidRPr="00827F58" w:rsidRDefault="00C53567" w:rsidP="00CC52E7">
      <w:pPr>
        <w:rPr>
          <w:rFonts w:ascii="Arial" w:hAnsi="Arial" w:cs="Arial"/>
          <w:lang w:val="en-GB"/>
        </w:rPr>
      </w:pPr>
      <w:r w:rsidRPr="00827F58">
        <w:rPr>
          <w:rFonts w:ascii="Arial" w:hAnsi="Arial" w:cs="Arial"/>
          <w:lang w:val="en-GB"/>
        </w:rPr>
        <w:t>In short, stakeholder engagement isn’t just about managing relationships—it’s about activating them. And when done right, it turns a wearable device into a movement for better health, powered by collaborati</w:t>
      </w:r>
      <w:r w:rsidR="000C55AA" w:rsidRPr="00827F58">
        <w:rPr>
          <w:rFonts w:ascii="Arial" w:hAnsi="Arial" w:cs="Arial"/>
          <w:lang w:val="en-GB"/>
        </w:rPr>
        <w:t>on</w:t>
      </w:r>
    </w:p>
    <w:p w14:paraId="0A3A00D1" w14:textId="77777777" w:rsidR="00CC52E7" w:rsidRPr="00827F58" w:rsidRDefault="00000000" w:rsidP="00CC52E7">
      <w:pPr>
        <w:rPr>
          <w:rFonts w:ascii="Arial" w:hAnsi="Arial" w:cs="Arial"/>
          <w:lang w:val="en-GB"/>
        </w:rPr>
      </w:pPr>
      <w:r w:rsidRPr="00827F58">
        <w:rPr>
          <w:rFonts w:ascii="Arial" w:hAnsi="Arial" w:cs="Arial"/>
          <w:lang w:val="en-GB"/>
        </w:rPr>
        <w:pict w14:anchorId="31EEC6E1">
          <v:rect id="_x0000_i1232" style="width:0;height:1.5pt" o:hralign="center" o:hrstd="t" o:hr="t" fillcolor="#a0a0a0" stroked="f"/>
        </w:pict>
      </w:r>
    </w:p>
    <w:p w14:paraId="6E3E155C" w14:textId="5EC8512D" w:rsidR="00CC52E7" w:rsidRPr="00827F58" w:rsidRDefault="00CC52E7" w:rsidP="00CC52E7">
      <w:pPr>
        <w:rPr>
          <w:rFonts w:ascii="Arial" w:hAnsi="Arial" w:cs="Arial"/>
          <w:b/>
          <w:bCs/>
          <w:lang w:val="en-GB"/>
        </w:rPr>
      </w:pPr>
      <w:r w:rsidRPr="00827F58">
        <w:rPr>
          <w:rFonts w:ascii="Arial" w:hAnsi="Arial" w:cs="Arial"/>
          <w:b/>
          <w:bCs/>
          <w:lang w:val="en-GB"/>
        </w:rPr>
        <w:t xml:space="preserve"> References </w:t>
      </w:r>
    </w:p>
    <w:p w14:paraId="5EC6568B" w14:textId="77777777" w:rsidR="00CC52E7" w:rsidRPr="00827F58" w:rsidRDefault="00CC52E7" w:rsidP="00CC52E7">
      <w:pPr>
        <w:numPr>
          <w:ilvl w:val="0"/>
          <w:numId w:val="14"/>
        </w:numPr>
        <w:rPr>
          <w:rFonts w:ascii="Arial" w:hAnsi="Arial" w:cs="Arial"/>
          <w:lang w:val="en-GB"/>
        </w:rPr>
      </w:pPr>
      <w:r w:rsidRPr="00827F58">
        <w:rPr>
          <w:rFonts w:ascii="Arial" w:hAnsi="Arial" w:cs="Arial"/>
          <w:lang w:val="en-GB"/>
        </w:rPr>
        <w:lastRenderedPageBreak/>
        <w:t xml:space="preserve">ESG Post, 2023. </w:t>
      </w:r>
      <w:r w:rsidRPr="00827F58">
        <w:rPr>
          <w:rFonts w:ascii="Arial" w:hAnsi="Arial" w:cs="Arial"/>
          <w:i/>
          <w:iCs/>
          <w:lang w:val="en-GB"/>
        </w:rPr>
        <w:t xml:space="preserve">Integrated thinking is our mirror and map: Omron’s Tsutomu </w:t>
      </w:r>
      <w:proofErr w:type="spellStart"/>
      <w:r w:rsidRPr="00827F58">
        <w:rPr>
          <w:rFonts w:ascii="Arial" w:hAnsi="Arial" w:cs="Arial"/>
          <w:i/>
          <w:iCs/>
          <w:lang w:val="en-GB"/>
        </w:rPr>
        <w:t>Igaki</w:t>
      </w:r>
      <w:proofErr w:type="spellEnd"/>
      <w:r w:rsidRPr="00827F58">
        <w:rPr>
          <w:rFonts w:ascii="Arial" w:hAnsi="Arial" w:cs="Arial"/>
          <w:lang w:val="en-GB"/>
        </w:rPr>
        <w:t xml:space="preserve">. [online] Available at: </w:t>
      </w:r>
      <w:hyperlink r:id="rId5" w:history="1">
        <w:r w:rsidRPr="00827F58">
          <w:rPr>
            <w:rStyle w:val="Hyperlink"/>
            <w:rFonts w:ascii="Arial" w:hAnsi="Arial" w:cs="Arial"/>
            <w:lang w:val="en-GB"/>
          </w:rPr>
          <w:t>https://esgpost.com/integrated-thinking-is-our-mirror-and-map-omrons-tsutomu-igaki/</w:t>
        </w:r>
      </w:hyperlink>
      <w:r w:rsidRPr="00827F58">
        <w:rPr>
          <w:rFonts w:ascii="Arial" w:hAnsi="Arial" w:cs="Arial"/>
          <w:lang w:val="en-GB"/>
        </w:rPr>
        <w:t xml:space="preserve"> [Accessed 3 Nov. 2025].</w:t>
      </w:r>
    </w:p>
    <w:p w14:paraId="79F2F087" w14:textId="77777777" w:rsidR="00CC52E7" w:rsidRPr="00827F58" w:rsidRDefault="00CC52E7" w:rsidP="00CC52E7">
      <w:pPr>
        <w:numPr>
          <w:ilvl w:val="0"/>
          <w:numId w:val="14"/>
        </w:numPr>
        <w:rPr>
          <w:rFonts w:ascii="Arial" w:hAnsi="Arial" w:cs="Arial"/>
          <w:lang w:val="en-GB"/>
        </w:rPr>
      </w:pPr>
      <w:r w:rsidRPr="00827F58">
        <w:rPr>
          <w:rFonts w:ascii="Arial" w:hAnsi="Arial" w:cs="Arial"/>
          <w:lang w:val="en-GB"/>
        </w:rPr>
        <w:t xml:space="preserve">Frontiers in Digital Health, 2023. </w:t>
      </w:r>
      <w:r w:rsidRPr="00827F58">
        <w:rPr>
          <w:rFonts w:ascii="Arial" w:hAnsi="Arial" w:cs="Arial"/>
          <w:i/>
          <w:iCs/>
          <w:lang w:val="en-GB"/>
        </w:rPr>
        <w:t>Stakeholder perspectives on wearable health technologies: A mixed-methods study</w:t>
      </w:r>
      <w:r w:rsidRPr="00827F58">
        <w:rPr>
          <w:rFonts w:ascii="Arial" w:hAnsi="Arial" w:cs="Arial"/>
          <w:lang w:val="en-GB"/>
        </w:rPr>
        <w:t xml:space="preserve">. [online] Available at: </w:t>
      </w:r>
      <w:hyperlink r:id="rId6" w:history="1">
        <w:r w:rsidRPr="00827F58">
          <w:rPr>
            <w:rStyle w:val="Hyperlink"/>
            <w:rFonts w:ascii="Arial" w:hAnsi="Arial" w:cs="Arial"/>
            <w:lang w:val="en-GB"/>
          </w:rPr>
          <w:t>https://www.frontiersin.org/journals/digital-health/articles/10.3389/fdgth.2025.1534419/full</w:t>
        </w:r>
      </w:hyperlink>
      <w:r w:rsidRPr="00827F58">
        <w:rPr>
          <w:rFonts w:ascii="Arial" w:hAnsi="Arial" w:cs="Arial"/>
          <w:lang w:val="en-GB"/>
        </w:rPr>
        <w:t xml:space="preserve"> [Accessed 3 Nov. 2025].</w:t>
      </w:r>
    </w:p>
    <w:p w14:paraId="780269AB" w14:textId="77777777" w:rsidR="00CC52E7" w:rsidRPr="00827F58" w:rsidRDefault="00CC52E7" w:rsidP="00CC52E7">
      <w:pPr>
        <w:numPr>
          <w:ilvl w:val="0"/>
          <w:numId w:val="14"/>
        </w:numPr>
        <w:rPr>
          <w:rFonts w:ascii="Arial" w:hAnsi="Arial" w:cs="Arial"/>
          <w:lang w:val="en-GB"/>
        </w:rPr>
      </w:pPr>
      <w:r w:rsidRPr="00827F58">
        <w:rPr>
          <w:rFonts w:ascii="Arial" w:hAnsi="Arial" w:cs="Arial"/>
          <w:lang w:val="en-GB"/>
        </w:rPr>
        <w:t xml:space="preserve">Harvard Business Review, 2021. </w:t>
      </w:r>
      <w:r w:rsidRPr="00827F58">
        <w:rPr>
          <w:rFonts w:ascii="Arial" w:hAnsi="Arial" w:cs="Arial"/>
          <w:i/>
          <w:iCs/>
          <w:lang w:val="en-GB"/>
        </w:rPr>
        <w:t>Managing stakeholders in complex projects</w:t>
      </w:r>
      <w:r w:rsidRPr="00827F58">
        <w:rPr>
          <w:rFonts w:ascii="Arial" w:hAnsi="Arial" w:cs="Arial"/>
          <w:lang w:val="en-GB"/>
        </w:rPr>
        <w:t xml:space="preserve">. [online] Available at: </w:t>
      </w:r>
      <w:hyperlink r:id="rId7" w:history="1">
        <w:r w:rsidRPr="00827F58">
          <w:rPr>
            <w:rStyle w:val="Hyperlink"/>
            <w:rFonts w:ascii="Arial" w:hAnsi="Arial" w:cs="Arial"/>
            <w:lang w:val="en-GB"/>
          </w:rPr>
          <w:t>https://hbr.org/2021/05/managing-stakeholders-in-complex-projects</w:t>
        </w:r>
      </w:hyperlink>
      <w:r w:rsidRPr="00827F58">
        <w:rPr>
          <w:rFonts w:ascii="Arial" w:hAnsi="Arial" w:cs="Arial"/>
          <w:lang w:val="en-GB"/>
        </w:rPr>
        <w:t xml:space="preserve"> [Accessed 3 Nov. 2025].</w:t>
      </w:r>
    </w:p>
    <w:p w14:paraId="0F9CC46D" w14:textId="77777777" w:rsidR="00CC52E7" w:rsidRPr="00827F58" w:rsidRDefault="00CC52E7" w:rsidP="00CC52E7">
      <w:pPr>
        <w:numPr>
          <w:ilvl w:val="0"/>
          <w:numId w:val="14"/>
        </w:numPr>
        <w:rPr>
          <w:rFonts w:ascii="Arial" w:hAnsi="Arial" w:cs="Arial"/>
          <w:lang w:val="en-GB"/>
        </w:rPr>
      </w:pPr>
      <w:r w:rsidRPr="00827F58">
        <w:rPr>
          <w:rFonts w:ascii="Arial" w:hAnsi="Arial" w:cs="Arial"/>
          <w:lang w:val="en-GB"/>
        </w:rPr>
        <w:t xml:space="preserve">Omron Corporation, 2022. </w:t>
      </w:r>
      <w:r w:rsidRPr="00827F58">
        <w:rPr>
          <w:rFonts w:ascii="Arial" w:hAnsi="Arial" w:cs="Arial"/>
          <w:i/>
          <w:iCs/>
          <w:lang w:val="en-GB"/>
        </w:rPr>
        <w:t>Integrated Report 2022</w:t>
      </w:r>
      <w:r w:rsidRPr="00827F58">
        <w:rPr>
          <w:rFonts w:ascii="Arial" w:hAnsi="Arial" w:cs="Arial"/>
          <w:lang w:val="en-GB"/>
        </w:rPr>
        <w:t xml:space="preserve">. [pdf] Available at: </w:t>
      </w:r>
      <w:hyperlink r:id="rId8" w:history="1">
        <w:r w:rsidRPr="00827F58">
          <w:rPr>
            <w:rStyle w:val="Hyperlink"/>
            <w:rFonts w:ascii="Arial" w:hAnsi="Arial" w:cs="Arial"/>
            <w:lang w:val="en-GB"/>
          </w:rPr>
          <w:t>https://www.omron.com/global/en/assets/file/ir/irlib/ar22e/OMRON_Integrated_Report_2022_en_Corporate_Information.pdf</w:t>
        </w:r>
      </w:hyperlink>
      <w:r w:rsidRPr="00827F58">
        <w:rPr>
          <w:rFonts w:ascii="Arial" w:hAnsi="Arial" w:cs="Arial"/>
          <w:lang w:val="en-GB"/>
        </w:rPr>
        <w:t xml:space="preserve"> [Accessed 3 Nov. 2025].</w:t>
      </w:r>
    </w:p>
    <w:p w14:paraId="0C285474" w14:textId="77777777" w:rsidR="00CC52E7" w:rsidRPr="00827F58" w:rsidRDefault="00CC52E7" w:rsidP="00CC52E7">
      <w:pPr>
        <w:numPr>
          <w:ilvl w:val="0"/>
          <w:numId w:val="14"/>
        </w:numPr>
        <w:rPr>
          <w:rFonts w:ascii="Arial" w:hAnsi="Arial" w:cs="Arial"/>
          <w:lang w:val="en-GB"/>
        </w:rPr>
      </w:pPr>
      <w:r w:rsidRPr="00827F58">
        <w:rPr>
          <w:rFonts w:ascii="Arial" w:hAnsi="Arial" w:cs="Arial"/>
          <w:lang w:val="en-GB"/>
        </w:rPr>
        <w:t xml:space="preserve">Omron Healthcare, 2025. </w:t>
      </w:r>
      <w:r w:rsidRPr="00827F58">
        <w:rPr>
          <w:rFonts w:ascii="Arial" w:hAnsi="Arial" w:cs="Arial"/>
          <w:i/>
          <w:iCs/>
          <w:lang w:val="en-GB"/>
        </w:rPr>
        <w:t>Stakeholder Engagement Overview</w:t>
      </w:r>
      <w:r w:rsidRPr="00827F58">
        <w:rPr>
          <w:rFonts w:ascii="Arial" w:hAnsi="Arial" w:cs="Arial"/>
          <w:lang w:val="en-GB"/>
        </w:rPr>
        <w:t xml:space="preserve">. [online] Available at: </w:t>
      </w:r>
      <w:hyperlink r:id="rId9" w:history="1">
        <w:r w:rsidRPr="00827F58">
          <w:rPr>
            <w:rStyle w:val="Hyperlink"/>
            <w:rFonts w:ascii="Arial" w:hAnsi="Arial" w:cs="Arial"/>
            <w:lang w:val="en-GB"/>
          </w:rPr>
          <w:t>https://www.omron.com/global/en/sustainability/stakeholders/</w:t>
        </w:r>
      </w:hyperlink>
      <w:r w:rsidRPr="00827F58">
        <w:rPr>
          <w:rFonts w:ascii="Arial" w:hAnsi="Arial" w:cs="Arial"/>
          <w:lang w:val="en-GB"/>
        </w:rPr>
        <w:t xml:space="preserve"> [Accessed 3 Nov. 2025].</w:t>
      </w:r>
    </w:p>
    <w:p w14:paraId="023CAB3B" w14:textId="77777777" w:rsidR="00CC52E7" w:rsidRPr="00827F58" w:rsidRDefault="00CC52E7" w:rsidP="00CC52E7">
      <w:pPr>
        <w:numPr>
          <w:ilvl w:val="0"/>
          <w:numId w:val="14"/>
        </w:numPr>
        <w:rPr>
          <w:rFonts w:ascii="Arial" w:hAnsi="Arial" w:cs="Arial"/>
          <w:lang w:val="en-GB"/>
        </w:rPr>
      </w:pPr>
      <w:r w:rsidRPr="00827F58">
        <w:rPr>
          <w:rFonts w:ascii="Arial" w:hAnsi="Arial" w:cs="Arial"/>
          <w:lang w:val="en-GB"/>
        </w:rPr>
        <w:t xml:space="preserve">Research Involvement and Engagement, 2022. </w:t>
      </w:r>
      <w:r w:rsidRPr="00827F58">
        <w:rPr>
          <w:rFonts w:ascii="Arial" w:hAnsi="Arial" w:cs="Arial"/>
          <w:i/>
          <w:iCs/>
          <w:lang w:val="en-GB"/>
        </w:rPr>
        <w:t>Stakeholder engagement in health innovation: Principles and practices</w:t>
      </w:r>
      <w:r w:rsidRPr="00827F58">
        <w:rPr>
          <w:rFonts w:ascii="Arial" w:hAnsi="Arial" w:cs="Arial"/>
          <w:lang w:val="en-GB"/>
        </w:rPr>
        <w:t xml:space="preserve">. [online] Available at: </w:t>
      </w:r>
      <w:hyperlink r:id="rId10" w:history="1">
        <w:r w:rsidRPr="00827F58">
          <w:rPr>
            <w:rStyle w:val="Hyperlink"/>
            <w:rFonts w:ascii="Arial" w:hAnsi="Arial" w:cs="Arial"/>
            <w:lang w:val="en-GB"/>
          </w:rPr>
          <w:t>https://researchinvolvement.biomedcentral.com/articles/10.1186/s40900-023-00433-6</w:t>
        </w:r>
      </w:hyperlink>
      <w:r w:rsidRPr="00827F58">
        <w:rPr>
          <w:rFonts w:ascii="Arial" w:hAnsi="Arial" w:cs="Arial"/>
          <w:lang w:val="en-GB"/>
        </w:rPr>
        <w:t xml:space="preserve"> [Accessed 3 Nov. 2025].</w:t>
      </w:r>
    </w:p>
    <w:p w14:paraId="4258043D" w14:textId="202A70FD" w:rsidR="00CC52E7" w:rsidRPr="00827F58" w:rsidRDefault="00CC52E7" w:rsidP="00CC52E7">
      <w:pPr>
        <w:rPr>
          <w:rFonts w:ascii="Arial" w:hAnsi="Arial" w:cs="Arial"/>
          <w:lang w:val="en-GB"/>
        </w:rPr>
      </w:pPr>
    </w:p>
    <w:p w14:paraId="2F440BCA" w14:textId="77777777" w:rsidR="00CC52E7" w:rsidRPr="00827F58" w:rsidRDefault="00CC52E7" w:rsidP="00A15ABC">
      <w:pPr>
        <w:rPr>
          <w:rFonts w:ascii="Arial" w:hAnsi="Arial" w:cs="Arial"/>
          <w:lang w:val="en-GB"/>
        </w:rPr>
      </w:pPr>
    </w:p>
    <w:p w14:paraId="199BE8B1" w14:textId="61D04221" w:rsidR="00A15ABC" w:rsidRPr="00827F58" w:rsidRDefault="00A15ABC" w:rsidP="00A15ABC">
      <w:pPr>
        <w:rPr>
          <w:rFonts w:ascii="Arial" w:hAnsi="Arial" w:cs="Arial"/>
          <w:b/>
          <w:bCs/>
          <w:lang w:val="en-GB"/>
        </w:rPr>
      </w:pPr>
      <w:r w:rsidRPr="00827F58">
        <w:rPr>
          <w:rFonts w:ascii="Arial" w:hAnsi="Arial" w:cs="Arial"/>
          <w:b/>
          <w:bCs/>
          <w:lang w:val="en-GB"/>
        </w:rPr>
        <w:t xml:space="preserve"> References </w:t>
      </w:r>
    </w:p>
    <w:p w14:paraId="0D3A9962" w14:textId="77777777" w:rsidR="00A15ABC" w:rsidRPr="00827F58" w:rsidRDefault="00A15ABC" w:rsidP="00A15ABC">
      <w:pPr>
        <w:numPr>
          <w:ilvl w:val="0"/>
          <w:numId w:val="13"/>
        </w:numPr>
        <w:rPr>
          <w:rFonts w:ascii="Arial" w:hAnsi="Arial" w:cs="Arial"/>
          <w:lang w:val="en-GB"/>
        </w:rPr>
      </w:pPr>
      <w:r w:rsidRPr="00827F58">
        <w:rPr>
          <w:rFonts w:ascii="Arial" w:hAnsi="Arial" w:cs="Arial"/>
          <w:b/>
          <w:bCs/>
          <w:lang w:val="en-GB"/>
        </w:rPr>
        <w:t>Omron Healthcare Corporate Website</w:t>
      </w:r>
      <w:r w:rsidRPr="00827F58">
        <w:rPr>
          <w:rFonts w:ascii="Arial" w:hAnsi="Arial" w:cs="Arial"/>
          <w:lang w:val="en-GB"/>
        </w:rPr>
        <w:br/>
        <w:t>Omron’s official site provides insights into its mission, product portfolio, and strategic direction in digital health. It outlines the company’s commitment to preventive care and its expansion into wearable technology.</w:t>
      </w:r>
      <w:r w:rsidRPr="00827F58">
        <w:rPr>
          <w:rFonts w:ascii="Arial" w:hAnsi="Arial" w:cs="Arial"/>
          <w:lang w:val="en-GB"/>
        </w:rPr>
        <w:br/>
      </w:r>
      <w:r w:rsidRPr="00827F58">
        <w:rPr>
          <w:rFonts w:ascii="Arial" w:hAnsi="Arial" w:cs="Arial"/>
          <w:i/>
          <w:iCs/>
          <w:lang w:val="en-GB"/>
        </w:rPr>
        <w:t>Source:</w:t>
      </w:r>
      <w:r w:rsidRPr="00827F58">
        <w:rPr>
          <w:rFonts w:ascii="Arial" w:hAnsi="Arial" w:cs="Arial"/>
          <w:lang w:val="en-GB"/>
        </w:rPr>
        <w:t xml:space="preserve"> </w:t>
      </w:r>
      <w:hyperlink r:id="rId11" w:history="1">
        <w:r w:rsidRPr="00827F58">
          <w:rPr>
            <w:rStyle w:val="Hyperlink"/>
            <w:rFonts w:ascii="Arial" w:hAnsi="Arial" w:cs="Arial"/>
            <w:lang w:val="en-GB"/>
          </w:rPr>
          <w:t>www.omronhealthcare.com</w:t>
        </w:r>
      </w:hyperlink>
    </w:p>
    <w:p w14:paraId="1C1AF83B" w14:textId="77777777" w:rsidR="00A15ABC" w:rsidRPr="00827F58" w:rsidRDefault="00A15ABC" w:rsidP="00A15ABC">
      <w:pPr>
        <w:numPr>
          <w:ilvl w:val="0"/>
          <w:numId w:val="13"/>
        </w:numPr>
        <w:rPr>
          <w:rFonts w:ascii="Arial" w:hAnsi="Arial" w:cs="Arial"/>
          <w:lang w:val="en-GB"/>
        </w:rPr>
      </w:pPr>
      <w:r w:rsidRPr="00827F58">
        <w:rPr>
          <w:rFonts w:ascii="Arial" w:hAnsi="Arial" w:cs="Arial"/>
          <w:b/>
          <w:bCs/>
          <w:lang w:val="en-GB"/>
        </w:rPr>
        <w:t>Omron Integrated Report 2022</w:t>
      </w:r>
      <w:r w:rsidRPr="00827F58">
        <w:rPr>
          <w:rFonts w:ascii="Arial" w:hAnsi="Arial" w:cs="Arial"/>
          <w:lang w:val="en-GB"/>
        </w:rPr>
        <w:br/>
        <w:t>This annual report details Omron’s stakeholder engagement practices, sustainability goals, and innovation roadmap. It highlights how the company aligns its business strategy with social needs and regulatory expectations.</w:t>
      </w:r>
      <w:r w:rsidRPr="00827F58">
        <w:rPr>
          <w:rFonts w:ascii="Arial" w:hAnsi="Arial" w:cs="Arial"/>
          <w:lang w:val="en-GB"/>
        </w:rPr>
        <w:br/>
      </w:r>
      <w:r w:rsidRPr="00827F58">
        <w:rPr>
          <w:rFonts w:ascii="Arial" w:hAnsi="Arial" w:cs="Arial"/>
          <w:i/>
          <w:iCs/>
          <w:lang w:val="en-GB"/>
        </w:rPr>
        <w:t>Source:</w:t>
      </w:r>
      <w:r w:rsidRPr="00827F58">
        <w:rPr>
          <w:rFonts w:ascii="Arial" w:hAnsi="Arial" w:cs="Arial"/>
          <w:lang w:val="en-GB"/>
        </w:rPr>
        <w:t xml:space="preserve"> Omron Corporation, Integrated Report 2022</w:t>
      </w:r>
    </w:p>
    <w:p w14:paraId="51B1A8AE" w14:textId="77777777" w:rsidR="00A15ABC" w:rsidRPr="00827F58" w:rsidRDefault="00A15ABC" w:rsidP="00A15ABC">
      <w:pPr>
        <w:numPr>
          <w:ilvl w:val="0"/>
          <w:numId w:val="13"/>
        </w:numPr>
        <w:rPr>
          <w:rFonts w:ascii="Arial" w:hAnsi="Arial" w:cs="Arial"/>
          <w:lang w:val="en-GB"/>
        </w:rPr>
      </w:pPr>
      <w:r w:rsidRPr="00827F58">
        <w:rPr>
          <w:rFonts w:ascii="Arial" w:hAnsi="Arial" w:cs="Arial"/>
          <w:b/>
          <w:bCs/>
          <w:lang w:val="en-GB"/>
        </w:rPr>
        <w:t>Frontiers in Digital Health – Stakeholder Perspectives on Wearables</w:t>
      </w:r>
      <w:r w:rsidRPr="00827F58">
        <w:rPr>
          <w:rFonts w:ascii="Arial" w:hAnsi="Arial" w:cs="Arial"/>
          <w:lang w:val="en-GB"/>
        </w:rPr>
        <w:br/>
        <w:t>A peer-reviewed study exploring how healthcare professionals, patients, and developers perceive wearable health technologies. It discusses barriers to adoption and the importance of co-design.</w:t>
      </w:r>
      <w:r w:rsidRPr="00827F58">
        <w:rPr>
          <w:rFonts w:ascii="Arial" w:hAnsi="Arial" w:cs="Arial"/>
          <w:lang w:val="en-GB"/>
        </w:rPr>
        <w:br/>
      </w:r>
      <w:r w:rsidRPr="00827F58">
        <w:rPr>
          <w:rFonts w:ascii="Arial" w:hAnsi="Arial" w:cs="Arial"/>
          <w:i/>
          <w:iCs/>
          <w:lang w:val="en-GB"/>
        </w:rPr>
        <w:t>Source:</w:t>
      </w:r>
      <w:r w:rsidRPr="00827F58">
        <w:rPr>
          <w:rFonts w:ascii="Arial" w:hAnsi="Arial" w:cs="Arial"/>
          <w:lang w:val="en-GB"/>
        </w:rPr>
        <w:t xml:space="preserve"> Frontiers in Digital Health, 2023</w:t>
      </w:r>
    </w:p>
    <w:p w14:paraId="27A0EC5C" w14:textId="77777777" w:rsidR="00A15ABC" w:rsidRPr="00827F58" w:rsidRDefault="00A15ABC" w:rsidP="00A15ABC">
      <w:pPr>
        <w:numPr>
          <w:ilvl w:val="0"/>
          <w:numId w:val="13"/>
        </w:numPr>
        <w:rPr>
          <w:rFonts w:ascii="Arial" w:hAnsi="Arial" w:cs="Arial"/>
          <w:lang w:val="en-GB"/>
        </w:rPr>
      </w:pPr>
      <w:r w:rsidRPr="00827F58">
        <w:rPr>
          <w:rFonts w:ascii="Arial" w:hAnsi="Arial" w:cs="Arial"/>
          <w:b/>
          <w:bCs/>
          <w:lang w:val="en-GB"/>
        </w:rPr>
        <w:lastRenderedPageBreak/>
        <w:t>Harvard Business Review – Managing Stakeholders in Complex Projects</w:t>
      </w:r>
      <w:r w:rsidRPr="00827F58">
        <w:rPr>
          <w:rFonts w:ascii="Arial" w:hAnsi="Arial" w:cs="Arial"/>
          <w:lang w:val="en-GB"/>
        </w:rPr>
        <w:br/>
        <w:t>This article offers practical frameworks for stakeholder mapping, engagement planning, and conflict resolution—especially relevant to health-tech and innovation-driven projects.</w:t>
      </w:r>
      <w:r w:rsidRPr="00827F58">
        <w:rPr>
          <w:rFonts w:ascii="Arial" w:hAnsi="Arial" w:cs="Arial"/>
          <w:lang w:val="en-GB"/>
        </w:rPr>
        <w:br/>
      </w:r>
      <w:r w:rsidRPr="00827F58">
        <w:rPr>
          <w:rFonts w:ascii="Arial" w:hAnsi="Arial" w:cs="Arial"/>
          <w:i/>
          <w:iCs/>
          <w:lang w:val="en-GB"/>
        </w:rPr>
        <w:t>Source:</w:t>
      </w:r>
      <w:r w:rsidRPr="00827F58">
        <w:rPr>
          <w:rFonts w:ascii="Arial" w:hAnsi="Arial" w:cs="Arial"/>
          <w:lang w:val="en-GB"/>
        </w:rPr>
        <w:t xml:space="preserve"> Harvard Business Review, 2021</w:t>
      </w:r>
    </w:p>
    <w:p w14:paraId="63985465" w14:textId="77777777" w:rsidR="00A15ABC" w:rsidRPr="00827F58" w:rsidRDefault="00A15ABC" w:rsidP="00A15ABC">
      <w:pPr>
        <w:numPr>
          <w:ilvl w:val="0"/>
          <w:numId w:val="13"/>
        </w:numPr>
        <w:rPr>
          <w:rFonts w:ascii="Arial" w:hAnsi="Arial" w:cs="Arial"/>
          <w:lang w:val="en-GB"/>
        </w:rPr>
      </w:pPr>
      <w:r w:rsidRPr="00827F58">
        <w:rPr>
          <w:rFonts w:ascii="Arial" w:hAnsi="Arial" w:cs="Arial"/>
          <w:b/>
          <w:bCs/>
          <w:lang w:val="en-GB"/>
        </w:rPr>
        <w:t>Research Involvement and Engagement – Stakeholder Engagement in Health Innovation</w:t>
      </w:r>
      <w:r w:rsidRPr="00827F58">
        <w:rPr>
          <w:rFonts w:ascii="Arial" w:hAnsi="Arial" w:cs="Arial"/>
          <w:lang w:val="en-GB"/>
        </w:rPr>
        <w:br/>
        <w:t>An academic paper that examines the role of stakeholder engagement in developing health technologies, emphasizing transparency, co-creation, and ethical considerations.</w:t>
      </w:r>
      <w:r w:rsidRPr="00827F58">
        <w:rPr>
          <w:rFonts w:ascii="Arial" w:hAnsi="Arial" w:cs="Arial"/>
          <w:lang w:val="en-GB"/>
        </w:rPr>
        <w:br/>
      </w:r>
      <w:r w:rsidRPr="00827F58">
        <w:rPr>
          <w:rFonts w:ascii="Arial" w:hAnsi="Arial" w:cs="Arial"/>
          <w:i/>
          <w:iCs/>
          <w:lang w:val="en-GB"/>
        </w:rPr>
        <w:t>Source:</w:t>
      </w:r>
      <w:r w:rsidRPr="00827F58">
        <w:rPr>
          <w:rFonts w:ascii="Arial" w:hAnsi="Arial" w:cs="Arial"/>
          <w:lang w:val="en-GB"/>
        </w:rPr>
        <w:t xml:space="preserve"> Research Involvement and Engagement Journal, 2022</w:t>
      </w:r>
    </w:p>
    <w:p w14:paraId="1C930283" w14:textId="539F8D88" w:rsidR="00A15ABC" w:rsidRPr="00827F58" w:rsidRDefault="00A15ABC" w:rsidP="00A15ABC">
      <w:pPr>
        <w:numPr>
          <w:ilvl w:val="0"/>
          <w:numId w:val="13"/>
        </w:numPr>
        <w:rPr>
          <w:rFonts w:ascii="Arial" w:hAnsi="Arial" w:cs="Arial"/>
          <w:lang w:val="en-GB"/>
        </w:rPr>
      </w:pPr>
      <w:r w:rsidRPr="00827F58">
        <w:rPr>
          <w:rFonts w:ascii="Arial" w:hAnsi="Arial" w:cs="Arial"/>
          <w:b/>
          <w:bCs/>
          <w:lang w:val="en-GB"/>
        </w:rPr>
        <w:t>ESG Post – Interview with Omron Leadership</w:t>
      </w:r>
      <w:r w:rsidRPr="00827F58">
        <w:rPr>
          <w:rFonts w:ascii="Arial" w:hAnsi="Arial" w:cs="Arial"/>
          <w:lang w:val="en-GB"/>
        </w:rPr>
        <w:br/>
        <w:t>An interview with Omron executives discussing how integrated thinking and stakeholder dialogue shape strategic decisions, particularly in emerging health technologies.</w:t>
      </w:r>
      <w:r w:rsidRPr="00827F58">
        <w:rPr>
          <w:rFonts w:ascii="Arial" w:hAnsi="Arial" w:cs="Arial"/>
          <w:lang w:val="en-GB"/>
        </w:rPr>
        <w:br/>
      </w:r>
      <w:r w:rsidRPr="00827F58">
        <w:rPr>
          <w:rFonts w:ascii="Arial" w:hAnsi="Arial" w:cs="Arial"/>
          <w:i/>
          <w:iCs/>
          <w:lang w:val="en-GB"/>
        </w:rPr>
        <w:t>Source:</w:t>
      </w:r>
      <w:r w:rsidRPr="00827F58">
        <w:rPr>
          <w:rFonts w:ascii="Arial" w:hAnsi="Arial" w:cs="Arial"/>
          <w:lang w:val="en-GB"/>
        </w:rPr>
        <w:t xml:space="preserve"> ESG </w:t>
      </w:r>
    </w:p>
    <w:p w14:paraId="4FB7EAC3" w14:textId="77777777" w:rsidR="00A15ABC" w:rsidRPr="00827F58" w:rsidRDefault="00A15ABC" w:rsidP="00C53567">
      <w:pPr>
        <w:rPr>
          <w:rFonts w:ascii="Arial" w:hAnsi="Arial" w:cs="Arial"/>
          <w:lang w:val="en-GB"/>
        </w:rPr>
      </w:pPr>
    </w:p>
    <w:p w14:paraId="69259BFD" w14:textId="77777777" w:rsidR="00142959" w:rsidRPr="00827F58" w:rsidRDefault="00142959" w:rsidP="00EC7A5D">
      <w:pPr>
        <w:rPr>
          <w:rFonts w:ascii="Arial" w:hAnsi="Arial" w:cs="Arial"/>
          <w:lang w:val="en-GB"/>
        </w:rPr>
      </w:pPr>
    </w:p>
    <w:p w14:paraId="11C59246" w14:textId="77777777" w:rsidR="00EC7A5D" w:rsidRPr="00827F58" w:rsidRDefault="00EC7A5D" w:rsidP="006E4624">
      <w:pPr>
        <w:rPr>
          <w:rFonts w:ascii="Arial" w:hAnsi="Arial" w:cs="Arial"/>
          <w:lang w:val="en-GB"/>
        </w:rPr>
      </w:pPr>
    </w:p>
    <w:p w14:paraId="40410BF6" w14:textId="1CAB0131" w:rsidR="003F5048" w:rsidRPr="003F5048" w:rsidRDefault="003F5048" w:rsidP="003F5048">
      <w:pPr>
        <w:rPr>
          <w:lang w:val="en-GB"/>
        </w:rPr>
      </w:pPr>
    </w:p>
    <w:sectPr w:rsidR="003F5048" w:rsidRPr="003F50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108D1"/>
    <w:multiLevelType w:val="multilevel"/>
    <w:tmpl w:val="EA4E6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F51AF"/>
    <w:multiLevelType w:val="multilevel"/>
    <w:tmpl w:val="C0C03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7227CD"/>
    <w:multiLevelType w:val="multilevel"/>
    <w:tmpl w:val="5464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E10AE"/>
    <w:multiLevelType w:val="multilevel"/>
    <w:tmpl w:val="13FE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2E6080"/>
    <w:multiLevelType w:val="multilevel"/>
    <w:tmpl w:val="C2549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1F4A57"/>
    <w:multiLevelType w:val="multilevel"/>
    <w:tmpl w:val="781AE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6C743D"/>
    <w:multiLevelType w:val="multilevel"/>
    <w:tmpl w:val="155A5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7236DA"/>
    <w:multiLevelType w:val="multilevel"/>
    <w:tmpl w:val="3312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BC73DE"/>
    <w:multiLevelType w:val="multilevel"/>
    <w:tmpl w:val="B296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677D92"/>
    <w:multiLevelType w:val="multilevel"/>
    <w:tmpl w:val="478A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B8160C"/>
    <w:multiLevelType w:val="multilevel"/>
    <w:tmpl w:val="E7A6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EA31C8"/>
    <w:multiLevelType w:val="multilevel"/>
    <w:tmpl w:val="10DE6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DF23CB"/>
    <w:multiLevelType w:val="multilevel"/>
    <w:tmpl w:val="9D06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0742A2"/>
    <w:multiLevelType w:val="multilevel"/>
    <w:tmpl w:val="F806B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4460479">
    <w:abstractNumId w:val="13"/>
  </w:num>
  <w:num w:numId="2" w16cid:durableId="695272244">
    <w:abstractNumId w:val="12"/>
  </w:num>
  <w:num w:numId="3" w16cid:durableId="336925722">
    <w:abstractNumId w:val="2"/>
  </w:num>
  <w:num w:numId="4" w16cid:durableId="1497187793">
    <w:abstractNumId w:val="7"/>
  </w:num>
  <w:num w:numId="5" w16cid:durableId="301541718">
    <w:abstractNumId w:val="8"/>
  </w:num>
  <w:num w:numId="6" w16cid:durableId="767426618">
    <w:abstractNumId w:val="0"/>
  </w:num>
  <w:num w:numId="7" w16cid:durableId="1155143371">
    <w:abstractNumId w:val="11"/>
  </w:num>
  <w:num w:numId="8" w16cid:durableId="1933198608">
    <w:abstractNumId w:val="10"/>
  </w:num>
  <w:num w:numId="9" w16cid:durableId="1160579813">
    <w:abstractNumId w:val="4"/>
  </w:num>
  <w:num w:numId="10" w16cid:durableId="603879616">
    <w:abstractNumId w:val="3"/>
  </w:num>
  <w:num w:numId="11" w16cid:durableId="427510807">
    <w:abstractNumId w:val="6"/>
  </w:num>
  <w:num w:numId="12" w16cid:durableId="1315598318">
    <w:abstractNumId w:val="9"/>
  </w:num>
  <w:num w:numId="13" w16cid:durableId="679502533">
    <w:abstractNumId w:val="5"/>
  </w:num>
  <w:num w:numId="14" w16cid:durableId="96869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0DF"/>
    <w:rsid w:val="00051DF2"/>
    <w:rsid w:val="000540DF"/>
    <w:rsid w:val="00072FA7"/>
    <w:rsid w:val="00087DE1"/>
    <w:rsid w:val="000C55AA"/>
    <w:rsid w:val="000F3A41"/>
    <w:rsid w:val="00142959"/>
    <w:rsid w:val="002545F3"/>
    <w:rsid w:val="002E116A"/>
    <w:rsid w:val="002E7FA2"/>
    <w:rsid w:val="00322B7F"/>
    <w:rsid w:val="0032608D"/>
    <w:rsid w:val="00326705"/>
    <w:rsid w:val="00341D51"/>
    <w:rsid w:val="00396EA3"/>
    <w:rsid w:val="003B0E15"/>
    <w:rsid w:val="003E5A06"/>
    <w:rsid w:val="003F5048"/>
    <w:rsid w:val="00456C5D"/>
    <w:rsid w:val="00527F30"/>
    <w:rsid w:val="005C2964"/>
    <w:rsid w:val="005E6FD0"/>
    <w:rsid w:val="00625B47"/>
    <w:rsid w:val="00675C51"/>
    <w:rsid w:val="006818C3"/>
    <w:rsid w:val="006A03C4"/>
    <w:rsid w:val="006B0FD9"/>
    <w:rsid w:val="006E4624"/>
    <w:rsid w:val="006F3E63"/>
    <w:rsid w:val="007229F6"/>
    <w:rsid w:val="00734670"/>
    <w:rsid w:val="00787B23"/>
    <w:rsid w:val="007E74F6"/>
    <w:rsid w:val="00827F58"/>
    <w:rsid w:val="008C3189"/>
    <w:rsid w:val="00980DD4"/>
    <w:rsid w:val="009A3446"/>
    <w:rsid w:val="009C4C40"/>
    <w:rsid w:val="00A0094B"/>
    <w:rsid w:val="00A15ABC"/>
    <w:rsid w:val="00AB15D9"/>
    <w:rsid w:val="00AD2EFF"/>
    <w:rsid w:val="00BD0132"/>
    <w:rsid w:val="00C4264B"/>
    <w:rsid w:val="00C4432F"/>
    <w:rsid w:val="00C53567"/>
    <w:rsid w:val="00C97D5A"/>
    <w:rsid w:val="00CC52E7"/>
    <w:rsid w:val="00D71B70"/>
    <w:rsid w:val="00DB0CF0"/>
    <w:rsid w:val="00DE4BCE"/>
    <w:rsid w:val="00E74F24"/>
    <w:rsid w:val="00EC7A5D"/>
    <w:rsid w:val="00F42DED"/>
    <w:rsid w:val="00F73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061E4"/>
  <w15:chartTrackingRefBased/>
  <w15:docId w15:val="{F9F770E5-8681-4098-85F9-DD09A44F3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0D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540D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540D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540D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540D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540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40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40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40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0D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540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540D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540D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540D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540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40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40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40DF"/>
    <w:rPr>
      <w:rFonts w:eastAsiaTheme="majorEastAsia" w:cstheme="majorBidi"/>
      <w:color w:val="272727" w:themeColor="text1" w:themeTint="D8"/>
    </w:rPr>
  </w:style>
  <w:style w:type="paragraph" w:styleId="Title">
    <w:name w:val="Title"/>
    <w:basedOn w:val="Normal"/>
    <w:next w:val="Normal"/>
    <w:link w:val="TitleChar"/>
    <w:uiPriority w:val="10"/>
    <w:qFormat/>
    <w:rsid w:val="000540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40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40D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40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0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540DF"/>
    <w:rPr>
      <w:i/>
      <w:iCs/>
      <w:color w:val="404040" w:themeColor="text1" w:themeTint="BF"/>
    </w:rPr>
  </w:style>
  <w:style w:type="paragraph" w:styleId="ListParagraph">
    <w:name w:val="List Paragraph"/>
    <w:basedOn w:val="Normal"/>
    <w:uiPriority w:val="34"/>
    <w:qFormat/>
    <w:rsid w:val="000540DF"/>
    <w:pPr>
      <w:ind w:left="720"/>
      <w:contextualSpacing/>
    </w:pPr>
  </w:style>
  <w:style w:type="character" w:styleId="IntenseEmphasis">
    <w:name w:val="Intense Emphasis"/>
    <w:basedOn w:val="DefaultParagraphFont"/>
    <w:uiPriority w:val="21"/>
    <w:qFormat/>
    <w:rsid w:val="000540DF"/>
    <w:rPr>
      <w:i/>
      <w:iCs/>
      <w:color w:val="365F91" w:themeColor="accent1" w:themeShade="BF"/>
    </w:rPr>
  </w:style>
  <w:style w:type="paragraph" w:styleId="IntenseQuote">
    <w:name w:val="Intense Quote"/>
    <w:basedOn w:val="Normal"/>
    <w:next w:val="Normal"/>
    <w:link w:val="IntenseQuoteChar"/>
    <w:uiPriority w:val="30"/>
    <w:qFormat/>
    <w:rsid w:val="000540D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540DF"/>
    <w:rPr>
      <w:i/>
      <w:iCs/>
      <w:color w:val="365F91" w:themeColor="accent1" w:themeShade="BF"/>
    </w:rPr>
  </w:style>
  <w:style w:type="character" w:styleId="IntenseReference">
    <w:name w:val="Intense Reference"/>
    <w:basedOn w:val="DefaultParagraphFont"/>
    <w:uiPriority w:val="32"/>
    <w:qFormat/>
    <w:rsid w:val="000540DF"/>
    <w:rPr>
      <w:b/>
      <w:bCs/>
      <w:smallCaps/>
      <w:color w:val="365F91" w:themeColor="accent1" w:themeShade="BF"/>
      <w:spacing w:val="5"/>
    </w:rPr>
  </w:style>
  <w:style w:type="character" w:styleId="Hyperlink">
    <w:name w:val="Hyperlink"/>
    <w:basedOn w:val="DefaultParagraphFont"/>
    <w:uiPriority w:val="99"/>
    <w:unhideWhenUsed/>
    <w:rsid w:val="00A15ABC"/>
    <w:rPr>
      <w:color w:val="0000FF" w:themeColor="hyperlink"/>
      <w:u w:val="single"/>
    </w:rPr>
  </w:style>
  <w:style w:type="character" w:styleId="UnresolvedMention">
    <w:name w:val="Unresolved Mention"/>
    <w:basedOn w:val="DefaultParagraphFont"/>
    <w:uiPriority w:val="99"/>
    <w:semiHidden/>
    <w:unhideWhenUsed/>
    <w:rsid w:val="00A15A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mron.com/global/en/assets/file/ir/irlib/ar22e/OMRON_Integrated_Report_2022_en_Corporate_Information.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br.org/2021/05/managing-stakeholders-in-complex-projec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rontiersin.org/journals/digital-health/articles/10.3389/fdgth.2025.1534419/full" TargetMode="External"/><Relationship Id="rId11" Type="http://schemas.openxmlformats.org/officeDocument/2006/relationships/hyperlink" Target="https://www.omronhealthcare.com" TargetMode="External"/><Relationship Id="rId5" Type="http://schemas.openxmlformats.org/officeDocument/2006/relationships/hyperlink" Target="https://esgpost.com/integrated-thinking-is-our-mirror-and-map-omrons-tsutomu-igaki/" TargetMode="External"/><Relationship Id="rId10" Type="http://schemas.openxmlformats.org/officeDocument/2006/relationships/hyperlink" Target="https://researchinvolvement.biomedcentral.com/articles/10.1186/s40900-023-00433-6" TargetMode="External"/><Relationship Id="rId4" Type="http://schemas.openxmlformats.org/officeDocument/2006/relationships/webSettings" Target="webSettings.xml"/><Relationship Id="rId9" Type="http://schemas.openxmlformats.org/officeDocument/2006/relationships/hyperlink" Target="https://www.omron.com/global/en/sustainability/stakehol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4395</Words>
  <Characters>25057</Characters>
  <Application>Microsoft Office Word</Application>
  <DocSecurity>0</DocSecurity>
  <Lines>208</Lines>
  <Paragraphs>58</Paragraphs>
  <ScaleCrop>false</ScaleCrop>
  <Company/>
  <LinksUpToDate>false</LinksUpToDate>
  <CharactersWithSpaces>29394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2025-11-07T14:58:00Z</dcterms:created>
  <dcterms:modified xsi:type="dcterms:W3CDTF">2025-11-11T15:34:00Z</dcterms:modified>
</cp:coreProperties>
</file>