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252ECE" w14:textId="77777777" w:rsidR="00476DDF" w:rsidRPr="00476DDF" w:rsidRDefault="00476DDF" w:rsidP="00476DDF">
      <w:pPr>
        <w:spacing w:after="160" w:line="480" w:lineRule="auto"/>
        <w:jc w:val="center"/>
        <w:rPr>
          <w:rFonts w:ascii="Times New Roman" w:eastAsiaTheme="minorHAnsi" w:hAnsi="Times New Roman"/>
          <w:b/>
          <w:bCs/>
          <w:sz w:val="48"/>
          <w:szCs w:val="48"/>
          <w:lang w:eastAsia="en-US"/>
        </w:rPr>
      </w:pPr>
      <w:r w:rsidRPr="00476DDF">
        <w:rPr>
          <w:rFonts w:ascii="Times New Roman" w:eastAsiaTheme="minorHAnsi" w:hAnsi="Times New Roman"/>
          <w:b/>
          <w:bCs/>
          <w:sz w:val="48"/>
          <w:szCs w:val="48"/>
          <w:lang w:eastAsia="en-US"/>
        </w:rPr>
        <w:t>Name:Claudia Georgiana Macarie</w:t>
      </w:r>
    </w:p>
    <w:p w14:paraId="1A816FE0" w14:textId="77777777" w:rsidR="00476DDF" w:rsidRPr="00476DDF" w:rsidRDefault="00476DDF" w:rsidP="00476DDF">
      <w:pPr>
        <w:spacing w:after="160" w:line="480" w:lineRule="auto"/>
        <w:jc w:val="center"/>
        <w:rPr>
          <w:rFonts w:ascii="Times New Roman" w:eastAsiaTheme="minorHAnsi" w:hAnsi="Times New Roman"/>
          <w:b/>
          <w:bCs/>
          <w:sz w:val="48"/>
          <w:szCs w:val="48"/>
          <w:lang w:eastAsia="en-US"/>
        </w:rPr>
      </w:pPr>
      <w:r w:rsidRPr="00476DDF">
        <w:rPr>
          <w:rFonts w:ascii="Times New Roman" w:eastAsiaTheme="minorHAnsi" w:hAnsi="Times New Roman"/>
          <w:b/>
          <w:bCs/>
          <w:sz w:val="48"/>
          <w:szCs w:val="48"/>
          <w:lang w:eastAsia="en-US"/>
        </w:rPr>
        <w:t>Student ID:2030517</w:t>
      </w:r>
    </w:p>
    <w:p w14:paraId="72ADB273" w14:textId="61257820" w:rsidR="00476DDF" w:rsidRPr="00476DDF" w:rsidRDefault="00476DDF" w:rsidP="00476DDF">
      <w:pPr>
        <w:spacing w:after="160" w:line="480" w:lineRule="auto"/>
        <w:jc w:val="center"/>
        <w:rPr>
          <w:rFonts w:ascii="Times New Roman" w:eastAsiaTheme="minorHAnsi" w:hAnsi="Times New Roman"/>
          <w:b/>
          <w:bCs/>
          <w:sz w:val="48"/>
          <w:szCs w:val="48"/>
          <w:lang w:eastAsia="en-US"/>
        </w:rPr>
      </w:pPr>
      <w:r w:rsidRPr="00476DDF">
        <w:rPr>
          <w:rFonts w:ascii="Times New Roman" w:eastAsiaTheme="minorHAnsi" w:hAnsi="Times New Roman"/>
          <w:b/>
          <w:bCs/>
          <w:sz w:val="48"/>
          <w:szCs w:val="48"/>
          <w:lang w:eastAsia="en-US"/>
        </w:rPr>
        <w:t>Date&amp;time:5/01/2022;</w:t>
      </w:r>
      <w:r w:rsidR="00055B0B">
        <w:rPr>
          <w:rFonts w:ascii="Times New Roman" w:eastAsiaTheme="minorHAnsi" w:hAnsi="Times New Roman"/>
          <w:b/>
          <w:bCs/>
          <w:sz w:val="48"/>
          <w:szCs w:val="48"/>
          <w:lang w:eastAsia="en-US"/>
        </w:rPr>
        <w:t>13:00</w:t>
      </w:r>
    </w:p>
    <w:p w14:paraId="0CA3C9F6" w14:textId="77777777" w:rsidR="00476DDF" w:rsidRPr="00476DDF" w:rsidRDefault="00476DDF" w:rsidP="00476DDF">
      <w:pPr>
        <w:spacing w:after="160" w:line="480" w:lineRule="auto"/>
        <w:jc w:val="center"/>
        <w:rPr>
          <w:rFonts w:ascii="Times New Roman" w:eastAsiaTheme="minorHAnsi" w:hAnsi="Times New Roman"/>
          <w:b/>
          <w:bCs/>
          <w:sz w:val="48"/>
          <w:szCs w:val="48"/>
          <w:lang w:eastAsia="en-US"/>
        </w:rPr>
      </w:pPr>
      <w:r w:rsidRPr="00476DDF">
        <w:rPr>
          <w:rFonts w:ascii="Times New Roman" w:eastAsiaTheme="minorHAnsi" w:hAnsi="Times New Roman"/>
          <w:b/>
          <w:bCs/>
          <w:sz w:val="48"/>
          <w:szCs w:val="48"/>
          <w:lang w:eastAsia="en-US"/>
        </w:rPr>
        <w:t>Module code:LCBB4001</w:t>
      </w:r>
    </w:p>
    <w:p w14:paraId="0287904D" w14:textId="77777777" w:rsidR="00476DDF" w:rsidRPr="00476DDF" w:rsidRDefault="00476DDF" w:rsidP="00476DDF">
      <w:pPr>
        <w:spacing w:after="160" w:line="480" w:lineRule="auto"/>
        <w:jc w:val="center"/>
        <w:rPr>
          <w:rFonts w:ascii="Times New Roman" w:eastAsiaTheme="minorHAnsi" w:hAnsi="Times New Roman"/>
          <w:b/>
          <w:bCs/>
          <w:sz w:val="48"/>
          <w:szCs w:val="48"/>
          <w:lang w:eastAsia="en-US"/>
        </w:rPr>
      </w:pPr>
      <w:r w:rsidRPr="00476DDF">
        <w:rPr>
          <w:rFonts w:ascii="Times New Roman" w:eastAsiaTheme="minorHAnsi" w:hAnsi="Times New Roman"/>
          <w:b/>
          <w:bCs/>
          <w:sz w:val="48"/>
          <w:szCs w:val="48"/>
          <w:lang w:eastAsia="en-US"/>
        </w:rPr>
        <w:t>EXAM</w:t>
      </w:r>
    </w:p>
    <w:p w14:paraId="25B79AB6" w14:textId="77777777" w:rsidR="00476DDF" w:rsidRPr="00476DDF" w:rsidRDefault="00476DDF" w:rsidP="00476DDF">
      <w:pPr>
        <w:spacing w:after="160" w:line="480" w:lineRule="auto"/>
        <w:jc w:val="center"/>
        <w:rPr>
          <w:rFonts w:ascii="Times New Roman" w:eastAsiaTheme="minorHAnsi" w:hAnsi="Times New Roman"/>
          <w:b/>
          <w:bCs/>
          <w:sz w:val="48"/>
          <w:szCs w:val="48"/>
          <w:lang w:eastAsia="en-US"/>
        </w:rPr>
      </w:pPr>
      <w:r w:rsidRPr="00476DDF">
        <w:rPr>
          <w:rFonts w:ascii="Times New Roman" w:eastAsiaTheme="minorHAnsi" w:hAnsi="Times New Roman"/>
          <w:b/>
          <w:bCs/>
          <w:sz w:val="48"/>
          <w:szCs w:val="48"/>
          <w:lang w:eastAsia="en-US"/>
        </w:rPr>
        <w:t>ACCOUNTING FUNDAMENTALS</w:t>
      </w:r>
    </w:p>
    <w:p w14:paraId="0FB70F90" w14:textId="77777777" w:rsidR="00476DDF" w:rsidRPr="00476DDF" w:rsidRDefault="00476DDF" w:rsidP="00476DDF">
      <w:pPr>
        <w:spacing w:after="160" w:line="259" w:lineRule="auto"/>
        <w:rPr>
          <w:rFonts w:ascii="Times New Roman" w:eastAsiaTheme="minorHAnsi" w:hAnsi="Times New Roman"/>
          <w:b/>
          <w:bCs/>
          <w:sz w:val="48"/>
          <w:szCs w:val="48"/>
          <w:lang w:eastAsia="en-US"/>
        </w:rPr>
      </w:pPr>
      <w:r w:rsidRPr="00476DDF">
        <w:rPr>
          <w:rFonts w:ascii="Times New Roman" w:eastAsiaTheme="minorHAnsi" w:hAnsi="Times New Roman"/>
          <w:b/>
          <w:bCs/>
          <w:sz w:val="48"/>
          <w:szCs w:val="48"/>
          <w:lang w:eastAsia="en-US"/>
        </w:rPr>
        <w:br w:type="page"/>
      </w:r>
    </w:p>
    <w:p w14:paraId="7CDCD0D0" w14:textId="77777777" w:rsidR="00476DDF" w:rsidRPr="00476DDF" w:rsidRDefault="00476DDF" w:rsidP="00476DDF">
      <w:pPr>
        <w:keepNext/>
        <w:keepLines/>
        <w:spacing w:before="240" w:line="480" w:lineRule="auto"/>
        <w:jc w:val="both"/>
        <w:outlineLvl w:val="0"/>
        <w:rPr>
          <w:rFonts w:ascii="Times New Roman" w:eastAsiaTheme="majorEastAsia" w:hAnsi="Times New Roman" w:cstheme="majorBidi"/>
          <w:b/>
          <w:sz w:val="28"/>
          <w:szCs w:val="32"/>
          <w:lang w:eastAsia="en-US"/>
        </w:rPr>
      </w:pPr>
      <w:r w:rsidRPr="00476DDF">
        <w:rPr>
          <w:rFonts w:ascii="Times New Roman" w:eastAsiaTheme="majorEastAsia" w:hAnsi="Times New Roman" w:cstheme="majorBidi"/>
          <w:b/>
          <w:sz w:val="28"/>
          <w:szCs w:val="32"/>
          <w:lang w:eastAsia="en-US"/>
        </w:rPr>
        <w:lastRenderedPageBreak/>
        <w:t>Question-1:</w:t>
      </w:r>
    </w:p>
    <w:p w14:paraId="3E43C309" w14:textId="77777777" w:rsidR="00476DDF" w:rsidRPr="00476DDF" w:rsidRDefault="00476DDF" w:rsidP="00476DDF">
      <w:pPr>
        <w:spacing w:after="160" w:line="480" w:lineRule="auto"/>
        <w:jc w:val="both"/>
        <w:rPr>
          <w:rFonts w:ascii="Times New Roman" w:eastAsiaTheme="minorHAnsi" w:hAnsi="Times New Roman"/>
          <w:b/>
          <w:bCs/>
          <w:sz w:val="24"/>
          <w:lang w:val="en-IN" w:eastAsia="en-US"/>
        </w:rPr>
      </w:pPr>
      <w:r w:rsidRPr="00476DDF">
        <w:rPr>
          <w:rFonts w:ascii="Times New Roman" w:eastAsiaTheme="minorHAnsi" w:hAnsi="Times New Roman"/>
          <w:b/>
          <w:bCs/>
          <w:sz w:val="24"/>
          <w:lang w:val="en-IN" w:eastAsia="en-US"/>
        </w:rPr>
        <w:t>a): Calculate Break even point of product A for Kerrigan Ltd:</w:t>
      </w:r>
    </w:p>
    <w:p w14:paraId="489DF355" w14:textId="77777777" w:rsidR="00476DDF" w:rsidRPr="00476DDF" w:rsidRDefault="00476DDF" w:rsidP="00476DDF">
      <w:pPr>
        <w:spacing w:after="160" w:line="480" w:lineRule="auto"/>
        <w:jc w:val="both"/>
        <w:rPr>
          <w:rFonts w:ascii="Times New Roman" w:eastAsiaTheme="minorHAnsi" w:hAnsi="Times New Roman"/>
          <w:sz w:val="24"/>
          <w:lang w:val="en-IN" w:eastAsia="en-US"/>
        </w:rPr>
      </w:pPr>
      <w:r w:rsidRPr="00476DDF">
        <w:rPr>
          <w:rFonts w:ascii="Times New Roman" w:eastAsiaTheme="minorHAnsi" w:hAnsi="Times New Roman"/>
          <w:sz w:val="24"/>
          <w:lang w:val="en-IN" w:eastAsia="en-US"/>
        </w:rPr>
        <w:t xml:space="preserve">Break Even Point: Fixed cost / Selling price – Variable cost </w:t>
      </w:r>
    </w:p>
    <w:p w14:paraId="6E8CCD28" w14:textId="77777777" w:rsidR="00476DDF" w:rsidRPr="00476DDF" w:rsidRDefault="00476DDF" w:rsidP="00476DDF">
      <w:pPr>
        <w:spacing w:after="160" w:line="480" w:lineRule="auto"/>
        <w:jc w:val="both"/>
        <w:rPr>
          <w:rFonts w:ascii="Times New Roman" w:eastAsiaTheme="minorHAnsi" w:hAnsi="Times New Roman"/>
          <w:sz w:val="24"/>
          <w:lang w:val="en-IN" w:eastAsia="en-US"/>
        </w:rPr>
      </w:pPr>
      <w:r w:rsidRPr="00476DDF">
        <w:rPr>
          <w:rFonts w:ascii="Times New Roman" w:eastAsiaTheme="minorHAnsi" w:hAnsi="Times New Roman"/>
          <w:sz w:val="24"/>
          <w:lang w:val="en-IN" w:eastAsia="en-US"/>
        </w:rPr>
        <w:t>Or, 3,50,000/ 11 – 6</w:t>
      </w:r>
    </w:p>
    <w:p w14:paraId="2AA76A19" w14:textId="77777777" w:rsidR="00476DDF" w:rsidRPr="00476DDF" w:rsidRDefault="00476DDF" w:rsidP="00476DDF">
      <w:pPr>
        <w:spacing w:after="160" w:line="480" w:lineRule="auto"/>
        <w:jc w:val="both"/>
        <w:rPr>
          <w:rFonts w:ascii="Times New Roman" w:eastAsiaTheme="minorHAnsi" w:hAnsi="Times New Roman"/>
          <w:b/>
          <w:bCs/>
          <w:sz w:val="24"/>
          <w:lang w:val="en-IN" w:eastAsia="en-US"/>
        </w:rPr>
      </w:pPr>
      <w:r w:rsidRPr="00476DDF">
        <w:rPr>
          <w:rFonts w:ascii="Times New Roman" w:eastAsiaTheme="minorHAnsi" w:hAnsi="Times New Roman"/>
          <w:sz w:val="24"/>
          <w:lang w:val="en-IN" w:eastAsia="en-US"/>
        </w:rPr>
        <w:t xml:space="preserve">Or, 3,50,000/5 = </w:t>
      </w:r>
      <w:r w:rsidRPr="00476DDF">
        <w:rPr>
          <w:rFonts w:ascii="Times New Roman" w:eastAsiaTheme="minorHAnsi" w:hAnsi="Times New Roman"/>
          <w:b/>
          <w:bCs/>
          <w:sz w:val="24"/>
          <w:lang w:val="en-IN" w:eastAsia="en-US"/>
        </w:rPr>
        <w:t>70,000 units [Answer]</w:t>
      </w:r>
    </w:p>
    <w:p w14:paraId="739E1094" w14:textId="77777777" w:rsidR="00476DDF" w:rsidRPr="00476DDF" w:rsidRDefault="00476DDF" w:rsidP="00476DDF">
      <w:pPr>
        <w:spacing w:after="160" w:line="480" w:lineRule="auto"/>
        <w:jc w:val="both"/>
        <w:rPr>
          <w:rFonts w:ascii="Times New Roman" w:eastAsiaTheme="minorHAnsi" w:hAnsi="Times New Roman"/>
          <w:sz w:val="24"/>
          <w:lang w:val="en-IN" w:eastAsia="en-US"/>
        </w:rPr>
      </w:pPr>
      <w:r w:rsidRPr="00476DDF">
        <w:rPr>
          <w:rFonts w:ascii="Times New Roman" w:eastAsiaTheme="minorHAnsi" w:hAnsi="Times New Roman"/>
          <w:sz w:val="24"/>
          <w:lang w:val="en-IN" w:eastAsia="en-US"/>
        </w:rPr>
        <w:t xml:space="preserve">Break Even Point in revenues: Fixed Cost/PV ratio </w:t>
      </w:r>
    </w:p>
    <w:p w14:paraId="11EEF342" w14:textId="77777777" w:rsidR="00476DDF" w:rsidRPr="00476DDF" w:rsidRDefault="00476DDF" w:rsidP="00476DDF">
      <w:pPr>
        <w:spacing w:after="160" w:line="480" w:lineRule="auto"/>
        <w:jc w:val="both"/>
        <w:rPr>
          <w:rFonts w:ascii="Times New Roman" w:eastAsiaTheme="minorHAnsi" w:hAnsi="Times New Roman"/>
          <w:sz w:val="24"/>
          <w:lang w:val="en-IN" w:eastAsia="en-US"/>
        </w:rPr>
      </w:pPr>
      <w:r w:rsidRPr="00476DDF">
        <w:rPr>
          <w:rFonts w:ascii="Times New Roman" w:eastAsiaTheme="minorHAnsi" w:hAnsi="Times New Roman"/>
          <w:sz w:val="24"/>
          <w:lang w:val="en-IN" w:eastAsia="en-US"/>
        </w:rPr>
        <w:t>PV Ratio: Contribution / Sales = 5/11 = 45.5%</w:t>
      </w:r>
    </w:p>
    <w:p w14:paraId="16F6D743" w14:textId="77777777" w:rsidR="00476DDF" w:rsidRPr="00476DDF" w:rsidRDefault="00476DDF" w:rsidP="00476DDF">
      <w:pPr>
        <w:spacing w:after="160" w:line="480" w:lineRule="auto"/>
        <w:jc w:val="both"/>
        <w:rPr>
          <w:rFonts w:ascii="Times New Roman" w:eastAsiaTheme="minorHAnsi" w:hAnsi="Times New Roman"/>
          <w:b/>
          <w:bCs/>
          <w:sz w:val="24"/>
          <w:lang w:val="en-IN" w:eastAsia="en-US"/>
        </w:rPr>
      </w:pPr>
      <w:r w:rsidRPr="00476DDF">
        <w:rPr>
          <w:rFonts w:ascii="Times New Roman" w:eastAsiaTheme="minorHAnsi" w:hAnsi="Times New Roman"/>
          <w:sz w:val="24"/>
          <w:lang w:val="en-IN" w:eastAsia="en-US"/>
        </w:rPr>
        <w:t xml:space="preserve">Break Even Point in revenue: 3,50,000/45.5% or </w:t>
      </w:r>
      <w:r w:rsidRPr="00476DDF">
        <w:rPr>
          <w:rFonts w:ascii="Times New Roman" w:eastAsiaTheme="minorHAnsi" w:hAnsi="Times New Roman" w:cs="Times New Roman"/>
          <w:b/>
          <w:bCs/>
          <w:sz w:val="24"/>
          <w:lang w:val="en-IN" w:eastAsia="en-US"/>
        </w:rPr>
        <w:t>£</w:t>
      </w:r>
      <w:r w:rsidRPr="00476DDF">
        <w:rPr>
          <w:rFonts w:ascii="Times New Roman" w:eastAsiaTheme="minorHAnsi" w:hAnsi="Times New Roman"/>
          <w:b/>
          <w:bCs/>
          <w:sz w:val="24"/>
          <w:lang w:val="en-IN" w:eastAsia="en-US"/>
        </w:rPr>
        <w:t>7,77,778 Revenue [Answer]</w:t>
      </w:r>
    </w:p>
    <w:p w14:paraId="16ACE63B" w14:textId="77777777" w:rsidR="00476DDF" w:rsidRPr="00476DDF" w:rsidRDefault="00476DDF" w:rsidP="00476DDF">
      <w:pPr>
        <w:spacing w:after="160" w:line="480" w:lineRule="auto"/>
        <w:jc w:val="both"/>
        <w:rPr>
          <w:rFonts w:ascii="Times New Roman" w:eastAsiaTheme="minorHAnsi" w:hAnsi="Times New Roman"/>
          <w:b/>
          <w:bCs/>
          <w:sz w:val="24"/>
          <w:lang w:eastAsia="en-US"/>
        </w:rPr>
      </w:pPr>
      <w:r w:rsidRPr="00476DDF">
        <w:rPr>
          <w:rFonts w:ascii="Times New Roman" w:eastAsiaTheme="minorHAnsi" w:hAnsi="Times New Roman"/>
          <w:b/>
          <w:bCs/>
          <w:sz w:val="24"/>
          <w:lang w:eastAsia="en-US"/>
        </w:rPr>
        <w:t>(b): Profit on 75000 units sales:</w:t>
      </w:r>
    </w:p>
    <w:tbl>
      <w:tblPr>
        <w:tblW w:w="4840" w:type="dxa"/>
        <w:tblLook w:val="04A0" w:firstRow="1" w:lastRow="0" w:firstColumn="1" w:lastColumn="0" w:noHBand="0" w:noVBand="1"/>
      </w:tblPr>
      <w:tblGrid>
        <w:gridCol w:w="2140"/>
        <w:gridCol w:w="1260"/>
        <w:gridCol w:w="1440"/>
      </w:tblGrid>
      <w:tr w:rsidR="00476DDF" w:rsidRPr="00476DDF" w14:paraId="6BC41661" w14:textId="77777777" w:rsidTr="00C27865">
        <w:trPr>
          <w:trHeight w:val="300"/>
        </w:trPr>
        <w:tc>
          <w:tcPr>
            <w:tcW w:w="2140" w:type="dxa"/>
            <w:tcBorders>
              <w:top w:val="single" w:sz="8" w:space="0" w:color="000000"/>
              <w:left w:val="nil"/>
              <w:bottom w:val="single" w:sz="8" w:space="0" w:color="000000"/>
              <w:right w:val="nil"/>
            </w:tcBorders>
            <w:shd w:val="clear" w:color="FFC000" w:fill="FFC000"/>
            <w:noWrap/>
            <w:vAlign w:val="bottom"/>
            <w:hideMark/>
          </w:tcPr>
          <w:p w14:paraId="02092474" w14:textId="77777777" w:rsidR="00476DDF" w:rsidRPr="00476DDF" w:rsidRDefault="00476DDF" w:rsidP="00476DDF">
            <w:pPr>
              <w:rPr>
                <w:rFonts w:ascii="Calibri" w:eastAsia="Times New Roman" w:hAnsi="Calibri" w:cs="Calibri"/>
                <w:b/>
                <w:bCs/>
                <w:i/>
                <w:iCs/>
                <w:color w:val="FFFFFF"/>
              </w:rPr>
            </w:pPr>
            <w:r w:rsidRPr="00476DDF">
              <w:rPr>
                <w:rFonts w:ascii="Calibri" w:eastAsia="Times New Roman" w:hAnsi="Calibri" w:cs="Calibri"/>
                <w:b/>
                <w:bCs/>
                <w:i/>
                <w:iCs/>
                <w:color w:val="FFFFFF"/>
              </w:rPr>
              <w:t>Particulars</w:t>
            </w:r>
          </w:p>
        </w:tc>
        <w:tc>
          <w:tcPr>
            <w:tcW w:w="1260" w:type="dxa"/>
            <w:tcBorders>
              <w:top w:val="single" w:sz="8" w:space="0" w:color="000000"/>
              <w:left w:val="nil"/>
              <w:bottom w:val="single" w:sz="8" w:space="0" w:color="000000"/>
              <w:right w:val="nil"/>
            </w:tcBorders>
            <w:shd w:val="clear" w:color="FFC000" w:fill="FFC000"/>
            <w:noWrap/>
            <w:vAlign w:val="bottom"/>
            <w:hideMark/>
          </w:tcPr>
          <w:p w14:paraId="33C82067" w14:textId="77777777" w:rsidR="00476DDF" w:rsidRPr="00476DDF" w:rsidRDefault="00476DDF" w:rsidP="00476DDF">
            <w:pPr>
              <w:jc w:val="center"/>
              <w:rPr>
                <w:rFonts w:ascii="Calibri" w:eastAsia="Times New Roman" w:hAnsi="Calibri" w:cs="Calibri"/>
                <w:b/>
                <w:bCs/>
                <w:i/>
                <w:iCs/>
                <w:color w:val="FFFFFF"/>
              </w:rPr>
            </w:pPr>
            <w:r w:rsidRPr="00476DDF">
              <w:rPr>
                <w:rFonts w:ascii="Calibri" w:eastAsia="Times New Roman" w:hAnsi="Calibri" w:cs="Calibri"/>
                <w:b/>
                <w:bCs/>
                <w:i/>
                <w:iCs/>
                <w:color w:val="FFFFFF"/>
              </w:rPr>
              <w:t>Workings</w:t>
            </w:r>
          </w:p>
        </w:tc>
        <w:tc>
          <w:tcPr>
            <w:tcW w:w="1440" w:type="dxa"/>
            <w:tcBorders>
              <w:top w:val="single" w:sz="8" w:space="0" w:color="000000"/>
              <w:left w:val="nil"/>
              <w:bottom w:val="single" w:sz="8" w:space="0" w:color="000000"/>
              <w:right w:val="nil"/>
            </w:tcBorders>
            <w:shd w:val="clear" w:color="FFC000" w:fill="FFC000"/>
            <w:noWrap/>
            <w:vAlign w:val="bottom"/>
            <w:hideMark/>
          </w:tcPr>
          <w:p w14:paraId="1F8FD3FB" w14:textId="77777777" w:rsidR="00476DDF" w:rsidRPr="00476DDF" w:rsidRDefault="00476DDF" w:rsidP="00476DDF">
            <w:pPr>
              <w:jc w:val="center"/>
              <w:rPr>
                <w:rFonts w:ascii="Calibri" w:eastAsia="Times New Roman" w:hAnsi="Calibri" w:cs="Calibri"/>
                <w:b/>
                <w:bCs/>
                <w:i/>
                <w:iCs/>
                <w:color w:val="FFFFFF"/>
              </w:rPr>
            </w:pPr>
            <w:r w:rsidRPr="00476DDF">
              <w:rPr>
                <w:rFonts w:ascii="Calibri" w:eastAsia="Times New Roman" w:hAnsi="Calibri" w:cs="Calibri"/>
                <w:b/>
                <w:bCs/>
                <w:i/>
                <w:iCs/>
                <w:color w:val="FFFFFF"/>
              </w:rPr>
              <w:t xml:space="preserve">Amount </w:t>
            </w:r>
            <w:r w:rsidRPr="00476DDF">
              <w:rPr>
                <w:rFonts w:ascii="Calibri" w:eastAsia="Times New Roman" w:hAnsi="Calibri" w:cs="Calibri"/>
                <w:b/>
                <w:bCs/>
                <w:i/>
                <w:iCs/>
                <w:color w:val="FFFFFF" w:themeColor="background1"/>
              </w:rPr>
              <w:t>(£)</w:t>
            </w:r>
          </w:p>
        </w:tc>
      </w:tr>
      <w:tr w:rsidR="00476DDF" w:rsidRPr="00476DDF" w14:paraId="332F6BF6" w14:textId="77777777" w:rsidTr="00C27865">
        <w:trPr>
          <w:trHeight w:val="300"/>
        </w:trPr>
        <w:tc>
          <w:tcPr>
            <w:tcW w:w="2140" w:type="dxa"/>
            <w:tcBorders>
              <w:top w:val="nil"/>
              <w:left w:val="nil"/>
              <w:bottom w:val="nil"/>
              <w:right w:val="nil"/>
            </w:tcBorders>
            <w:shd w:val="clear" w:color="D9D9D9" w:fill="D9D9D9"/>
            <w:noWrap/>
            <w:vAlign w:val="bottom"/>
            <w:hideMark/>
          </w:tcPr>
          <w:p w14:paraId="5C9B6B0B" w14:textId="77777777" w:rsidR="00476DDF" w:rsidRPr="00476DDF" w:rsidRDefault="00476DDF" w:rsidP="00476DDF">
            <w:pPr>
              <w:rPr>
                <w:rFonts w:ascii="Calibri" w:eastAsia="Times New Roman" w:hAnsi="Calibri" w:cs="Calibri"/>
                <w:color w:val="000000"/>
              </w:rPr>
            </w:pPr>
            <w:r w:rsidRPr="00476DDF">
              <w:rPr>
                <w:rFonts w:ascii="Calibri" w:eastAsia="Times New Roman" w:hAnsi="Calibri" w:cs="Calibri"/>
                <w:color w:val="000000"/>
              </w:rPr>
              <w:t>Sales</w:t>
            </w:r>
          </w:p>
        </w:tc>
        <w:tc>
          <w:tcPr>
            <w:tcW w:w="1260" w:type="dxa"/>
            <w:tcBorders>
              <w:top w:val="nil"/>
              <w:left w:val="nil"/>
              <w:bottom w:val="nil"/>
              <w:right w:val="nil"/>
            </w:tcBorders>
            <w:shd w:val="clear" w:color="D9D9D9" w:fill="D9D9D9"/>
            <w:noWrap/>
            <w:vAlign w:val="bottom"/>
            <w:hideMark/>
          </w:tcPr>
          <w:p w14:paraId="51665CBD" w14:textId="77777777" w:rsidR="00476DDF" w:rsidRPr="00476DDF" w:rsidRDefault="00476DDF" w:rsidP="00476DDF">
            <w:pPr>
              <w:jc w:val="center"/>
              <w:rPr>
                <w:rFonts w:ascii="Calibri" w:eastAsia="Times New Roman" w:hAnsi="Calibri" w:cs="Calibri"/>
                <w:color w:val="000000"/>
              </w:rPr>
            </w:pPr>
            <w:r w:rsidRPr="00476DDF">
              <w:rPr>
                <w:rFonts w:ascii="Calibri" w:eastAsia="Times New Roman" w:hAnsi="Calibri" w:cs="Calibri"/>
                <w:color w:val="000000"/>
              </w:rPr>
              <w:t>75000*£11</w:t>
            </w:r>
          </w:p>
        </w:tc>
        <w:tc>
          <w:tcPr>
            <w:tcW w:w="1440" w:type="dxa"/>
            <w:tcBorders>
              <w:top w:val="nil"/>
              <w:left w:val="nil"/>
              <w:bottom w:val="nil"/>
              <w:right w:val="nil"/>
            </w:tcBorders>
            <w:shd w:val="clear" w:color="D9D9D9" w:fill="D9D9D9"/>
            <w:noWrap/>
            <w:vAlign w:val="bottom"/>
            <w:hideMark/>
          </w:tcPr>
          <w:p w14:paraId="5F008D09" w14:textId="77777777" w:rsidR="00476DDF" w:rsidRPr="00476DDF" w:rsidRDefault="00476DDF" w:rsidP="00476DDF">
            <w:pPr>
              <w:jc w:val="center"/>
              <w:rPr>
                <w:rFonts w:ascii="Calibri" w:eastAsia="Times New Roman" w:hAnsi="Calibri" w:cs="Calibri"/>
                <w:color w:val="000000"/>
              </w:rPr>
            </w:pPr>
            <w:r w:rsidRPr="00476DDF">
              <w:rPr>
                <w:rFonts w:ascii="Calibri" w:eastAsia="Times New Roman" w:hAnsi="Calibri" w:cs="Calibri"/>
                <w:color w:val="000000"/>
              </w:rPr>
              <w:t>825000</w:t>
            </w:r>
          </w:p>
        </w:tc>
      </w:tr>
      <w:tr w:rsidR="00476DDF" w:rsidRPr="00476DDF" w14:paraId="22C926D2" w14:textId="77777777" w:rsidTr="00C27865">
        <w:trPr>
          <w:trHeight w:val="300"/>
        </w:trPr>
        <w:tc>
          <w:tcPr>
            <w:tcW w:w="2140" w:type="dxa"/>
            <w:tcBorders>
              <w:top w:val="nil"/>
              <w:left w:val="nil"/>
              <w:bottom w:val="nil"/>
              <w:right w:val="nil"/>
            </w:tcBorders>
            <w:shd w:val="clear" w:color="auto" w:fill="auto"/>
            <w:noWrap/>
            <w:vAlign w:val="bottom"/>
            <w:hideMark/>
          </w:tcPr>
          <w:p w14:paraId="3D4D801A" w14:textId="77777777" w:rsidR="00476DDF" w:rsidRPr="00476DDF" w:rsidRDefault="00476DDF" w:rsidP="00476DDF">
            <w:pPr>
              <w:rPr>
                <w:rFonts w:ascii="Calibri" w:eastAsia="Times New Roman" w:hAnsi="Calibri" w:cs="Calibri"/>
                <w:color w:val="000000"/>
              </w:rPr>
            </w:pPr>
            <w:r w:rsidRPr="00476DDF">
              <w:rPr>
                <w:rFonts w:ascii="Calibri" w:eastAsia="Times New Roman" w:hAnsi="Calibri" w:cs="Calibri"/>
                <w:color w:val="000000"/>
              </w:rPr>
              <w:t>(-) Variable charges</w:t>
            </w:r>
          </w:p>
        </w:tc>
        <w:tc>
          <w:tcPr>
            <w:tcW w:w="1260" w:type="dxa"/>
            <w:tcBorders>
              <w:top w:val="nil"/>
              <w:left w:val="nil"/>
              <w:bottom w:val="nil"/>
              <w:right w:val="nil"/>
            </w:tcBorders>
            <w:shd w:val="clear" w:color="auto" w:fill="auto"/>
            <w:noWrap/>
            <w:vAlign w:val="bottom"/>
            <w:hideMark/>
          </w:tcPr>
          <w:p w14:paraId="61384713" w14:textId="77777777" w:rsidR="00476DDF" w:rsidRPr="00476DDF" w:rsidRDefault="00476DDF" w:rsidP="00476DDF">
            <w:pPr>
              <w:jc w:val="center"/>
              <w:rPr>
                <w:rFonts w:ascii="Calibri" w:eastAsia="Times New Roman" w:hAnsi="Calibri" w:cs="Calibri"/>
                <w:color w:val="000000"/>
              </w:rPr>
            </w:pPr>
            <w:r w:rsidRPr="00476DDF">
              <w:rPr>
                <w:rFonts w:ascii="Calibri" w:eastAsia="Times New Roman" w:hAnsi="Calibri" w:cs="Calibri"/>
                <w:color w:val="000000"/>
              </w:rPr>
              <w:t>75000*£6</w:t>
            </w:r>
          </w:p>
        </w:tc>
        <w:tc>
          <w:tcPr>
            <w:tcW w:w="1440" w:type="dxa"/>
            <w:tcBorders>
              <w:top w:val="nil"/>
              <w:left w:val="nil"/>
              <w:bottom w:val="nil"/>
              <w:right w:val="nil"/>
            </w:tcBorders>
            <w:shd w:val="clear" w:color="auto" w:fill="auto"/>
            <w:noWrap/>
            <w:vAlign w:val="bottom"/>
            <w:hideMark/>
          </w:tcPr>
          <w:p w14:paraId="470B97BE" w14:textId="77777777" w:rsidR="00476DDF" w:rsidRPr="00476DDF" w:rsidRDefault="00476DDF" w:rsidP="00476DDF">
            <w:pPr>
              <w:jc w:val="center"/>
              <w:rPr>
                <w:rFonts w:ascii="Calibri" w:eastAsia="Times New Roman" w:hAnsi="Calibri" w:cs="Calibri"/>
                <w:color w:val="000000"/>
              </w:rPr>
            </w:pPr>
            <w:r w:rsidRPr="00476DDF">
              <w:rPr>
                <w:rFonts w:ascii="Calibri" w:eastAsia="Times New Roman" w:hAnsi="Calibri" w:cs="Calibri"/>
                <w:color w:val="000000"/>
              </w:rPr>
              <w:t>450000</w:t>
            </w:r>
          </w:p>
        </w:tc>
      </w:tr>
      <w:tr w:rsidR="00476DDF" w:rsidRPr="00476DDF" w14:paraId="6B179670" w14:textId="77777777" w:rsidTr="00C27865">
        <w:trPr>
          <w:trHeight w:val="300"/>
        </w:trPr>
        <w:tc>
          <w:tcPr>
            <w:tcW w:w="2140" w:type="dxa"/>
            <w:tcBorders>
              <w:top w:val="nil"/>
              <w:left w:val="nil"/>
              <w:bottom w:val="nil"/>
              <w:right w:val="nil"/>
            </w:tcBorders>
            <w:shd w:val="clear" w:color="D9D9D9" w:fill="D9D9D9"/>
            <w:noWrap/>
            <w:vAlign w:val="bottom"/>
            <w:hideMark/>
          </w:tcPr>
          <w:p w14:paraId="19E3151E" w14:textId="77777777" w:rsidR="00476DDF" w:rsidRPr="00476DDF" w:rsidRDefault="00476DDF" w:rsidP="00476DDF">
            <w:pPr>
              <w:rPr>
                <w:rFonts w:ascii="Calibri" w:eastAsia="Times New Roman" w:hAnsi="Calibri" w:cs="Calibri"/>
                <w:b/>
                <w:bCs/>
                <w:color w:val="000000"/>
              </w:rPr>
            </w:pPr>
            <w:r w:rsidRPr="00476DDF">
              <w:rPr>
                <w:rFonts w:ascii="Calibri" w:eastAsia="Times New Roman" w:hAnsi="Calibri" w:cs="Calibri"/>
                <w:b/>
                <w:bCs/>
                <w:color w:val="000000"/>
              </w:rPr>
              <w:t>Contribution margin</w:t>
            </w:r>
          </w:p>
        </w:tc>
        <w:tc>
          <w:tcPr>
            <w:tcW w:w="1260" w:type="dxa"/>
            <w:tcBorders>
              <w:top w:val="nil"/>
              <w:left w:val="nil"/>
              <w:bottom w:val="nil"/>
              <w:right w:val="nil"/>
            </w:tcBorders>
            <w:shd w:val="clear" w:color="D9D9D9" w:fill="D9D9D9"/>
            <w:noWrap/>
            <w:vAlign w:val="bottom"/>
            <w:hideMark/>
          </w:tcPr>
          <w:p w14:paraId="37ADD6AC" w14:textId="77777777" w:rsidR="00476DDF" w:rsidRPr="00476DDF" w:rsidRDefault="00476DDF" w:rsidP="00476DDF">
            <w:pPr>
              <w:rPr>
                <w:rFonts w:ascii="Calibri" w:eastAsia="Times New Roman" w:hAnsi="Calibri" w:cs="Calibri"/>
                <w:b/>
                <w:bCs/>
                <w:color w:val="000000"/>
              </w:rPr>
            </w:pPr>
          </w:p>
        </w:tc>
        <w:tc>
          <w:tcPr>
            <w:tcW w:w="1440" w:type="dxa"/>
            <w:tcBorders>
              <w:top w:val="nil"/>
              <w:left w:val="nil"/>
              <w:bottom w:val="nil"/>
              <w:right w:val="nil"/>
            </w:tcBorders>
            <w:shd w:val="clear" w:color="D9D9D9" w:fill="D9D9D9"/>
            <w:noWrap/>
            <w:vAlign w:val="bottom"/>
            <w:hideMark/>
          </w:tcPr>
          <w:p w14:paraId="231155DC" w14:textId="77777777" w:rsidR="00476DDF" w:rsidRPr="00476DDF" w:rsidRDefault="00476DDF" w:rsidP="00476DDF">
            <w:pPr>
              <w:jc w:val="center"/>
              <w:rPr>
                <w:rFonts w:ascii="Calibri" w:eastAsia="Times New Roman" w:hAnsi="Calibri" w:cs="Calibri"/>
                <w:b/>
                <w:bCs/>
                <w:color w:val="000000"/>
              </w:rPr>
            </w:pPr>
            <w:r w:rsidRPr="00476DDF">
              <w:rPr>
                <w:rFonts w:ascii="Calibri" w:eastAsia="Times New Roman" w:hAnsi="Calibri" w:cs="Calibri"/>
                <w:b/>
                <w:bCs/>
                <w:color w:val="000000"/>
              </w:rPr>
              <w:t>375000</w:t>
            </w:r>
          </w:p>
        </w:tc>
      </w:tr>
      <w:tr w:rsidR="00476DDF" w:rsidRPr="00476DDF" w14:paraId="4FFBCA6B" w14:textId="77777777" w:rsidTr="00C27865">
        <w:trPr>
          <w:trHeight w:val="300"/>
        </w:trPr>
        <w:tc>
          <w:tcPr>
            <w:tcW w:w="2140" w:type="dxa"/>
            <w:tcBorders>
              <w:top w:val="nil"/>
              <w:left w:val="nil"/>
              <w:bottom w:val="nil"/>
              <w:right w:val="nil"/>
            </w:tcBorders>
            <w:shd w:val="clear" w:color="auto" w:fill="auto"/>
            <w:noWrap/>
            <w:vAlign w:val="bottom"/>
            <w:hideMark/>
          </w:tcPr>
          <w:p w14:paraId="02F32567" w14:textId="77777777" w:rsidR="00476DDF" w:rsidRPr="00476DDF" w:rsidRDefault="00476DDF" w:rsidP="00476DDF">
            <w:pPr>
              <w:rPr>
                <w:rFonts w:ascii="Calibri" w:eastAsia="Times New Roman" w:hAnsi="Calibri" w:cs="Calibri"/>
                <w:color w:val="000000"/>
              </w:rPr>
            </w:pPr>
            <w:r w:rsidRPr="00476DDF">
              <w:rPr>
                <w:rFonts w:ascii="Calibri" w:eastAsia="Times New Roman" w:hAnsi="Calibri" w:cs="Calibri"/>
                <w:color w:val="000000"/>
              </w:rPr>
              <w:t>(-) Fixed charges</w:t>
            </w:r>
          </w:p>
        </w:tc>
        <w:tc>
          <w:tcPr>
            <w:tcW w:w="1260" w:type="dxa"/>
            <w:tcBorders>
              <w:top w:val="nil"/>
              <w:left w:val="nil"/>
              <w:bottom w:val="nil"/>
              <w:right w:val="nil"/>
            </w:tcBorders>
            <w:shd w:val="clear" w:color="auto" w:fill="auto"/>
            <w:noWrap/>
            <w:vAlign w:val="bottom"/>
            <w:hideMark/>
          </w:tcPr>
          <w:p w14:paraId="44EE844F" w14:textId="77777777" w:rsidR="00476DDF" w:rsidRPr="00476DDF" w:rsidRDefault="00476DDF" w:rsidP="00476DDF">
            <w:pPr>
              <w:rPr>
                <w:rFonts w:ascii="Calibri" w:eastAsia="Times New Roman" w:hAnsi="Calibri" w:cs="Calibri"/>
                <w:color w:val="000000"/>
              </w:rPr>
            </w:pPr>
          </w:p>
        </w:tc>
        <w:tc>
          <w:tcPr>
            <w:tcW w:w="1440" w:type="dxa"/>
            <w:tcBorders>
              <w:top w:val="nil"/>
              <w:left w:val="nil"/>
              <w:bottom w:val="nil"/>
              <w:right w:val="nil"/>
            </w:tcBorders>
            <w:shd w:val="clear" w:color="auto" w:fill="auto"/>
            <w:noWrap/>
            <w:vAlign w:val="bottom"/>
            <w:hideMark/>
          </w:tcPr>
          <w:p w14:paraId="0D56A4C5" w14:textId="77777777" w:rsidR="00476DDF" w:rsidRPr="00476DDF" w:rsidRDefault="00476DDF" w:rsidP="00476DDF">
            <w:pPr>
              <w:jc w:val="center"/>
              <w:rPr>
                <w:rFonts w:ascii="Calibri" w:eastAsia="Times New Roman" w:hAnsi="Calibri" w:cs="Calibri"/>
                <w:color w:val="000000"/>
              </w:rPr>
            </w:pPr>
            <w:r w:rsidRPr="00476DDF">
              <w:rPr>
                <w:rFonts w:ascii="Calibri" w:eastAsia="Times New Roman" w:hAnsi="Calibri" w:cs="Calibri"/>
                <w:color w:val="000000"/>
              </w:rPr>
              <w:t>350000</w:t>
            </w:r>
          </w:p>
        </w:tc>
      </w:tr>
      <w:tr w:rsidR="00476DDF" w:rsidRPr="00476DDF" w14:paraId="0348AFC4" w14:textId="77777777" w:rsidTr="00C27865">
        <w:trPr>
          <w:trHeight w:val="300"/>
        </w:trPr>
        <w:tc>
          <w:tcPr>
            <w:tcW w:w="2140" w:type="dxa"/>
            <w:tcBorders>
              <w:top w:val="single" w:sz="4" w:space="0" w:color="4472C4"/>
              <w:left w:val="nil"/>
              <w:bottom w:val="double" w:sz="6" w:space="0" w:color="4472C4"/>
              <w:right w:val="nil"/>
            </w:tcBorders>
            <w:shd w:val="clear" w:color="D9D9D9" w:fill="D9D9D9"/>
            <w:noWrap/>
            <w:vAlign w:val="bottom"/>
            <w:hideMark/>
          </w:tcPr>
          <w:p w14:paraId="09915533" w14:textId="77777777" w:rsidR="00476DDF" w:rsidRPr="00476DDF" w:rsidRDefault="00476DDF" w:rsidP="00476DDF">
            <w:pPr>
              <w:rPr>
                <w:rFonts w:ascii="Calibri" w:eastAsia="Times New Roman" w:hAnsi="Calibri" w:cs="Calibri"/>
                <w:b/>
                <w:bCs/>
                <w:i/>
                <w:iCs/>
                <w:color w:val="000000"/>
              </w:rPr>
            </w:pPr>
            <w:r w:rsidRPr="00476DDF">
              <w:rPr>
                <w:rFonts w:ascii="Calibri" w:eastAsia="Times New Roman" w:hAnsi="Calibri" w:cs="Calibri"/>
                <w:b/>
                <w:bCs/>
                <w:i/>
                <w:iCs/>
                <w:color w:val="000000"/>
              </w:rPr>
              <w:t>Profits</w:t>
            </w:r>
          </w:p>
        </w:tc>
        <w:tc>
          <w:tcPr>
            <w:tcW w:w="1260" w:type="dxa"/>
            <w:tcBorders>
              <w:top w:val="single" w:sz="4" w:space="0" w:color="4472C4"/>
              <w:left w:val="nil"/>
              <w:bottom w:val="double" w:sz="6" w:space="0" w:color="4472C4"/>
              <w:right w:val="nil"/>
            </w:tcBorders>
            <w:shd w:val="clear" w:color="D9D9D9" w:fill="D9D9D9"/>
            <w:noWrap/>
            <w:vAlign w:val="bottom"/>
            <w:hideMark/>
          </w:tcPr>
          <w:p w14:paraId="277E2F57" w14:textId="77777777" w:rsidR="00476DDF" w:rsidRPr="00476DDF" w:rsidRDefault="00476DDF" w:rsidP="00476DDF">
            <w:pPr>
              <w:jc w:val="center"/>
              <w:rPr>
                <w:rFonts w:ascii="Calibri" w:eastAsia="Times New Roman" w:hAnsi="Calibri" w:cs="Calibri"/>
                <w:b/>
                <w:bCs/>
                <w:i/>
                <w:iCs/>
                <w:color w:val="000000"/>
              </w:rPr>
            </w:pPr>
            <w:r w:rsidRPr="00476DDF">
              <w:rPr>
                <w:rFonts w:ascii="Calibri" w:eastAsia="Times New Roman" w:hAnsi="Calibri" w:cs="Calibri"/>
                <w:b/>
                <w:bCs/>
                <w:i/>
                <w:iCs/>
                <w:color w:val="000000"/>
              </w:rPr>
              <w:t> </w:t>
            </w:r>
          </w:p>
        </w:tc>
        <w:tc>
          <w:tcPr>
            <w:tcW w:w="1440" w:type="dxa"/>
            <w:tcBorders>
              <w:top w:val="single" w:sz="4" w:space="0" w:color="4472C4"/>
              <w:left w:val="nil"/>
              <w:bottom w:val="double" w:sz="6" w:space="0" w:color="4472C4"/>
              <w:right w:val="nil"/>
            </w:tcBorders>
            <w:shd w:val="clear" w:color="D9D9D9" w:fill="D9D9D9"/>
            <w:noWrap/>
            <w:vAlign w:val="bottom"/>
            <w:hideMark/>
          </w:tcPr>
          <w:p w14:paraId="2EEADDB8" w14:textId="77777777" w:rsidR="00476DDF" w:rsidRPr="00476DDF" w:rsidRDefault="00476DDF" w:rsidP="00476DDF">
            <w:pPr>
              <w:jc w:val="center"/>
              <w:rPr>
                <w:rFonts w:ascii="Calibri" w:eastAsia="Times New Roman" w:hAnsi="Calibri" w:cs="Calibri"/>
                <w:b/>
                <w:bCs/>
                <w:i/>
                <w:iCs/>
                <w:color w:val="000000"/>
              </w:rPr>
            </w:pPr>
            <w:r w:rsidRPr="00476DDF">
              <w:rPr>
                <w:rFonts w:ascii="Calibri" w:eastAsia="Times New Roman" w:hAnsi="Calibri" w:cs="Calibri"/>
                <w:b/>
                <w:bCs/>
                <w:i/>
                <w:iCs/>
                <w:color w:val="000000"/>
              </w:rPr>
              <w:t>25000</w:t>
            </w:r>
          </w:p>
        </w:tc>
      </w:tr>
    </w:tbl>
    <w:p w14:paraId="168BB677" w14:textId="77777777" w:rsidR="00476DDF" w:rsidRPr="00476DDF" w:rsidRDefault="00476DDF" w:rsidP="00476DDF">
      <w:pPr>
        <w:spacing w:after="160" w:line="480" w:lineRule="auto"/>
        <w:jc w:val="both"/>
        <w:rPr>
          <w:rFonts w:ascii="Times New Roman" w:eastAsiaTheme="minorHAnsi" w:hAnsi="Times New Roman"/>
          <w:sz w:val="24"/>
          <w:lang w:eastAsia="en-US"/>
        </w:rPr>
      </w:pPr>
    </w:p>
    <w:p w14:paraId="08E3B8EB" w14:textId="77777777" w:rsidR="00476DDF" w:rsidRPr="00476DDF" w:rsidRDefault="00476DDF" w:rsidP="00476DDF">
      <w:pPr>
        <w:spacing w:after="160" w:line="480" w:lineRule="auto"/>
        <w:jc w:val="both"/>
        <w:rPr>
          <w:rFonts w:ascii="Times New Roman" w:eastAsiaTheme="minorHAnsi" w:hAnsi="Times New Roman"/>
          <w:sz w:val="24"/>
          <w:lang w:eastAsia="en-US"/>
        </w:rPr>
      </w:pPr>
      <w:r w:rsidRPr="00476DDF">
        <w:rPr>
          <w:rFonts w:ascii="Times New Roman" w:eastAsiaTheme="minorHAnsi" w:hAnsi="Times New Roman"/>
          <w:b/>
          <w:bCs/>
          <w:sz w:val="24"/>
          <w:lang w:eastAsia="en-US"/>
        </w:rPr>
        <w:t>Result:</w:t>
      </w:r>
      <w:r w:rsidRPr="00476DDF">
        <w:rPr>
          <w:rFonts w:ascii="Times New Roman" w:eastAsiaTheme="minorHAnsi" w:hAnsi="Times New Roman"/>
          <w:sz w:val="24"/>
          <w:lang w:eastAsia="en-US"/>
        </w:rPr>
        <w:t xml:space="preserve"> Hence, the </w:t>
      </w:r>
      <w:r w:rsidRPr="00476DDF">
        <w:rPr>
          <w:rFonts w:ascii="Times New Roman" w:eastAsiaTheme="minorHAnsi" w:hAnsi="Times New Roman"/>
          <w:b/>
          <w:bCs/>
          <w:sz w:val="24"/>
          <w:lang w:eastAsia="en-US"/>
        </w:rPr>
        <w:t>profits</w:t>
      </w:r>
      <w:r w:rsidRPr="00476DDF">
        <w:rPr>
          <w:rFonts w:ascii="Times New Roman" w:eastAsiaTheme="minorHAnsi" w:hAnsi="Times New Roman"/>
          <w:sz w:val="24"/>
          <w:lang w:eastAsia="en-US"/>
        </w:rPr>
        <w:t xml:space="preserve"> derived from the sales of 75000 units of product A will be </w:t>
      </w:r>
      <w:r w:rsidRPr="00476DDF">
        <w:rPr>
          <w:rFonts w:ascii="Times New Roman" w:eastAsiaTheme="minorHAnsi" w:hAnsi="Times New Roman" w:cs="Times New Roman"/>
          <w:b/>
          <w:bCs/>
          <w:sz w:val="24"/>
          <w:u w:val="single"/>
          <w:lang w:eastAsia="en-US"/>
        </w:rPr>
        <w:t>£</w:t>
      </w:r>
      <w:r w:rsidRPr="00476DDF">
        <w:rPr>
          <w:rFonts w:ascii="Times New Roman" w:eastAsiaTheme="minorHAnsi" w:hAnsi="Times New Roman"/>
          <w:b/>
          <w:bCs/>
          <w:sz w:val="24"/>
          <w:u w:val="single"/>
          <w:lang w:eastAsia="en-US"/>
        </w:rPr>
        <w:t>25,000</w:t>
      </w:r>
      <w:r w:rsidRPr="00476DDF">
        <w:rPr>
          <w:rFonts w:ascii="Times New Roman" w:eastAsiaTheme="minorHAnsi" w:hAnsi="Times New Roman"/>
          <w:sz w:val="24"/>
          <w:lang w:eastAsia="en-US"/>
        </w:rPr>
        <w:t>.</w:t>
      </w:r>
    </w:p>
    <w:p w14:paraId="2339D701" w14:textId="77777777" w:rsidR="00476DDF" w:rsidRPr="00476DDF" w:rsidRDefault="00476DDF" w:rsidP="00476DDF">
      <w:pPr>
        <w:spacing w:after="160" w:line="480" w:lineRule="auto"/>
        <w:jc w:val="both"/>
        <w:rPr>
          <w:rFonts w:ascii="Times New Roman" w:eastAsiaTheme="minorHAnsi" w:hAnsi="Times New Roman"/>
          <w:b/>
          <w:bCs/>
          <w:sz w:val="24"/>
          <w:lang w:eastAsia="en-US"/>
        </w:rPr>
      </w:pPr>
      <w:r w:rsidRPr="00476DDF">
        <w:rPr>
          <w:rFonts w:ascii="Times New Roman" w:eastAsiaTheme="minorHAnsi" w:hAnsi="Times New Roman"/>
          <w:b/>
          <w:bCs/>
          <w:sz w:val="24"/>
          <w:lang w:eastAsia="en-US"/>
        </w:rPr>
        <w:t>(c): Computing the profits for the new and improved product:</w:t>
      </w:r>
    </w:p>
    <w:p w14:paraId="7CFA0DB6" w14:textId="77777777" w:rsidR="00476DDF" w:rsidRPr="00476DDF" w:rsidRDefault="00476DDF" w:rsidP="00476DDF">
      <w:pPr>
        <w:spacing w:after="160" w:line="480" w:lineRule="auto"/>
        <w:jc w:val="both"/>
        <w:rPr>
          <w:rFonts w:ascii="Times New Roman" w:eastAsiaTheme="minorHAnsi" w:hAnsi="Times New Roman"/>
          <w:sz w:val="24"/>
          <w:lang w:eastAsia="en-US"/>
        </w:rPr>
      </w:pPr>
      <w:r w:rsidRPr="00476DDF">
        <w:rPr>
          <w:rFonts w:ascii="Times New Roman" w:eastAsiaTheme="minorHAnsi" w:hAnsi="Times New Roman"/>
          <w:sz w:val="24"/>
          <w:lang w:eastAsia="en-US"/>
        </w:rPr>
        <w:t>Assuming that the fixed costs remain the same as before despite the changes in output.</w:t>
      </w:r>
    </w:p>
    <w:tbl>
      <w:tblPr>
        <w:tblW w:w="4855" w:type="dxa"/>
        <w:tblLook w:val="04A0" w:firstRow="1" w:lastRow="0" w:firstColumn="1" w:lastColumn="0" w:noHBand="0" w:noVBand="1"/>
      </w:tblPr>
      <w:tblGrid>
        <w:gridCol w:w="2140"/>
        <w:gridCol w:w="1461"/>
        <w:gridCol w:w="1440"/>
      </w:tblGrid>
      <w:tr w:rsidR="00476DDF" w:rsidRPr="00476DDF" w14:paraId="5D6BD583" w14:textId="77777777" w:rsidTr="00C27865">
        <w:trPr>
          <w:trHeight w:val="300"/>
        </w:trPr>
        <w:tc>
          <w:tcPr>
            <w:tcW w:w="2140" w:type="dxa"/>
            <w:tcBorders>
              <w:top w:val="single" w:sz="8" w:space="0" w:color="000000"/>
              <w:left w:val="nil"/>
              <w:bottom w:val="single" w:sz="8" w:space="0" w:color="000000"/>
              <w:right w:val="nil"/>
            </w:tcBorders>
            <w:shd w:val="clear" w:color="FFC000" w:fill="FFC000"/>
            <w:noWrap/>
            <w:vAlign w:val="bottom"/>
            <w:hideMark/>
          </w:tcPr>
          <w:p w14:paraId="1FED02D8" w14:textId="77777777" w:rsidR="00476DDF" w:rsidRPr="00476DDF" w:rsidRDefault="00476DDF" w:rsidP="00476DDF">
            <w:pPr>
              <w:rPr>
                <w:rFonts w:ascii="Calibri" w:eastAsia="Times New Roman" w:hAnsi="Calibri" w:cs="Calibri"/>
                <w:b/>
                <w:bCs/>
                <w:i/>
                <w:iCs/>
                <w:color w:val="FFFFFF"/>
              </w:rPr>
            </w:pPr>
            <w:r w:rsidRPr="00476DDF">
              <w:rPr>
                <w:rFonts w:ascii="Calibri" w:eastAsia="Times New Roman" w:hAnsi="Calibri" w:cs="Calibri"/>
                <w:b/>
                <w:bCs/>
                <w:i/>
                <w:iCs/>
                <w:color w:val="FFFFFF"/>
              </w:rPr>
              <w:t>Particulars</w:t>
            </w:r>
          </w:p>
        </w:tc>
        <w:tc>
          <w:tcPr>
            <w:tcW w:w="1275" w:type="dxa"/>
            <w:tcBorders>
              <w:top w:val="single" w:sz="8" w:space="0" w:color="000000"/>
              <w:left w:val="nil"/>
              <w:bottom w:val="single" w:sz="8" w:space="0" w:color="000000"/>
              <w:right w:val="nil"/>
            </w:tcBorders>
            <w:shd w:val="clear" w:color="FFC000" w:fill="FFC000"/>
            <w:noWrap/>
            <w:vAlign w:val="bottom"/>
            <w:hideMark/>
          </w:tcPr>
          <w:p w14:paraId="6292D888" w14:textId="77777777" w:rsidR="00476DDF" w:rsidRPr="00476DDF" w:rsidRDefault="00476DDF" w:rsidP="00476DDF">
            <w:pPr>
              <w:jc w:val="center"/>
              <w:rPr>
                <w:rFonts w:ascii="Calibri" w:eastAsia="Times New Roman" w:hAnsi="Calibri" w:cs="Calibri"/>
                <w:b/>
                <w:bCs/>
                <w:i/>
                <w:iCs/>
                <w:color w:val="FFFFFF"/>
              </w:rPr>
            </w:pPr>
            <w:r w:rsidRPr="00476DDF">
              <w:rPr>
                <w:rFonts w:ascii="Calibri" w:eastAsia="Times New Roman" w:hAnsi="Calibri" w:cs="Calibri"/>
                <w:b/>
                <w:bCs/>
                <w:i/>
                <w:iCs/>
                <w:color w:val="FFFFFF"/>
              </w:rPr>
              <w:t>Workings</w:t>
            </w:r>
          </w:p>
        </w:tc>
        <w:tc>
          <w:tcPr>
            <w:tcW w:w="1440" w:type="dxa"/>
            <w:tcBorders>
              <w:top w:val="single" w:sz="8" w:space="0" w:color="000000"/>
              <w:left w:val="nil"/>
              <w:bottom w:val="single" w:sz="8" w:space="0" w:color="000000"/>
              <w:right w:val="nil"/>
            </w:tcBorders>
            <w:shd w:val="clear" w:color="FFC000" w:fill="FFC000"/>
            <w:noWrap/>
            <w:vAlign w:val="bottom"/>
            <w:hideMark/>
          </w:tcPr>
          <w:p w14:paraId="3689BEDC" w14:textId="77777777" w:rsidR="00476DDF" w:rsidRPr="00476DDF" w:rsidRDefault="00476DDF" w:rsidP="00476DDF">
            <w:pPr>
              <w:jc w:val="center"/>
              <w:rPr>
                <w:rFonts w:ascii="Calibri" w:eastAsia="Times New Roman" w:hAnsi="Calibri" w:cs="Calibri"/>
                <w:b/>
                <w:bCs/>
                <w:i/>
                <w:iCs/>
                <w:color w:val="FFFFFF"/>
              </w:rPr>
            </w:pPr>
            <w:r w:rsidRPr="00476DDF">
              <w:rPr>
                <w:rFonts w:ascii="Calibri" w:eastAsia="Times New Roman" w:hAnsi="Calibri" w:cs="Calibri"/>
                <w:b/>
                <w:bCs/>
                <w:i/>
                <w:iCs/>
                <w:color w:val="FFFFFF"/>
              </w:rPr>
              <w:t xml:space="preserve">Amount </w:t>
            </w:r>
            <w:r w:rsidRPr="00476DDF">
              <w:rPr>
                <w:rFonts w:ascii="Calibri" w:eastAsia="Times New Roman" w:hAnsi="Calibri" w:cs="Calibri"/>
                <w:b/>
                <w:bCs/>
                <w:i/>
                <w:iCs/>
                <w:color w:val="FFFFFF" w:themeColor="background1"/>
              </w:rPr>
              <w:t>(£)</w:t>
            </w:r>
          </w:p>
        </w:tc>
      </w:tr>
      <w:tr w:rsidR="00476DDF" w:rsidRPr="00476DDF" w14:paraId="2435ACD4" w14:textId="77777777" w:rsidTr="00C27865">
        <w:trPr>
          <w:trHeight w:val="300"/>
        </w:trPr>
        <w:tc>
          <w:tcPr>
            <w:tcW w:w="2140" w:type="dxa"/>
            <w:tcBorders>
              <w:top w:val="nil"/>
              <w:left w:val="nil"/>
              <w:bottom w:val="nil"/>
              <w:right w:val="nil"/>
            </w:tcBorders>
            <w:shd w:val="clear" w:color="D9D9D9" w:fill="D9D9D9"/>
            <w:noWrap/>
            <w:vAlign w:val="bottom"/>
            <w:hideMark/>
          </w:tcPr>
          <w:p w14:paraId="0CEAE965" w14:textId="77777777" w:rsidR="00476DDF" w:rsidRPr="00476DDF" w:rsidRDefault="00476DDF" w:rsidP="00476DDF">
            <w:pPr>
              <w:rPr>
                <w:rFonts w:ascii="Calibri" w:eastAsia="Times New Roman" w:hAnsi="Calibri" w:cs="Calibri"/>
                <w:color w:val="000000"/>
              </w:rPr>
            </w:pPr>
            <w:r w:rsidRPr="00476DDF">
              <w:rPr>
                <w:rFonts w:ascii="Calibri" w:eastAsia="Times New Roman" w:hAnsi="Calibri" w:cs="Calibri"/>
                <w:color w:val="000000"/>
              </w:rPr>
              <w:t>Sales</w:t>
            </w:r>
          </w:p>
        </w:tc>
        <w:tc>
          <w:tcPr>
            <w:tcW w:w="1275" w:type="dxa"/>
            <w:tcBorders>
              <w:top w:val="nil"/>
              <w:left w:val="nil"/>
              <w:bottom w:val="nil"/>
              <w:right w:val="nil"/>
            </w:tcBorders>
            <w:shd w:val="clear" w:color="D9D9D9" w:fill="D9D9D9"/>
            <w:noWrap/>
            <w:vAlign w:val="bottom"/>
            <w:hideMark/>
          </w:tcPr>
          <w:p w14:paraId="2B088343" w14:textId="77777777" w:rsidR="00476DDF" w:rsidRPr="00476DDF" w:rsidRDefault="00476DDF" w:rsidP="00476DDF">
            <w:pPr>
              <w:jc w:val="center"/>
              <w:rPr>
                <w:rFonts w:ascii="Calibri" w:eastAsia="Times New Roman" w:hAnsi="Calibri" w:cs="Calibri"/>
                <w:color w:val="000000"/>
              </w:rPr>
            </w:pPr>
            <w:r w:rsidRPr="00476DDF">
              <w:rPr>
                <w:rFonts w:ascii="Calibri" w:eastAsia="Times New Roman" w:hAnsi="Calibri" w:cs="Calibri"/>
                <w:color w:val="000000"/>
              </w:rPr>
              <w:t>80000*£13</w:t>
            </w:r>
          </w:p>
        </w:tc>
        <w:tc>
          <w:tcPr>
            <w:tcW w:w="1440" w:type="dxa"/>
            <w:tcBorders>
              <w:top w:val="nil"/>
              <w:left w:val="nil"/>
              <w:bottom w:val="nil"/>
              <w:right w:val="nil"/>
            </w:tcBorders>
            <w:shd w:val="clear" w:color="D9D9D9" w:fill="D9D9D9"/>
            <w:noWrap/>
            <w:vAlign w:val="bottom"/>
            <w:hideMark/>
          </w:tcPr>
          <w:p w14:paraId="00A06454" w14:textId="77777777" w:rsidR="00476DDF" w:rsidRPr="00476DDF" w:rsidRDefault="00476DDF" w:rsidP="00476DDF">
            <w:pPr>
              <w:jc w:val="center"/>
              <w:rPr>
                <w:rFonts w:ascii="Calibri" w:eastAsia="Times New Roman" w:hAnsi="Calibri" w:cs="Calibri"/>
                <w:color w:val="000000"/>
              </w:rPr>
            </w:pPr>
            <w:r w:rsidRPr="00476DDF">
              <w:rPr>
                <w:rFonts w:ascii="Calibri" w:eastAsia="Times New Roman" w:hAnsi="Calibri" w:cs="Calibri"/>
                <w:color w:val="000000"/>
              </w:rPr>
              <w:t>1040000</w:t>
            </w:r>
          </w:p>
        </w:tc>
      </w:tr>
      <w:tr w:rsidR="00476DDF" w:rsidRPr="00476DDF" w14:paraId="110BFE6E" w14:textId="77777777" w:rsidTr="00C27865">
        <w:trPr>
          <w:trHeight w:val="300"/>
        </w:trPr>
        <w:tc>
          <w:tcPr>
            <w:tcW w:w="2140" w:type="dxa"/>
            <w:tcBorders>
              <w:top w:val="nil"/>
              <w:left w:val="nil"/>
              <w:bottom w:val="nil"/>
              <w:right w:val="nil"/>
            </w:tcBorders>
            <w:shd w:val="clear" w:color="auto" w:fill="auto"/>
            <w:noWrap/>
            <w:vAlign w:val="bottom"/>
            <w:hideMark/>
          </w:tcPr>
          <w:p w14:paraId="3A341157" w14:textId="77777777" w:rsidR="00476DDF" w:rsidRPr="00476DDF" w:rsidRDefault="00476DDF" w:rsidP="00476DDF">
            <w:pPr>
              <w:rPr>
                <w:rFonts w:ascii="Calibri" w:eastAsia="Times New Roman" w:hAnsi="Calibri" w:cs="Calibri"/>
                <w:color w:val="000000"/>
              </w:rPr>
            </w:pPr>
            <w:r w:rsidRPr="00476DDF">
              <w:rPr>
                <w:rFonts w:ascii="Calibri" w:eastAsia="Times New Roman" w:hAnsi="Calibri" w:cs="Calibri"/>
                <w:color w:val="000000"/>
              </w:rPr>
              <w:t>(-) Variable charges</w:t>
            </w:r>
          </w:p>
        </w:tc>
        <w:tc>
          <w:tcPr>
            <w:tcW w:w="1275" w:type="dxa"/>
            <w:tcBorders>
              <w:top w:val="nil"/>
              <w:left w:val="nil"/>
              <w:bottom w:val="nil"/>
              <w:right w:val="nil"/>
            </w:tcBorders>
            <w:shd w:val="clear" w:color="auto" w:fill="auto"/>
            <w:noWrap/>
            <w:vAlign w:val="bottom"/>
            <w:hideMark/>
          </w:tcPr>
          <w:p w14:paraId="7A8A1127" w14:textId="77777777" w:rsidR="00476DDF" w:rsidRPr="00476DDF" w:rsidRDefault="00476DDF" w:rsidP="00476DDF">
            <w:pPr>
              <w:jc w:val="center"/>
              <w:rPr>
                <w:rFonts w:ascii="Calibri" w:eastAsia="Times New Roman" w:hAnsi="Calibri" w:cs="Calibri"/>
                <w:color w:val="000000"/>
              </w:rPr>
            </w:pPr>
            <w:r w:rsidRPr="00476DDF">
              <w:rPr>
                <w:rFonts w:ascii="Calibri" w:eastAsia="Times New Roman" w:hAnsi="Calibri" w:cs="Calibri"/>
                <w:color w:val="000000"/>
              </w:rPr>
              <w:t>80000*£(6+1)</w:t>
            </w:r>
          </w:p>
        </w:tc>
        <w:tc>
          <w:tcPr>
            <w:tcW w:w="1440" w:type="dxa"/>
            <w:tcBorders>
              <w:top w:val="nil"/>
              <w:left w:val="nil"/>
              <w:bottom w:val="nil"/>
              <w:right w:val="nil"/>
            </w:tcBorders>
            <w:shd w:val="clear" w:color="auto" w:fill="auto"/>
            <w:noWrap/>
            <w:vAlign w:val="bottom"/>
            <w:hideMark/>
          </w:tcPr>
          <w:p w14:paraId="1DC105E6" w14:textId="77777777" w:rsidR="00476DDF" w:rsidRPr="00476DDF" w:rsidRDefault="00476DDF" w:rsidP="00476DDF">
            <w:pPr>
              <w:jc w:val="center"/>
              <w:rPr>
                <w:rFonts w:ascii="Calibri" w:eastAsia="Times New Roman" w:hAnsi="Calibri" w:cs="Calibri"/>
                <w:color w:val="000000"/>
              </w:rPr>
            </w:pPr>
            <w:r w:rsidRPr="00476DDF">
              <w:rPr>
                <w:rFonts w:ascii="Calibri" w:eastAsia="Times New Roman" w:hAnsi="Calibri" w:cs="Calibri"/>
                <w:color w:val="000000"/>
              </w:rPr>
              <w:t>560000</w:t>
            </w:r>
          </w:p>
        </w:tc>
      </w:tr>
      <w:tr w:rsidR="00476DDF" w:rsidRPr="00476DDF" w14:paraId="769F3509" w14:textId="77777777" w:rsidTr="00C27865">
        <w:trPr>
          <w:trHeight w:val="300"/>
        </w:trPr>
        <w:tc>
          <w:tcPr>
            <w:tcW w:w="2140" w:type="dxa"/>
            <w:tcBorders>
              <w:top w:val="nil"/>
              <w:left w:val="nil"/>
              <w:bottom w:val="nil"/>
              <w:right w:val="nil"/>
            </w:tcBorders>
            <w:shd w:val="clear" w:color="D9D9D9" w:fill="D9D9D9"/>
            <w:noWrap/>
            <w:vAlign w:val="bottom"/>
            <w:hideMark/>
          </w:tcPr>
          <w:p w14:paraId="142C8C71" w14:textId="77777777" w:rsidR="00476DDF" w:rsidRPr="00476DDF" w:rsidRDefault="00476DDF" w:rsidP="00476DDF">
            <w:pPr>
              <w:rPr>
                <w:rFonts w:ascii="Calibri" w:eastAsia="Times New Roman" w:hAnsi="Calibri" w:cs="Calibri"/>
                <w:b/>
                <w:bCs/>
                <w:color w:val="000000"/>
              </w:rPr>
            </w:pPr>
            <w:r w:rsidRPr="00476DDF">
              <w:rPr>
                <w:rFonts w:ascii="Calibri" w:eastAsia="Times New Roman" w:hAnsi="Calibri" w:cs="Calibri"/>
                <w:b/>
                <w:bCs/>
                <w:color w:val="000000"/>
              </w:rPr>
              <w:t>Contribution margin</w:t>
            </w:r>
          </w:p>
        </w:tc>
        <w:tc>
          <w:tcPr>
            <w:tcW w:w="1275" w:type="dxa"/>
            <w:tcBorders>
              <w:top w:val="nil"/>
              <w:left w:val="nil"/>
              <w:bottom w:val="nil"/>
              <w:right w:val="nil"/>
            </w:tcBorders>
            <w:shd w:val="clear" w:color="D9D9D9" w:fill="D9D9D9"/>
            <w:noWrap/>
            <w:vAlign w:val="bottom"/>
            <w:hideMark/>
          </w:tcPr>
          <w:p w14:paraId="0C1493A9" w14:textId="77777777" w:rsidR="00476DDF" w:rsidRPr="00476DDF" w:rsidRDefault="00476DDF" w:rsidP="00476DDF">
            <w:pPr>
              <w:rPr>
                <w:rFonts w:ascii="Calibri" w:eastAsia="Times New Roman" w:hAnsi="Calibri" w:cs="Calibri"/>
                <w:b/>
                <w:bCs/>
                <w:color w:val="000000"/>
              </w:rPr>
            </w:pPr>
          </w:p>
        </w:tc>
        <w:tc>
          <w:tcPr>
            <w:tcW w:w="1440" w:type="dxa"/>
            <w:tcBorders>
              <w:top w:val="nil"/>
              <w:left w:val="nil"/>
              <w:bottom w:val="nil"/>
              <w:right w:val="nil"/>
            </w:tcBorders>
            <w:shd w:val="clear" w:color="D9D9D9" w:fill="D9D9D9"/>
            <w:noWrap/>
            <w:vAlign w:val="bottom"/>
            <w:hideMark/>
          </w:tcPr>
          <w:p w14:paraId="0C716E40" w14:textId="77777777" w:rsidR="00476DDF" w:rsidRPr="00476DDF" w:rsidRDefault="00476DDF" w:rsidP="00476DDF">
            <w:pPr>
              <w:jc w:val="center"/>
              <w:rPr>
                <w:rFonts w:ascii="Calibri" w:eastAsia="Times New Roman" w:hAnsi="Calibri" w:cs="Calibri"/>
                <w:b/>
                <w:bCs/>
                <w:color w:val="000000"/>
              </w:rPr>
            </w:pPr>
            <w:r w:rsidRPr="00476DDF">
              <w:rPr>
                <w:rFonts w:ascii="Calibri" w:eastAsia="Times New Roman" w:hAnsi="Calibri" w:cs="Calibri"/>
                <w:b/>
                <w:bCs/>
                <w:color w:val="000000"/>
              </w:rPr>
              <w:t>480000</w:t>
            </w:r>
          </w:p>
        </w:tc>
      </w:tr>
      <w:tr w:rsidR="00476DDF" w:rsidRPr="00476DDF" w14:paraId="422C92C4" w14:textId="77777777" w:rsidTr="00C27865">
        <w:trPr>
          <w:trHeight w:val="300"/>
        </w:trPr>
        <w:tc>
          <w:tcPr>
            <w:tcW w:w="2140" w:type="dxa"/>
            <w:tcBorders>
              <w:top w:val="nil"/>
              <w:left w:val="nil"/>
              <w:bottom w:val="nil"/>
              <w:right w:val="nil"/>
            </w:tcBorders>
            <w:shd w:val="clear" w:color="auto" w:fill="auto"/>
            <w:noWrap/>
            <w:vAlign w:val="bottom"/>
            <w:hideMark/>
          </w:tcPr>
          <w:p w14:paraId="54C2856B" w14:textId="77777777" w:rsidR="00476DDF" w:rsidRPr="00476DDF" w:rsidRDefault="00476DDF" w:rsidP="00476DDF">
            <w:pPr>
              <w:rPr>
                <w:rFonts w:ascii="Calibri" w:eastAsia="Times New Roman" w:hAnsi="Calibri" w:cs="Calibri"/>
                <w:color w:val="000000"/>
              </w:rPr>
            </w:pPr>
            <w:r w:rsidRPr="00476DDF">
              <w:rPr>
                <w:rFonts w:ascii="Calibri" w:eastAsia="Times New Roman" w:hAnsi="Calibri" w:cs="Calibri"/>
                <w:color w:val="000000"/>
              </w:rPr>
              <w:t>(-) Fixed charges</w:t>
            </w:r>
          </w:p>
        </w:tc>
        <w:tc>
          <w:tcPr>
            <w:tcW w:w="1275" w:type="dxa"/>
            <w:tcBorders>
              <w:top w:val="nil"/>
              <w:left w:val="nil"/>
              <w:bottom w:val="nil"/>
              <w:right w:val="nil"/>
            </w:tcBorders>
            <w:shd w:val="clear" w:color="auto" w:fill="auto"/>
            <w:noWrap/>
            <w:vAlign w:val="bottom"/>
            <w:hideMark/>
          </w:tcPr>
          <w:p w14:paraId="45852A1F" w14:textId="77777777" w:rsidR="00476DDF" w:rsidRPr="00476DDF" w:rsidRDefault="00476DDF" w:rsidP="00476DDF">
            <w:pPr>
              <w:rPr>
                <w:rFonts w:ascii="Calibri" w:eastAsia="Times New Roman" w:hAnsi="Calibri" w:cs="Calibri"/>
                <w:color w:val="000000"/>
              </w:rPr>
            </w:pPr>
          </w:p>
        </w:tc>
        <w:tc>
          <w:tcPr>
            <w:tcW w:w="1440" w:type="dxa"/>
            <w:tcBorders>
              <w:top w:val="nil"/>
              <w:left w:val="nil"/>
              <w:bottom w:val="nil"/>
              <w:right w:val="nil"/>
            </w:tcBorders>
            <w:shd w:val="clear" w:color="auto" w:fill="auto"/>
            <w:noWrap/>
            <w:vAlign w:val="bottom"/>
            <w:hideMark/>
          </w:tcPr>
          <w:p w14:paraId="20ADAF58" w14:textId="77777777" w:rsidR="00476DDF" w:rsidRPr="00476DDF" w:rsidRDefault="00476DDF" w:rsidP="00476DDF">
            <w:pPr>
              <w:jc w:val="center"/>
              <w:rPr>
                <w:rFonts w:ascii="Calibri" w:eastAsia="Times New Roman" w:hAnsi="Calibri" w:cs="Calibri"/>
                <w:color w:val="000000"/>
              </w:rPr>
            </w:pPr>
            <w:r w:rsidRPr="00476DDF">
              <w:rPr>
                <w:rFonts w:ascii="Calibri" w:eastAsia="Times New Roman" w:hAnsi="Calibri" w:cs="Calibri"/>
                <w:color w:val="000000"/>
              </w:rPr>
              <w:t>350000</w:t>
            </w:r>
          </w:p>
        </w:tc>
      </w:tr>
      <w:tr w:rsidR="00476DDF" w:rsidRPr="00476DDF" w14:paraId="0B06E141" w14:textId="77777777" w:rsidTr="00C27865">
        <w:trPr>
          <w:trHeight w:val="300"/>
        </w:trPr>
        <w:tc>
          <w:tcPr>
            <w:tcW w:w="2140" w:type="dxa"/>
            <w:tcBorders>
              <w:top w:val="single" w:sz="4" w:space="0" w:color="4472C4"/>
              <w:left w:val="nil"/>
              <w:bottom w:val="double" w:sz="6" w:space="0" w:color="4472C4"/>
              <w:right w:val="nil"/>
            </w:tcBorders>
            <w:shd w:val="clear" w:color="D9D9D9" w:fill="D9D9D9"/>
            <w:noWrap/>
            <w:vAlign w:val="bottom"/>
            <w:hideMark/>
          </w:tcPr>
          <w:p w14:paraId="43075433" w14:textId="77777777" w:rsidR="00476DDF" w:rsidRPr="00476DDF" w:rsidRDefault="00476DDF" w:rsidP="00476DDF">
            <w:pPr>
              <w:rPr>
                <w:rFonts w:ascii="Calibri" w:eastAsia="Times New Roman" w:hAnsi="Calibri" w:cs="Calibri"/>
                <w:b/>
                <w:bCs/>
                <w:i/>
                <w:iCs/>
                <w:color w:val="000000"/>
              </w:rPr>
            </w:pPr>
            <w:r w:rsidRPr="00476DDF">
              <w:rPr>
                <w:rFonts w:ascii="Calibri" w:eastAsia="Times New Roman" w:hAnsi="Calibri" w:cs="Calibri"/>
                <w:b/>
                <w:bCs/>
                <w:i/>
                <w:iCs/>
                <w:color w:val="000000"/>
              </w:rPr>
              <w:lastRenderedPageBreak/>
              <w:t>Profits</w:t>
            </w:r>
          </w:p>
        </w:tc>
        <w:tc>
          <w:tcPr>
            <w:tcW w:w="1275" w:type="dxa"/>
            <w:tcBorders>
              <w:top w:val="single" w:sz="4" w:space="0" w:color="4472C4"/>
              <w:left w:val="nil"/>
              <w:bottom w:val="double" w:sz="6" w:space="0" w:color="4472C4"/>
              <w:right w:val="nil"/>
            </w:tcBorders>
            <w:shd w:val="clear" w:color="D9D9D9" w:fill="D9D9D9"/>
            <w:noWrap/>
            <w:vAlign w:val="bottom"/>
            <w:hideMark/>
          </w:tcPr>
          <w:p w14:paraId="0B36110E" w14:textId="77777777" w:rsidR="00476DDF" w:rsidRPr="00476DDF" w:rsidRDefault="00476DDF" w:rsidP="00476DDF">
            <w:pPr>
              <w:jc w:val="center"/>
              <w:rPr>
                <w:rFonts w:ascii="Calibri" w:eastAsia="Times New Roman" w:hAnsi="Calibri" w:cs="Calibri"/>
                <w:b/>
                <w:bCs/>
                <w:i/>
                <w:iCs/>
                <w:color w:val="000000"/>
              </w:rPr>
            </w:pPr>
            <w:r w:rsidRPr="00476DDF">
              <w:rPr>
                <w:rFonts w:ascii="Calibri" w:eastAsia="Times New Roman" w:hAnsi="Calibri" w:cs="Calibri"/>
                <w:b/>
                <w:bCs/>
                <w:i/>
                <w:iCs/>
                <w:color w:val="000000"/>
              </w:rPr>
              <w:t> </w:t>
            </w:r>
          </w:p>
        </w:tc>
        <w:tc>
          <w:tcPr>
            <w:tcW w:w="1440" w:type="dxa"/>
            <w:tcBorders>
              <w:top w:val="single" w:sz="4" w:space="0" w:color="4472C4"/>
              <w:left w:val="nil"/>
              <w:bottom w:val="double" w:sz="6" w:space="0" w:color="4472C4"/>
              <w:right w:val="nil"/>
            </w:tcBorders>
            <w:shd w:val="clear" w:color="D9D9D9" w:fill="D9D9D9"/>
            <w:noWrap/>
            <w:vAlign w:val="bottom"/>
            <w:hideMark/>
          </w:tcPr>
          <w:p w14:paraId="34390879" w14:textId="77777777" w:rsidR="00476DDF" w:rsidRPr="00476DDF" w:rsidRDefault="00476DDF" w:rsidP="00476DDF">
            <w:pPr>
              <w:jc w:val="center"/>
              <w:rPr>
                <w:rFonts w:ascii="Calibri" w:eastAsia="Times New Roman" w:hAnsi="Calibri" w:cs="Calibri"/>
                <w:b/>
                <w:bCs/>
                <w:i/>
                <w:iCs/>
                <w:color w:val="000000"/>
              </w:rPr>
            </w:pPr>
            <w:r w:rsidRPr="00476DDF">
              <w:rPr>
                <w:rFonts w:ascii="Calibri" w:eastAsia="Times New Roman" w:hAnsi="Calibri" w:cs="Calibri"/>
                <w:b/>
                <w:bCs/>
                <w:i/>
                <w:iCs/>
                <w:color w:val="000000"/>
              </w:rPr>
              <w:t>130000</w:t>
            </w:r>
          </w:p>
        </w:tc>
      </w:tr>
    </w:tbl>
    <w:p w14:paraId="21FC1F2E" w14:textId="77777777" w:rsidR="00476DDF" w:rsidRPr="00476DDF" w:rsidRDefault="00476DDF" w:rsidP="00476DDF">
      <w:pPr>
        <w:spacing w:after="160" w:line="480" w:lineRule="auto"/>
        <w:jc w:val="both"/>
        <w:rPr>
          <w:rFonts w:ascii="Times New Roman" w:eastAsiaTheme="minorHAnsi" w:hAnsi="Times New Roman"/>
          <w:sz w:val="24"/>
          <w:lang w:eastAsia="en-US"/>
        </w:rPr>
      </w:pPr>
    </w:p>
    <w:p w14:paraId="6044F3C3" w14:textId="77777777" w:rsidR="00476DDF" w:rsidRPr="00476DDF" w:rsidRDefault="00476DDF" w:rsidP="00476DDF">
      <w:pPr>
        <w:spacing w:after="160" w:line="480" w:lineRule="auto"/>
        <w:jc w:val="both"/>
        <w:rPr>
          <w:rFonts w:ascii="Times New Roman" w:eastAsiaTheme="minorHAnsi" w:hAnsi="Times New Roman"/>
          <w:sz w:val="24"/>
          <w:lang w:eastAsia="en-US"/>
        </w:rPr>
      </w:pPr>
      <w:r w:rsidRPr="00476DDF">
        <w:rPr>
          <w:rFonts w:ascii="Times New Roman" w:eastAsiaTheme="minorHAnsi" w:hAnsi="Times New Roman"/>
          <w:b/>
          <w:bCs/>
          <w:sz w:val="24"/>
          <w:lang w:eastAsia="en-US"/>
        </w:rPr>
        <w:t>Result:</w:t>
      </w:r>
      <w:r w:rsidRPr="00476DDF">
        <w:rPr>
          <w:rFonts w:ascii="Times New Roman" w:eastAsiaTheme="minorHAnsi" w:hAnsi="Times New Roman"/>
          <w:sz w:val="24"/>
          <w:lang w:eastAsia="en-US"/>
        </w:rPr>
        <w:t xml:space="preserve"> Hence, the </w:t>
      </w:r>
      <w:r w:rsidRPr="00476DDF">
        <w:rPr>
          <w:rFonts w:ascii="Times New Roman" w:eastAsiaTheme="minorHAnsi" w:hAnsi="Times New Roman"/>
          <w:b/>
          <w:bCs/>
          <w:sz w:val="24"/>
          <w:lang w:eastAsia="en-US"/>
        </w:rPr>
        <w:t>profits</w:t>
      </w:r>
      <w:r w:rsidRPr="00476DDF">
        <w:rPr>
          <w:rFonts w:ascii="Times New Roman" w:eastAsiaTheme="minorHAnsi" w:hAnsi="Times New Roman"/>
          <w:sz w:val="24"/>
          <w:lang w:eastAsia="en-US"/>
        </w:rPr>
        <w:t xml:space="preserve"> derived from the sales of 80000 units of product A with an additional advertisement campaign will be </w:t>
      </w:r>
      <w:r w:rsidRPr="00476DDF">
        <w:rPr>
          <w:rFonts w:ascii="Times New Roman" w:eastAsiaTheme="minorHAnsi" w:hAnsi="Times New Roman" w:cs="Times New Roman"/>
          <w:b/>
          <w:bCs/>
          <w:sz w:val="24"/>
          <w:u w:val="single"/>
          <w:lang w:eastAsia="en-US"/>
        </w:rPr>
        <w:t>£</w:t>
      </w:r>
      <w:r w:rsidRPr="00476DDF">
        <w:rPr>
          <w:rFonts w:ascii="Times New Roman" w:eastAsiaTheme="minorHAnsi" w:hAnsi="Times New Roman"/>
          <w:b/>
          <w:bCs/>
          <w:sz w:val="24"/>
          <w:u w:val="single"/>
          <w:lang w:eastAsia="en-US"/>
        </w:rPr>
        <w:t>130,000</w:t>
      </w:r>
      <w:r w:rsidRPr="00476DDF">
        <w:rPr>
          <w:rFonts w:ascii="Times New Roman" w:eastAsiaTheme="minorHAnsi" w:hAnsi="Times New Roman"/>
          <w:sz w:val="24"/>
          <w:lang w:eastAsia="en-US"/>
        </w:rPr>
        <w:t>.</w:t>
      </w:r>
    </w:p>
    <w:p w14:paraId="504867B1" w14:textId="77777777" w:rsidR="00476DDF" w:rsidRPr="00476DDF" w:rsidRDefault="00476DDF" w:rsidP="00476DDF">
      <w:pPr>
        <w:spacing w:after="160" w:line="480" w:lineRule="auto"/>
        <w:jc w:val="both"/>
        <w:rPr>
          <w:rFonts w:ascii="Times New Roman" w:eastAsiaTheme="minorHAnsi" w:hAnsi="Times New Roman"/>
          <w:b/>
          <w:bCs/>
          <w:sz w:val="24"/>
          <w:lang w:val="en-IN" w:eastAsia="en-US"/>
        </w:rPr>
      </w:pPr>
      <w:r w:rsidRPr="00476DDF">
        <w:rPr>
          <w:rFonts w:ascii="Times New Roman" w:eastAsiaTheme="minorHAnsi" w:hAnsi="Times New Roman"/>
          <w:b/>
          <w:bCs/>
          <w:sz w:val="24"/>
          <w:lang w:val="en-IN" w:eastAsia="en-US"/>
        </w:rPr>
        <w:t>d): Discuss the limitation of break-even analysis:</w:t>
      </w:r>
    </w:p>
    <w:p w14:paraId="04BEC1B4" w14:textId="77777777" w:rsidR="00476DDF" w:rsidRPr="00476DDF" w:rsidRDefault="00476DDF" w:rsidP="00476DDF">
      <w:pPr>
        <w:spacing w:after="160" w:line="480" w:lineRule="auto"/>
        <w:jc w:val="both"/>
        <w:rPr>
          <w:rFonts w:ascii="Times New Roman" w:eastAsiaTheme="minorHAnsi" w:hAnsi="Times New Roman"/>
          <w:sz w:val="24"/>
          <w:lang w:val="en-IN" w:eastAsia="en-US"/>
        </w:rPr>
      </w:pPr>
      <w:r w:rsidRPr="00476DDF">
        <w:rPr>
          <w:rFonts w:ascii="Times New Roman" w:eastAsiaTheme="minorHAnsi" w:hAnsi="Times New Roman"/>
          <w:sz w:val="24"/>
          <w:lang w:val="en-IN" w:eastAsia="en-US"/>
        </w:rPr>
        <w:t xml:space="preserve">1. The Break-even analysis calculation is unable to separate the fixed and variable cost are all the figures are kept constant to analyse the break-even units. </w:t>
      </w:r>
    </w:p>
    <w:p w14:paraId="2519C60C" w14:textId="77777777" w:rsidR="00476DDF" w:rsidRPr="00476DDF" w:rsidRDefault="00476DDF" w:rsidP="00476DDF">
      <w:pPr>
        <w:spacing w:after="160" w:line="480" w:lineRule="auto"/>
        <w:jc w:val="both"/>
        <w:rPr>
          <w:rFonts w:ascii="Times New Roman" w:eastAsiaTheme="minorHAnsi" w:hAnsi="Times New Roman"/>
          <w:sz w:val="24"/>
          <w:lang w:val="en-IN" w:eastAsia="en-US"/>
        </w:rPr>
      </w:pPr>
      <w:r w:rsidRPr="00476DDF">
        <w:rPr>
          <w:rFonts w:ascii="Times New Roman" w:eastAsiaTheme="minorHAnsi" w:hAnsi="Times New Roman"/>
          <w:sz w:val="24"/>
          <w:lang w:val="en-IN" w:eastAsia="en-US"/>
        </w:rPr>
        <w:t xml:space="preserve">2. The cost and revenue function are linear while calculating break even analysis. Therefore, it directly affects the authenticity of the calculation while developing break even units. </w:t>
      </w:r>
    </w:p>
    <w:p w14:paraId="68CF81EA" w14:textId="77777777" w:rsidR="00476DDF" w:rsidRPr="00476DDF" w:rsidRDefault="00476DDF" w:rsidP="00476DDF">
      <w:pPr>
        <w:spacing w:after="160" w:line="480" w:lineRule="auto"/>
        <w:jc w:val="both"/>
        <w:rPr>
          <w:rFonts w:ascii="Times New Roman" w:eastAsiaTheme="minorHAnsi" w:hAnsi="Times New Roman"/>
          <w:sz w:val="24"/>
          <w:lang w:val="en-IN" w:eastAsia="en-US"/>
        </w:rPr>
      </w:pPr>
      <w:r w:rsidRPr="00476DDF">
        <w:rPr>
          <w:rFonts w:ascii="Times New Roman" w:eastAsiaTheme="minorHAnsi" w:hAnsi="Times New Roman"/>
          <w:sz w:val="24"/>
          <w:lang w:val="en-IN" w:eastAsia="en-US"/>
        </w:rPr>
        <w:t xml:space="preserve">3. The overall price of the product are required to be constant in break-even analysis. </w:t>
      </w:r>
    </w:p>
    <w:p w14:paraId="7BB7D9C0" w14:textId="77777777" w:rsidR="00476DDF" w:rsidRPr="00476DDF" w:rsidRDefault="00476DDF" w:rsidP="00476DDF">
      <w:pPr>
        <w:spacing w:after="160" w:line="480" w:lineRule="auto"/>
        <w:jc w:val="both"/>
        <w:rPr>
          <w:rFonts w:ascii="Times New Roman" w:eastAsiaTheme="minorHAnsi" w:hAnsi="Times New Roman"/>
          <w:sz w:val="24"/>
          <w:lang w:val="en-IN" w:eastAsia="en-US"/>
        </w:rPr>
      </w:pPr>
      <w:r w:rsidRPr="00476DDF">
        <w:rPr>
          <w:rFonts w:ascii="Times New Roman" w:eastAsiaTheme="minorHAnsi" w:hAnsi="Times New Roman"/>
          <w:sz w:val="24"/>
          <w:lang w:val="en-IN" w:eastAsia="en-US"/>
        </w:rPr>
        <w:t>4. It develops all variable cost and mainly ignores the semi variable cost of production from the operation.</w:t>
      </w:r>
    </w:p>
    <w:p w14:paraId="5729A298" w14:textId="77777777" w:rsidR="00476DDF" w:rsidRPr="00476DDF" w:rsidRDefault="00476DDF" w:rsidP="00476DDF">
      <w:pPr>
        <w:spacing w:after="160" w:line="480" w:lineRule="auto"/>
        <w:jc w:val="both"/>
        <w:rPr>
          <w:rFonts w:ascii="Times New Roman" w:eastAsiaTheme="minorHAnsi" w:hAnsi="Times New Roman"/>
          <w:sz w:val="24"/>
          <w:lang w:val="en-IN" w:eastAsia="en-US"/>
        </w:rPr>
      </w:pPr>
      <w:r w:rsidRPr="00476DDF">
        <w:rPr>
          <w:rFonts w:ascii="Times New Roman" w:eastAsiaTheme="minorHAnsi" w:hAnsi="Times New Roman"/>
          <w:sz w:val="24"/>
          <w:lang w:val="en-IN" w:eastAsia="en-US"/>
        </w:rPr>
        <w:t>All the limitations of break-even analysis effects the business operation as the results obtained are not accurate according to the requirement. The following limitations degrades the breakeven point analysis.</w:t>
      </w:r>
    </w:p>
    <w:p w14:paraId="734F8731" w14:textId="77777777" w:rsidR="00476DDF" w:rsidRPr="00476DDF" w:rsidRDefault="00476DDF" w:rsidP="00476DDF">
      <w:pPr>
        <w:keepNext/>
        <w:keepLines/>
        <w:spacing w:before="240" w:line="480" w:lineRule="auto"/>
        <w:jc w:val="both"/>
        <w:outlineLvl w:val="0"/>
        <w:rPr>
          <w:rFonts w:ascii="Times New Roman" w:eastAsiaTheme="majorEastAsia" w:hAnsi="Times New Roman" w:cstheme="majorBidi"/>
          <w:b/>
          <w:sz w:val="28"/>
          <w:szCs w:val="32"/>
          <w:lang w:eastAsia="en-US"/>
        </w:rPr>
      </w:pPr>
      <w:r w:rsidRPr="00476DDF">
        <w:rPr>
          <w:rFonts w:ascii="Times New Roman" w:eastAsiaTheme="majorEastAsia" w:hAnsi="Times New Roman" w:cstheme="majorBidi"/>
          <w:b/>
          <w:sz w:val="28"/>
          <w:szCs w:val="32"/>
          <w:lang w:eastAsia="en-US"/>
        </w:rPr>
        <w:t>Question- 2:</w:t>
      </w:r>
    </w:p>
    <w:p w14:paraId="4D026B2B" w14:textId="77777777" w:rsidR="00476DDF" w:rsidRPr="00476DDF" w:rsidRDefault="00476DDF" w:rsidP="00476DDF">
      <w:pPr>
        <w:spacing w:after="160" w:line="480" w:lineRule="auto"/>
        <w:jc w:val="both"/>
        <w:rPr>
          <w:rFonts w:ascii="Times New Roman" w:eastAsiaTheme="minorHAnsi" w:hAnsi="Times New Roman"/>
          <w:b/>
          <w:bCs/>
          <w:sz w:val="24"/>
          <w:lang w:eastAsia="en-US"/>
        </w:rPr>
      </w:pPr>
      <w:r w:rsidRPr="00476DDF">
        <w:rPr>
          <w:rFonts w:ascii="Times New Roman" w:eastAsiaTheme="minorHAnsi" w:hAnsi="Times New Roman"/>
          <w:b/>
          <w:bCs/>
          <w:sz w:val="24"/>
          <w:lang w:eastAsia="en-US"/>
        </w:rPr>
        <w:t>(a): Discussing the importance of Managerial accounting(MA) and its difference from financial accounting:</w:t>
      </w:r>
    </w:p>
    <w:p w14:paraId="70D640F0" w14:textId="77777777" w:rsidR="00476DDF" w:rsidRPr="00476DDF" w:rsidRDefault="00476DDF" w:rsidP="00476DDF">
      <w:pPr>
        <w:spacing w:after="160" w:line="480" w:lineRule="auto"/>
        <w:jc w:val="both"/>
        <w:rPr>
          <w:rFonts w:ascii="Times New Roman" w:eastAsiaTheme="minorHAnsi" w:hAnsi="Times New Roman"/>
          <w:b/>
          <w:bCs/>
          <w:i/>
          <w:iCs/>
          <w:sz w:val="24"/>
          <w:lang w:eastAsia="en-US"/>
        </w:rPr>
      </w:pPr>
      <w:r w:rsidRPr="00476DDF">
        <w:rPr>
          <w:rFonts w:ascii="Times New Roman" w:eastAsiaTheme="minorHAnsi" w:hAnsi="Times New Roman"/>
          <w:b/>
          <w:bCs/>
          <w:i/>
          <w:iCs/>
          <w:sz w:val="24"/>
          <w:lang w:eastAsia="en-US"/>
        </w:rPr>
        <w:t>Importance of MA:-</w:t>
      </w:r>
    </w:p>
    <w:p w14:paraId="66861BBD" w14:textId="77777777" w:rsidR="00476DDF" w:rsidRPr="00476DDF" w:rsidRDefault="00476DDF" w:rsidP="00476DDF">
      <w:pPr>
        <w:spacing w:after="160" w:line="480" w:lineRule="auto"/>
        <w:jc w:val="both"/>
        <w:rPr>
          <w:rFonts w:ascii="Times New Roman" w:eastAsiaTheme="minorHAnsi" w:hAnsi="Times New Roman"/>
          <w:sz w:val="24"/>
          <w:lang w:eastAsia="en-US"/>
        </w:rPr>
      </w:pPr>
      <w:r w:rsidRPr="00476DDF">
        <w:rPr>
          <w:rFonts w:ascii="Times New Roman" w:eastAsiaTheme="minorHAnsi" w:hAnsi="Times New Roman"/>
          <w:b/>
          <w:bCs/>
          <w:sz w:val="24"/>
          <w:lang w:eastAsia="en-US"/>
        </w:rPr>
        <w:t>Planning Guidance-</w:t>
      </w:r>
      <w:r w:rsidRPr="00476DDF">
        <w:rPr>
          <w:rFonts w:ascii="Times New Roman" w:eastAsiaTheme="minorHAnsi" w:hAnsi="Times New Roman"/>
          <w:sz w:val="24"/>
          <w:lang w:eastAsia="en-US"/>
        </w:rPr>
        <w:t xml:space="preserve"> Management-related information is collected through the diverse KPI parameters. This information helps supply an insight to the managers and other top-level executives to plan their business operations ahead of time</w:t>
      </w:r>
      <w:sdt>
        <w:sdtPr>
          <w:rPr>
            <w:rFonts w:ascii="Times New Roman" w:eastAsiaTheme="minorHAnsi" w:hAnsi="Times New Roman"/>
            <w:sz w:val="24"/>
            <w:lang w:eastAsia="en-US"/>
          </w:rPr>
          <w:id w:val="1252849819"/>
          <w:citation/>
        </w:sdtPr>
        <w:sdtEndPr/>
        <w:sdtContent>
          <w:r w:rsidRPr="00476DDF">
            <w:rPr>
              <w:rFonts w:ascii="Times New Roman" w:eastAsiaTheme="minorHAnsi" w:hAnsi="Times New Roman"/>
              <w:sz w:val="24"/>
              <w:lang w:eastAsia="en-US"/>
            </w:rPr>
            <w:fldChar w:fldCharType="begin"/>
          </w:r>
          <w:r w:rsidRPr="00476DDF">
            <w:rPr>
              <w:rFonts w:ascii="Times New Roman" w:eastAsiaTheme="minorHAnsi" w:hAnsi="Times New Roman"/>
              <w:sz w:val="24"/>
              <w:lang w:val="en-US" w:eastAsia="en-US"/>
            </w:rPr>
            <w:instrText xml:space="preserve"> CITATION Ken21 \l 1033 </w:instrText>
          </w:r>
          <w:r w:rsidRPr="00476DDF">
            <w:rPr>
              <w:rFonts w:ascii="Times New Roman" w:eastAsiaTheme="minorHAnsi" w:hAnsi="Times New Roman"/>
              <w:sz w:val="24"/>
              <w:lang w:eastAsia="en-US"/>
            </w:rPr>
            <w:fldChar w:fldCharType="separate"/>
          </w:r>
          <w:r w:rsidRPr="00476DDF">
            <w:rPr>
              <w:rFonts w:ascii="Times New Roman" w:eastAsiaTheme="minorHAnsi" w:hAnsi="Times New Roman"/>
              <w:noProof/>
              <w:sz w:val="24"/>
              <w:lang w:val="en-US" w:eastAsia="en-US"/>
            </w:rPr>
            <w:t xml:space="preserve"> (Boyd, 2021)</w:t>
          </w:r>
          <w:r w:rsidRPr="00476DDF">
            <w:rPr>
              <w:rFonts w:ascii="Times New Roman" w:eastAsiaTheme="minorHAnsi" w:hAnsi="Times New Roman"/>
              <w:sz w:val="24"/>
              <w:lang w:eastAsia="en-US"/>
            </w:rPr>
            <w:fldChar w:fldCharType="end"/>
          </w:r>
        </w:sdtContent>
      </w:sdt>
      <w:r w:rsidRPr="00476DDF">
        <w:rPr>
          <w:rFonts w:ascii="Times New Roman" w:eastAsiaTheme="minorHAnsi" w:hAnsi="Times New Roman"/>
          <w:sz w:val="24"/>
          <w:lang w:eastAsia="en-US"/>
        </w:rPr>
        <w:t>.</w:t>
      </w:r>
    </w:p>
    <w:p w14:paraId="41E318DF" w14:textId="77777777" w:rsidR="00476DDF" w:rsidRPr="00476DDF" w:rsidRDefault="00476DDF" w:rsidP="00476DDF">
      <w:pPr>
        <w:spacing w:after="160" w:line="480" w:lineRule="auto"/>
        <w:jc w:val="both"/>
        <w:rPr>
          <w:rFonts w:ascii="Times New Roman" w:eastAsiaTheme="minorHAnsi" w:hAnsi="Times New Roman"/>
          <w:sz w:val="24"/>
          <w:lang w:eastAsia="en-US"/>
        </w:rPr>
      </w:pPr>
      <w:r w:rsidRPr="00476DDF">
        <w:rPr>
          <w:rFonts w:ascii="Times New Roman" w:eastAsiaTheme="minorHAnsi" w:hAnsi="Times New Roman"/>
          <w:b/>
          <w:bCs/>
          <w:sz w:val="24"/>
          <w:lang w:eastAsia="en-US"/>
        </w:rPr>
        <w:t>Decision-framing-</w:t>
      </w:r>
      <w:r w:rsidRPr="00476DDF">
        <w:rPr>
          <w:rFonts w:ascii="Times New Roman" w:eastAsiaTheme="minorHAnsi" w:hAnsi="Times New Roman"/>
          <w:sz w:val="24"/>
          <w:lang w:eastAsia="en-US"/>
        </w:rPr>
        <w:t xml:space="preserve"> Decision-making gets easier with the aid of MA as forecasts and analytical suggestions made for specific objective attainment can be used to detect issues beforehand. Resultingly, remedial decisions may be taken.</w:t>
      </w:r>
    </w:p>
    <w:p w14:paraId="403DFC7A" w14:textId="77777777" w:rsidR="00476DDF" w:rsidRPr="00476DDF" w:rsidRDefault="00476DDF" w:rsidP="00476DDF">
      <w:pPr>
        <w:spacing w:after="160" w:line="480" w:lineRule="auto"/>
        <w:jc w:val="both"/>
        <w:rPr>
          <w:rFonts w:ascii="Times New Roman" w:eastAsiaTheme="minorHAnsi" w:hAnsi="Times New Roman"/>
          <w:sz w:val="24"/>
          <w:lang w:eastAsia="en-US"/>
        </w:rPr>
      </w:pPr>
      <w:r w:rsidRPr="00476DDF">
        <w:rPr>
          <w:rFonts w:ascii="Times New Roman" w:eastAsiaTheme="minorHAnsi" w:hAnsi="Times New Roman"/>
          <w:b/>
          <w:bCs/>
          <w:sz w:val="24"/>
          <w:lang w:eastAsia="en-US"/>
        </w:rPr>
        <w:t>Strategic Control and Management-</w:t>
      </w:r>
      <w:r w:rsidRPr="00476DDF">
        <w:rPr>
          <w:rFonts w:ascii="Times New Roman" w:eastAsiaTheme="minorHAnsi" w:hAnsi="Times New Roman"/>
          <w:sz w:val="24"/>
          <w:lang w:eastAsia="en-US"/>
        </w:rPr>
        <w:t xml:space="preserve"> The different operations can be fully analysed as per their required modifications to attain the targeted objectives. These operations can then be effectively controlled with the aid of MA budgets to ensure their target achievement</w:t>
      </w:r>
      <w:sdt>
        <w:sdtPr>
          <w:rPr>
            <w:rFonts w:ascii="Times New Roman" w:eastAsiaTheme="minorHAnsi" w:hAnsi="Times New Roman"/>
            <w:sz w:val="24"/>
            <w:lang w:eastAsia="en-US"/>
          </w:rPr>
          <w:id w:val="1328086874"/>
          <w:citation/>
        </w:sdtPr>
        <w:sdtEndPr/>
        <w:sdtContent>
          <w:r w:rsidRPr="00476DDF">
            <w:rPr>
              <w:rFonts w:ascii="Times New Roman" w:eastAsiaTheme="minorHAnsi" w:hAnsi="Times New Roman"/>
              <w:sz w:val="24"/>
              <w:lang w:eastAsia="en-US"/>
            </w:rPr>
            <w:fldChar w:fldCharType="begin"/>
          </w:r>
          <w:r w:rsidRPr="00476DDF">
            <w:rPr>
              <w:rFonts w:ascii="Times New Roman" w:eastAsiaTheme="minorHAnsi" w:hAnsi="Times New Roman"/>
              <w:sz w:val="24"/>
              <w:lang w:val="en-US" w:eastAsia="en-US"/>
            </w:rPr>
            <w:instrText xml:space="preserve"> CITATION Jos21 \l 1033 </w:instrText>
          </w:r>
          <w:r w:rsidRPr="00476DDF">
            <w:rPr>
              <w:rFonts w:ascii="Times New Roman" w:eastAsiaTheme="minorHAnsi" w:hAnsi="Times New Roman"/>
              <w:sz w:val="24"/>
              <w:lang w:eastAsia="en-US"/>
            </w:rPr>
            <w:fldChar w:fldCharType="separate"/>
          </w:r>
          <w:r w:rsidRPr="00476DDF">
            <w:rPr>
              <w:rFonts w:ascii="Times New Roman" w:eastAsiaTheme="minorHAnsi" w:hAnsi="Times New Roman"/>
              <w:noProof/>
              <w:sz w:val="24"/>
              <w:lang w:val="en-US" w:eastAsia="en-US"/>
            </w:rPr>
            <w:t xml:space="preserve"> (McLean, 2021)</w:t>
          </w:r>
          <w:r w:rsidRPr="00476DDF">
            <w:rPr>
              <w:rFonts w:ascii="Times New Roman" w:eastAsiaTheme="minorHAnsi" w:hAnsi="Times New Roman"/>
              <w:sz w:val="24"/>
              <w:lang w:eastAsia="en-US"/>
            </w:rPr>
            <w:fldChar w:fldCharType="end"/>
          </w:r>
        </w:sdtContent>
      </w:sdt>
      <w:r w:rsidRPr="00476DDF">
        <w:rPr>
          <w:rFonts w:ascii="Times New Roman" w:eastAsiaTheme="minorHAnsi" w:hAnsi="Times New Roman"/>
          <w:sz w:val="24"/>
          <w:lang w:eastAsia="en-US"/>
        </w:rPr>
        <w:t>.</w:t>
      </w:r>
    </w:p>
    <w:p w14:paraId="250BA984" w14:textId="77777777" w:rsidR="00476DDF" w:rsidRPr="00476DDF" w:rsidRDefault="00476DDF" w:rsidP="00476DDF">
      <w:pPr>
        <w:spacing w:after="160" w:line="480" w:lineRule="auto"/>
        <w:jc w:val="both"/>
        <w:rPr>
          <w:rFonts w:ascii="Times New Roman" w:eastAsiaTheme="minorHAnsi" w:hAnsi="Times New Roman"/>
          <w:b/>
          <w:bCs/>
          <w:i/>
          <w:iCs/>
          <w:sz w:val="24"/>
          <w:lang w:eastAsia="en-US"/>
        </w:rPr>
      </w:pPr>
      <w:r w:rsidRPr="00476DDF">
        <w:rPr>
          <w:rFonts w:ascii="Times New Roman" w:eastAsiaTheme="minorHAnsi" w:hAnsi="Times New Roman"/>
          <w:b/>
          <w:bCs/>
          <w:i/>
          <w:iCs/>
          <w:sz w:val="24"/>
          <w:lang w:eastAsia="en-US"/>
        </w:rPr>
        <w:t>Distinction between Financial and Management Accounting:-</w:t>
      </w:r>
    </w:p>
    <w:tbl>
      <w:tblPr>
        <w:tblStyle w:val="TableGrid"/>
        <w:tblW w:w="0" w:type="auto"/>
        <w:tblLook w:val="04A0" w:firstRow="1" w:lastRow="0" w:firstColumn="1" w:lastColumn="0" w:noHBand="0" w:noVBand="1"/>
      </w:tblPr>
      <w:tblGrid>
        <w:gridCol w:w="1931"/>
        <w:gridCol w:w="3416"/>
        <w:gridCol w:w="3669"/>
      </w:tblGrid>
      <w:tr w:rsidR="00476DDF" w:rsidRPr="00476DDF" w14:paraId="289BD44B" w14:textId="77777777" w:rsidTr="00C27865">
        <w:tc>
          <w:tcPr>
            <w:tcW w:w="1980" w:type="dxa"/>
          </w:tcPr>
          <w:p w14:paraId="4B72F496" w14:textId="77777777" w:rsidR="00476DDF" w:rsidRPr="00476DDF" w:rsidRDefault="00476DDF" w:rsidP="00476DDF">
            <w:pPr>
              <w:spacing w:line="480" w:lineRule="auto"/>
              <w:jc w:val="center"/>
              <w:rPr>
                <w:rFonts w:ascii="Times New Roman" w:hAnsi="Times New Roman"/>
                <w:b/>
                <w:bCs/>
                <w:sz w:val="24"/>
                <w:lang w:val="en-GB"/>
              </w:rPr>
            </w:pPr>
            <w:r w:rsidRPr="00476DDF">
              <w:rPr>
                <w:rFonts w:ascii="Times New Roman" w:hAnsi="Times New Roman"/>
                <w:b/>
                <w:bCs/>
                <w:sz w:val="24"/>
                <w:lang w:val="en-GB"/>
              </w:rPr>
              <w:t>Basis</w:t>
            </w:r>
          </w:p>
        </w:tc>
        <w:tc>
          <w:tcPr>
            <w:tcW w:w="3544" w:type="dxa"/>
          </w:tcPr>
          <w:p w14:paraId="141DEAD9" w14:textId="77777777" w:rsidR="00476DDF" w:rsidRPr="00476DDF" w:rsidRDefault="00476DDF" w:rsidP="00476DDF">
            <w:pPr>
              <w:spacing w:line="480" w:lineRule="auto"/>
              <w:jc w:val="center"/>
              <w:rPr>
                <w:rFonts w:ascii="Times New Roman" w:hAnsi="Times New Roman"/>
                <w:b/>
                <w:bCs/>
                <w:sz w:val="24"/>
                <w:lang w:val="en-GB"/>
              </w:rPr>
            </w:pPr>
            <w:r w:rsidRPr="00476DDF">
              <w:rPr>
                <w:rFonts w:ascii="Times New Roman" w:hAnsi="Times New Roman"/>
                <w:b/>
                <w:bCs/>
                <w:sz w:val="24"/>
                <w:lang w:val="en-GB"/>
              </w:rPr>
              <w:t>Management Accounting(MA)</w:t>
            </w:r>
          </w:p>
        </w:tc>
        <w:tc>
          <w:tcPr>
            <w:tcW w:w="3826" w:type="dxa"/>
          </w:tcPr>
          <w:p w14:paraId="5AC73DD4" w14:textId="77777777" w:rsidR="00476DDF" w:rsidRPr="00476DDF" w:rsidRDefault="00476DDF" w:rsidP="00476DDF">
            <w:pPr>
              <w:spacing w:line="480" w:lineRule="auto"/>
              <w:jc w:val="center"/>
              <w:rPr>
                <w:rFonts w:ascii="Times New Roman" w:hAnsi="Times New Roman"/>
                <w:b/>
                <w:bCs/>
                <w:sz w:val="24"/>
                <w:lang w:val="en-GB"/>
              </w:rPr>
            </w:pPr>
            <w:r w:rsidRPr="00476DDF">
              <w:rPr>
                <w:rFonts w:ascii="Times New Roman" w:hAnsi="Times New Roman"/>
                <w:b/>
                <w:bCs/>
                <w:sz w:val="24"/>
                <w:lang w:val="en-GB"/>
              </w:rPr>
              <w:t>Financial Accounting(FA)</w:t>
            </w:r>
          </w:p>
        </w:tc>
      </w:tr>
      <w:tr w:rsidR="00476DDF" w:rsidRPr="00476DDF" w14:paraId="321A1C9E" w14:textId="77777777" w:rsidTr="00C27865">
        <w:tc>
          <w:tcPr>
            <w:tcW w:w="1980" w:type="dxa"/>
          </w:tcPr>
          <w:p w14:paraId="7D2C18C2" w14:textId="77777777" w:rsidR="00476DDF" w:rsidRPr="00476DDF" w:rsidRDefault="00476DDF" w:rsidP="00476DDF">
            <w:pPr>
              <w:spacing w:line="480" w:lineRule="auto"/>
              <w:jc w:val="both"/>
              <w:rPr>
                <w:rFonts w:ascii="Times New Roman" w:hAnsi="Times New Roman"/>
                <w:i/>
                <w:iCs/>
                <w:sz w:val="24"/>
                <w:lang w:val="en-GB"/>
              </w:rPr>
            </w:pPr>
            <w:r w:rsidRPr="00476DDF">
              <w:rPr>
                <w:rFonts w:ascii="Times New Roman" w:hAnsi="Times New Roman"/>
                <w:i/>
                <w:iCs/>
                <w:sz w:val="24"/>
                <w:lang w:val="en-GB"/>
              </w:rPr>
              <w:t>Defining</w:t>
            </w:r>
          </w:p>
        </w:tc>
        <w:tc>
          <w:tcPr>
            <w:tcW w:w="3544" w:type="dxa"/>
          </w:tcPr>
          <w:p w14:paraId="1FBED0AD" w14:textId="77777777" w:rsidR="00476DDF" w:rsidRPr="00476DDF" w:rsidRDefault="00476DDF" w:rsidP="00476DDF">
            <w:pPr>
              <w:spacing w:line="480" w:lineRule="auto"/>
              <w:jc w:val="both"/>
              <w:rPr>
                <w:rFonts w:ascii="Times New Roman" w:hAnsi="Times New Roman"/>
                <w:sz w:val="24"/>
                <w:lang w:val="en-GB"/>
              </w:rPr>
            </w:pPr>
            <w:r w:rsidRPr="00476DDF">
              <w:rPr>
                <w:rFonts w:ascii="Times New Roman" w:hAnsi="Times New Roman"/>
                <w:sz w:val="24"/>
                <w:lang w:val="en-GB"/>
              </w:rPr>
              <w:t>MA creates the framework or mechanism for allowing varieties of records and business reports to be created in a controlled and informed manner.</w:t>
            </w:r>
          </w:p>
        </w:tc>
        <w:tc>
          <w:tcPr>
            <w:tcW w:w="3826" w:type="dxa"/>
          </w:tcPr>
          <w:p w14:paraId="76583C9C" w14:textId="77777777" w:rsidR="00476DDF" w:rsidRPr="00476DDF" w:rsidRDefault="00476DDF" w:rsidP="00476DDF">
            <w:pPr>
              <w:spacing w:line="480" w:lineRule="auto"/>
              <w:jc w:val="both"/>
              <w:rPr>
                <w:rFonts w:ascii="Times New Roman" w:hAnsi="Times New Roman"/>
                <w:sz w:val="24"/>
                <w:lang w:val="en-GB"/>
              </w:rPr>
            </w:pPr>
            <w:r w:rsidRPr="00476DDF">
              <w:rPr>
                <w:rFonts w:ascii="Times New Roman" w:hAnsi="Times New Roman"/>
                <w:sz w:val="24"/>
                <w:lang w:val="en-GB"/>
              </w:rPr>
              <w:t>FA creates a similar framework or mechanism but for the sole purpose of extracting and directing the information of finances of a business.</w:t>
            </w:r>
          </w:p>
        </w:tc>
      </w:tr>
      <w:tr w:rsidR="00476DDF" w:rsidRPr="00476DDF" w14:paraId="040322E9" w14:textId="77777777" w:rsidTr="00C27865">
        <w:tc>
          <w:tcPr>
            <w:tcW w:w="1980" w:type="dxa"/>
          </w:tcPr>
          <w:p w14:paraId="2EC89B43" w14:textId="77777777" w:rsidR="00476DDF" w:rsidRPr="00476DDF" w:rsidRDefault="00476DDF" w:rsidP="00476DDF">
            <w:pPr>
              <w:spacing w:line="480" w:lineRule="auto"/>
              <w:jc w:val="both"/>
              <w:rPr>
                <w:rFonts w:ascii="Times New Roman" w:hAnsi="Times New Roman"/>
                <w:i/>
                <w:iCs/>
                <w:sz w:val="24"/>
                <w:lang w:val="en-GB"/>
              </w:rPr>
            </w:pPr>
            <w:r w:rsidRPr="00476DDF">
              <w:rPr>
                <w:rFonts w:ascii="Times New Roman" w:hAnsi="Times New Roman"/>
                <w:i/>
                <w:iCs/>
                <w:sz w:val="24"/>
                <w:lang w:val="en-GB"/>
              </w:rPr>
              <w:t>Destined Audience</w:t>
            </w:r>
          </w:p>
        </w:tc>
        <w:tc>
          <w:tcPr>
            <w:tcW w:w="3544" w:type="dxa"/>
          </w:tcPr>
          <w:p w14:paraId="60F92637" w14:textId="77777777" w:rsidR="00476DDF" w:rsidRPr="00476DDF" w:rsidRDefault="00476DDF" w:rsidP="00476DDF">
            <w:pPr>
              <w:spacing w:line="480" w:lineRule="auto"/>
              <w:jc w:val="both"/>
              <w:rPr>
                <w:rFonts w:ascii="Times New Roman" w:hAnsi="Times New Roman"/>
                <w:sz w:val="24"/>
                <w:lang w:val="en-GB"/>
              </w:rPr>
            </w:pPr>
            <w:r w:rsidRPr="00476DDF">
              <w:rPr>
                <w:rFonts w:ascii="Times New Roman" w:hAnsi="Times New Roman"/>
                <w:sz w:val="24"/>
                <w:lang w:val="en-GB"/>
              </w:rPr>
              <w:t>The audience of MA exists within the premise of a business enterprise. They, normally, comprise executive managers and working employees.</w:t>
            </w:r>
          </w:p>
        </w:tc>
        <w:tc>
          <w:tcPr>
            <w:tcW w:w="3826" w:type="dxa"/>
          </w:tcPr>
          <w:p w14:paraId="513BF3C1" w14:textId="77777777" w:rsidR="00476DDF" w:rsidRPr="00476DDF" w:rsidRDefault="00476DDF" w:rsidP="00476DDF">
            <w:pPr>
              <w:spacing w:line="480" w:lineRule="auto"/>
              <w:jc w:val="both"/>
              <w:rPr>
                <w:rFonts w:ascii="Times New Roman" w:hAnsi="Times New Roman"/>
                <w:sz w:val="24"/>
                <w:lang w:val="en-GB"/>
              </w:rPr>
            </w:pPr>
            <w:r w:rsidRPr="00476DDF">
              <w:rPr>
                <w:rFonts w:ascii="Times New Roman" w:hAnsi="Times New Roman"/>
                <w:sz w:val="24"/>
                <w:lang w:val="en-GB"/>
              </w:rPr>
              <w:t>The audience of AA exists within and outside the premise of a business enterprise. They, normally, comprise shareholders, investors, lenders and the firm’s managerial executives.</w:t>
            </w:r>
          </w:p>
        </w:tc>
      </w:tr>
      <w:tr w:rsidR="00476DDF" w:rsidRPr="00476DDF" w14:paraId="2F9E8D05" w14:textId="77777777" w:rsidTr="00C27865">
        <w:tc>
          <w:tcPr>
            <w:tcW w:w="1980" w:type="dxa"/>
          </w:tcPr>
          <w:p w14:paraId="075EF86C" w14:textId="77777777" w:rsidR="00476DDF" w:rsidRPr="00476DDF" w:rsidRDefault="00476DDF" w:rsidP="00476DDF">
            <w:pPr>
              <w:spacing w:line="480" w:lineRule="auto"/>
              <w:jc w:val="both"/>
              <w:rPr>
                <w:rFonts w:ascii="Times New Roman" w:hAnsi="Times New Roman"/>
                <w:i/>
                <w:iCs/>
                <w:sz w:val="24"/>
                <w:lang w:val="en-GB"/>
              </w:rPr>
            </w:pPr>
            <w:r w:rsidRPr="00476DDF">
              <w:rPr>
                <w:rFonts w:ascii="Times New Roman" w:hAnsi="Times New Roman"/>
                <w:i/>
                <w:iCs/>
                <w:sz w:val="24"/>
                <w:lang w:val="en-GB"/>
              </w:rPr>
              <w:t>Reporting frequency</w:t>
            </w:r>
          </w:p>
        </w:tc>
        <w:tc>
          <w:tcPr>
            <w:tcW w:w="3544" w:type="dxa"/>
          </w:tcPr>
          <w:p w14:paraId="616D0E6A" w14:textId="77777777" w:rsidR="00476DDF" w:rsidRPr="00476DDF" w:rsidRDefault="00476DDF" w:rsidP="00476DDF">
            <w:pPr>
              <w:spacing w:line="480" w:lineRule="auto"/>
              <w:jc w:val="both"/>
              <w:rPr>
                <w:rFonts w:ascii="Times New Roman" w:hAnsi="Times New Roman"/>
                <w:sz w:val="24"/>
                <w:lang w:val="en-GB"/>
              </w:rPr>
            </w:pPr>
            <w:r w:rsidRPr="00476DDF">
              <w:rPr>
                <w:rFonts w:ascii="Times New Roman" w:hAnsi="Times New Roman"/>
                <w:sz w:val="24"/>
                <w:lang w:val="en-GB"/>
              </w:rPr>
              <w:t>They do not have any specified reporting frequencies and may be reported monthly, weekly and sometimes even daily.</w:t>
            </w:r>
          </w:p>
        </w:tc>
        <w:tc>
          <w:tcPr>
            <w:tcW w:w="3826" w:type="dxa"/>
          </w:tcPr>
          <w:p w14:paraId="2FCEE7C7" w14:textId="77777777" w:rsidR="00476DDF" w:rsidRPr="00476DDF" w:rsidRDefault="00476DDF" w:rsidP="00476DDF">
            <w:pPr>
              <w:spacing w:line="480" w:lineRule="auto"/>
              <w:jc w:val="both"/>
              <w:rPr>
                <w:rFonts w:ascii="Times New Roman" w:hAnsi="Times New Roman"/>
                <w:sz w:val="24"/>
                <w:lang w:val="en-GB"/>
              </w:rPr>
            </w:pPr>
            <w:r w:rsidRPr="00476DDF">
              <w:rPr>
                <w:rFonts w:ascii="Times New Roman" w:hAnsi="Times New Roman"/>
                <w:sz w:val="24"/>
                <w:lang w:val="en-GB"/>
              </w:rPr>
              <w:t>They do have any specified reporting frequencies, which are ordinarily either yearly, quarterly, or half-yearly, that is semi-annually.</w:t>
            </w:r>
          </w:p>
        </w:tc>
      </w:tr>
      <w:tr w:rsidR="00476DDF" w:rsidRPr="00476DDF" w14:paraId="76108C61" w14:textId="77777777" w:rsidTr="00C27865">
        <w:tc>
          <w:tcPr>
            <w:tcW w:w="1980" w:type="dxa"/>
          </w:tcPr>
          <w:p w14:paraId="7094B67B" w14:textId="77777777" w:rsidR="00476DDF" w:rsidRPr="00476DDF" w:rsidRDefault="00476DDF" w:rsidP="00476DDF">
            <w:pPr>
              <w:spacing w:line="480" w:lineRule="auto"/>
              <w:jc w:val="both"/>
              <w:rPr>
                <w:rFonts w:ascii="Times New Roman" w:hAnsi="Times New Roman"/>
                <w:i/>
                <w:iCs/>
                <w:sz w:val="24"/>
                <w:lang w:val="en-GB"/>
              </w:rPr>
            </w:pPr>
            <w:r w:rsidRPr="00476DDF">
              <w:rPr>
                <w:rFonts w:ascii="Times New Roman" w:hAnsi="Times New Roman"/>
                <w:i/>
                <w:iCs/>
                <w:sz w:val="24"/>
                <w:lang w:val="en-GB"/>
              </w:rPr>
              <w:t>Accounting Rules</w:t>
            </w:r>
          </w:p>
        </w:tc>
        <w:tc>
          <w:tcPr>
            <w:tcW w:w="3544" w:type="dxa"/>
          </w:tcPr>
          <w:p w14:paraId="14297955" w14:textId="77777777" w:rsidR="00476DDF" w:rsidRPr="00476DDF" w:rsidRDefault="00476DDF" w:rsidP="00476DDF">
            <w:pPr>
              <w:spacing w:line="480" w:lineRule="auto"/>
              <w:jc w:val="both"/>
              <w:rPr>
                <w:rFonts w:ascii="Times New Roman" w:hAnsi="Times New Roman"/>
                <w:sz w:val="24"/>
                <w:lang w:val="en-GB"/>
              </w:rPr>
            </w:pPr>
            <w:r w:rsidRPr="00476DDF">
              <w:rPr>
                <w:rFonts w:ascii="Times New Roman" w:hAnsi="Times New Roman"/>
                <w:sz w:val="24"/>
                <w:lang w:val="en-GB"/>
              </w:rPr>
              <w:t>The reports usually created here are not based on any official formats as they are internally based. Hence, these usually do not have any legal standards that are to be followed.</w:t>
            </w:r>
          </w:p>
        </w:tc>
        <w:tc>
          <w:tcPr>
            <w:tcW w:w="3826" w:type="dxa"/>
          </w:tcPr>
          <w:p w14:paraId="1620740B" w14:textId="77777777" w:rsidR="00476DDF" w:rsidRPr="00476DDF" w:rsidRDefault="00476DDF" w:rsidP="00476DDF">
            <w:pPr>
              <w:spacing w:line="480" w:lineRule="auto"/>
              <w:jc w:val="both"/>
              <w:rPr>
                <w:rFonts w:ascii="Times New Roman" w:hAnsi="Times New Roman"/>
                <w:sz w:val="24"/>
                <w:lang w:val="en-GB"/>
              </w:rPr>
            </w:pPr>
            <w:r w:rsidRPr="00476DDF">
              <w:rPr>
                <w:rFonts w:ascii="Times New Roman" w:hAnsi="Times New Roman"/>
                <w:sz w:val="24"/>
                <w:lang w:val="en-GB"/>
              </w:rPr>
              <w:t>The reports usually created here are based on the official formats and rules of IFRS regulations and GAAP. These usually have uniform legal standards to be followed.</w:t>
            </w:r>
          </w:p>
        </w:tc>
      </w:tr>
      <w:tr w:rsidR="00476DDF" w:rsidRPr="00476DDF" w14:paraId="7F3721AC" w14:textId="77777777" w:rsidTr="00C27865">
        <w:tc>
          <w:tcPr>
            <w:tcW w:w="1980" w:type="dxa"/>
          </w:tcPr>
          <w:p w14:paraId="73E662E4" w14:textId="77777777" w:rsidR="00476DDF" w:rsidRPr="00476DDF" w:rsidRDefault="00476DDF" w:rsidP="00476DDF">
            <w:pPr>
              <w:spacing w:line="480" w:lineRule="auto"/>
              <w:jc w:val="both"/>
              <w:rPr>
                <w:rFonts w:ascii="Times New Roman" w:hAnsi="Times New Roman"/>
                <w:i/>
                <w:iCs/>
                <w:sz w:val="24"/>
                <w:lang w:val="en-GB"/>
              </w:rPr>
            </w:pPr>
            <w:r w:rsidRPr="00476DDF">
              <w:rPr>
                <w:rFonts w:ascii="Times New Roman" w:hAnsi="Times New Roman"/>
                <w:i/>
                <w:iCs/>
                <w:sz w:val="24"/>
                <w:lang w:val="en-GB"/>
              </w:rPr>
              <w:t>Focus</w:t>
            </w:r>
          </w:p>
        </w:tc>
        <w:tc>
          <w:tcPr>
            <w:tcW w:w="3544" w:type="dxa"/>
          </w:tcPr>
          <w:p w14:paraId="686CB631" w14:textId="77777777" w:rsidR="00476DDF" w:rsidRPr="00476DDF" w:rsidRDefault="00476DDF" w:rsidP="00476DDF">
            <w:pPr>
              <w:spacing w:line="480" w:lineRule="auto"/>
              <w:jc w:val="both"/>
              <w:rPr>
                <w:rFonts w:ascii="Times New Roman" w:hAnsi="Times New Roman"/>
                <w:sz w:val="24"/>
                <w:lang w:val="en-GB"/>
              </w:rPr>
            </w:pPr>
            <w:r w:rsidRPr="00476DDF">
              <w:rPr>
                <w:rFonts w:ascii="Times New Roman" w:hAnsi="Times New Roman"/>
                <w:sz w:val="24"/>
                <w:lang w:val="en-GB"/>
              </w:rPr>
              <w:t>MA reports and respective budgets are created based on the vision of the future</w:t>
            </w:r>
            <w:sdt>
              <w:sdtPr>
                <w:rPr>
                  <w:rFonts w:ascii="Times New Roman" w:hAnsi="Times New Roman"/>
                  <w:sz w:val="24"/>
                </w:rPr>
                <w:id w:val="515736734"/>
                <w:citation/>
              </w:sdtPr>
              <w:sdtEndPr/>
              <w:sdtContent>
                <w:r w:rsidRPr="00476DDF">
                  <w:rPr>
                    <w:rFonts w:ascii="Times New Roman" w:hAnsi="Times New Roman"/>
                    <w:sz w:val="24"/>
                  </w:rPr>
                  <w:fldChar w:fldCharType="begin"/>
                </w:r>
                <w:r w:rsidRPr="00476DDF">
                  <w:rPr>
                    <w:rFonts w:ascii="Times New Roman" w:hAnsi="Times New Roman"/>
                    <w:sz w:val="24"/>
                  </w:rPr>
                  <w:instrText xml:space="preserve"> CITATION Jac12 \l 1033 </w:instrText>
                </w:r>
                <w:r w:rsidRPr="00476DDF">
                  <w:rPr>
                    <w:rFonts w:ascii="Times New Roman" w:hAnsi="Times New Roman"/>
                    <w:sz w:val="24"/>
                  </w:rPr>
                  <w:fldChar w:fldCharType="separate"/>
                </w:r>
                <w:r w:rsidRPr="00476DDF">
                  <w:rPr>
                    <w:rFonts w:ascii="Times New Roman" w:hAnsi="Times New Roman"/>
                    <w:noProof/>
                    <w:sz w:val="24"/>
                  </w:rPr>
                  <w:t xml:space="preserve"> (Jackie, 2012)</w:t>
                </w:r>
                <w:r w:rsidRPr="00476DDF">
                  <w:rPr>
                    <w:rFonts w:ascii="Times New Roman" w:hAnsi="Times New Roman"/>
                    <w:sz w:val="24"/>
                  </w:rPr>
                  <w:fldChar w:fldCharType="end"/>
                </w:r>
              </w:sdtContent>
            </w:sdt>
            <w:r w:rsidRPr="00476DDF">
              <w:rPr>
                <w:rFonts w:ascii="Times New Roman" w:hAnsi="Times New Roman"/>
                <w:sz w:val="24"/>
                <w:lang w:val="en-GB"/>
              </w:rPr>
              <w:t>.</w:t>
            </w:r>
          </w:p>
        </w:tc>
        <w:tc>
          <w:tcPr>
            <w:tcW w:w="3826" w:type="dxa"/>
          </w:tcPr>
          <w:p w14:paraId="2D966F43" w14:textId="77777777" w:rsidR="00476DDF" w:rsidRPr="00476DDF" w:rsidRDefault="00476DDF" w:rsidP="00476DDF">
            <w:pPr>
              <w:spacing w:line="480" w:lineRule="auto"/>
              <w:jc w:val="both"/>
              <w:rPr>
                <w:rFonts w:ascii="Times New Roman" w:hAnsi="Times New Roman"/>
                <w:sz w:val="24"/>
                <w:lang w:val="en-GB"/>
              </w:rPr>
            </w:pPr>
            <w:r w:rsidRPr="00476DDF">
              <w:rPr>
                <w:rFonts w:ascii="Times New Roman" w:hAnsi="Times New Roman"/>
                <w:sz w:val="24"/>
                <w:lang w:val="en-GB"/>
              </w:rPr>
              <w:t>FA reports are created based on the outcomes derived from past or historical events.</w:t>
            </w:r>
          </w:p>
        </w:tc>
      </w:tr>
    </w:tbl>
    <w:p w14:paraId="0113B681" w14:textId="77777777" w:rsidR="00476DDF" w:rsidRPr="00476DDF" w:rsidRDefault="00476DDF" w:rsidP="00476DDF">
      <w:pPr>
        <w:spacing w:after="160" w:line="480" w:lineRule="auto"/>
        <w:jc w:val="both"/>
        <w:rPr>
          <w:rFonts w:ascii="Times New Roman" w:eastAsiaTheme="minorHAnsi" w:hAnsi="Times New Roman"/>
          <w:sz w:val="24"/>
          <w:lang w:eastAsia="en-US"/>
        </w:rPr>
      </w:pPr>
    </w:p>
    <w:p w14:paraId="6C4D1F71" w14:textId="77777777" w:rsidR="00476DDF" w:rsidRPr="00476DDF" w:rsidRDefault="00476DDF" w:rsidP="00476DDF">
      <w:pPr>
        <w:spacing w:after="160" w:line="480" w:lineRule="auto"/>
        <w:jc w:val="both"/>
        <w:rPr>
          <w:rFonts w:ascii="Times New Roman" w:eastAsiaTheme="minorHAnsi" w:hAnsi="Times New Roman"/>
          <w:b/>
          <w:bCs/>
          <w:sz w:val="24"/>
          <w:lang w:val="en-IN" w:eastAsia="en-US"/>
        </w:rPr>
      </w:pPr>
      <w:r w:rsidRPr="00476DDF">
        <w:rPr>
          <w:rFonts w:ascii="Times New Roman" w:eastAsiaTheme="minorHAnsi" w:hAnsi="Times New Roman"/>
          <w:b/>
          <w:bCs/>
          <w:sz w:val="24"/>
          <w:lang w:val="en-IN" w:eastAsia="en-US"/>
        </w:rPr>
        <w:t>b) Three techniques by which management accountant can achieve the objective of the management accounting:</w:t>
      </w:r>
    </w:p>
    <w:p w14:paraId="65BC352D" w14:textId="77777777" w:rsidR="00476DDF" w:rsidRPr="00476DDF" w:rsidRDefault="00476DDF" w:rsidP="00476DDF">
      <w:pPr>
        <w:spacing w:after="160" w:line="480" w:lineRule="auto"/>
        <w:jc w:val="both"/>
        <w:rPr>
          <w:rFonts w:ascii="Times New Roman" w:eastAsiaTheme="minorHAnsi" w:hAnsi="Times New Roman"/>
          <w:sz w:val="24"/>
          <w:lang w:val="en-IN" w:eastAsia="en-US"/>
        </w:rPr>
      </w:pPr>
      <w:r w:rsidRPr="00476DDF">
        <w:rPr>
          <w:rFonts w:ascii="Times New Roman" w:eastAsiaTheme="minorHAnsi" w:hAnsi="Times New Roman"/>
          <w:sz w:val="24"/>
          <w:lang w:val="en-IN" w:eastAsia="en-US"/>
        </w:rPr>
        <w:t xml:space="preserve">The following are the management accounting techniques used for exclusive management accounting practices. </w:t>
      </w:r>
    </w:p>
    <w:p w14:paraId="0050DFC9" w14:textId="77777777" w:rsidR="00476DDF" w:rsidRPr="00476DDF" w:rsidRDefault="00476DDF" w:rsidP="00476DDF">
      <w:pPr>
        <w:spacing w:after="160" w:line="480" w:lineRule="auto"/>
        <w:jc w:val="both"/>
        <w:rPr>
          <w:rFonts w:ascii="Times New Roman" w:eastAsiaTheme="minorHAnsi" w:hAnsi="Times New Roman"/>
          <w:sz w:val="24"/>
          <w:lang w:val="en-IN" w:eastAsia="en-US"/>
        </w:rPr>
      </w:pPr>
      <w:r w:rsidRPr="00476DDF">
        <w:rPr>
          <w:rFonts w:ascii="Times New Roman" w:eastAsiaTheme="minorHAnsi" w:hAnsi="Times New Roman"/>
          <w:b/>
          <w:bCs/>
          <w:sz w:val="24"/>
          <w:lang w:val="en-IN" w:eastAsia="en-US"/>
        </w:rPr>
        <w:t>Marginal costing</w:t>
      </w:r>
      <w:r w:rsidRPr="00476DDF">
        <w:rPr>
          <w:rFonts w:ascii="Times New Roman" w:eastAsiaTheme="minorHAnsi" w:hAnsi="Times New Roman"/>
          <w:sz w:val="24"/>
          <w:lang w:val="en-IN" w:eastAsia="en-US"/>
        </w:rPr>
        <w:t>: Marginal costing highlights the cost techniques for accumulating the marginal costing system. In addition to that, the marginal costing techniques is very much beneficial for management accountant to derives change in total cost in terms of quantity produced has increased</w:t>
      </w:r>
      <w:r w:rsidRPr="00476DDF">
        <w:rPr>
          <w:rFonts w:ascii="Times New Roman" w:eastAsiaTheme="minorHAnsi" w:hAnsi="Times New Roman"/>
          <w:sz w:val="24"/>
          <w:shd w:val="clear" w:color="auto" w:fill="FFFFFF"/>
          <w:lang w:eastAsia="en-US"/>
        </w:rPr>
        <w:t xml:space="preserve"> (Valatin, 2022)</w:t>
      </w:r>
      <w:r w:rsidRPr="00476DDF">
        <w:rPr>
          <w:rFonts w:ascii="Times New Roman" w:eastAsiaTheme="minorHAnsi" w:hAnsi="Times New Roman"/>
          <w:sz w:val="24"/>
          <w:lang w:val="en-IN" w:eastAsia="en-US"/>
        </w:rPr>
        <w:t xml:space="preserve">. Therefore, marginal costing system is the cost calculation for producing one more unit of goods. For example, if an existing company is developing a new factory for producing one more unit of goods, the cost of building the factory is the marginal cost. </w:t>
      </w:r>
    </w:p>
    <w:p w14:paraId="39A5CCBB" w14:textId="77777777" w:rsidR="00476DDF" w:rsidRPr="00476DDF" w:rsidRDefault="00476DDF" w:rsidP="00476DDF">
      <w:pPr>
        <w:spacing w:after="160" w:line="480" w:lineRule="auto"/>
        <w:jc w:val="both"/>
        <w:rPr>
          <w:rFonts w:ascii="Times New Roman" w:eastAsiaTheme="minorHAnsi" w:hAnsi="Times New Roman" w:cs="Times New Roman"/>
          <w:sz w:val="24"/>
          <w:lang w:val="en-IN" w:eastAsia="en-US"/>
        </w:rPr>
      </w:pPr>
      <w:r w:rsidRPr="00476DDF">
        <w:rPr>
          <w:rFonts w:ascii="Times New Roman" w:eastAsiaTheme="minorHAnsi" w:hAnsi="Times New Roman"/>
          <w:b/>
          <w:bCs/>
          <w:sz w:val="24"/>
          <w:lang w:val="en-IN" w:eastAsia="en-US"/>
        </w:rPr>
        <w:t>Differential cost</w:t>
      </w:r>
      <w:r w:rsidRPr="00476DDF">
        <w:rPr>
          <w:rFonts w:ascii="Times New Roman" w:eastAsiaTheme="minorHAnsi" w:hAnsi="Times New Roman"/>
          <w:sz w:val="24"/>
          <w:lang w:val="en-IN" w:eastAsia="en-US"/>
        </w:rPr>
        <w:t xml:space="preserve"> </w:t>
      </w:r>
      <w:r w:rsidRPr="00476DDF">
        <w:rPr>
          <w:rFonts w:ascii="Times New Roman" w:eastAsiaTheme="minorHAnsi" w:hAnsi="Times New Roman"/>
          <w:b/>
          <w:bCs/>
          <w:sz w:val="24"/>
          <w:lang w:val="en-IN" w:eastAsia="en-US"/>
        </w:rPr>
        <w:t>analysis</w:t>
      </w:r>
      <w:r w:rsidRPr="00476DDF">
        <w:rPr>
          <w:rFonts w:ascii="Times New Roman" w:eastAsiaTheme="minorHAnsi" w:hAnsi="Times New Roman"/>
          <w:sz w:val="24"/>
          <w:lang w:val="en-IN" w:eastAsia="en-US"/>
        </w:rPr>
        <w:t>: It refers to the difference in total cost between two acceptable alternative courses of action from sales volume to price. In addition to that, management accountant mainly executes this course of differential cost analysis to derive the financial decision-making of the company operated during the year</w:t>
      </w:r>
      <w:r w:rsidRPr="00476DDF">
        <w:rPr>
          <w:rFonts w:ascii="Times New Roman" w:eastAsiaTheme="minorHAnsi" w:hAnsi="Times New Roman"/>
          <w:sz w:val="24"/>
          <w:shd w:val="clear" w:color="auto" w:fill="FFFFFF"/>
          <w:lang w:eastAsia="en-US"/>
        </w:rPr>
        <w:t xml:space="preserve"> (Pinzari et al., 2022)</w:t>
      </w:r>
      <w:r w:rsidRPr="00476DDF">
        <w:rPr>
          <w:rFonts w:ascii="Times New Roman" w:eastAsiaTheme="minorHAnsi" w:hAnsi="Times New Roman"/>
          <w:sz w:val="24"/>
          <w:lang w:val="en-IN" w:eastAsia="en-US"/>
        </w:rPr>
        <w:t xml:space="preserve">. Moreover, differential cost analysis focuses on the business operation of the company for effective decision making in terms of controlling sales volume and price fluctuations. For example, it calculates the difference in two cost of alternative such as price of Product A is </w:t>
      </w:r>
      <w:r w:rsidRPr="00476DDF">
        <w:rPr>
          <w:rFonts w:ascii="Times New Roman" w:eastAsiaTheme="minorHAnsi" w:hAnsi="Times New Roman" w:cs="Times New Roman"/>
          <w:sz w:val="24"/>
          <w:lang w:val="en-IN" w:eastAsia="en-US"/>
        </w:rPr>
        <w:t>£</w:t>
      </w:r>
      <w:r w:rsidRPr="00476DDF">
        <w:rPr>
          <w:rFonts w:ascii="Times New Roman" w:eastAsiaTheme="minorHAnsi" w:hAnsi="Times New Roman"/>
          <w:sz w:val="24"/>
          <w:lang w:val="en-IN" w:eastAsia="en-US"/>
        </w:rPr>
        <w:t xml:space="preserve">5000 and price of Product B is </w:t>
      </w:r>
      <w:r w:rsidRPr="00476DDF">
        <w:rPr>
          <w:rFonts w:ascii="Times New Roman" w:eastAsiaTheme="minorHAnsi" w:hAnsi="Times New Roman" w:cs="Times New Roman"/>
          <w:sz w:val="24"/>
          <w:lang w:val="en-IN" w:eastAsia="en-US"/>
        </w:rPr>
        <w:t xml:space="preserve">£4000 the difference is £1000. </w:t>
      </w:r>
    </w:p>
    <w:p w14:paraId="28ABE9F1" w14:textId="77777777" w:rsidR="00476DDF" w:rsidRPr="00476DDF" w:rsidRDefault="00476DDF" w:rsidP="00476DDF">
      <w:pPr>
        <w:spacing w:after="160" w:line="480" w:lineRule="auto"/>
        <w:jc w:val="both"/>
        <w:rPr>
          <w:rFonts w:ascii="Times New Roman" w:eastAsiaTheme="minorHAnsi" w:hAnsi="Times New Roman" w:cs="Times New Roman"/>
          <w:sz w:val="24"/>
          <w:lang w:val="en-IN" w:eastAsia="en-US"/>
        </w:rPr>
      </w:pPr>
      <w:r w:rsidRPr="00476DDF">
        <w:rPr>
          <w:rFonts w:ascii="Times New Roman" w:eastAsiaTheme="minorHAnsi" w:hAnsi="Times New Roman" w:cs="Times New Roman"/>
          <w:b/>
          <w:bCs/>
          <w:sz w:val="24"/>
          <w:lang w:val="en-IN" w:eastAsia="en-US"/>
        </w:rPr>
        <w:t>Break even analysis</w:t>
      </w:r>
      <w:r w:rsidRPr="00476DDF">
        <w:rPr>
          <w:rFonts w:ascii="Times New Roman" w:eastAsiaTheme="minorHAnsi" w:hAnsi="Times New Roman" w:cs="Times New Roman"/>
          <w:sz w:val="24"/>
          <w:lang w:val="en-IN" w:eastAsia="en-US"/>
        </w:rPr>
        <w:t>: It derives the actual units required to sell by the company during the year. In addition to that, the break-even analysis includes fixed cost, selling price and variable cost which are ascertain to derive the actual number of units required to develop the profit margin</w:t>
      </w:r>
      <w:r w:rsidRPr="00476DDF">
        <w:rPr>
          <w:rFonts w:ascii="Times New Roman" w:eastAsiaTheme="minorHAnsi" w:hAnsi="Times New Roman"/>
          <w:sz w:val="24"/>
          <w:shd w:val="clear" w:color="auto" w:fill="FFFFFF"/>
          <w:lang w:eastAsia="en-US"/>
        </w:rPr>
        <w:t xml:space="preserve"> (Moins et al., 2022)</w:t>
      </w:r>
      <w:r w:rsidRPr="00476DDF">
        <w:rPr>
          <w:rFonts w:ascii="Times New Roman" w:eastAsiaTheme="minorHAnsi" w:hAnsi="Times New Roman" w:cs="Times New Roman"/>
          <w:sz w:val="24"/>
          <w:lang w:val="en-IN" w:eastAsia="en-US"/>
        </w:rPr>
        <w:t>. Moreover, management accountant uses this technique to derive the final cost of new product within the market of the company. For example, A company is selling 40 units which is accumulating a loss of 15 pounds for the company. Thus, the calculation of break-even points will highlight that the company is required to develop 50 units of production to increase the profit margin.</w:t>
      </w:r>
    </w:p>
    <w:p w14:paraId="663A99C4" w14:textId="77777777" w:rsidR="00476DDF" w:rsidRPr="00476DDF" w:rsidRDefault="00476DDF" w:rsidP="00476DDF">
      <w:pPr>
        <w:spacing w:after="160" w:line="259" w:lineRule="auto"/>
        <w:rPr>
          <w:rFonts w:ascii="Times New Roman" w:eastAsiaTheme="minorHAnsi" w:hAnsi="Times New Roman" w:cs="Times New Roman"/>
          <w:sz w:val="24"/>
          <w:lang w:val="en-IN" w:eastAsia="en-US"/>
        </w:rPr>
      </w:pPr>
      <w:r w:rsidRPr="00476DDF">
        <w:rPr>
          <w:rFonts w:ascii="Times New Roman" w:eastAsiaTheme="minorHAnsi" w:hAnsi="Times New Roman" w:cs="Times New Roman"/>
          <w:sz w:val="24"/>
          <w:lang w:val="en-IN" w:eastAsia="en-US"/>
        </w:rPr>
        <w:br w:type="page"/>
      </w:r>
    </w:p>
    <w:p w14:paraId="7129DE86" w14:textId="77777777" w:rsidR="00476DDF" w:rsidRPr="00476DDF" w:rsidRDefault="00476DDF" w:rsidP="00476DDF">
      <w:pPr>
        <w:keepNext/>
        <w:keepLines/>
        <w:spacing w:before="240" w:line="480" w:lineRule="auto"/>
        <w:jc w:val="both"/>
        <w:outlineLvl w:val="0"/>
        <w:rPr>
          <w:rFonts w:ascii="Times New Roman" w:eastAsiaTheme="majorEastAsia" w:hAnsi="Times New Roman" w:cstheme="majorBidi"/>
          <w:b/>
          <w:sz w:val="28"/>
          <w:szCs w:val="32"/>
          <w:lang w:val="en-IN" w:eastAsia="en-US"/>
        </w:rPr>
      </w:pPr>
      <w:r w:rsidRPr="00476DDF">
        <w:rPr>
          <w:rFonts w:ascii="Times New Roman" w:eastAsiaTheme="majorEastAsia" w:hAnsi="Times New Roman" w:cstheme="majorBidi"/>
          <w:b/>
          <w:sz w:val="28"/>
          <w:szCs w:val="32"/>
          <w:lang w:val="en-IN" w:eastAsia="en-US"/>
        </w:rPr>
        <w:t xml:space="preserve">References </w:t>
      </w:r>
    </w:p>
    <w:p w14:paraId="6E4AB137" w14:textId="77777777" w:rsidR="00476DDF" w:rsidRPr="00476DDF" w:rsidRDefault="00476DDF" w:rsidP="00476DDF">
      <w:pPr>
        <w:spacing w:after="160" w:line="480" w:lineRule="auto"/>
        <w:jc w:val="both"/>
        <w:rPr>
          <w:rFonts w:ascii="Times New Roman" w:eastAsiaTheme="minorHAnsi" w:hAnsi="Times New Roman"/>
          <w:b/>
          <w:bCs/>
          <w:sz w:val="24"/>
          <w:shd w:val="clear" w:color="auto" w:fill="FFFFFF"/>
          <w:lang w:eastAsia="en-US"/>
        </w:rPr>
      </w:pPr>
      <w:r w:rsidRPr="00476DDF">
        <w:rPr>
          <w:rFonts w:ascii="Times New Roman" w:eastAsiaTheme="minorHAnsi" w:hAnsi="Times New Roman"/>
          <w:b/>
          <w:bCs/>
          <w:sz w:val="24"/>
          <w:shd w:val="clear" w:color="auto" w:fill="FFFFFF"/>
          <w:lang w:eastAsia="en-US"/>
        </w:rPr>
        <w:t>Books and Journals</w:t>
      </w:r>
    </w:p>
    <w:p w14:paraId="427D729B" w14:textId="77777777" w:rsidR="00476DDF" w:rsidRPr="00476DDF" w:rsidRDefault="00476DDF" w:rsidP="00476DDF">
      <w:pPr>
        <w:spacing w:after="160" w:line="480" w:lineRule="auto"/>
        <w:jc w:val="both"/>
        <w:rPr>
          <w:rFonts w:ascii="Times New Roman" w:eastAsiaTheme="minorHAnsi" w:hAnsi="Times New Roman"/>
          <w:sz w:val="24"/>
          <w:lang w:val="en-IN" w:eastAsia="en-US"/>
        </w:rPr>
      </w:pPr>
      <w:r w:rsidRPr="00476DDF">
        <w:rPr>
          <w:rFonts w:ascii="Times New Roman" w:eastAsiaTheme="minorHAnsi" w:hAnsi="Times New Roman"/>
          <w:sz w:val="24"/>
          <w:shd w:val="clear" w:color="auto" w:fill="FFFFFF"/>
          <w:lang w:eastAsia="en-US"/>
        </w:rPr>
        <w:t>Moins, B., Hernando, D., Buyle, M., France, C. and Audenaert, A., (2022). On the road again! An economic and environmental break-even and hotspot analysis of reclaimed asphalt pavement and rejuvenators. </w:t>
      </w:r>
      <w:r w:rsidRPr="00476DDF">
        <w:rPr>
          <w:rFonts w:ascii="Times New Roman" w:eastAsiaTheme="minorHAnsi" w:hAnsi="Times New Roman"/>
          <w:i/>
          <w:iCs/>
          <w:sz w:val="24"/>
          <w:shd w:val="clear" w:color="auto" w:fill="FFFFFF"/>
          <w:lang w:eastAsia="en-US"/>
        </w:rPr>
        <w:t>Resources, Conservation and Recycling</w:t>
      </w:r>
      <w:r w:rsidRPr="00476DDF">
        <w:rPr>
          <w:rFonts w:ascii="Times New Roman" w:eastAsiaTheme="minorHAnsi" w:hAnsi="Times New Roman"/>
          <w:sz w:val="24"/>
          <w:shd w:val="clear" w:color="auto" w:fill="FFFFFF"/>
          <w:lang w:eastAsia="en-US"/>
        </w:rPr>
        <w:t>, </w:t>
      </w:r>
      <w:r w:rsidRPr="00476DDF">
        <w:rPr>
          <w:rFonts w:ascii="Times New Roman" w:eastAsiaTheme="minorHAnsi" w:hAnsi="Times New Roman"/>
          <w:i/>
          <w:iCs/>
          <w:sz w:val="24"/>
          <w:shd w:val="clear" w:color="auto" w:fill="FFFFFF"/>
          <w:lang w:eastAsia="en-US"/>
        </w:rPr>
        <w:t>177</w:t>
      </w:r>
      <w:r w:rsidRPr="00476DDF">
        <w:rPr>
          <w:rFonts w:ascii="Times New Roman" w:eastAsiaTheme="minorHAnsi" w:hAnsi="Times New Roman"/>
          <w:sz w:val="24"/>
          <w:shd w:val="clear" w:color="auto" w:fill="FFFFFF"/>
          <w:lang w:eastAsia="en-US"/>
        </w:rPr>
        <w:t>, p.106014.</w:t>
      </w:r>
    </w:p>
    <w:p w14:paraId="61A2863D" w14:textId="77777777" w:rsidR="00476DDF" w:rsidRPr="00476DDF" w:rsidRDefault="00476DDF" w:rsidP="00476DDF">
      <w:pPr>
        <w:spacing w:after="160" w:line="480" w:lineRule="auto"/>
        <w:jc w:val="both"/>
        <w:rPr>
          <w:rFonts w:ascii="Times New Roman" w:eastAsiaTheme="minorHAnsi" w:hAnsi="Times New Roman"/>
          <w:sz w:val="24"/>
          <w:shd w:val="clear" w:color="auto" w:fill="FFFFFF"/>
          <w:lang w:eastAsia="en-US"/>
        </w:rPr>
      </w:pPr>
      <w:r w:rsidRPr="00476DDF">
        <w:rPr>
          <w:rFonts w:ascii="Times New Roman" w:eastAsiaTheme="minorHAnsi" w:hAnsi="Times New Roman"/>
          <w:sz w:val="24"/>
          <w:shd w:val="clear" w:color="auto" w:fill="FFFFFF"/>
          <w:lang w:eastAsia="en-US"/>
        </w:rPr>
        <w:t>Pinzari, F., Cuadros, J., Jungblut, A.D., Najorka, J. and Humphreys-Williams, E., (2022). Fungal strategies of potassium extraction from silicates of different resistance as manifested in differential weathering and gene expression. </w:t>
      </w:r>
      <w:r w:rsidRPr="00476DDF">
        <w:rPr>
          <w:rFonts w:ascii="Times New Roman" w:eastAsiaTheme="minorHAnsi" w:hAnsi="Times New Roman"/>
          <w:i/>
          <w:iCs/>
          <w:sz w:val="24"/>
          <w:shd w:val="clear" w:color="auto" w:fill="FFFFFF"/>
          <w:lang w:eastAsia="en-US"/>
        </w:rPr>
        <w:t>Geochimica et Cosmochimica Acta</w:t>
      </w:r>
      <w:r w:rsidRPr="00476DDF">
        <w:rPr>
          <w:rFonts w:ascii="Times New Roman" w:eastAsiaTheme="minorHAnsi" w:hAnsi="Times New Roman"/>
          <w:sz w:val="24"/>
          <w:shd w:val="clear" w:color="auto" w:fill="FFFFFF"/>
          <w:lang w:eastAsia="en-US"/>
        </w:rPr>
        <w:t>, </w:t>
      </w:r>
      <w:r w:rsidRPr="00476DDF">
        <w:rPr>
          <w:rFonts w:ascii="Times New Roman" w:eastAsiaTheme="minorHAnsi" w:hAnsi="Times New Roman"/>
          <w:i/>
          <w:iCs/>
          <w:sz w:val="24"/>
          <w:shd w:val="clear" w:color="auto" w:fill="FFFFFF"/>
          <w:lang w:eastAsia="en-US"/>
        </w:rPr>
        <w:t>316</w:t>
      </w:r>
      <w:r w:rsidRPr="00476DDF">
        <w:rPr>
          <w:rFonts w:ascii="Times New Roman" w:eastAsiaTheme="minorHAnsi" w:hAnsi="Times New Roman"/>
          <w:sz w:val="24"/>
          <w:shd w:val="clear" w:color="auto" w:fill="FFFFFF"/>
          <w:lang w:eastAsia="en-US"/>
        </w:rPr>
        <w:t>, pp.168-200.</w:t>
      </w:r>
    </w:p>
    <w:p w14:paraId="3304BB83" w14:textId="77777777" w:rsidR="00476DDF" w:rsidRPr="00476DDF" w:rsidRDefault="00476DDF" w:rsidP="00476DDF">
      <w:pPr>
        <w:spacing w:after="160" w:line="480" w:lineRule="auto"/>
        <w:jc w:val="both"/>
        <w:rPr>
          <w:rFonts w:ascii="Times New Roman" w:eastAsiaTheme="minorHAnsi" w:hAnsi="Times New Roman"/>
          <w:sz w:val="24"/>
          <w:shd w:val="clear" w:color="auto" w:fill="FFFFFF"/>
          <w:lang w:eastAsia="en-US"/>
        </w:rPr>
      </w:pPr>
      <w:r w:rsidRPr="00476DDF">
        <w:rPr>
          <w:rFonts w:ascii="Times New Roman" w:eastAsiaTheme="minorHAnsi" w:hAnsi="Times New Roman"/>
          <w:sz w:val="24"/>
          <w:shd w:val="clear" w:color="auto" w:fill="FFFFFF"/>
          <w:lang w:eastAsia="en-US"/>
        </w:rPr>
        <w:t>Valatin, G., (2022). Approaches to cost-effectiveness of payments for tree planting and forest management for water quality services. </w:t>
      </w:r>
      <w:r w:rsidRPr="00476DDF">
        <w:rPr>
          <w:rFonts w:ascii="Times New Roman" w:eastAsiaTheme="minorHAnsi" w:hAnsi="Times New Roman"/>
          <w:i/>
          <w:iCs/>
          <w:sz w:val="24"/>
          <w:shd w:val="clear" w:color="auto" w:fill="FFFFFF"/>
          <w:lang w:eastAsia="en-US"/>
        </w:rPr>
        <w:t>Ecosystem Services</w:t>
      </w:r>
      <w:r w:rsidRPr="00476DDF">
        <w:rPr>
          <w:rFonts w:ascii="Times New Roman" w:eastAsiaTheme="minorHAnsi" w:hAnsi="Times New Roman"/>
          <w:sz w:val="24"/>
          <w:shd w:val="clear" w:color="auto" w:fill="FFFFFF"/>
          <w:lang w:eastAsia="en-US"/>
        </w:rPr>
        <w:t>, </w:t>
      </w:r>
      <w:r w:rsidRPr="00476DDF">
        <w:rPr>
          <w:rFonts w:ascii="Times New Roman" w:eastAsiaTheme="minorHAnsi" w:hAnsi="Times New Roman"/>
          <w:i/>
          <w:iCs/>
          <w:sz w:val="24"/>
          <w:shd w:val="clear" w:color="auto" w:fill="FFFFFF"/>
          <w:lang w:eastAsia="en-US"/>
        </w:rPr>
        <w:t>53</w:t>
      </w:r>
      <w:r w:rsidRPr="00476DDF">
        <w:rPr>
          <w:rFonts w:ascii="Times New Roman" w:eastAsiaTheme="minorHAnsi" w:hAnsi="Times New Roman"/>
          <w:sz w:val="24"/>
          <w:shd w:val="clear" w:color="auto" w:fill="FFFFFF"/>
          <w:lang w:eastAsia="en-US"/>
        </w:rPr>
        <w:t>, p.101373.</w:t>
      </w:r>
    </w:p>
    <w:p w14:paraId="579A52E6" w14:textId="77777777" w:rsidR="00476DDF" w:rsidRPr="00476DDF" w:rsidRDefault="00476DDF" w:rsidP="00476DDF">
      <w:pPr>
        <w:spacing w:after="160" w:line="480" w:lineRule="auto"/>
        <w:jc w:val="both"/>
        <w:rPr>
          <w:rFonts w:ascii="Times New Roman" w:eastAsiaTheme="minorHAnsi" w:hAnsi="Times New Roman" w:cs="Times New Roman"/>
          <w:b/>
          <w:bCs/>
          <w:sz w:val="24"/>
          <w:lang w:val="en-IN" w:eastAsia="en-US"/>
        </w:rPr>
      </w:pPr>
      <w:r w:rsidRPr="00476DDF">
        <w:rPr>
          <w:rFonts w:ascii="Times New Roman" w:eastAsiaTheme="minorHAnsi" w:hAnsi="Times New Roman" w:cs="Times New Roman"/>
          <w:b/>
          <w:bCs/>
          <w:sz w:val="24"/>
          <w:lang w:val="en-IN" w:eastAsia="en-US"/>
        </w:rPr>
        <w:t>Websites</w:t>
      </w:r>
    </w:p>
    <w:sdt>
      <w:sdtPr>
        <w:rPr>
          <w:rFonts w:ascii="Times New Roman" w:eastAsiaTheme="minorHAnsi" w:hAnsi="Times New Roman"/>
          <w:sz w:val="24"/>
          <w:lang w:eastAsia="en-US"/>
        </w:rPr>
        <w:id w:val="111145805"/>
        <w:bibliography/>
      </w:sdtPr>
      <w:sdtEndPr/>
      <w:sdtContent>
        <w:p w14:paraId="566B383D" w14:textId="77777777" w:rsidR="00476DDF" w:rsidRPr="00476DDF" w:rsidRDefault="00476DDF" w:rsidP="00476DDF">
          <w:pPr>
            <w:spacing w:after="160" w:line="480" w:lineRule="auto"/>
            <w:jc w:val="both"/>
            <w:rPr>
              <w:rFonts w:ascii="Times New Roman" w:eastAsiaTheme="minorHAnsi" w:hAnsi="Times New Roman"/>
              <w:noProof/>
              <w:sz w:val="24"/>
              <w:szCs w:val="24"/>
              <w:lang w:eastAsia="en-US"/>
            </w:rPr>
          </w:pPr>
          <w:r w:rsidRPr="00476DDF">
            <w:rPr>
              <w:rFonts w:ascii="Times New Roman" w:eastAsiaTheme="minorHAnsi" w:hAnsi="Times New Roman"/>
              <w:sz w:val="24"/>
              <w:lang w:eastAsia="en-US"/>
            </w:rPr>
            <w:fldChar w:fldCharType="begin"/>
          </w:r>
          <w:r w:rsidRPr="00476DDF">
            <w:rPr>
              <w:rFonts w:ascii="Times New Roman" w:eastAsiaTheme="minorHAnsi" w:hAnsi="Times New Roman"/>
              <w:sz w:val="24"/>
              <w:lang w:eastAsia="en-US"/>
            </w:rPr>
            <w:instrText xml:space="preserve"> BIBLIOGRAPHY </w:instrText>
          </w:r>
          <w:r w:rsidRPr="00476DDF">
            <w:rPr>
              <w:rFonts w:ascii="Times New Roman" w:eastAsiaTheme="minorHAnsi" w:hAnsi="Times New Roman"/>
              <w:sz w:val="24"/>
              <w:lang w:eastAsia="en-US"/>
            </w:rPr>
            <w:fldChar w:fldCharType="separate"/>
          </w:r>
          <w:r w:rsidRPr="00476DDF">
            <w:rPr>
              <w:rFonts w:ascii="Times New Roman" w:eastAsiaTheme="minorHAnsi" w:hAnsi="Times New Roman"/>
              <w:noProof/>
              <w:sz w:val="24"/>
              <w:lang w:eastAsia="en-US"/>
            </w:rPr>
            <w:t xml:space="preserve">Boyd, K., (2021). </w:t>
          </w:r>
          <w:r w:rsidRPr="00476DDF">
            <w:rPr>
              <w:rFonts w:ascii="Times New Roman" w:eastAsiaTheme="minorHAnsi" w:hAnsi="Times New Roman"/>
              <w:i/>
              <w:iCs/>
              <w:noProof/>
              <w:sz w:val="24"/>
              <w:lang w:eastAsia="en-US"/>
            </w:rPr>
            <w:t xml:space="preserve">What is managerial accounting? Here’s a 5-minute explainer. </w:t>
          </w:r>
          <w:r w:rsidRPr="00476DDF">
            <w:rPr>
              <w:rFonts w:ascii="Times New Roman" w:eastAsiaTheme="minorHAnsi" w:hAnsi="Times New Roman"/>
              <w:noProof/>
              <w:sz w:val="24"/>
              <w:lang w:eastAsia="en-US"/>
            </w:rPr>
            <w:t xml:space="preserve">[Online] </w:t>
          </w:r>
          <w:r w:rsidRPr="00476DDF">
            <w:rPr>
              <w:rFonts w:ascii="Times New Roman" w:eastAsiaTheme="minorHAnsi" w:hAnsi="Times New Roman"/>
              <w:noProof/>
              <w:sz w:val="24"/>
              <w:lang w:eastAsia="en-US"/>
            </w:rPr>
            <w:br/>
            <w:t xml:space="preserve">Available at: </w:t>
          </w:r>
          <w:r w:rsidRPr="00476DDF">
            <w:rPr>
              <w:rFonts w:ascii="Times New Roman" w:eastAsiaTheme="minorHAnsi" w:hAnsi="Times New Roman"/>
              <w:noProof/>
              <w:sz w:val="24"/>
              <w:u w:val="single"/>
              <w:lang w:eastAsia="en-US"/>
            </w:rPr>
            <w:t>https://www.myob.com/au/blog/management-accounting-important-business/</w:t>
          </w:r>
        </w:p>
        <w:p w14:paraId="6A597192" w14:textId="77777777" w:rsidR="00476DDF" w:rsidRPr="00476DDF" w:rsidRDefault="00476DDF" w:rsidP="00476DDF">
          <w:pPr>
            <w:spacing w:after="160" w:line="480" w:lineRule="auto"/>
            <w:jc w:val="both"/>
            <w:rPr>
              <w:rFonts w:ascii="Times New Roman" w:eastAsiaTheme="minorHAnsi" w:hAnsi="Times New Roman"/>
              <w:noProof/>
              <w:sz w:val="24"/>
              <w:lang w:eastAsia="en-US"/>
            </w:rPr>
          </w:pPr>
          <w:r w:rsidRPr="00476DDF">
            <w:rPr>
              <w:rFonts w:ascii="Times New Roman" w:eastAsiaTheme="minorHAnsi" w:hAnsi="Times New Roman"/>
              <w:noProof/>
              <w:sz w:val="24"/>
              <w:lang w:eastAsia="en-US"/>
            </w:rPr>
            <w:t xml:space="preserve">Jackie, (2012). </w:t>
          </w:r>
          <w:r w:rsidRPr="00476DDF">
            <w:rPr>
              <w:rFonts w:ascii="Times New Roman" w:eastAsiaTheme="minorHAnsi" w:hAnsi="Times New Roman"/>
              <w:i/>
              <w:iCs/>
              <w:noProof/>
              <w:sz w:val="24"/>
              <w:lang w:eastAsia="en-US"/>
            </w:rPr>
            <w:t xml:space="preserve">The Differences Between Financial Accounting And Management Accounting. </w:t>
          </w:r>
          <w:r w:rsidRPr="00476DDF">
            <w:rPr>
              <w:rFonts w:ascii="Times New Roman" w:eastAsiaTheme="minorHAnsi" w:hAnsi="Times New Roman"/>
              <w:noProof/>
              <w:sz w:val="24"/>
              <w:lang w:eastAsia="en-US"/>
            </w:rPr>
            <w:t xml:space="preserve">[Online] </w:t>
          </w:r>
          <w:r w:rsidRPr="00476DDF">
            <w:rPr>
              <w:rFonts w:ascii="Times New Roman" w:eastAsiaTheme="minorHAnsi" w:hAnsi="Times New Roman"/>
              <w:noProof/>
              <w:sz w:val="24"/>
              <w:lang w:eastAsia="en-US"/>
            </w:rPr>
            <w:br/>
            <w:t xml:space="preserve">Available at: </w:t>
          </w:r>
          <w:r w:rsidRPr="00476DDF">
            <w:rPr>
              <w:rFonts w:ascii="Times New Roman" w:eastAsiaTheme="minorHAnsi" w:hAnsi="Times New Roman"/>
              <w:noProof/>
              <w:sz w:val="24"/>
              <w:u w:val="single"/>
              <w:lang w:eastAsia="en-US"/>
            </w:rPr>
            <w:t>http://hoileongchan.blogspot.com/2012/09/the-differences-between-financial.html</w:t>
          </w:r>
        </w:p>
        <w:p w14:paraId="0466E015" w14:textId="77777777" w:rsidR="00476DDF" w:rsidRPr="00476DDF" w:rsidRDefault="00476DDF" w:rsidP="00476DDF">
          <w:pPr>
            <w:spacing w:after="160" w:line="480" w:lineRule="auto"/>
            <w:jc w:val="both"/>
            <w:rPr>
              <w:rFonts w:ascii="Times New Roman" w:eastAsiaTheme="minorHAnsi" w:hAnsi="Times New Roman"/>
              <w:noProof/>
              <w:sz w:val="24"/>
              <w:lang w:eastAsia="en-US"/>
            </w:rPr>
          </w:pPr>
          <w:r w:rsidRPr="00476DDF">
            <w:rPr>
              <w:rFonts w:ascii="Times New Roman" w:eastAsiaTheme="minorHAnsi" w:hAnsi="Times New Roman"/>
              <w:noProof/>
              <w:sz w:val="24"/>
              <w:lang w:eastAsia="en-US"/>
            </w:rPr>
            <w:t xml:space="preserve">McLean, J., (2021). </w:t>
          </w:r>
          <w:r w:rsidRPr="00476DDF">
            <w:rPr>
              <w:rFonts w:ascii="Times New Roman" w:eastAsiaTheme="minorHAnsi" w:hAnsi="Times New Roman"/>
              <w:i/>
              <w:iCs/>
              <w:noProof/>
              <w:sz w:val="24"/>
              <w:lang w:eastAsia="en-US"/>
            </w:rPr>
            <w:t xml:space="preserve">6 Reasons Why Management Accounting Is Important for Decision Making. </w:t>
          </w:r>
          <w:r w:rsidRPr="00476DDF">
            <w:rPr>
              <w:rFonts w:ascii="Times New Roman" w:eastAsiaTheme="minorHAnsi" w:hAnsi="Times New Roman"/>
              <w:noProof/>
              <w:sz w:val="24"/>
              <w:lang w:eastAsia="en-US"/>
            </w:rPr>
            <w:t xml:space="preserve">[Online] </w:t>
          </w:r>
          <w:r w:rsidRPr="00476DDF">
            <w:rPr>
              <w:rFonts w:ascii="Times New Roman" w:eastAsiaTheme="minorHAnsi" w:hAnsi="Times New Roman"/>
              <w:noProof/>
              <w:sz w:val="24"/>
              <w:lang w:eastAsia="en-US"/>
            </w:rPr>
            <w:br/>
            <w:t xml:space="preserve">Available at: </w:t>
          </w:r>
          <w:r w:rsidRPr="00476DDF">
            <w:rPr>
              <w:rFonts w:ascii="Times New Roman" w:eastAsiaTheme="minorHAnsi" w:hAnsi="Times New Roman"/>
              <w:noProof/>
              <w:sz w:val="24"/>
              <w:u w:val="single"/>
              <w:lang w:eastAsia="en-US"/>
            </w:rPr>
            <w:t>http://www.dominionsystems.com/blog/6-reasons-why-management-accounting-is-important-for-decision-making</w:t>
          </w:r>
        </w:p>
        <w:p w14:paraId="79AF4AA2" w14:textId="77777777" w:rsidR="00476DDF" w:rsidRDefault="00476DDF">
          <w:r w:rsidRPr="00476DDF">
            <w:rPr>
              <w:rFonts w:ascii="Times New Roman" w:eastAsiaTheme="minorHAnsi" w:hAnsi="Times New Roman"/>
              <w:b/>
              <w:bCs/>
              <w:noProof/>
              <w:sz w:val="24"/>
              <w:lang w:eastAsia="en-US"/>
            </w:rPr>
            <w:fldChar w:fldCharType="end"/>
          </w:r>
        </w:p>
      </w:sdtContent>
    </w:sdt>
    <w:sectPr w:rsidR="00476D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5"/>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DDF"/>
    <w:rsid w:val="00055B0B"/>
    <w:rsid w:val="00476DDF"/>
    <w:rsid w:val="00C432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F0653F"/>
  <w15:chartTrackingRefBased/>
  <w15:docId w15:val="{AD961651-1D45-9142-AB87-4FAF06BD95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6DD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6DDF"/>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476DDF"/>
    <w:rPr>
      <w:rFonts w:eastAsiaTheme="minorHAnsi"/>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476DDF"/>
    <w:pPr>
      <w:spacing w:after="160" w:line="480" w:lineRule="auto"/>
      <w:jc w:val="both"/>
    </w:pPr>
    <w:rPr>
      <w:rFonts w:ascii="Times New Roman" w:eastAsiaTheme="minorHAnsi" w:hAnsi="Times New Roma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1214</Words>
  <Characters>6924</Characters>
  <Application>Microsoft Office Word</Application>
  <DocSecurity>0</DocSecurity>
  <Lines>57</Lines>
  <Paragraphs>16</Paragraphs>
  <ScaleCrop>false</ScaleCrop>
  <Company/>
  <LinksUpToDate>false</LinksUpToDate>
  <CharactersWithSpaces>8122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 macarie</dc:creator>
  <cp:keywords/>
  <dc:description/>
  <cp:lastModifiedBy>claudia macarie</cp:lastModifiedBy>
  <cp:revision>2</cp:revision>
  <dcterms:created xsi:type="dcterms:W3CDTF">2022-01-05T12:56:00Z</dcterms:created>
  <dcterms:modified xsi:type="dcterms:W3CDTF">2022-01-05T12:56:00Z</dcterms:modified>
</cp:coreProperties>
</file>