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FDA" w:rsidRDefault="00F40A1F">
      <w:pPr>
        <w:pStyle w:val="Normal1"/>
        <w:rPr>
          <w:b/>
          <w:sz w:val="28"/>
          <w:szCs w:val="28"/>
          <w:u w:val="single"/>
        </w:rPr>
      </w:pPr>
      <w:bookmarkStart w:id="0" w:name="_GoBack"/>
      <w:r>
        <w:rPr>
          <w:b/>
          <w:sz w:val="28"/>
          <w:szCs w:val="28"/>
          <w:u w:val="single"/>
        </w:rPr>
        <w:t>BMW 4001 Equality and Diversity</w:t>
      </w:r>
    </w:p>
    <w:bookmarkEnd w:id="0"/>
    <w:p w:rsidR="00853FDA" w:rsidRDefault="00F004A3">
      <w:pPr>
        <w:pStyle w:val="Normal1"/>
        <w:rPr>
          <w:i/>
        </w:rPr>
      </w:pPr>
      <w:r>
        <w:rPr>
          <w:b/>
          <w:i/>
          <w:sz w:val="28"/>
          <w:szCs w:val="28"/>
        </w:rPr>
        <w:t xml:space="preserve">“Topic: </w:t>
      </w:r>
      <w:r w:rsidR="00F40A1F">
        <w:rPr>
          <w:b/>
          <w:i/>
          <w:sz w:val="28"/>
          <w:szCs w:val="28"/>
        </w:rPr>
        <w:t>Explain why equality and diversity is important within the legal profession”</w:t>
      </w:r>
      <w:r w:rsidR="00F40A1F">
        <w:br w:type="page"/>
      </w:r>
    </w:p>
    <w:bookmarkStart w:id="1" w:name="_1ag7i57qw0zw" w:colFirst="0" w:colLast="0" w:displacedByCustomXml="next"/>
    <w:bookmarkEnd w:id="1" w:displacedByCustomXml="next"/>
    <w:sdt>
      <w:sdtPr>
        <w:rPr>
          <w:rFonts w:ascii="Times New Roman" w:eastAsia="Times New Roman" w:hAnsi="Times New Roman" w:cs="Times New Roman"/>
          <w:b w:val="0"/>
          <w:bCs w:val="0"/>
          <w:color w:val="auto"/>
          <w:sz w:val="24"/>
          <w:szCs w:val="24"/>
        </w:rPr>
        <w:id w:val="29721779"/>
        <w:docPartObj>
          <w:docPartGallery w:val="Table of Contents"/>
          <w:docPartUnique/>
        </w:docPartObj>
      </w:sdtPr>
      <w:sdtEndPr/>
      <w:sdtContent>
        <w:p w:rsidR="00F004A3" w:rsidRDefault="00F004A3" w:rsidP="00F004A3">
          <w:pPr>
            <w:pStyle w:val="TOCHeading"/>
            <w:jc w:val="center"/>
          </w:pPr>
          <w:r w:rsidRPr="00F004A3">
            <w:rPr>
              <w:rFonts w:ascii="Times New Roman" w:hAnsi="Times New Roman" w:cs="Times New Roman"/>
              <w:color w:val="000000" w:themeColor="text1"/>
              <w:sz w:val="24"/>
              <w:szCs w:val="24"/>
            </w:rPr>
            <w:t>Table of Contents</w:t>
          </w:r>
        </w:p>
        <w:p w:rsidR="00F004A3" w:rsidRDefault="00F004A3">
          <w:pPr>
            <w:pStyle w:val="TOC1"/>
            <w:tabs>
              <w:tab w:val="right" w:leader="dot" w:pos="9350"/>
            </w:tabs>
            <w:rPr>
              <w:noProof/>
            </w:rPr>
          </w:pPr>
          <w:r>
            <w:fldChar w:fldCharType="begin"/>
          </w:r>
          <w:r>
            <w:instrText xml:space="preserve"> TOC \o "1-3" \h \z \u </w:instrText>
          </w:r>
          <w:r>
            <w:fldChar w:fldCharType="separate"/>
          </w:r>
          <w:hyperlink w:anchor="_Toc134203460" w:history="1">
            <w:r w:rsidRPr="0005423A">
              <w:rPr>
                <w:rStyle w:val="Hyperlink"/>
                <w:noProof/>
              </w:rPr>
              <w:t>Introduction</w:t>
            </w:r>
            <w:r>
              <w:rPr>
                <w:noProof/>
                <w:webHidden/>
              </w:rPr>
              <w:tab/>
            </w:r>
            <w:r>
              <w:rPr>
                <w:noProof/>
                <w:webHidden/>
              </w:rPr>
              <w:fldChar w:fldCharType="begin"/>
            </w:r>
            <w:r>
              <w:rPr>
                <w:noProof/>
                <w:webHidden/>
              </w:rPr>
              <w:instrText xml:space="preserve"> PAGEREF _Toc134203460 \h </w:instrText>
            </w:r>
            <w:r>
              <w:rPr>
                <w:noProof/>
                <w:webHidden/>
              </w:rPr>
            </w:r>
            <w:r>
              <w:rPr>
                <w:noProof/>
                <w:webHidden/>
              </w:rPr>
              <w:fldChar w:fldCharType="separate"/>
            </w:r>
            <w:r>
              <w:rPr>
                <w:noProof/>
                <w:webHidden/>
              </w:rPr>
              <w:t>2</w:t>
            </w:r>
            <w:r>
              <w:rPr>
                <w:noProof/>
                <w:webHidden/>
              </w:rPr>
              <w:fldChar w:fldCharType="end"/>
            </w:r>
          </w:hyperlink>
        </w:p>
        <w:p w:rsidR="00F004A3" w:rsidRDefault="003C228F">
          <w:pPr>
            <w:pStyle w:val="TOC1"/>
            <w:tabs>
              <w:tab w:val="right" w:leader="dot" w:pos="9350"/>
            </w:tabs>
            <w:rPr>
              <w:noProof/>
            </w:rPr>
          </w:pPr>
          <w:hyperlink w:anchor="_Toc134203461" w:history="1">
            <w:r w:rsidR="00F004A3" w:rsidRPr="0005423A">
              <w:rPr>
                <w:rStyle w:val="Hyperlink"/>
                <w:noProof/>
              </w:rPr>
              <w:t>“Main Body”</w:t>
            </w:r>
            <w:r w:rsidR="00F004A3">
              <w:rPr>
                <w:noProof/>
                <w:webHidden/>
              </w:rPr>
              <w:tab/>
            </w:r>
            <w:r w:rsidR="00F004A3">
              <w:rPr>
                <w:noProof/>
                <w:webHidden/>
              </w:rPr>
              <w:fldChar w:fldCharType="begin"/>
            </w:r>
            <w:r w:rsidR="00F004A3">
              <w:rPr>
                <w:noProof/>
                <w:webHidden/>
              </w:rPr>
              <w:instrText xml:space="preserve"> PAGEREF _Toc134203461 \h </w:instrText>
            </w:r>
            <w:r w:rsidR="00F004A3">
              <w:rPr>
                <w:noProof/>
                <w:webHidden/>
              </w:rPr>
            </w:r>
            <w:r w:rsidR="00F004A3">
              <w:rPr>
                <w:noProof/>
                <w:webHidden/>
              </w:rPr>
              <w:fldChar w:fldCharType="separate"/>
            </w:r>
            <w:r w:rsidR="00F004A3">
              <w:rPr>
                <w:noProof/>
                <w:webHidden/>
              </w:rPr>
              <w:t>3</w:t>
            </w:r>
            <w:r w:rsidR="00F004A3">
              <w:rPr>
                <w:noProof/>
                <w:webHidden/>
              </w:rPr>
              <w:fldChar w:fldCharType="end"/>
            </w:r>
          </w:hyperlink>
        </w:p>
        <w:p w:rsidR="00F004A3" w:rsidRDefault="003C228F">
          <w:pPr>
            <w:pStyle w:val="TOC1"/>
            <w:tabs>
              <w:tab w:val="right" w:leader="dot" w:pos="9350"/>
            </w:tabs>
            <w:rPr>
              <w:noProof/>
            </w:rPr>
          </w:pPr>
          <w:hyperlink w:anchor="_Toc134203462" w:history="1">
            <w:r w:rsidR="00F004A3" w:rsidRPr="0005423A">
              <w:rPr>
                <w:rStyle w:val="Hyperlink"/>
                <w:noProof/>
              </w:rPr>
              <w:t>Conclusion</w:t>
            </w:r>
            <w:r w:rsidR="00F004A3">
              <w:rPr>
                <w:noProof/>
                <w:webHidden/>
              </w:rPr>
              <w:tab/>
            </w:r>
            <w:r w:rsidR="00F004A3">
              <w:rPr>
                <w:noProof/>
                <w:webHidden/>
              </w:rPr>
              <w:fldChar w:fldCharType="begin"/>
            </w:r>
            <w:r w:rsidR="00F004A3">
              <w:rPr>
                <w:noProof/>
                <w:webHidden/>
              </w:rPr>
              <w:instrText xml:space="preserve"> PAGEREF _Toc134203462 \h </w:instrText>
            </w:r>
            <w:r w:rsidR="00F004A3">
              <w:rPr>
                <w:noProof/>
                <w:webHidden/>
              </w:rPr>
            </w:r>
            <w:r w:rsidR="00F004A3">
              <w:rPr>
                <w:noProof/>
                <w:webHidden/>
              </w:rPr>
              <w:fldChar w:fldCharType="separate"/>
            </w:r>
            <w:r w:rsidR="00F004A3">
              <w:rPr>
                <w:noProof/>
                <w:webHidden/>
              </w:rPr>
              <w:t>6</w:t>
            </w:r>
            <w:r w:rsidR="00F004A3">
              <w:rPr>
                <w:noProof/>
                <w:webHidden/>
              </w:rPr>
              <w:fldChar w:fldCharType="end"/>
            </w:r>
          </w:hyperlink>
        </w:p>
        <w:p w:rsidR="00F004A3" w:rsidRDefault="003C228F">
          <w:pPr>
            <w:pStyle w:val="TOC1"/>
            <w:tabs>
              <w:tab w:val="right" w:leader="dot" w:pos="9350"/>
            </w:tabs>
            <w:rPr>
              <w:noProof/>
            </w:rPr>
          </w:pPr>
          <w:hyperlink w:anchor="_Toc134203463" w:history="1">
            <w:r w:rsidR="00F004A3" w:rsidRPr="0005423A">
              <w:rPr>
                <w:rStyle w:val="Hyperlink"/>
                <w:noProof/>
              </w:rPr>
              <w:t>Reference</w:t>
            </w:r>
            <w:r w:rsidR="00F004A3">
              <w:rPr>
                <w:noProof/>
                <w:webHidden/>
              </w:rPr>
              <w:tab/>
            </w:r>
            <w:r w:rsidR="00F004A3">
              <w:rPr>
                <w:noProof/>
                <w:webHidden/>
              </w:rPr>
              <w:fldChar w:fldCharType="begin"/>
            </w:r>
            <w:r w:rsidR="00F004A3">
              <w:rPr>
                <w:noProof/>
                <w:webHidden/>
              </w:rPr>
              <w:instrText xml:space="preserve"> PAGEREF _Toc134203463 \h </w:instrText>
            </w:r>
            <w:r w:rsidR="00F004A3">
              <w:rPr>
                <w:noProof/>
                <w:webHidden/>
              </w:rPr>
            </w:r>
            <w:r w:rsidR="00F004A3">
              <w:rPr>
                <w:noProof/>
                <w:webHidden/>
              </w:rPr>
              <w:fldChar w:fldCharType="separate"/>
            </w:r>
            <w:r w:rsidR="00F004A3">
              <w:rPr>
                <w:noProof/>
                <w:webHidden/>
              </w:rPr>
              <w:t>7</w:t>
            </w:r>
            <w:r w:rsidR="00F004A3">
              <w:rPr>
                <w:noProof/>
                <w:webHidden/>
              </w:rPr>
              <w:fldChar w:fldCharType="end"/>
            </w:r>
          </w:hyperlink>
        </w:p>
        <w:p w:rsidR="00F004A3" w:rsidRDefault="00F004A3">
          <w:r>
            <w:fldChar w:fldCharType="end"/>
          </w:r>
        </w:p>
      </w:sdtContent>
    </w:sdt>
    <w:p w:rsidR="00F004A3" w:rsidRDefault="00F004A3" w:rsidP="00F004A3">
      <w:pPr>
        <w:jc w:val="both"/>
      </w:pPr>
      <w:r>
        <w:br w:type="page"/>
      </w:r>
      <w:bookmarkStart w:id="2" w:name="_jcyvf6c3smwj" w:colFirst="0" w:colLast="0"/>
      <w:bookmarkStart w:id="3" w:name="_Toc134203460"/>
      <w:bookmarkEnd w:id="2"/>
    </w:p>
    <w:p w:rsidR="00853FDA" w:rsidRPr="00F004A3" w:rsidRDefault="00F40A1F" w:rsidP="00F004A3">
      <w:pPr>
        <w:pStyle w:val="Heading1"/>
      </w:pPr>
      <w:r>
        <w:lastRenderedPageBreak/>
        <w:t>Introduction</w:t>
      </w:r>
      <w:bookmarkEnd w:id="3"/>
      <w:r>
        <w:t xml:space="preserve"> </w:t>
      </w:r>
    </w:p>
    <w:p w:rsidR="00853FDA" w:rsidRDefault="00F40A1F">
      <w:pPr>
        <w:pStyle w:val="Normal1"/>
        <w:jc w:val="both"/>
      </w:pPr>
      <w:r>
        <w:t xml:space="preserve">Equality and diversity are the fundamentals of human rights. Equality is regarded as the equal opportunities that are provided to every individual and the protection of them against discrimination and harassment. At the same time, diversity is regarded as the differences that are carried on by the individual and group that are associated with the culture, race, physical abilities and qualities and more (Thompson, 2020). The following essay will provide information based on the importance of equality and diversity within the legal profession. The study will analyse the two legislation related to equality known as the “Equality Act 2010” and “SRA Code of Conduct 2019”. The overall essay will provide the relevant information which will meet the requirement of the given topic. </w:t>
      </w:r>
      <w:r>
        <w:br w:type="page"/>
      </w:r>
    </w:p>
    <w:p w:rsidR="00853FDA" w:rsidRDefault="00F40A1F">
      <w:pPr>
        <w:pStyle w:val="Heading1"/>
      </w:pPr>
      <w:bookmarkStart w:id="4" w:name="_f6b0x7ct3tvs" w:colFirst="0" w:colLast="0"/>
      <w:bookmarkStart w:id="5" w:name="_Toc134203461"/>
      <w:bookmarkEnd w:id="4"/>
      <w:r>
        <w:lastRenderedPageBreak/>
        <w:t>“Main Body”</w:t>
      </w:r>
      <w:bookmarkEnd w:id="5"/>
    </w:p>
    <w:p w:rsidR="00853FDA" w:rsidRDefault="00F40A1F">
      <w:pPr>
        <w:pStyle w:val="Normal1"/>
        <w:jc w:val="both"/>
      </w:pPr>
      <w:r>
        <w:t xml:space="preserve">Equality refers to providing equal and fair opportunities to individuals and thereby protecting their rights so that no one is differentiated or discriminated against on any grounds (Thompson, 2020). Diversity refers to the recognition and providing respect to individuals and also valuing the difference of each individual. Thus equality and diversity both emphasise protecting the rights of individuals and ensuring that each individual gets fair and equal rights within the particular jurisdiction or country to grow and live in peace. It is one of the most essential components of social and health care in a particular country. Equality and diversity ensure that the services rendered to society are accessible and equal for everyone (Kirton and Greene, 2021). </w:t>
      </w:r>
    </w:p>
    <w:p w:rsidR="00853FDA" w:rsidRDefault="00F40A1F">
      <w:pPr>
        <w:pStyle w:val="Normal1"/>
        <w:jc w:val="both"/>
      </w:pPr>
      <w:r>
        <w:t xml:space="preserve">Equality and diversity can ensure that the people in the country are being treated with dignity and that any differences in terms of colour, sex, religion or caste are celebrated by everyone respectfully. It removes or eliminates the biases from the ethical basis of the provision of care and critically defines the protection of the dignity of each and everyone in the country. Such as </w:t>
      </w:r>
      <w:r>
        <w:rPr>
          <w:b/>
          <w:i/>
        </w:rPr>
        <w:t>the Equality Act 2010</w:t>
      </w:r>
      <w:r>
        <w:rPr>
          <w:i/>
        </w:rPr>
        <w:t xml:space="preserve">, </w:t>
      </w:r>
      <w:r>
        <w:t xml:space="preserve">introduced by the Labour Government of the United Kingdom to strengthen and consolidate the laws or policies that can protect people from being discriminated against and differentiated on certain grounds. This law was replaced by several laws which were previously drafted by the UK government, to make it easy for every individual so they can understand their rights effectively. This act was formulated to ensure that people are protected against characteristics and that people are being discriminated against by anyone because of who they are, who they love, where they come from and how and who they worship (GOV.UK, 2023). There were mainly other laws in the UK that mainly spoke about the rights of individuals and thus this Equality and diversity act was further created to just simplify and harmonise the existing legislation to provide the country with the new discrimination law. Originally there were around 9 major equality laws in the country and other 100 and even smaller versions which seek to protect the mutual rights of each individual in the country. Thus, the new legislation was drafted to deviate from the complexities of multiple policies and thereby provide one coherent guideline set for the individuals. </w:t>
      </w:r>
    </w:p>
    <w:p w:rsidR="00853FDA" w:rsidRDefault="00F40A1F">
      <w:pPr>
        <w:pStyle w:val="Normal1"/>
        <w:jc w:val="both"/>
      </w:pPr>
      <w:r>
        <w:t xml:space="preserve">The law covers eight main areas through which people can be discriminated against on certain grounds. The law seeks to protect people from getting discriminated against no matter where they are, it also protects the people facing disabilities. The act also protects people against discrimination on the grounds of colour, ethnic origin, age, faith and even nationality. Thus the </w:t>
      </w:r>
      <w:r>
        <w:lastRenderedPageBreak/>
        <w:t xml:space="preserve">law has been formulated to basically promote transparency at work so that each individual understands what they are getting in and through what their current positions can get affected negatively and so on. Thus, the law also has been formulated for public sector organisations so that they actively consider the everyday uncertainties that people have to deal with and how their lives get affected. </w:t>
      </w:r>
    </w:p>
    <w:p w:rsidR="00853FDA" w:rsidRDefault="00F40A1F">
      <w:pPr>
        <w:pStyle w:val="Normal1"/>
        <w:jc w:val="both"/>
      </w:pPr>
      <w:r>
        <w:t xml:space="preserve">The “Equality Act 2010” of the UK is important as it promotes equality, reduces discrimination and maintains a harmonious environment for every individual. In the UK the “Equality Act 2010” has been integrated with its legal operation. It is found that the legal profession of the UK works closely with the government to maintain equality and diversity. The Equality Act 2010 is important in the legal profession as it allows every individual to gain access to legal services. </w:t>
      </w:r>
    </w:p>
    <w:p w:rsidR="00853FDA" w:rsidRDefault="00F40A1F">
      <w:pPr>
        <w:pStyle w:val="Normal1"/>
        <w:jc w:val="both"/>
      </w:pPr>
      <w:r>
        <w:t xml:space="preserve">The “Equality Act 2010” sets out the guidance that the public sector firm should comply with the equality duty and develop equality objectives to serve the public with equal services (Sánchez-Monedero </w:t>
      </w:r>
      <w:r>
        <w:rPr>
          <w:i/>
        </w:rPr>
        <w:t xml:space="preserve">et al., </w:t>
      </w:r>
      <w:r>
        <w:t xml:space="preserve">2020).  The same standards are important to be followed in the legal profession. In the legal profession of the UK, the act has been integrated into bringing anti-harassment policies, reducing misconduct and also removing the barrier that can hinder clients from gaining the right and equal legal services. Maintaining equality is important in the legal profession as it will facilitate such institutions to provide equal legal services to the public that will provide a huge societal value to the local community of the UK while maintaining a positive image of the legal profession and the whole country. </w:t>
      </w:r>
    </w:p>
    <w:p w:rsidR="00853FDA" w:rsidRDefault="00F40A1F">
      <w:pPr>
        <w:pStyle w:val="Normal1"/>
        <w:jc w:val="both"/>
      </w:pPr>
      <w:r>
        <w:t>The</w:t>
      </w:r>
      <w:r>
        <w:rPr>
          <w:b/>
          <w:i/>
        </w:rPr>
        <w:t xml:space="preserve"> Solicitors Regulation Authority (SRA) </w:t>
      </w:r>
      <w:r>
        <w:t xml:space="preserve">was developed in the year 2007 by the legal services act of the UK. The SRA Code of Conduct 2019 provides the major ethical principle and practices that need to be followed by the firms and individuals. In the UK it is provided that the employees who are working in the law firm or legal profession are sanctioned by the employer and the SRA if any misconduct is found (SRA, 2023). The code of conduct provided by SRA is based on many principles which include ethical behaviour and conduct that will maintain diversity and equality in the public firm that provides services to the public. The code of conduct includes maintaining trust and acting fairly, resolving disputes and more. The SRA focuses on maintaining a better working place in the legal profession that will maintain fair treatment and provide mutual respect to every employee. The code of conduct provided by SRA focuses on maintaining equality and diversity in the legal profession (SRA, 2023). The “SRA Code of Conduct 2019” is important in the legal profession as it allows the profession to provide </w:t>
      </w:r>
      <w:r>
        <w:lastRenderedPageBreak/>
        <w:t xml:space="preserve">employment opportunities to the diverse communities that are living in a particular country. Gaining the equal opportunity to work in the legal profession will help the legal profession to create a reflection of the society as a whole where every legal department will serve the clients in a better way. Not only that it increases the positive perception of the people towards the legal services that are being provided by the country. The SRA diversity data of the UK provides that 17% of the lawyers are Black, Asian and from a minority ethnic group (Prospect.UK, 2022). Diversity is maintained in the legal profession of the UK to maintain a right culture and environment where equality is maintained in the employment opportunity that is provided to the local diverse people living in the UK community. Also, the SRA has set standard practices for the legal profession to maintain diversity and equality in the legal profession (Hatchard, 2019). It includes corporation and accountability which states that the firm should comply with the law and regulations that will govern the function and operation of the firm. By applying the same code to the legal profession the cooperation with the law provided by the government will help it to operate more in an ethical way. Every public expects the legal firms to provide them with the equal legal services. For instance, the legal profession in the UK is driven heavily towards maintaining equality in the workplace and also in providing equal services to the general public. The legal profession in the UK follows the legislation as set by the legal service agency. The LSA clearly states the equal treatment of the members which is maintained in the legal profession of the UK. The maintenance of equality in the legal profession is helping them to value human rights by respecting diversity and providing equal opportunity. </w:t>
      </w:r>
    </w:p>
    <w:p w:rsidR="00853FDA" w:rsidRDefault="00F40A1F">
      <w:pPr>
        <w:pStyle w:val="Normal1"/>
        <w:jc w:val="both"/>
      </w:pPr>
      <w:r>
        <w:br w:type="page"/>
      </w:r>
    </w:p>
    <w:p w:rsidR="00853FDA" w:rsidRDefault="00F40A1F">
      <w:pPr>
        <w:pStyle w:val="Heading1"/>
      </w:pPr>
      <w:bookmarkStart w:id="6" w:name="_suo7pbx1f704" w:colFirst="0" w:colLast="0"/>
      <w:bookmarkStart w:id="7" w:name="_Toc134203462"/>
      <w:bookmarkEnd w:id="6"/>
      <w:r>
        <w:lastRenderedPageBreak/>
        <w:t>Conclusion</w:t>
      </w:r>
      <w:bookmarkEnd w:id="7"/>
      <w:r>
        <w:t xml:space="preserve"> </w:t>
      </w:r>
    </w:p>
    <w:p w:rsidR="00853FDA" w:rsidRDefault="00F40A1F">
      <w:pPr>
        <w:pStyle w:val="Normal1"/>
        <w:jc w:val="both"/>
      </w:pPr>
      <w:r>
        <w:t xml:space="preserve">In the context of the above information, it can be summarised that the maintenance of equality and diversity is an important aspect of the firm that provides public services. It is found that the legal profession focuses on maintaining equality and diversity by building better work culture and at the same time providing equal access to legal services to the public living in a particular country. The “equality act 2020” sets the principle of equality and fair treatment of every individual despite their individual difference. The “SRA Code of Conduct 2019” sets out the better principle that helps the legal firm in maintaining equality and diversity in the workplace. The two legislation is clearly based on the aim of reducing discrimination and harassment and will build a harmonious and better community where the wider public can live and work with full legal support and protection. Hence, it can be concluded that equality and diversity have a huge role in developing and maintaining a better life for everyone. </w:t>
      </w:r>
    </w:p>
    <w:p w:rsidR="00853FDA" w:rsidRDefault="00853FDA">
      <w:pPr>
        <w:pStyle w:val="Normal1"/>
        <w:jc w:val="both"/>
      </w:pPr>
    </w:p>
    <w:p w:rsidR="00853FDA" w:rsidRDefault="00F40A1F">
      <w:pPr>
        <w:pStyle w:val="Normal1"/>
        <w:jc w:val="both"/>
      </w:pPr>
      <w:r>
        <w:br w:type="page"/>
      </w:r>
    </w:p>
    <w:p w:rsidR="00853FDA" w:rsidRDefault="00F40A1F">
      <w:pPr>
        <w:pStyle w:val="Heading1"/>
      </w:pPr>
      <w:bookmarkStart w:id="8" w:name="_wzvw20ip603c" w:colFirst="0" w:colLast="0"/>
      <w:bookmarkStart w:id="9" w:name="_Toc134203463"/>
      <w:bookmarkEnd w:id="8"/>
      <w:r>
        <w:lastRenderedPageBreak/>
        <w:t>Reference</w:t>
      </w:r>
      <w:bookmarkEnd w:id="9"/>
    </w:p>
    <w:p w:rsidR="00F004A3" w:rsidRDefault="00F004A3" w:rsidP="004A1921">
      <w:pPr>
        <w:pStyle w:val="Normal1"/>
        <w:jc w:val="both"/>
      </w:pPr>
      <w:r>
        <w:t xml:space="preserve">GOV.UK (2023). Equality Act 2010. [online] Available at: </w:t>
      </w:r>
      <w:hyperlink r:id="rId7">
        <w:r>
          <w:t>https://www.legislation.gov.uk/ukpga/2010/15/contents</w:t>
        </w:r>
      </w:hyperlink>
      <w:r>
        <w:t xml:space="preserve">  [Accessed 5 May 2023].</w:t>
      </w:r>
    </w:p>
    <w:p w:rsidR="00F004A3" w:rsidRDefault="00F004A3" w:rsidP="004A1921">
      <w:pPr>
        <w:pStyle w:val="Normal1"/>
        <w:jc w:val="both"/>
      </w:pPr>
      <w:r>
        <w:t>Hatchard, J., 2019. Legal Practitioners as Potential Money Launderers: Beneficial Ownership Transparency and PEPs: Solicitors Regulation Authority v Sharif (2019). Denning LJ, 31, p.189.</w:t>
      </w:r>
    </w:p>
    <w:p w:rsidR="00F004A3" w:rsidRDefault="00F004A3" w:rsidP="004A1921">
      <w:pPr>
        <w:pStyle w:val="Normal1"/>
        <w:jc w:val="both"/>
      </w:pPr>
      <w:r>
        <w:t>Kirton, G. and Greene, A.M., (2021). The dynamics of managing diversity and inclusion: A critical approach. Routledge.</w:t>
      </w:r>
    </w:p>
    <w:p w:rsidR="00F004A3" w:rsidRDefault="00F004A3" w:rsidP="004A1921">
      <w:pPr>
        <w:pStyle w:val="Normal1"/>
        <w:jc w:val="both"/>
      </w:pPr>
      <w:r>
        <w:t>Prospects.ac.uk. (2022). Diversity in the legal profession | Prospects.ac.uk. [online] Available at: https://www.prospects.ac.uk/jobs-and-work-experience/job-sectors/law-sector/diversity-in-the-legal-profession [Accessed 5 May 2023].</w:t>
      </w:r>
    </w:p>
    <w:p w:rsidR="00F004A3" w:rsidRDefault="00F004A3" w:rsidP="004A1921">
      <w:pPr>
        <w:pStyle w:val="Normal1"/>
        <w:jc w:val="both"/>
      </w:pPr>
      <w:r>
        <w:t>Sánchez-Monedero, J., Dencik, L. and Edwards, L., 2020, January. What does it mean to'solve'the problem of discrimination in hiring? Social, technical and legal perspectives from the UK on automated hiring systems. In Proceedings of the 2020 conference on fairness, accountability, and transparency (pp. 458-468).</w:t>
      </w:r>
    </w:p>
    <w:p w:rsidR="00F004A3" w:rsidRDefault="00F004A3" w:rsidP="004A1921">
      <w:pPr>
        <w:pStyle w:val="Normal1"/>
        <w:jc w:val="both"/>
      </w:pPr>
      <w:r>
        <w:t>SRA (2023). SRA Code of Conduct for Solicitors, RELs and RFLs. [online] Available at: https://www.sra.org.uk/solicitors/standards-regulations/code-conduct-solicitors/ [Accessed 5 May 2023].</w:t>
      </w:r>
    </w:p>
    <w:p w:rsidR="00F004A3" w:rsidRDefault="00F004A3" w:rsidP="004A1921">
      <w:pPr>
        <w:pStyle w:val="Normal1"/>
        <w:jc w:val="both"/>
      </w:pPr>
      <w:r>
        <w:t>Thompson, N., (2020). Anti-discriminatory practice: Equality, diversity and social justice. Bloomsbury Publishing.</w:t>
      </w:r>
    </w:p>
    <w:p w:rsidR="00853FDA" w:rsidRDefault="00F40A1F">
      <w:pPr>
        <w:pStyle w:val="Normal1"/>
        <w:spacing w:before="240" w:after="240"/>
        <w:jc w:val="both"/>
      </w:pPr>
      <w:r>
        <w:t>‌</w:t>
      </w:r>
    </w:p>
    <w:p w:rsidR="00853FDA" w:rsidRDefault="00853FDA">
      <w:pPr>
        <w:pStyle w:val="Normal1"/>
        <w:spacing w:after="240"/>
        <w:jc w:val="both"/>
      </w:pPr>
    </w:p>
    <w:p w:rsidR="00853FDA" w:rsidRDefault="00F40A1F">
      <w:pPr>
        <w:pStyle w:val="Normal1"/>
        <w:spacing w:before="240" w:after="240"/>
        <w:jc w:val="both"/>
      </w:pPr>
      <w:r>
        <w:t>‌</w:t>
      </w:r>
    </w:p>
    <w:p w:rsidR="00853FDA" w:rsidRDefault="00853FDA">
      <w:pPr>
        <w:pStyle w:val="Normal1"/>
        <w:jc w:val="both"/>
      </w:pPr>
    </w:p>
    <w:p w:rsidR="00853FDA" w:rsidRDefault="00853FDA">
      <w:pPr>
        <w:pStyle w:val="Normal1"/>
      </w:pPr>
    </w:p>
    <w:sectPr w:rsidR="00853FDA" w:rsidSect="00853FDA">
      <w:footerReference w:type="default" r:id="rId8"/>
      <w:footerReference w:type="first" r:id="rId9"/>
      <w:pgSz w:w="12240" w:h="15840"/>
      <w:pgMar w:top="1440" w:right="1440" w:bottom="1440" w:left="144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C228F" w:rsidRDefault="003C228F" w:rsidP="00853FDA">
      <w:pPr>
        <w:spacing w:line="240" w:lineRule="auto"/>
      </w:pPr>
      <w:r>
        <w:separator/>
      </w:r>
    </w:p>
  </w:endnote>
  <w:endnote w:type="continuationSeparator" w:id="0">
    <w:p w:rsidR="003C228F" w:rsidRDefault="003C228F" w:rsidP="00853FD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FDA" w:rsidRDefault="00853FDA">
    <w:pPr>
      <w:pStyle w:val="Normal1"/>
      <w:jc w:val="right"/>
    </w:pPr>
    <w:r>
      <w:fldChar w:fldCharType="begin"/>
    </w:r>
    <w:r w:rsidR="00F40A1F">
      <w:instrText>PAGE</w:instrText>
    </w:r>
    <w:r>
      <w:fldChar w:fldCharType="separate"/>
    </w:r>
    <w:r w:rsidR="004A1921">
      <w:rPr>
        <w:noProof/>
      </w:rPr>
      <w:t>1</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3FDA" w:rsidRDefault="00853FDA">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C228F" w:rsidRDefault="003C228F" w:rsidP="00853FDA">
      <w:pPr>
        <w:spacing w:line="240" w:lineRule="auto"/>
      </w:pPr>
      <w:r>
        <w:separator/>
      </w:r>
    </w:p>
  </w:footnote>
  <w:footnote w:type="continuationSeparator" w:id="0">
    <w:p w:rsidR="003C228F" w:rsidRDefault="003C228F" w:rsidP="00853FD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FDA"/>
    <w:rsid w:val="003C228F"/>
    <w:rsid w:val="004A1921"/>
    <w:rsid w:val="00853FDA"/>
    <w:rsid w:val="00F004A3"/>
    <w:rsid w:val="00F40A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7D93C4"/>
  <w15:docId w15:val="{6EC79DBF-334B-478E-A681-7A2AF1EEC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US" w:eastAsia="en-US" w:bidi="ar-SA"/>
      </w:rPr>
    </w:rPrDefault>
    <w:pPrDefault>
      <w:pPr>
        <w:spacing w:line="360"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rsid w:val="00853FDA"/>
    <w:pPr>
      <w:keepNext/>
      <w:keepLines/>
      <w:spacing w:before="400" w:after="120"/>
      <w:jc w:val="both"/>
      <w:outlineLvl w:val="0"/>
    </w:pPr>
    <w:rPr>
      <w:b/>
    </w:rPr>
  </w:style>
  <w:style w:type="paragraph" w:styleId="Heading2">
    <w:name w:val="heading 2"/>
    <w:basedOn w:val="Normal1"/>
    <w:next w:val="Normal1"/>
    <w:rsid w:val="00853FDA"/>
    <w:pPr>
      <w:keepNext/>
      <w:keepLines/>
      <w:spacing w:before="360" w:after="120"/>
      <w:outlineLvl w:val="1"/>
    </w:pPr>
    <w:rPr>
      <w:sz w:val="32"/>
      <w:szCs w:val="32"/>
    </w:rPr>
  </w:style>
  <w:style w:type="paragraph" w:styleId="Heading3">
    <w:name w:val="heading 3"/>
    <w:basedOn w:val="Normal1"/>
    <w:next w:val="Normal1"/>
    <w:rsid w:val="00853FDA"/>
    <w:pPr>
      <w:keepNext/>
      <w:keepLines/>
      <w:spacing w:before="320" w:after="80"/>
      <w:outlineLvl w:val="2"/>
    </w:pPr>
    <w:rPr>
      <w:color w:val="434343"/>
      <w:sz w:val="28"/>
      <w:szCs w:val="28"/>
    </w:rPr>
  </w:style>
  <w:style w:type="paragraph" w:styleId="Heading4">
    <w:name w:val="heading 4"/>
    <w:basedOn w:val="Normal1"/>
    <w:next w:val="Normal1"/>
    <w:rsid w:val="00853FDA"/>
    <w:pPr>
      <w:keepNext/>
      <w:keepLines/>
      <w:spacing w:before="280" w:after="80"/>
      <w:outlineLvl w:val="3"/>
    </w:pPr>
    <w:rPr>
      <w:color w:val="666666"/>
    </w:rPr>
  </w:style>
  <w:style w:type="paragraph" w:styleId="Heading5">
    <w:name w:val="heading 5"/>
    <w:basedOn w:val="Normal1"/>
    <w:next w:val="Normal1"/>
    <w:rsid w:val="00853FDA"/>
    <w:pPr>
      <w:keepNext/>
      <w:keepLines/>
      <w:spacing w:before="240" w:after="80"/>
      <w:outlineLvl w:val="4"/>
    </w:pPr>
    <w:rPr>
      <w:color w:val="666666"/>
      <w:sz w:val="22"/>
      <w:szCs w:val="22"/>
    </w:rPr>
  </w:style>
  <w:style w:type="paragraph" w:styleId="Heading6">
    <w:name w:val="heading 6"/>
    <w:basedOn w:val="Normal1"/>
    <w:next w:val="Normal1"/>
    <w:rsid w:val="00853FDA"/>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853FDA"/>
  </w:style>
  <w:style w:type="paragraph" w:styleId="Title">
    <w:name w:val="Title"/>
    <w:basedOn w:val="Normal1"/>
    <w:next w:val="Normal1"/>
    <w:rsid w:val="00853FDA"/>
    <w:pPr>
      <w:keepNext/>
      <w:keepLines/>
      <w:spacing w:after="60"/>
    </w:pPr>
    <w:rPr>
      <w:sz w:val="52"/>
      <w:szCs w:val="52"/>
    </w:rPr>
  </w:style>
  <w:style w:type="paragraph" w:styleId="Subtitle">
    <w:name w:val="Subtitle"/>
    <w:basedOn w:val="Normal1"/>
    <w:next w:val="Normal1"/>
    <w:rsid w:val="00853FDA"/>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semiHidden/>
    <w:unhideWhenUsed/>
    <w:qFormat/>
    <w:rsid w:val="00F004A3"/>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F004A3"/>
    <w:pPr>
      <w:spacing w:after="100"/>
    </w:pPr>
  </w:style>
  <w:style w:type="character" w:styleId="Hyperlink">
    <w:name w:val="Hyperlink"/>
    <w:basedOn w:val="DefaultParagraphFont"/>
    <w:uiPriority w:val="99"/>
    <w:unhideWhenUsed/>
    <w:rsid w:val="00F004A3"/>
    <w:rPr>
      <w:color w:val="0000FF" w:themeColor="hyperlink"/>
      <w:u w:val="single"/>
    </w:rPr>
  </w:style>
  <w:style w:type="paragraph" w:styleId="BalloonText">
    <w:name w:val="Balloon Text"/>
    <w:basedOn w:val="Normal"/>
    <w:link w:val="BalloonTextChar"/>
    <w:uiPriority w:val="99"/>
    <w:semiHidden/>
    <w:unhideWhenUsed/>
    <w:rsid w:val="00F004A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004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lation.gov.uk/ukpga/2010/15/contents"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FEA652-314F-4484-8312-CF1A8B24D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1669</Words>
  <Characters>9514</Characters>
  <Application>Microsoft Office Word</Application>
  <DocSecurity>0</DocSecurity>
  <Lines>79</Lines>
  <Paragraphs>22</Paragraphs>
  <ScaleCrop>false</ScaleCrop>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 PC 66</dc:creator>
  <cp:lastModifiedBy>mac</cp:lastModifiedBy>
  <cp:revision>2</cp:revision>
  <dcterms:created xsi:type="dcterms:W3CDTF">2023-05-05T13:07:00Z</dcterms:created>
  <dcterms:modified xsi:type="dcterms:W3CDTF">2023-05-05T13:07:00Z</dcterms:modified>
</cp:coreProperties>
</file>