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609AC" w:rsidRPr="00222ABB" w:rsidRDefault="00D665F6" w:rsidP="00222ABB">
      <w:pPr>
        <w:rPr>
          <w:rFonts w:ascii="Segoe UI Light" w:hAnsi="Segoe UI Light" w:cs="Segoe UI Light"/>
          <w:sz w:val="24"/>
          <w:szCs w:val="24"/>
          <w:lang w:val="en"/>
        </w:rPr>
      </w:pPr>
      <w:r w:rsidRPr="00222ABB">
        <w:rPr>
          <w:rFonts w:ascii="Segoe UI Light" w:hAnsi="Segoe UI Light" w:cs="Segoe UI Light"/>
          <w:sz w:val="24"/>
          <w:szCs w:val="24"/>
          <w:lang w:val="en"/>
        </w:rPr>
        <w:t>'Yr oedd y Phariseaid yn helpu i ddiogelu'r hyn oedd orau mewn Iddewiaeth'. Rhowch eich sylwadau ar y disgrifiad hwn a dadansoddwch arwyddocad y Phariseaid i Iddewiaeth (</w:t>
      </w:r>
      <w:r w:rsidRPr="00222ABB">
        <w:rPr>
          <w:rStyle w:val="Strong"/>
          <w:rFonts w:ascii="Segoe UI Light" w:hAnsi="Segoe UI Light" w:cs="Segoe UI Light"/>
          <w:b w:val="0"/>
          <w:sz w:val="24"/>
          <w:szCs w:val="24"/>
          <w:lang w:val="en"/>
        </w:rPr>
        <w:t>3000 o eiriau</w:t>
      </w:r>
      <w:r w:rsidRPr="00222ABB">
        <w:rPr>
          <w:rFonts w:ascii="Segoe UI Light" w:hAnsi="Segoe UI Light" w:cs="Segoe UI Light"/>
          <w:sz w:val="24"/>
          <w:szCs w:val="24"/>
          <w:lang w:val="en"/>
        </w:rPr>
        <w:t>).</w:t>
      </w:r>
    </w:p>
    <w:p w:rsidR="00FE43AC" w:rsidRPr="00222ABB" w:rsidRDefault="00FE43AC" w:rsidP="009D53B9">
      <w:pPr>
        <w:jc w:val="both"/>
        <w:textAlignment w:val="baseline"/>
        <w:rPr>
          <w:rFonts w:ascii="Segoe UI Light" w:hAnsi="Segoe UI Light" w:cs="Segoe UI Light"/>
          <w:sz w:val="24"/>
          <w:szCs w:val="24"/>
          <w:lang w:val="en"/>
        </w:rPr>
      </w:pPr>
      <w:r w:rsidRPr="00222ABB">
        <w:rPr>
          <w:rFonts w:ascii="Segoe UI Light" w:hAnsi="Segoe UI Light" w:cs="Segoe UI Light"/>
          <w:sz w:val="24"/>
          <w:szCs w:val="24"/>
          <w:lang w:val="en"/>
        </w:rPr>
        <w:t xml:space="preserve">Grŵp o ysgolheigion addysgiadol oedd y Phariseaid, byddant yn ffocysu’n llwyr ar astudio </w:t>
      </w:r>
      <w:r w:rsidR="007C0D20">
        <w:rPr>
          <w:rFonts w:ascii="Segoe UI Light" w:hAnsi="Segoe UI Light" w:cs="Segoe UI Light"/>
          <w:sz w:val="24"/>
          <w:szCs w:val="24"/>
          <w:lang w:val="en"/>
        </w:rPr>
        <w:t>a dadlau cyfraith o fewn y tora</w:t>
      </w:r>
      <w:r w:rsidRPr="00222ABB">
        <w:rPr>
          <w:rFonts w:ascii="Segoe UI Light" w:hAnsi="Segoe UI Light" w:cs="Segoe UI Light"/>
          <w:sz w:val="24"/>
          <w:szCs w:val="24"/>
          <w:lang w:val="en"/>
        </w:rPr>
        <w:t>.</w:t>
      </w:r>
      <w:r w:rsidR="00F72D61">
        <w:rPr>
          <w:rFonts w:ascii="Segoe UI Light" w:hAnsi="Segoe UI Light" w:cs="Segoe UI Light"/>
          <w:sz w:val="24"/>
          <w:szCs w:val="24"/>
          <w:lang w:val="en"/>
        </w:rPr>
        <w:t xml:space="preserve"> </w:t>
      </w:r>
      <w:r w:rsidR="00CB3271" w:rsidRPr="00CB3271">
        <w:rPr>
          <w:rFonts w:ascii="Segoe UI Light" w:hAnsi="Segoe UI Light" w:cs="Segoe UI Light"/>
          <w:sz w:val="24"/>
          <w:szCs w:val="24"/>
          <w:lang w:val="en"/>
        </w:rPr>
        <w:t xml:space="preserve">Y gair Hebraeg am Phariseaid yw </w:t>
      </w:r>
      <w:r w:rsidR="00CB3271" w:rsidRPr="00CB3271">
        <w:rPr>
          <w:rFonts w:ascii="Segoe UI Light" w:hAnsi="Segoe UI Light" w:cs="Segoe UI Light"/>
          <w:i/>
          <w:sz w:val="24"/>
          <w:szCs w:val="24"/>
          <w:lang w:val="en"/>
        </w:rPr>
        <w:t>perushim</w:t>
      </w:r>
      <w:r w:rsidR="00CB3271" w:rsidRPr="00CB3271">
        <w:rPr>
          <w:rFonts w:ascii="Segoe UI Light" w:hAnsi="Segoe UI Light" w:cs="Segoe UI Light"/>
          <w:sz w:val="24"/>
          <w:szCs w:val="24"/>
          <w:lang w:val="en"/>
        </w:rPr>
        <w:t xml:space="preserve"> sef y rhai sydd wedi gwahanu, mae’n debygol gelwir hyn</w:t>
      </w:r>
      <w:r w:rsidR="00065963">
        <w:rPr>
          <w:rFonts w:ascii="Segoe UI Light" w:hAnsi="Segoe UI Light" w:cs="Segoe UI Light"/>
          <w:sz w:val="24"/>
          <w:szCs w:val="24"/>
          <w:lang w:val="en"/>
        </w:rPr>
        <w:t>, gan yn adeg eu</w:t>
      </w:r>
      <w:r w:rsidR="00CB3271" w:rsidRPr="00CB3271">
        <w:rPr>
          <w:rFonts w:ascii="Segoe UI Light" w:hAnsi="Segoe UI Light" w:cs="Segoe UI Light"/>
          <w:sz w:val="24"/>
          <w:szCs w:val="24"/>
          <w:lang w:val="en"/>
        </w:rPr>
        <w:t xml:space="preserve"> bodolaeth nid oedd cymunedau mawr o Iddewon yn beth gyfarwydd, ond yn hytrach roedd Iddewon yn bodoli mewn cymunedau bach yng nghanol poblogaeth ddominyddol Gristnogol</w:t>
      </w:r>
      <w:r w:rsidR="00CB3271">
        <w:rPr>
          <w:rFonts w:ascii="Segoe UI Light" w:hAnsi="Segoe UI Light" w:cs="Segoe UI Light"/>
          <w:sz w:val="24"/>
          <w:szCs w:val="24"/>
          <w:lang w:val="en"/>
        </w:rPr>
        <w:t>.</w:t>
      </w:r>
      <w:r w:rsidRPr="00222ABB">
        <w:rPr>
          <w:rFonts w:ascii="Segoe UI Light" w:hAnsi="Segoe UI Light" w:cs="Segoe UI Light"/>
          <w:sz w:val="24"/>
          <w:szCs w:val="24"/>
          <w:lang w:val="en"/>
        </w:rPr>
        <w:t xml:space="preserve"> Yn wahanol i’r Sadwceaid nid oedd y Pharisead yn ffocysu eu cred o amgylch y deml ond yn hytrach roedd y gred yn ganolog yn y synagog ac yn y gymuned, a bu ffocws llwyr ar astudio a thrafod y gyfraith. Roedd hyn yn golygu nid oedd y syniad o system cast a oedd yn gysylltiedig i gredoau’r Sadwceaid yn berthnasol i’r Phariseaid gan roedd awdurdodaeth a doethineb yn dod efo astudio ac asesu’r gyfraith yn unig. Fel unrhyw grefydd mae Iddewiaeth wedi datblygu ac ehangu dros y canrifoedd i gyd-fynd efo ddatblygiad y byd o’n cwmpas ac mae hyn yn angenrheidiol i alluogi crefydd i allu ffynni a pharhau i fod yn agwedd bwysig o fywyd pobl. Mae modd dweud bod y Phariseaid wedi helpu i ddiogelu'r hyn oedd orau mewn Iddewiaeth am sawl rheswm gwahanol.</w:t>
      </w:r>
    </w:p>
    <w:p w:rsidR="00A14813" w:rsidRPr="00222ABB" w:rsidRDefault="00A14813" w:rsidP="00A14813">
      <w:pPr>
        <w:jc w:val="both"/>
        <w:textAlignment w:val="baseline"/>
        <w:rPr>
          <w:rFonts w:ascii="Segoe UI Light" w:hAnsi="Segoe UI Light" w:cs="Segoe UI Light"/>
          <w:sz w:val="24"/>
          <w:szCs w:val="24"/>
          <w:lang w:val="en"/>
        </w:rPr>
      </w:pPr>
      <w:r w:rsidRPr="00222ABB">
        <w:rPr>
          <w:rFonts w:ascii="Segoe UI Light" w:hAnsi="Segoe UI Light" w:cs="Segoe UI Light"/>
          <w:sz w:val="24"/>
          <w:szCs w:val="24"/>
          <w:lang w:val="en"/>
        </w:rPr>
        <w:t xml:space="preserve">Gellir dweud fod y Phariseaid yn arwyddocaol i Iddewiaeth gan mai’r Phariseaid oedd prif esbonyddion y syniad o’r Tora Llafar neu’r </w:t>
      </w:r>
      <w:r w:rsidRPr="00065963">
        <w:rPr>
          <w:rFonts w:ascii="Segoe UI Light" w:hAnsi="Segoe UI Light" w:cs="Segoe UI Light"/>
          <w:i/>
          <w:sz w:val="24"/>
          <w:szCs w:val="24"/>
          <w:lang w:val="en"/>
        </w:rPr>
        <w:t>Torah She’bi-khetav</w:t>
      </w:r>
      <w:r w:rsidRPr="00222ABB">
        <w:rPr>
          <w:rFonts w:ascii="Segoe UI Light" w:hAnsi="Segoe UI Light" w:cs="Segoe UI Light"/>
          <w:sz w:val="24"/>
          <w:szCs w:val="24"/>
          <w:lang w:val="en"/>
        </w:rPr>
        <w:t xml:space="preserve"> sef cyfraith anysgrifenedig cafodd ei drosglwyddo i Moses ar Fynydd Sinai ar yr un adeg a’r Tora Ysgrifenedig. Er yr oedd y Phariseaid yn ystyried y deml i fod yn bwysig, nid oedd eu cred wedi canoli o amgylch y deml ac aberthu offrymau yn debyg i grwpiau arall o Iddewon ar y pryd. Yn lle'r oedd y Phariseaid yn canoli eu cred o amgylch y ddau tora, sef y tora ysgrifenedig a’r tora llafar. Nod y Phariseaid oedd astudio’r gyfraith a cheisio esbonio’r torah ysgrifenedig trwy’r defnyd</w:t>
      </w:r>
      <w:r w:rsidR="00065963">
        <w:rPr>
          <w:rFonts w:ascii="Segoe UI Light" w:hAnsi="Segoe UI Light" w:cs="Segoe UI Light"/>
          <w:sz w:val="24"/>
          <w:szCs w:val="24"/>
          <w:lang w:val="en"/>
        </w:rPr>
        <w:t>d o’r tora llafar. Er i’r tora</w:t>
      </w:r>
      <w:r w:rsidRPr="00222ABB">
        <w:rPr>
          <w:rFonts w:ascii="Segoe UI Light" w:hAnsi="Segoe UI Light" w:cs="Segoe UI Light"/>
          <w:sz w:val="24"/>
          <w:szCs w:val="24"/>
          <w:lang w:val="en"/>
        </w:rPr>
        <w:t xml:space="preserve"> ysgrifenedig i fod yn air Duw a drosglwyddwyd i Moses nid oedd yn fanwl iawn ac felly roedd yn anodd deall ac yn anodd defnyddio’r rheolau mewn bywyd bob dydd gan nad oeddent i gyd yn berthnasol i’r amser ac i’r gymdeithas. I ddechrau nid oedd hawl ysgrifennu’r tora llafar i lawr gan mai’r gred oedd mai adrodd yn llafar oedd yr unig fodd cyflwyno’r negeseuon</w:t>
      </w:r>
      <w:r w:rsidR="00065963">
        <w:rPr>
          <w:rFonts w:ascii="Segoe UI Light" w:hAnsi="Segoe UI Light" w:cs="Segoe UI Light"/>
          <w:sz w:val="24"/>
          <w:szCs w:val="24"/>
          <w:lang w:val="en"/>
        </w:rPr>
        <w:t>,</w:t>
      </w:r>
      <w:r w:rsidRPr="00222ABB">
        <w:rPr>
          <w:rFonts w:ascii="Segoe UI Light" w:hAnsi="Segoe UI Light" w:cs="Segoe UI Light"/>
          <w:sz w:val="24"/>
          <w:szCs w:val="24"/>
          <w:lang w:val="en"/>
        </w:rPr>
        <w:t xml:space="preserve"> ond yna benderfynodd olynwyr y Phariseaid sef y rabiniaid i ysgrifennu’r casgliad i lawr ac o ganlyniad i hyn ceir y </w:t>
      </w:r>
      <w:r w:rsidRPr="00065963">
        <w:rPr>
          <w:rFonts w:ascii="Segoe UI Light" w:hAnsi="Segoe UI Light" w:cs="Segoe UI Light"/>
          <w:i/>
          <w:sz w:val="24"/>
          <w:szCs w:val="24"/>
          <w:lang w:val="en"/>
        </w:rPr>
        <w:t>Mishnah</w:t>
      </w:r>
      <w:r w:rsidRPr="00222ABB">
        <w:rPr>
          <w:rFonts w:ascii="Segoe UI Light" w:hAnsi="Segoe UI Light" w:cs="Segoe UI Light"/>
          <w:sz w:val="24"/>
          <w:szCs w:val="24"/>
          <w:lang w:val="en"/>
        </w:rPr>
        <w:t xml:space="preserve"> ei gyflawni ar ddechrau’r 3ydd ganrif gan Rabban Judah ha-Nassi. Heblaw ymdrech y Phariseaid i drafod ac asesu’r gyfraith o fewn y ddau tora ni fyddai gwir ystyr y rheolau wedi dod i’r golwg. Mae gwaith y Phariseaid wedi galluogi i Iddewon heddiw i fedru deall rheolau’r tora a’u defnyddio yn eu bywyd bob dydd. Fel dywed</w:t>
      </w:r>
      <w:r w:rsidR="00D13EE9" w:rsidRPr="00222ABB">
        <w:rPr>
          <w:rFonts w:ascii="Segoe UI Light" w:hAnsi="Segoe UI Light" w:cs="Segoe UI Light"/>
          <w:sz w:val="24"/>
          <w:szCs w:val="24"/>
          <w:lang w:val="en"/>
        </w:rPr>
        <w:t xml:space="preserve"> Gareth Lloyd Jones </w:t>
      </w:r>
      <w:r w:rsidR="000851DF" w:rsidRPr="00222ABB">
        <w:rPr>
          <w:rFonts w:ascii="Segoe UI Light" w:hAnsi="Segoe UI Light" w:cs="Segoe UI Light"/>
          <w:sz w:val="24"/>
          <w:szCs w:val="24"/>
          <w:lang w:val="en"/>
        </w:rPr>
        <w:t xml:space="preserve">“in their attempt to save their </w:t>
      </w:r>
      <w:r w:rsidR="00D13EE9" w:rsidRPr="00222ABB">
        <w:rPr>
          <w:rFonts w:ascii="Segoe UI Light" w:hAnsi="Segoe UI Light" w:cs="Segoe UI Light"/>
          <w:sz w:val="24"/>
          <w:szCs w:val="24"/>
          <w:lang w:val="en"/>
        </w:rPr>
        <w:t>ancestral</w:t>
      </w:r>
      <w:r w:rsidR="000851DF" w:rsidRPr="00222ABB">
        <w:rPr>
          <w:rFonts w:ascii="Segoe UI Light" w:hAnsi="Segoe UI Light" w:cs="Segoe UI Light"/>
          <w:sz w:val="24"/>
          <w:szCs w:val="24"/>
          <w:lang w:val="en"/>
        </w:rPr>
        <w:t xml:space="preserve"> faith, they emphasized the moral and ritual </w:t>
      </w:r>
      <w:r w:rsidR="00D13EE9" w:rsidRPr="00222ABB">
        <w:rPr>
          <w:rFonts w:ascii="Segoe UI Light" w:hAnsi="Segoe UI Light" w:cs="Segoe UI Light"/>
          <w:sz w:val="24"/>
          <w:szCs w:val="24"/>
          <w:lang w:val="en"/>
        </w:rPr>
        <w:t>principles</w:t>
      </w:r>
      <w:r w:rsidR="000851DF" w:rsidRPr="00222ABB">
        <w:rPr>
          <w:rFonts w:ascii="Segoe UI Light" w:hAnsi="Segoe UI Light" w:cs="Segoe UI Light"/>
          <w:sz w:val="24"/>
          <w:szCs w:val="24"/>
          <w:lang w:val="en"/>
        </w:rPr>
        <w:t xml:space="preserve"> enshrined in the law and strove to make them applicable to daily life of every Jew.”</w:t>
      </w:r>
      <w:r w:rsidR="000851DF" w:rsidRPr="00222ABB">
        <w:rPr>
          <w:rStyle w:val="FootnoteReference"/>
          <w:rFonts w:ascii="Segoe UI Light" w:hAnsi="Segoe UI Light" w:cs="Segoe UI Light"/>
          <w:sz w:val="24"/>
          <w:szCs w:val="24"/>
          <w:lang w:val="en"/>
        </w:rPr>
        <w:footnoteReference w:id="1"/>
      </w:r>
      <w:r w:rsidR="00D13EE9" w:rsidRPr="00222ABB">
        <w:rPr>
          <w:rFonts w:ascii="Segoe UI Light" w:hAnsi="Segoe UI Light" w:cs="Segoe UI Light"/>
          <w:sz w:val="24"/>
          <w:szCs w:val="24"/>
          <w:lang w:val="en"/>
        </w:rPr>
        <w:t xml:space="preserve"> </w:t>
      </w:r>
      <w:r w:rsidRPr="00222ABB">
        <w:rPr>
          <w:rFonts w:ascii="Segoe UI Light" w:hAnsi="Segoe UI Light" w:cs="Segoe UI Light"/>
          <w:sz w:val="24"/>
          <w:szCs w:val="24"/>
          <w:lang w:val="en"/>
        </w:rPr>
        <w:t xml:space="preserve">Cymerwch y gorchymyn am y teffilin fel enghraifft, nid oedd y tora ysgrifenedig yn mynd i mewn i fanylder ar sut i </w:t>
      </w:r>
      <w:r w:rsidRPr="00222ABB">
        <w:rPr>
          <w:rFonts w:ascii="Segoe UI Light" w:hAnsi="Segoe UI Light" w:cs="Segoe UI Light"/>
          <w:sz w:val="24"/>
          <w:szCs w:val="24"/>
          <w:lang w:val="en"/>
        </w:rPr>
        <w:lastRenderedPageBreak/>
        <w:t xml:space="preserve">ddefnyddio’r teffilin ond drwy ddefnyddio’r tora llafar mae modd i Iddewon i ddeall nod y gosodiad a dilyn y gorchymyn rhoddwyd gan Dduw.  Dywed yn y tora ysgrifenedig </w:t>
      </w:r>
    </w:p>
    <w:p w:rsidR="009D53B9" w:rsidRPr="00222ABB" w:rsidRDefault="009D53B9" w:rsidP="00A14813">
      <w:pPr>
        <w:ind w:left="720"/>
        <w:jc w:val="both"/>
        <w:textAlignment w:val="baseline"/>
        <w:rPr>
          <w:rFonts w:ascii="Segoe UI Light" w:eastAsia="+mn-ea" w:hAnsi="Segoe UI Light" w:cs="Segoe UI Light"/>
          <w:color w:val="000000"/>
          <w:kern w:val="24"/>
          <w:sz w:val="24"/>
          <w:szCs w:val="24"/>
        </w:rPr>
      </w:pPr>
      <w:r w:rsidRPr="00222ABB">
        <w:rPr>
          <w:rFonts w:ascii="Segoe UI Light" w:eastAsia="+mn-ea" w:hAnsi="Segoe UI Light" w:cs="Segoe UI Light"/>
          <w:color w:val="000000"/>
          <w:kern w:val="24"/>
          <w:sz w:val="24"/>
          <w:szCs w:val="24"/>
        </w:rPr>
        <w:t xml:space="preserve">“Y mae’r geiriau hyn yr wyf yn eu gorchymyn iti heddiw i fod yn dy galon. Yr wyt i’w hadrodd i’th blant, ac i son amdanynt pan fyddi’n eistedd yn dy dŷ ac yn cerdded ar y ffordd, a phan fyddi’n mynd i gysgu ac yn codi. </w:t>
      </w:r>
      <w:r w:rsidRPr="00222ABB">
        <w:rPr>
          <w:rFonts w:ascii="Segoe UI Light" w:eastAsia="+mn-ea" w:hAnsi="Segoe UI Light" w:cs="Segoe UI Light"/>
          <w:iCs/>
          <w:color w:val="000000"/>
          <w:kern w:val="24"/>
          <w:sz w:val="24"/>
          <w:szCs w:val="24"/>
        </w:rPr>
        <w:t>Yr wyt i’w rhwymo yn arwydd ar dy law, a byddant yn rhactalau (frontlet) rhwng dy lygaid</w:t>
      </w:r>
      <w:r w:rsidRPr="00222ABB">
        <w:rPr>
          <w:rFonts w:ascii="Segoe UI Light" w:eastAsia="+mn-ea" w:hAnsi="Segoe UI Light" w:cs="Segoe UI Light"/>
          <w:color w:val="000000"/>
          <w:kern w:val="24"/>
          <w:sz w:val="24"/>
          <w:szCs w:val="24"/>
        </w:rPr>
        <w:t>. Ysgrifenna hwy ar byst dy dŷ ac ar dy byrth” (Deuteronomium 6:6-9).</w:t>
      </w:r>
    </w:p>
    <w:p w:rsidR="00817CBF" w:rsidRPr="00222ABB" w:rsidRDefault="00817CBF" w:rsidP="00817CBF">
      <w:pPr>
        <w:spacing w:line="216" w:lineRule="auto"/>
        <w:jc w:val="both"/>
        <w:textAlignment w:val="baseline"/>
        <w:rPr>
          <w:rFonts w:ascii="Segoe UI Light" w:eastAsia="+mn-ea" w:hAnsi="Segoe UI Light" w:cs="Segoe UI Light"/>
          <w:color w:val="000000"/>
          <w:kern w:val="24"/>
          <w:sz w:val="24"/>
          <w:szCs w:val="24"/>
        </w:rPr>
      </w:pPr>
      <w:r w:rsidRPr="00222ABB">
        <w:rPr>
          <w:rFonts w:ascii="Segoe UI Light" w:eastAsia="+mn-ea" w:hAnsi="Segoe UI Light" w:cs="Segoe UI Light"/>
          <w:color w:val="000000"/>
          <w:kern w:val="24"/>
          <w:sz w:val="24"/>
          <w:szCs w:val="24"/>
        </w:rPr>
        <w:t>Fel gwelir nid oes cyfarwyddiadau pendant yn y dyfyniad yma ar sut i gyflawni’r gorchymyn. Nid yw’n esbonio sut ddylid ymrwymo’r gweddïau i’w dwylo a rhwng eu llygaid. Dyma ble mae’r tora llafar yn cael ei weld yn hanfodol i ddisgrifio yn fwy manwl sut ddylid cyflawni’r gorchymyn. A dywed yn y tora llafar, yn yr achos yma, sut i lapio’r teffilin o amgylch y breich</w:t>
      </w:r>
      <w:r w:rsidR="00065963">
        <w:rPr>
          <w:rFonts w:ascii="Segoe UI Light" w:eastAsia="+mn-ea" w:hAnsi="Segoe UI Light" w:cs="Segoe UI Light"/>
          <w:color w:val="000000"/>
          <w:kern w:val="24"/>
          <w:sz w:val="24"/>
          <w:szCs w:val="24"/>
        </w:rPr>
        <w:t>iau a sut i’w cysylltu i’r pen c</w:t>
      </w:r>
      <w:r w:rsidRPr="00222ABB">
        <w:rPr>
          <w:rFonts w:ascii="Segoe UI Light" w:eastAsia="+mn-ea" w:hAnsi="Segoe UI Light" w:cs="Segoe UI Light"/>
          <w:color w:val="000000"/>
          <w:kern w:val="24"/>
          <w:sz w:val="24"/>
          <w:szCs w:val="24"/>
        </w:rPr>
        <w:t>yn gweddïo.  Ceir hefyd esboniad am reolau gweithio yn ystod y Sabath yn y tora llafar ac mae hyn yn galluogi i’r Iddewon i wybod yn union beth sy’n cael ei ystyried yn waith. Ceir y gorchymyn yma wrth y tora ysgrifenedig “Chwe diwrnod y gweithiwch, ond bydd y seithfed dydd yn gysegredig, yn Saboth o orffwys i’r Arglwydd; rhoddir i farwolaeth bwy bynnag sy’n gweithio ar y dydd hwnnw” (Exod. 35:2). Un gwendid o’r gorchymyn yma yw nad yw yn esbonio beth sy’n cyfrif fel gwaith. Felly er mwyn i Iddewon i allu dilyn y gorchymyn a’i ddilyn yn ystod y Sabath</w:t>
      </w:r>
      <w:r w:rsidR="00065963">
        <w:rPr>
          <w:rFonts w:ascii="Segoe UI Light" w:eastAsia="+mn-ea" w:hAnsi="Segoe UI Light" w:cs="Segoe UI Light"/>
          <w:color w:val="000000"/>
          <w:kern w:val="24"/>
          <w:sz w:val="24"/>
          <w:szCs w:val="24"/>
        </w:rPr>
        <w:t>, unwaith eto</w:t>
      </w:r>
      <w:r w:rsidRPr="00222ABB">
        <w:rPr>
          <w:rFonts w:ascii="Segoe UI Light" w:eastAsia="+mn-ea" w:hAnsi="Segoe UI Light" w:cs="Segoe UI Light"/>
          <w:color w:val="000000"/>
          <w:kern w:val="24"/>
          <w:sz w:val="24"/>
          <w:szCs w:val="24"/>
        </w:rPr>
        <w:t xml:space="preserve"> rhaid cyfeirio at y tora llafar am gymorth. Dywed yn y tora llafar,</w:t>
      </w:r>
    </w:p>
    <w:p w:rsidR="00B636E4" w:rsidRPr="00222ABB" w:rsidRDefault="0003302A" w:rsidP="00817CBF">
      <w:pPr>
        <w:spacing w:line="216" w:lineRule="auto"/>
        <w:ind w:left="720"/>
        <w:jc w:val="both"/>
        <w:textAlignment w:val="baseline"/>
        <w:rPr>
          <w:rFonts w:ascii="Segoe UI Light" w:eastAsia="+mn-ea" w:hAnsi="Segoe UI Light" w:cs="Segoe UI Light"/>
          <w:color w:val="000000"/>
          <w:kern w:val="24"/>
          <w:sz w:val="24"/>
          <w:szCs w:val="24"/>
        </w:rPr>
      </w:pPr>
      <w:r w:rsidRPr="00222ABB">
        <w:rPr>
          <w:rFonts w:ascii="Segoe UI Light" w:eastAsia="+mn-ea" w:hAnsi="Segoe UI Light" w:cs="Segoe UI Light"/>
          <w:color w:val="000000"/>
          <w:kern w:val="24"/>
          <w:sz w:val="24"/>
          <w:szCs w:val="24"/>
        </w:rPr>
        <w:t>“The main classes of work are forty save one: sowing, ploughing, reaping, binding sheaves, threshing, winnowing, cleansing crops, grinding, sifting, kneading, baking, shearing wool, washing or beating or dyeing it, spinning, weaving, making two loops, weaving two threads, separating two threads, tying (a knot), sewing two stitches, tearing in order to sew two stitches, hunting a gazelle, slaughtering or flaying or salting it or curing its skin, scraping it or cutting it up, writing two letters, erasing in order to write two letters, building, pulling down, putting out a fire, lighting a fire, striking with a hammer and taking out aught from one domain into another. These are the main classes of work: forty save one.”(</w:t>
      </w:r>
      <w:r w:rsidRPr="00222ABB">
        <w:rPr>
          <w:rFonts w:ascii="Segoe UI Light" w:eastAsia="+mn-ea" w:hAnsi="Segoe UI Light" w:cs="Segoe UI Light"/>
          <w:i/>
          <w:iCs/>
          <w:color w:val="000000"/>
          <w:kern w:val="24"/>
          <w:sz w:val="24"/>
          <w:szCs w:val="24"/>
        </w:rPr>
        <w:t xml:space="preserve">Mishnah: Sabbath </w:t>
      </w:r>
      <w:r w:rsidRPr="00222ABB">
        <w:rPr>
          <w:rFonts w:ascii="Segoe UI Light" w:eastAsia="+mn-ea" w:hAnsi="Segoe UI Light" w:cs="Segoe UI Light"/>
          <w:color w:val="000000"/>
          <w:kern w:val="24"/>
          <w:sz w:val="24"/>
          <w:szCs w:val="24"/>
        </w:rPr>
        <w:t>7).</w:t>
      </w:r>
    </w:p>
    <w:p w:rsidR="00752886" w:rsidRPr="00222ABB" w:rsidRDefault="00817CBF" w:rsidP="00752886">
      <w:pPr>
        <w:spacing w:line="216" w:lineRule="auto"/>
        <w:jc w:val="both"/>
        <w:textAlignment w:val="baseline"/>
        <w:rPr>
          <w:rFonts w:ascii="Segoe UI Light" w:hAnsi="Segoe UI Light" w:cs="Segoe UI Light"/>
          <w:color w:val="297FD5"/>
          <w:sz w:val="24"/>
          <w:szCs w:val="24"/>
        </w:rPr>
      </w:pPr>
      <w:r w:rsidRPr="00222ABB">
        <w:rPr>
          <w:rFonts w:ascii="Segoe UI Light" w:eastAsia="+mn-ea" w:hAnsi="Segoe UI Light" w:cs="Segoe UI Light"/>
          <w:color w:val="000000"/>
          <w:kern w:val="24"/>
          <w:sz w:val="24"/>
          <w:szCs w:val="24"/>
        </w:rPr>
        <w:t>Felly fel gwelwn unwaith eto mae’r tora llafar yn galluogi i Iddewon i wneud y cysylltiad rhwng gorchmynion y tora ysgrifenedig a sut i’w gyfleu yn eu bywydau bob dydd, ac mae hyn yn cael ei ystyried yn hanfodol er mwyn galluogi’r Iddewon i ddilyn rheolau Duw ac i brofi ei hun fel Iddewon ymrwymedig. Rhaid diolch i’r Phariseaid am y gallu i wneud hyn gan heb eu cred gadarn yn y torah llafar ac ymroddiad eu holynwyr i gofnodi’r tora llafar ni fyddai cofnod testunol yno i fedru cyfeirio at, ac i esbonio gorchmynion y tora ysgrifenedig i Iddewon heddiw.</w:t>
      </w:r>
    </w:p>
    <w:p w:rsidR="001D5D60" w:rsidRPr="00222ABB" w:rsidRDefault="001F1167" w:rsidP="008C7693">
      <w:pPr>
        <w:rPr>
          <w:rFonts w:ascii="Segoe UI Light" w:hAnsi="Segoe UI Light" w:cs="Segoe UI Light"/>
          <w:sz w:val="24"/>
          <w:szCs w:val="24"/>
          <w:lang w:val="en"/>
        </w:rPr>
      </w:pPr>
      <w:r w:rsidRPr="00222ABB">
        <w:rPr>
          <w:rFonts w:ascii="Segoe UI Light" w:hAnsi="Segoe UI Light" w:cs="Segoe UI Light"/>
          <w:sz w:val="24"/>
          <w:szCs w:val="24"/>
          <w:lang w:val="en"/>
        </w:rPr>
        <w:t>Cyn dinistriad yr ail deml yn 70CE bu ffocws Iddewon ar y deml gan gredai bod ysbryd Duw o fewn y deml ac felly ddylid canoli ei ffydd o amgylch y deml. Ystyrir y deml fel y cysylltiad rhwng daear a’r nefoedd a’r unig wir gysylltiad rhwng Duw a’i bobl. Gwelwyd fel canolbwynt nid yn unig bywyd crefyddol, ond hefyd bywyd gwleidyddol. Felly fel gellir ystyried, daeth dinistriad y deml â chyfnod o benbleth enfawr a difrod i fywydau’r Iddewon. Roedd yn hollol benbleth i’r Iddewon pam y byddai Duw yn caniatáu i Titus a’i bobl i ddinistrio Jerwsalem ac yn bwysicach y deml</w:t>
      </w:r>
      <w:r w:rsidR="00065963">
        <w:rPr>
          <w:rFonts w:ascii="Segoe UI Light" w:hAnsi="Segoe UI Light" w:cs="Segoe UI Light"/>
          <w:sz w:val="24"/>
          <w:szCs w:val="24"/>
          <w:lang w:val="en"/>
        </w:rPr>
        <w:t>,</w:t>
      </w:r>
      <w:r w:rsidRPr="00222ABB">
        <w:rPr>
          <w:rFonts w:ascii="Segoe UI Light" w:hAnsi="Segoe UI Light" w:cs="Segoe UI Light"/>
          <w:sz w:val="24"/>
          <w:szCs w:val="24"/>
          <w:lang w:val="en"/>
        </w:rPr>
        <w:t xml:space="preserve"> gan mai dyma oedd canolbwynt y </w:t>
      </w:r>
      <w:r w:rsidRPr="00222ABB">
        <w:rPr>
          <w:rFonts w:ascii="Segoe UI Light" w:hAnsi="Segoe UI Light" w:cs="Segoe UI Light"/>
          <w:sz w:val="24"/>
          <w:szCs w:val="24"/>
          <w:lang w:val="en"/>
        </w:rPr>
        <w:lastRenderedPageBreak/>
        <w:t>grefydd. Heb y deml nid oedd modd i’r Iddewon i wneud offrymau defodol i Dduw, sef eu ffordd o gyrraedd iachawdwriaeth a dangos defosiwn i Dduw.  Roedd hi felly’n gyfnod anodd iawn iddynt a wnaeth nifer colli eu ffydd a throi at Gristnogaeth am atebion neu fe wnaeth rhai hyd yn oed colli ffydd yn Nuw a throi’n anffyddwyr. Nid oedd hyn yn gymaint o broblem i’r Phariseaid oherwydd</w:t>
      </w:r>
      <w:r w:rsidR="00367CA6">
        <w:rPr>
          <w:rFonts w:ascii="Segoe UI Light" w:hAnsi="Segoe UI Light" w:cs="Segoe UI Light"/>
          <w:sz w:val="24"/>
          <w:szCs w:val="24"/>
          <w:lang w:val="en"/>
        </w:rPr>
        <w:t>,</w:t>
      </w:r>
      <w:r w:rsidRPr="00222ABB">
        <w:rPr>
          <w:rFonts w:ascii="Segoe UI Light" w:hAnsi="Segoe UI Light" w:cs="Segoe UI Light"/>
          <w:sz w:val="24"/>
          <w:szCs w:val="24"/>
          <w:lang w:val="en"/>
        </w:rPr>
        <w:t xml:space="preserve"> er eu bod yn ystyried y deml i fod yn adeilad sanctaidd a pwysig o fewn y gred nid oeddent yn hollol ffocws ar y deml. Roeddent yn gweld fwy o bwysigrwydd yn y ddau Tora a hefyd yn y synagog. Gan mai trafod ac astudio’r tora oedd ffocws y Phariseaid roedd rhaid iddynt gael man i gwrdd i wneud hyn ac ystyrir y man yma yn fath o synagog. Roedd y synagog yn hanfodol yn enwedig ar ôl ddinistriad y deml i Iddewon cael cwrdd i addoli ac i astudio. Ac fel dywed </w:t>
      </w:r>
      <w:r w:rsidR="00781A0E" w:rsidRPr="00222ABB">
        <w:rPr>
          <w:rFonts w:ascii="Segoe UI Light" w:hAnsi="Segoe UI Light" w:cs="Segoe UI Light"/>
          <w:sz w:val="24"/>
          <w:szCs w:val="24"/>
          <w:lang w:val="en"/>
        </w:rPr>
        <w:t>Gareth Lloyd Jones “”In</w:t>
      </w:r>
      <w:r w:rsidRPr="00222ABB">
        <w:rPr>
          <w:rFonts w:ascii="Segoe UI Light" w:hAnsi="Segoe UI Light" w:cs="Segoe UI Light"/>
          <w:sz w:val="24"/>
          <w:szCs w:val="24"/>
          <w:lang w:val="en"/>
        </w:rPr>
        <w:t xml:space="preserve"> </w:t>
      </w:r>
      <w:r w:rsidR="00222ABB" w:rsidRPr="00222ABB">
        <w:rPr>
          <w:rFonts w:ascii="Segoe UI Light" w:hAnsi="Segoe UI Light" w:cs="Segoe UI Light"/>
          <w:sz w:val="24"/>
          <w:szCs w:val="24"/>
          <w:lang w:val="en"/>
        </w:rPr>
        <w:t>a</w:t>
      </w:r>
      <w:r w:rsidR="00781A0E" w:rsidRPr="00222ABB">
        <w:rPr>
          <w:rFonts w:ascii="Segoe UI Light" w:hAnsi="Segoe UI Light" w:cs="Segoe UI Light"/>
          <w:sz w:val="24"/>
          <w:szCs w:val="24"/>
          <w:lang w:val="en"/>
        </w:rPr>
        <w:t xml:space="preserve">ddition to being a place of worship, the synagogue was a school, a </w:t>
      </w:r>
      <w:r w:rsidRPr="00222ABB">
        <w:rPr>
          <w:rFonts w:ascii="Segoe UI Light" w:hAnsi="Segoe UI Light" w:cs="Segoe UI Light"/>
          <w:sz w:val="24"/>
          <w:szCs w:val="24"/>
          <w:lang w:val="en"/>
        </w:rPr>
        <w:t>library</w:t>
      </w:r>
      <w:r w:rsidR="00781A0E" w:rsidRPr="00222ABB">
        <w:rPr>
          <w:rFonts w:ascii="Segoe UI Light" w:hAnsi="Segoe UI Light" w:cs="Segoe UI Light"/>
          <w:sz w:val="24"/>
          <w:szCs w:val="24"/>
          <w:lang w:val="en"/>
        </w:rPr>
        <w:t xml:space="preserve">, a social </w:t>
      </w:r>
      <w:r w:rsidRPr="00222ABB">
        <w:rPr>
          <w:rFonts w:ascii="Segoe UI Light" w:hAnsi="Segoe UI Light" w:cs="Segoe UI Light"/>
          <w:sz w:val="24"/>
          <w:szCs w:val="24"/>
          <w:lang w:val="en"/>
        </w:rPr>
        <w:t>center</w:t>
      </w:r>
      <w:r w:rsidR="00781A0E" w:rsidRPr="00222ABB">
        <w:rPr>
          <w:rFonts w:ascii="Segoe UI Light" w:hAnsi="Segoe UI Light" w:cs="Segoe UI Light"/>
          <w:sz w:val="24"/>
          <w:szCs w:val="24"/>
          <w:lang w:val="en"/>
        </w:rPr>
        <w:t xml:space="preserve">, </w:t>
      </w:r>
      <w:r w:rsidR="007E2CC7" w:rsidRPr="00222ABB">
        <w:rPr>
          <w:rFonts w:ascii="Segoe UI Light" w:hAnsi="Segoe UI Light" w:cs="Segoe UI Light"/>
          <w:sz w:val="24"/>
          <w:szCs w:val="24"/>
          <w:lang w:val="en"/>
        </w:rPr>
        <w:t xml:space="preserve">and a court of law. It was the </w:t>
      </w:r>
      <w:r w:rsidR="00781A0E" w:rsidRPr="00222ABB">
        <w:rPr>
          <w:rFonts w:ascii="Segoe UI Light" w:hAnsi="Segoe UI Light" w:cs="Segoe UI Light"/>
          <w:sz w:val="24"/>
          <w:szCs w:val="24"/>
          <w:lang w:val="en"/>
        </w:rPr>
        <w:t xml:space="preserve">hub of every local Jewish </w:t>
      </w:r>
      <w:r w:rsidRPr="00222ABB">
        <w:rPr>
          <w:rFonts w:ascii="Segoe UI Light" w:hAnsi="Segoe UI Light" w:cs="Segoe UI Light"/>
          <w:sz w:val="24"/>
          <w:szCs w:val="24"/>
          <w:lang w:val="en"/>
        </w:rPr>
        <w:t>community</w:t>
      </w:r>
      <w:r w:rsidR="00781A0E" w:rsidRPr="00222ABB">
        <w:rPr>
          <w:rFonts w:ascii="Segoe UI Light" w:hAnsi="Segoe UI Light" w:cs="Segoe UI Light"/>
          <w:sz w:val="24"/>
          <w:szCs w:val="24"/>
          <w:lang w:val="en"/>
        </w:rPr>
        <w:t>.”</w:t>
      </w:r>
      <w:r w:rsidR="00831FDC" w:rsidRPr="00222ABB">
        <w:rPr>
          <w:rStyle w:val="FootnoteReference"/>
          <w:rFonts w:ascii="Segoe UI Light" w:hAnsi="Segoe UI Light" w:cs="Segoe UI Light"/>
          <w:sz w:val="24"/>
          <w:szCs w:val="24"/>
          <w:lang w:val="en"/>
        </w:rPr>
        <w:footnoteReference w:id="2"/>
      </w:r>
      <w:r w:rsidR="00781A0E" w:rsidRPr="00222ABB">
        <w:rPr>
          <w:rFonts w:ascii="Segoe UI Light" w:hAnsi="Segoe UI Light" w:cs="Segoe UI Light"/>
          <w:sz w:val="24"/>
          <w:szCs w:val="24"/>
          <w:lang w:val="en"/>
        </w:rPr>
        <w:t xml:space="preserve"> </w:t>
      </w:r>
      <w:r w:rsidRPr="00222ABB">
        <w:rPr>
          <w:rFonts w:ascii="Segoe UI Light" w:hAnsi="Segoe UI Light" w:cs="Segoe UI Light"/>
          <w:sz w:val="24"/>
          <w:szCs w:val="24"/>
          <w:lang w:val="en"/>
        </w:rPr>
        <w:t>Ac ystyriwyd mor bwysig a welwyd cynnydd yn y nifer o synagogau yn Jerwsalem i tua 400 yn y flwyddyn 70CE.</w:t>
      </w:r>
      <w:r w:rsidR="008C7693" w:rsidRPr="00222ABB">
        <w:rPr>
          <w:rStyle w:val="FootnoteReference"/>
          <w:rFonts w:ascii="Segoe UI Light" w:hAnsi="Segoe UI Light" w:cs="Segoe UI Light"/>
          <w:sz w:val="24"/>
          <w:szCs w:val="24"/>
          <w:lang w:val="en"/>
        </w:rPr>
        <w:footnoteReference w:id="3"/>
      </w:r>
      <w:r w:rsidR="005D0DF4" w:rsidRPr="00222ABB">
        <w:rPr>
          <w:rFonts w:ascii="Segoe UI Light" w:hAnsi="Segoe UI Light" w:cs="Segoe UI Light"/>
          <w:sz w:val="24"/>
          <w:szCs w:val="24"/>
          <w:lang w:val="en"/>
        </w:rPr>
        <w:t xml:space="preserve"> </w:t>
      </w:r>
      <w:r w:rsidRPr="00222ABB">
        <w:rPr>
          <w:rFonts w:ascii="Segoe UI Light" w:hAnsi="Segoe UI Light" w:cs="Segoe UI Light"/>
          <w:sz w:val="24"/>
          <w:szCs w:val="24"/>
          <w:lang w:val="en"/>
        </w:rPr>
        <w:t xml:space="preserve">Ac er i’r syniad o Iddewiaeth heb deml ganolog i fod yn syniad anghyfarwydd i nifer fawr o Iddewon, gwnaethant fabwysiadu cred y Phariseaid ac </w:t>
      </w:r>
      <w:r w:rsidR="005D0DF4" w:rsidRPr="00222ABB">
        <w:rPr>
          <w:rFonts w:ascii="Segoe UI Light" w:hAnsi="Segoe UI Light" w:cs="Segoe UI Light"/>
          <w:sz w:val="24"/>
          <w:szCs w:val="24"/>
          <w:lang w:val="en"/>
        </w:rPr>
        <w:t xml:space="preserve">“In time the majority of Jews were able to dispense with the </w:t>
      </w:r>
      <w:r w:rsidRPr="00222ABB">
        <w:rPr>
          <w:rFonts w:ascii="Segoe UI Light" w:hAnsi="Segoe UI Light" w:cs="Segoe UI Light"/>
          <w:sz w:val="24"/>
          <w:szCs w:val="24"/>
          <w:lang w:val="en"/>
        </w:rPr>
        <w:t>temple</w:t>
      </w:r>
      <w:r w:rsidR="005D0DF4" w:rsidRPr="00222ABB">
        <w:rPr>
          <w:rFonts w:ascii="Segoe UI Light" w:hAnsi="Segoe UI Light" w:cs="Segoe UI Light"/>
          <w:sz w:val="24"/>
          <w:szCs w:val="24"/>
          <w:lang w:val="en"/>
        </w:rPr>
        <w:t xml:space="preserve"> </w:t>
      </w:r>
      <w:r w:rsidRPr="00222ABB">
        <w:rPr>
          <w:rFonts w:ascii="Segoe UI Light" w:hAnsi="Segoe UI Light" w:cs="Segoe UI Light"/>
          <w:sz w:val="24"/>
          <w:szCs w:val="24"/>
          <w:lang w:val="en"/>
        </w:rPr>
        <w:t>because</w:t>
      </w:r>
      <w:r w:rsidR="005D0DF4" w:rsidRPr="00222ABB">
        <w:rPr>
          <w:rFonts w:ascii="Segoe UI Light" w:hAnsi="Segoe UI Light" w:cs="Segoe UI Light"/>
          <w:sz w:val="24"/>
          <w:szCs w:val="24"/>
          <w:lang w:val="en"/>
        </w:rPr>
        <w:t xml:space="preserve"> they were persuaded that it was not through ritual but through study that salvation was obtained.”</w:t>
      </w:r>
      <w:r w:rsidR="005D0DF4" w:rsidRPr="00222ABB">
        <w:rPr>
          <w:rStyle w:val="FootnoteReference"/>
          <w:rFonts w:ascii="Segoe UI Light" w:hAnsi="Segoe UI Light" w:cs="Segoe UI Light"/>
          <w:sz w:val="24"/>
          <w:szCs w:val="24"/>
          <w:lang w:val="en"/>
        </w:rPr>
        <w:footnoteReference w:id="4"/>
      </w:r>
      <w:r w:rsidR="008D68AA" w:rsidRPr="00222ABB">
        <w:rPr>
          <w:rFonts w:ascii="Segoe UI Light" w:hAnsi="Segoe UI Light" w:cs="Segoe UI Light"/>
          <w:sz w:val="24"/>
          <w:szCs w:val="24"/>
          <w:lang w:val="en"/>
        </w:rPr>
        <w:t xml:space="preserve"> </w:t>
      </w:r>
      <w:r w:rsidRPr="00222ABB">
        <w:rPr>
          <w:rFonts w:ascii="Segoe UI Light" w:hAnsi="Segoe UI Light" w:cs="Segoe UI Light"/>
          <w:sz w:val="24"/>
          <w:szCs w:val="24"/>
          <w:lang w:val="en"/>
        </w:rPr>
        <w:t>Gellir dweud felly bod y Phariseaid yn hynod o arwyddocaol i Iddewiaeth gan mai eu dylanwad nhw wnaeth galluogi Iddewiaeth i droi o fod wedi ffocysu’n llwyr ar y deml i nawr fod wedi ffocysu’n fwy ar bwysigrwydd y synagog a ffocysu ar burdeb bywyd bob dydd.</w:t>
      </w:r>
    </w:p>
    <w:p w:rsidR="00CD6ECB" w:rsidRPr="00222ABB" w:rsidRDefault="0088629A" w:rsidP="00CD6ECB">
      <w:pPr>
        <w:rPr>
          <w:rFonts w:ascii="Segoe UI Light" w:hAnsi="Segoe UI Light" w:cs="Segoe UI Light"/>
          <w:sz w:val="24"/>
          <w:szCs w:val="24"/>
          <w:lang w:val="en"/>
        </w:rPr>
      </w:pPr>
      <w:r w:rsidRPr="00222ABB">
        <w:rPr>
          <w:rFonts w:ascii="Segoe UI Light" w:hAnsi="Segoe UI Light" w:cs="Segoe UI Light"/>
          <w:sz w:val="24"/>
          <w:szCs w:val="24"/>
          <w:lang w:val="en"/>
        </w:rPr>
        <w:t>Gellir dweud fod y Phariseaid yn hynod o arwyddocaol i Iddewiaeth gan mai eu cred nhw bod awdurdodaeth grefyddol yn dod yn llaw ac yn llaw efo astudio’r tora ac efo gymwysterau ysgolheigaidd unigolion ac nid y system cast neu statws teuluol, sy’n gyfrifol am ganiatáu fod Iddewiaeth ar gael i bawb. Ystyriwyd y Sadwceaid mai nhw oedd uchafiaeth y cast offeiriadol etifeddol ac mai dim ond unigolion yn eu cast nhw oedd efo’r gallu i gyrraedd iachawdwriaeth</w:t>
      </w:r>
      <w:r w:rsidR="00367CA6">
        <w:rPr>
          <w:rFonts w:ascii="Segoe UI Light" w:hAnsi="Segoe UI Light" w:cs="Segoe UI Light"/>
          <w:sz w:val="24"/>
          <w:szCs w:val="24"/>
          <w:lang w:val="en"/>
        </w:rPr>
        <w:t>,</w:t>
      </w:r>
      <w:r w:rsidRPr="00222ABB">
        <w:rPr>
          <w:rFonts w:ascii="Segoe UI Light" w:hAnsi="Segoe UI Light" w:cs="Segoe UI Light"/>
          <w:sz w:val="24"/>
          <w:szCs w:val="24"/>
          <w:lang w:val="en"/>
        </w:rPr>
        <w:t xml:space="preserve"> a </w:t>
      </w:r>
      <w:r w:rsidR="00367CA6">
        <w:rPr>
          <w:rFonts w:ascii="Segoe UI Light" w:hAnsi="Segoe UI Light" w:cs="Segoe UI Light"/>
          <w:sz w:val="24"/>
          <w:szCs w:val="24"/>
          <w:lang w:val="en"/>
        </w:rPr>
        <w:t xml:space="preserve">mai dim ond nhw </w:t>
      </w:r>
      <w:r w:rsidRPr="00222ABB">
        <w:rPr>
          <w:rFonts w:ascii="Segoe UI Light" w:hAnsi="Segoe UI Light" w:cs="Segoe UI Light"/>
          <w:sz w:val="24"/>
          <w:szCs w:val="24"/>
          <w:lang w:val="en"/>
        </w:rPr>
        <w:t xml:space="preserve">oedd yn medru darllen y Tora.  Mae’r dyfyniad yma o lyfr Jacob Neusner yn cefnogi’r pwynt, dywed </w:t>
      </w:r>
      <w:r w:rsidR="008C4F82" w:rsidRPr="00222ABB">
        <w:rPr>
          <w:rFonts w:ascii="Segoe UI Light" w:hAnsi="Segoe UI Light" w:cs="Segoe UI Light"/>
          <w:sz w:val="24"/>
          <w:szCs w:val="24"/>
          <w:lang w:val="en"/>
        </w:rPr>
        <w:t xml:space="preserve">“Pharasism laid stress upon universal keeping of the law, obligating every Jew to do what only the elite- the priests-were normally expected to accomplish. The </w:t>
      </w:r>
      <w:r w:rsidRPr="00222ABB">
        <w:rPr>
          <w:rFonts w:ascii="Segoe UI Light" w:hAnsi="Segoe UI Light" w:cs="Segoe UI Light"/>
          <w:sz w:val="24"/>
          <w:szCs w:val="24"/>
          <w:lang w:val="en"/>
        </w:rPr>
        <w:t>professional</w:t>
      </w:r>
      <w:r w:rsidR="008C4F82" w:rsidRPr="00222ABB">
        <w:rPr>
          <w:rFonts w:ascii="Segoe UI Light" w:hAnsi="Segoe UI Light" w:cs="Segoe UI Light"/>
          <w:sz w:val="24"/>
          <w:szCs w:val="24"/>
          <w:lang w:val="en"/>
        </w:rPr>
        <w:t xml:space="preserve"> idea of the scribes stressed the study of the Torah and the </w:t>
      </w:r>
      <w:r w:rsidRPr="00222ABB">
        <w:rPr>
          <w:rFonts w:ascii="Segoe UI Light" w:hAnsi="Segoe UI Light" w:cs="Segoe UI Light"/>
          <w:sz w:val="24"/>
          <w:szCs w:val="24"/>
          <w:lang w:val="en"/>
        </w:rPr>
        <w:t>centrality</w:t>
      </w:r>
      <w:r w:rsidR="008C4F82" w:rsidRPr="00222ABB">
        <w:rPr>
          <w:rFonts w:ascii="Segoe UI Light" w:hAnsi="Segoe UI Light" w:cs="Segoe UI Light"/>
          <w:sz w:val="24"/>
          <w:szCs w:val="24"/>
          <w:lang w:val="en"/>
        </w:rPr>
        <w:t xml:space="preserve"> of the learned person in the religious system.” </w:t>
      </w:r>
      <w:r w:rsidR="008C4F82" w:rsidRPr="00222ABB">
        <w:rPr>
          <w:rStyle w:val="FootnoteReference"/>
          <w:rFonts w:ascii="Segoe UI Light" w:hAnsi="Segoe UI Light" w:cs="Segoe UI Light"/>
          <w:sz w:val="24"/>
          <w:szCs w:val="24"/>
          <w:lang w:val="en"/>
        </w:rPr>
        <w:footnoteReference w:id="5"/>
      </w:r>
      <w:r w:rsidR="006566C0" w:rsidRPr="00222ABB">
        <w:rPr>
          <w:rFonts w:ascii="Segoe UI Light" w:hAnsi="Segoe UI Light" w:cs="Segoe UI Light"/>
          <w:sz w:val="24"/>
          <w:szCs w:val="24"/>
          <w:lang w:val="en"/>
        </w:rPr>
        <w:t xml:space="preserve"> </w:t>
      </w:r>
      <w:r w:rsidRPr="00222ABB">
        <w:rPr>
          <w:rFonts w:ascii="Segoe UI Light" w:hAnsi="Segoe UI Light" w:cs="Segoe UI Light"/>
          <w:sz w:val="24"/>
          <w:szCs w:val="24"/>
          <w:lang w:val="en"/>
        </w:rPr>
        <w:t>Mae’r dyfyniad yn dis</w:t>
      </w:r>
      <w:r w:rsidR="00367CA6">
        <w:rPr>
          <w:rFonts w:ascii="Segoe UI Light" w:hAnsi="Segoe UI Light" w:cs="Segoe UI Light"/>
          <w:sz w:val="24"/>
          <w:szCs w:val="24"/>
          <w:lang w:val="en"/>
        </w:rPr>
        <w:t xml:space="preserve">grifio sut wnaeth y Phariseaid </w:t>
      </w:r>
      <w:r w:rsidRPr="00222ABB">
        <w:rPr>
          <w:rFonts w:ascii="Segoe UI Light" w:hAnsi="Segoe UI Light" w:cs="Segoe UI Light"/>
          <w:sz w:val="24"/>
          <w:szCs w:val="24"/>
          <w:lang w:val="en"/>
        </w:rPr>
        <w:t xml:space="preserve">agweddau </w:t>
      </w:r>
      <w:r w:rsidR="00875134" w:rsidRPr="00222ABB">
        <w:rPr>
          <w:rFonts w:ascii="Segoe UI Light" w:hAnsi="Segoe UI Light" w:cs="Segoe UI Light"/>
          <w:sz w:val="24"/>
          <w:szCs w:val="24"/>
          <w:lang w:val="en"/>
        </w:rPr>
        <w:t>ec</w:t>
      </w:r>
      <w:r w:rsidRPr="00222ABB">
        <w:rPr>
          <w:rFonts w:ascii="Segoe UI Light" w:hAnsi="Segoe UI Light" w:cs="Segoe UI Light"/>
          <w:sz w:val="24"/>
          <w:szCs w:val="24"/>
          <w:lang w:val="en"/>
        </w:rPr>
        <w:t>s</w:t>
      </w:r>
      <w:r w:rsidR="00875134" w:rsidRPr="00222ABB">
        <w:rPr>
          <w:rFonts w:ascii="Segoe UI Light" w:hAnsi="Segoe UI Light" w:cs="Segoe UI Light"/>
          <w:sz w:val="24"/>
          <w:szCs w:val="24"/>
          <w:lang w:val="en"/>
        </w:rPr>
        <w:t>g</w:t>
      </w:r>
      <w:r w:rsidRPr="00222ABB">
        <w:rPr>
          <w:rFonts w:ascii="Segoe UI Light" w:hAnsi="Segoe UI Light" w:cs="Segoe UI Light"/>
          <w:sz w:val="24"/>
          <w:szCs w:val="24"/>
          <w:lang w:val="en"/>
        </w:rPr>
        <w:t xml:space="preserve">liwsif yr ysgolheigion uwch yn agored i bawb. Felly gellir dweud bod y Phariseaid yn gyfrifol am wneud Iddewiaeth yn agored i bawb gan ddweud mai astudio’r tora sy’n dod ag awdurdodaeth grefyddol. Felly rhaid eu hystyried i fod yn arwyddocaol i Iddewiaeth gan </w:t>
      </w:r>
      <w:r w:rsidRPr="00222ABB">
        <w:rPr>
          <w:rFonts w:ascii="Segoe UI Light" w:hAnsi="Segoe UI Light" w:cs="Segoe UI Light"/>
          <w:sz w:val="24"/>
          <w:szCs w:val="24"/>
          <w:lang w:val="en"/>
        </w:rPr>
        <w:lastRenderedPageBreak/>
        <w:t xml:space="preserve">heb eu hagwedd croesawgar a chyfartal efallai byddai nifer fawr iawn o Iddewon wedi colli eu ffydd a ni fyddai’r gred wedi ehangu a datblygu i’r raddau y mae wedi erbyn heddiw. </w:t>
      </w:r>
      <w:r w:rsidR="00297C73" w:rsidRPr="00222ABB">
        <w:rPr>
          <w:rFonts w:ascii="Segoe UI Light" w:hAnsi="Segoe UI Light" w:cs="Segoe UI Light"/>
          <w:sz w:val="24"/>
          <w:szCs w:val="24"/>
          <w:lang w:val="en"/>
        </w:rPr>
        <w:t xml:space="preserve">Fel dywed Joachim Jeremias yn ei lyfr </w:t>
      </w:r>
      <w:r w:rsidR="002B4B64" w:rsidRPr="00222ABB">
        <w:rPr>
          <w:rFonts w:ascii="Segoe UI Light" w:hAnsi="Segoe UI Light" w:cs="Segoe UI Light"/>
          <w:sz w:val="24"/>
          <w:szCs w:val="24"/>
          <w:lang w:val="en"/>
        </w:rPr>
        <w:t>“</w:t>
      </w:r>
      <w:r w:rsidR="00297C73" w:rsidRPr="00222ABB">
        <w:rPr>
          <w:rFonts w:ascii="Segoe UI Light" w:hAnsi="Segoe UI Light" w:cs="Segoe UI Light"/>
          <w:sz w:val="24"/>
          <w:szCs w:val="24"/>
          <w:lang w:val="en"/>
        </w:rPr>
        <w:t>..</w:t>
      </w:r>
      <w:r w:rsidR="00222ABB" w:rsidRPr="00222ABB">
        <w:rPr>
          <w:rFonts w:ascii="Segoe UI Light" w:hAnsi="Segoe UI Light" w:cs="Segoe UI Light"/>
          <w:sz w:val="24"/>
          <w:szCs w:val="24"/>
          <w:lang w:val="en"/>
        </w:rPr>
        <w:t>Doubtless</w:t>
      </w:r>
      <w:r w:rsidR="002B4B64" w:rsidRPr="00222ABB">
        <w:rPr>
          <w:rFonts w:ascii="Segoe UI Light" w:hAnsi="Segoe UI Light" w:cs="Segoe UI Light"/>
          <w:sz w:val="24"/>
          <w:szCs w:val="24"/>
          <w:lang w:val="en"/>
        </w:rPr>
        <w:t xml:space="preserve"> the Pharisees were the people’s party; they represented the common people as opposed to the aristocracy on both religious and social matters. Their much-respected piety and their social leanings towards suppressing differences of class, gained them the people’</w:t>
      </w:r>
      <w:r w:rsidR="00297C73" w:rsidRPr="00222ABB">
        <w:rPr>
          <w:rFonts w:ascii="Segoe UI Light" w:hAnsi="Segoe UI Light" w:cs="Segoe UI Light"/>
          <w:sz w:val="24"/>
          <w:szCs w:val="24"/>
          <w:lang w:val="en"/>
        </w:rPr>
        <w:t xml:space="preserve">s support and assured </w:t>
      </w:r>
      <w:r w:rsidR="002B4B64" w:rsidRPr="00222ABB">
        <w:rPr>
          <w:rFonts w:ascii="Segoe UI Light" w:hAnsi="Segoe UI Light" w:cs="Segoe UI Light"/>
          <w:sz w:val="24"/>
          <w:szCs w:val="24"/>
          <w:lang w:val="en"/>
        </w:rPr>
        <w:t>them, step by step, of the victory.”</w:t>
      </w:r>
      <w:r w:rsidR="00297C73" w:rsidRPr="00222ABB">
        <w:rPr>
          <w:rStyle w:val="FootnoteReference"/>
          <w:rFonts w:ascii="Segoe UI Light" w:hAnsi="Segoe UI Light" w:cs="Segoe UI Light"/>
          <w:sz w:val="24"/>
          <w:szCs w:val="24"/>
          <w:lang w:val="en"/>
        </w:rPr>
        <w:footnoteReference w:id="6"/>
      </w:r>
      <w:r w:rsidR="00297C73" w:rsidRPr="00222ABB">
        <w:rPr>
          <w:rFonts w:ascii="Segoe UI Light" w:hAnsi="Segoe UI Light" w:cs="Segoe UI Light"/>
          <w:sz w:val="24"/>
          <w:szCs w:val="24"/>
          <w:lang w:val="en"/>
        </w:rPr>
        <w:t xml:space="preserve"> </w:t>
      </w:r>
      <w:r w:rsidRPr="00222ABB">
        <w:rPr>
          <w:rFonts w:ascii="Segoe UI Light" w:hAnsi="Segoe UI Light" w:cs="Segoe UI Light"/>
          <w:sz w:val="24"/>
          <w:szCs w:val="24"/>
          <w:lang w:val="en"/>
        </w:rPr>
        <w:t>Gwelwn felly bod eu cred yn system gyfartal wedi denu pobl i’r gred ac mae’n syniad pwysig sy’n parhau i fod yn allweddol o fewn Iddewiaeth heddiw</w:t>
      </w:r>
      <w:r w:rsidR="00367CA6">
        <w:rPr>
          <w:rFonts w:ascii="Segoe UI Light" w:hAnsi="Segoe UI Light" w:cs="Segoe UI Light"/>
          <w:sz w:val="24"/>
          <w:szCs w:val="24"/>
          <w:lang w:val="en"/>
        </w:rPr>
        <w:t>,</w:t>
      </w:r>
      <w:r w:rsidRPr="00222ABB">
        <w:rPr>
          <w:rFonts w:ascii="Segoe UI Light" w:hAnsi="Segoe UI Light" w:cs="Segoe UI Light"/>
          <w:sz w:val="24"/>
          <w:szCs w:val="24"/>
          <w:lang w:val="en"/>
        </w:rPr>
        <w:t xml:space="preserve"> felly rhaid dweud bod y Phariseaid yn arwyddocaol i Iddewiaeth a hefyd wedi diogelu teimlad cymunedol Iddewiaeth.</w:t>
      </w:r>
    </w:p>
    <w:p w:rsidR="000A2C97" w:rsidRPr="00222ABB" w:rsidRDefault="0007027B" w:rsidP="00F3589B">
      <w:pPr>
        <w:spacing w:line="216" w:lineRule="auto"/>
        <w:textAlignment w:val="baseline"/>
        <w:rPr>
          <w:rFonts w:ascii="Segoe UI Light" w:hAnsi="Segoe UI Light" w:cs="Segoe UI Light"/>
          <w:sz w:val="24"/>
          <w:szCs w:val="24"/>
          <w:highlight w:val="lightGray"/>
          <w:lang w:val="en"/>
        </w:rPr>
      </w:pPr>
      <w:r w:rsidRPr="00222ABB">
        <w:rPr>
          <w:rFonts w:ascii="Segoe UI Light" w:hAnsi="Segoe UI Light" w:cs="Segoe UI Light"/>
          <w:sz w:val="24"/>
          <w:szCs w:val="24"/>
          <w:lang w:val="en"/>
        </w:rPr>
        <w:t>Wrth drafod arwyddocâd y Phariseaid o fewn Iddewiaeth rhaid trafod eu heffaith ar unigolion pwysig ac ysgolion addysgol o fewn y grefydd. Dau unigolyn wnaeth chwarae rôl enfawr yn amddiffyn y gred Iddewig</w:t>
      </w:r>
      <w:r w:rsidR="00367CA6">
        <w:rPr>
          <w:rFonts w:ascii="Segoe UI Light" w:hAnsi="Segoe UI Light" w:cs="Segoe UI Light"/>
          <w:sz w:val="24"/>
          <w:szCs w:val="24"/>
          <w:lang w:val="en"/>
        </w:rPr>
        <w:t xml:space="preserve"> drwy ddatblygu’r Tora Llafar oedd</w:t>
      </w:r>
      <w:r w:rsidRPr="00222ABB">
        <w:rPr>
          <w:rFonts w:ascii="Segoe UI Light" w:hAnsi="Segoe UI Light" w:cs="Segoe UI Light"/>
          <w:sz w:val="24"/>
          <w:szCs w:val="24"/>
          <w:lang w:val="en"/>
        </w:rPr>
        <w:t xml:space="preserve"> Hillel a Shammai. Hillel a Shammai oedd y ddau </w:t>
      </w:r>
      <w:r w:rsidRPr="00367CA6">
        <w:rPr>
          <w:rFonts w:ascii="Segoe UI Light" w:hAnsi="Segoe UI Light" w:cs="Segoe UI Light"/>
          <w:i/>
          <w:sz w:val="24"/>
          <w:szCs w:val="24"/>
          <w:lang w:val="en"/>
        </w:rPr>
        <w:t xml:space="preserve">Zugot </w:t>
      </w:r>
      <w:r w:rsidRPr="00222ABB">
        <w:rPr>
          <w:rFonts w:ascii="Segoe UI Light" w:hAnsi="Segoe UI Light" w:cs="Segoe UI Light"/>
          <w:sz w:val="24"/>
          <w:szCs w:val="24"/>
          <w:lang w:val="en"/>
        </w:rPr>
        <w:t xml:space="preserve">yn y grŵp olaf o </w:t>
      </w:r>
      <w:r w:rsidRPr="00367CA6">
        <w:rPr>
          <w:rFonts w:ascii="Segoe UI Light" w:hAnsi="Segoe UI Light" w:cs="Segoe UI Light"/>
          <w:i/>
          <w:sz w:val="24"/>
          <w:szCs w:val="24"/>
          <w:lang w:val="en"/>
        </w:rPr>
        <w:t>Sanhedrin,</w:t>
      </w:r>
      <w:r w:rsidRPr="00222ABB">
        <w:rPr>
          <w:rFonts w:ascii="Segoe UI Light" w:hAnsi="Segoe UI Light" w:cs="Segoe UI Light"/>
          <w:sz w:val="24"/>
          <w:szCs w:val="24"/>
          <w:lang w:val="en"/>
        </w:rPr>
        <w:t xml:space="preserve"> ac roedd gan y ddwy ysgol er mwyn trafod ac asesu cyfraith y tora. Er i’r ddau cael anghytundebau yn ymwneud a’r gyfraith</w:t>
      </w:r>
      <w:r w:rsidR="00367CA6">
        <w:rPr>
          <w:rFonts w:ascii="Segoe UI Light" w:hAnsi="Segoe UI Light" w:cs="Segoe UI Light"/>
          <w:sz w:val="24"/>
          <w:szCs w:val="24"/>
          <w:lang w:val="en"/>
        </w:rPr>
        <w:t>,</w:t>
      </w:r>
      <w:r w:rsidRPr="00222ABB">
        <w:rPr>
          <w:rFonts w:ascii="Segoe UI Light" w:hAnsi="Segoe UI Light" w:cs="Segoe UI Light"/>
          <w:sz w:val="24"/>
          <w:szCs w:val="24"/>
          <w:lang w:val="en"/>
        </w:rPr>
        <w:t xml:space="preserve"> ac er i Hillel i gael goruchafiaeth rhwng</w:t>
      </w:r>
      <w:r w:rsidR="00367CA6">
        <w:rPr>
          <w:rFonts w:ascii="Segoe UI Light" w:hAnsi="Segoe UI Light" w:cs="Segoe UI Light"/>
          <w:sz w:val="24"/>
          <w:szCs w:val="24"/>
          <w:lang w:val="en"/>
        </w:rPr>
        <w:t xml:space="preserve"> y ddau, fe wnaeth eu pwyslais p</w:t>
      </w:r>
      <w:r w:rsidRPr="00222ABB">
        <w:rPr>
          <w:rFonts w:ascii="Segoe UI Light" w:hAnsi="Segoe UI Light" w:cs="Segoe UI Light"/>
          <w:sz w:val="24"/>
          <w:szCs w:val="24"/>
          <w:lang w:val="en"/>
        </w:rPr>
        <w:t xml:space="preserve">harasaig ar astudio’r tora a’r tora llafar helpu i genhedlaethoedd a disgyblion hwyrach i gael ymagwedd pharasaidd at fywyd. </w:t>
      </w:r>
      <w:r w:rsidRPr="00222ABB">
        <w:rPr>
          <w:rStyle w:val="shorttext"/>
          <w:rFonts w:ascii="Segoe UI Light" w:hAnsi="Segoe UI Light" w:cs="Segoe UI Light"/>
          <w:color w:val="222222"/>
          <w:sz w:val="24"/>
          <w:szCs w:val="24"/>
          <w:lang w:val="cy-GB"/>
        </w:rPr>
        <w:t>Un disgybl cafod effaith mawr ar Iddewiaeth heddiw trwy ddilyn syniadau’r Phariseaid yn ymwneud</w:t>
      </w:r>
      <w:r w:rsidR="00367CA6">
        <w:rPr>
          <w:rStyle w:val="shorttext"/>
          <w:rFonts w:ascii="Segoe UI Light" w:hAnsi="Segoe UI Light" w:cs="Segoe UI Light"/>
          <w:color w:val="222222"/>
          <w:sz w:val="24"/>
          <w:szCs w:val="24"/>
          <w:lang w:val="cy-GB"/>
        </w:rPr>
        <w:t xml:space="preserve"> ar tora llafar yw Yohanan ben </w:t>
      </w:r>
      <w:r w:rsidRPr="00222ABB">
        <w:rPr>
          <w:rStyle w:val="shorttext"/>
          <w:rFonts w:ascii="Segoe UI Light" w:hAnsi="Segoe UI Light" w:cs="Segoe UI Light"/>
          <w:color w:val="222222"/>
          <w:sz w:val="24"/>
          <w:szCs w:val="24"/>
          <w:lang w:val="cy-GB"/>
        </w:rPr>
        <w:t>Zakkai. Roedd Yohana ben Zakkai yn ffigwr allweddol yn dilyn dirywiad yr ail deml, a chwaraeodd rôl bwysig yn galluogi’r newid pwyslais o’r deml i’r Tora. Roed gan Yohanna ben Zakkai cred gryf y dylid Iddewon astudio a thrafod y tora wrth gofio i gydymffurfio a’r gorchmynion a chyflawni gweithredoedd o garedigrwydd yn eu bywyd bob dydd.</w:t>
      </w:r>
      <w:r w:rsidR="00F3589B" w:rsidRPr="00222ABB">
        <w:rPr>
          <w:rStyle w:val="FootnoteReference"/>
          <w:rFonts w:ascii="Segoe UI Light" w:hAnsi="Segoe UI Light" w:cs="Segoe UI Light"/>
          <w:color w:val="222222"/>
          <w:sz w:val="24"/>
          <w:szCs w:val="24"/>
          <w:lang w:val="cy-GB"/>
        </w:rPr>
        <w:footnoteReference w:id="7"/>
      </w:r>
    </w:p>
    <w:p w:rsidR="00367CA6" w:rsidRDefault="007D40FF" w:rsidP="007D40FF">
      <w:pPr>
        <w:rPr>
          <w:rFonts w:ascii="Segoe UI Light" w:hAnsi="Segoe UI Light" w:cs="Segoe UI Light"/>
          <w:sz w:val="24"/>
          <w:szCs w:val="24"/>
          <w:lang w:val="en"/>
        </w:rPr>
      </w:pPr>
      <w:r w:rsidRPr="00222ABB">
        <w:rPr>
          <w:rFonts w:ascii="Segoe UI Light" w:hAnsi="Segoe UI Light" w:cs="Segoe UI Light"/>
          <w:sz w:val="24"/>
          <w:szCs w:val="24"/>
          <w:lang w:val="en"/>
        </w:rPr>
        <w:t xml:space="preserve">Mae’n amlwg felly bod y Phariseaid yn arwyddocaol i Iddewiaeth gan ei bod wedi chwarae rôl enfawr yn y syniad o ddau tora, yn rôl y synagog yn y gymuned ac yn y teimlad o grefydd gyfartal a croesawgar heb system cast. Rwyf nawr yn mynd i drafod y gosodiad 'Yr oedd y Phariseaid yn helpu i ddiogelu'r hyn oedd orau mewn Iddewiaeth'. </w:t>
      </w:r>
    </w:p>
    <w:p w:rsidR="007D40FF" w:rsidRPr="00222ABB" w:rsidRDefault="007D40FF" w:rsidP="007D40FF">
      <w:pPr>
        <w:rPr>
          <w:rFonts w:ascii="Segoe UI Light" w:hAnsi="Segoe UI Light" w:cs="Segoe UI Light"/>
          <w:sz w:val="24"/>
          <w:szCs w:val="24"/>
          <w:lang w:val="en"/>
        </w:rPr>
      </w:pPr>
      <w:r w:rsidRPr="00222ABB">
        <w:rPr>
          <w:rFonts w:ascii="Segoe UI Light" w:hAnsi="Segoe UI Light" w:cs="Segoe UI Light"/>
          <w:sz w:val="24"/>
          <w:szCs w:val="24"/>
          <w:lang w:val="en"/>
        </w:rPr>
        <w:t xml:space="preserve"> Yn fy marn i nid oes modd dewis beth sydd orau o fewn Iddewiaeth gan fod crefydd yn beth personol iawn ac yn golygu peth gwahanol i bob unigolyn. Er hyn mae’r Phariseaid wedi gallu diogelu sawl beth pwysig ac angenrheidiol o fewn Iddewiaeth. Un o’r pethau mwyaf pwysig gellir dweud bod y Phariseaid wedi diogelu yw syniadau traddodiadol Iddewig. Mae Jacob Neusner yn cytuno efo hyn a dywed </w:t>
      </w:r>
      <w:r w:rsidR="00585792" w:rsidRPr="00222ABB">
        <w:rPr>
          <w:rFonts w:ascii="Segoe UI Light" w:hAnsi="Segoe UI Light" w:cs="Segoe UI Light"/>
          <w:sz w:val="24"/>
          <w:szCs w:val="24"/>
          <w:lang w:val="en"/>
        </w:rPr>
        <w:t xml:space="preserve">“The Pharisees claimed to be authoritative because they </w:t>
      </w:r>
      <w:r w:rsidR="00C720C5" w:rsidRPr="00222ABB">
        <w:rPr>
          <w:rFonts w:ascii="Segoe UI Light" w:hAnsi="Segoe UI Light" w:cs="Segoe UI Light"/>
          <w:sz w:val="24"/>
          <w:szCs w:val="24"/>
          <w:lang w:val="en"/>
        </w:rPr>
        <w:t>taught</w:t>
      </w:r>
      <w:r w:rsidR="00585792" w:rsidRPr="00222ABB">
        <w:rPr>
          <w:rFonts w:ascii="Segoe UI Light" w:hAnsi="Segoe UI Light" w:cs="Segoe UI Light"/>
          <w:sz w:val="24"/>
          <w:szCs w:val="24"/>
          <w:lang w:val="en"/>
        </w:rPr>
        <w:t xml:space="preserve"> a </w:t>
      </w:r>
      <w:r w:rsidR="00C720C5" w:rsidRPr="00222ABB">
        <w:rPr>
          <w:rFonts w:ascii="Segoe UI Light" w:hAnsi="Segoe UI Light" w:cs="Segoe UI Light"/>
          <w:sz w:val="24"/>
          <w:szCs w:val="24"/>
          <w:lang w:val="en"/>
        </w:rPr>
        <w:t>philosophy</w:t>
      </w:r>
      <w:r w:rsidR="00585792" w:rsidRPr="00222ABB">
        <w:rPr>
          <w:rFonts w:ascii="Segoe UI Light" w:hAnsi="Segoe UI Light" w:cs="Segoe UI Light"/>
          <w:sz w:val="24"/>
          <w:szCs w:val="24"/>
          <w:lang w:val="en"/>
        </w:rPr>
        <w:t xml:space="preserve"> that derived from Moses at Sinai. They therefore preserved a “chain of tradition” reaching back from their own day to the authority of remote antiquity. Their piety was centered on the revelation of Moses.”</w:t>
      </w:r>
      <w:r w:rsidR="00585792" w:rsidRPr="00222ABB">
        <w:rPr>
          <w:rStyle w:val="FootnoteReference"/>
          <w:rFonts w:ascii="Segoe UI Light" w:hAnsi="Segoe UI Light" w:cs="Segoe UI Light"/>
          <w:sz w:val="24"/>
          <w:szCs w:val="24"/>
          <w:lang w:val="en"/>
        </w:rPr>
        <w:footnoteReference w:id="8"/>
      </w:r>
      <w:r w:rsidR="00C720C5" w:rsidRPr="00222ABB">
        <w:rPr>
          <w:rFonts w:ascii="Segoe UI Light" w:hAnsi="Segoe UI Light" w:cs="Segoe UI Light"/>
          <w:sz w:val="24"/>
          <w:szCs w:val="24"/>
          <w:lang w:val="en"/>
        </w:rPr>
        <w:t xml:space="preserve"> </w:t>
      </w:r>
      <w:r w:rsidRPr="00222ABB">
        <w:rPr>
          <w:rFonts w:ascii="Segoe UI Light" w:hAnsi="Segoe UI Light" w:cs="Segoe UI Light"/>
          <w:sz w:val="24"/>
          <w:szCs w:val="24"/>
          <w:lang w:val="en"/>
        </w:rPr>
        <w:t xml:space="preserve">Mae hyn yn agwedd hollol bwysig o fewn Iddewiaeth gan fod modd iddynt ddyddio eu </w:t>
      </w:r>
      <w:r w:rsidRPr="00222ABB">
        <w:rPr>
          <w:rFonts w:ascii="Segoe UI Light" w:hAnsi="Segoe UI Light" w:cs="Segoe UI Light"/>
          <w:sz w:val="24"/>
          <w:szCs w:val="24"/>
          <w:lang w:val="en"/>
        </w:rPr>
        <w:lastRenderedPageBreak/>
        <w:t>credoau a gorchmynion yn ôl i Moses ar fynydd Sinai ac felly mae’r neges o Dduw i’w bobl yn mor gywir ag sy’n bosibl.</w:t>
      </w:r>
    </w:p>
    <w:p w:rsidR="007D40FF" w:rsidRPr="00222ABB" w:rsidRDefault="007D40FF" w:rsidP="007D40FF">
      <w:pPr>
        <w:jc w:val="both"/>
        <w:rPr>
          <w:rFonts w:ascii="Segoe UI Light" w:hAnsi="Segoe UI Light" w:cs="Segoe UI Light"/>
          <w:sz w:val="24"/>
          <w:szCs w:val="24"/>
          <w:lang w:val="en"/>
        </w:rPr>
      </w:pPr>
      <w:r w:rsidRPr="00222ABB">
        <w:rPr>
          <w:rFonts w:ascii="Segoe UI Light" w:hAnsi="Segoe UI Light" w:cs="Segoe UI Light"/>
          <w:sz w:val="24"/>
          <w:szCs w:val="24"/>
          <w:lang w:val="en"/>
        </w:rPr>
        <w:t>Ond er hyn, mae dilysrwydd y wybodaeth rydym yn gwybod am y Phariseaid yn cael ei gwestiynu. Y rheswm am hyn yw roedd Josephws yn ysgrifennwr i’r Romeiniaid ac felly nid oedd sicrwydd fod ei waith ar y Phariseaid yn ddilys. Mae Jacob Neusner hefyd yn ystyried dilysrwydd gwaith Josephws gan ddywed y ei lyfr</w:t>
      </w:r>
    </w:p>
    <w:p w:rsidR="001357DF" w:rsidRPr="00222ABB" w:rsidRDefault="0057759B" w:rsidP="001357DF">
      <w:pPr>
        <w:ind w:left="720"/>
        <w:jc w:val="both"/>
        <w:rPr>
          <w:rFonts w:ascii="Segoe UI Light" w:hAnsi="Segoe UI Light" w:cs="Segoe UI Light"/>
          <w:sz w:val="24"/>
          <w:szCs w:val="24"/>
          <w:lang w:val="en"/>
        </w:rPr>
      </w:pPr>
      <w:r w:rsidRPr="00222ABB">
        <w:rPr>
          <w:rFonts w:ascii="Segoe UI Light" w:hAnsi="Segoe UI Light" w:cs="Segoe UI Light"/>
          <w:sz w:val="24"/>
          <w:szCs w:val="24"/>
          <w:lang w:val="en"/>
        </w:rPr>
        <w:t xml:space="preserve"> “W</w:t>
      </w:r>
      <w:r w:rsidR="009517E7" w:rsidRPr="00222ABB">
        <w:rPr>
          <w:rFonts w:ascii="Segoe UI Light" w:hAnsi="Segoe UI Light" w:cs="Segoe UI Light"/>
          <w:sz w:val="24"/>
          <w:szCs w:val="24"/>
          <w:lang w:val="en"/>
        </w:rPr>
        <w:t>hen we compare what Josephus says about the Pharisees to what the latter rabbinic traditions have t</w:t>
      </w:r>
      <w:r w:rsidR="00BF655C" w:rsidRPr="00222ABB">
        <w:rPr>
          <w:rFonts w:ascii="Segoe UI Light" w:hAnsi="Segoe UI Light" w:cs="Segoe UI Light"/>
          <w:sz w:val="24"/>
          <w:szCs w:val="24"/>
          <w:lang w:val="en"/>
        </w:rPr>
        <w:t>o</w:t>
      </w:r>
      <w:r w:rsidR="009517E7" w:rsidRPr="00222ABB">
        <w:rPr>
          <w:rFonts w:ascii="Segoe UI Light" w:hAnsi="Segoe UI Light" w:cs="Segoe UI Light"/>
          <w:sz w:val="24"/>
          <w:szCs w:val="24"/>
          <w:lang w:val="en"/>
        </w:rPr>
        <w:t xml:space="preserve"> say, there is scarcely a point of contact, let alone </w:t>
      </w:r>
      <w:r w:rsidR="00BF655C" w:rsidRPr="00222ABB">
        <w:rPr>
          <w:rFonts w:ascii="Segoe UI Light" w:hAnsi="Segoe UI Light" w:cs="Segoe UI Light"/>
          <w:sz w:val="24"/>
          <w:szCs w:val="24"/>
          <w:lang w:val="en"/>
        </w:rPr>
        <w:t>intersection</w:t>
      </w:r>
      <w:r w:rsidR="009517E7" w:rsidRPr="00222ABB">
        <w:rPr>
          <w:rFonts w:ascii="Segoe UI Light" w:hAnsi="Segoe UI Light" w:cs="Segoe UI Light"/>
          <w:sz w:val="24"/>
          <w:szCs w:val="24"/>
          <w:lang w:val="en"/>
        </w:rPr>
        <w:t>. Josephus says next to nothing about the predominant issues in the</w:t>
      </w:r>
      <w:r w:rsidR="00BF655C" w:rsidRPr="00222ABB">
        <w:rPr>
          <w:rFonts w:ascii="Segoe UI Light" w:hAnsi="Segoe UI Light" w:cs="Segoe UI Light"/>
          <w:sz w:val="24"/>
          <w:szCs w:val="24"/>
          <w:lang w:val="en"/>
        </w:rPr>
        <w:t xml:space="preserve"> rabbinic traditions about the P</w:t>
      </w:r>
      <w:r w:rsidR="009517E7" w:rsidRPr="00222ABB">
        <w:rPr>
          <w:rFonts w:ascii="Segoe UI Light" w:hAnsi="Segoe UI Light" w:cs="Segoe UI Light"/>
          <w:sz w:val="24"/>
          <w:szCs w:val="24"/>
          <w:lang w:val="en"/>
        </w:rPr>
        <w:t>harisees. Shammai and Hillel are not explicitly mentioned, let alone their Houses. Above all, we find not the slightest allusion to laws of ritual purity, agricultural taboos, Sabbath and festivals, and the like, which predominate in the traditions Houses.”</w:t>
      </w:r>
      <w:r w:rsidR="009517E7" w:rsidRPr="00222ABB">
        <w:rPr>
          <w:rStyle w:val="FootnoteReference"/>
          <w:rFonts w:ascii="Segoe UI Light" w:hAnsi="Segoe UI Light" w:cs="Segoe UI Light"/>
          <w:sz w:val="24"/>
          <w:szCs w:val="24"/>
          <w:lang w:val="en"/>
        </w:rPr>
        <w:footnoteReference w:id="9"/>
      </w:r>
    </w:p>
    <w:p w:rsidR="005D7941" w:rsidRPr="00222ABB" w:rsidRDefault="007D40FF" w:rsidP="005D7941">
      <w:pPr>
        <w:jc w:val="both"/>
        <w:rPr>
          <w:rFonts w:ascii="Segoe UI Light" w:hAnsi="Segoe UI Light" w:cs="Segoe UI Light"/>
          <w:sz w:val="24"/>
          <w:szCs w:val="24"/>
          <w:highlight w:val="lightGray"/>
          <w:lang w:val="en"/>
        </w:rPr>
      </w:pPr>
      <w:r w:rsidRPr="00222ABB">
        <w:rPr>
          <w:rFonts w:ascii="Segoe UI Light" w:hAnsi="Segoe UI Light" w:cs="Segoe UI Light"/>
          <w:sz w:val="24"/>
          <w:szCs w:val="24"/>
          <w:lang w:val="en"/>
        </w:rPr>
        <w:t xml:space="preserve">Mae’n anodd felly ystyried ei waith i fod yn hollol ffeithiol gywir gan nad oes testunau arall i’w gael sy’n cefnogi ei waith. Hefyd mae’r ffaith nad yw Hillel na Shammai sef y genhedlaeth ddiwethaf o </w:t>
      </w:r>
      <w:r w:rsidR="00367CA6">
        <w:rPr>
          <w:rFonts w:ascii="Segoe UI Light" w:hAnsi="Segoe UI Light" w:cs="Segoe UI Light"/>
          <w:i/>
          <w:sz w:val="24"/>
          <w:szCs w:val="24"/>
          <w:lang w:val="en"/>
        </w:rPr>
        <w:t>Zugots</w:t>
      </w:r>
      <w:r w:rsidRPr="00222ABB">
        <w:rPr>
          <w:rFonts w:ascii="Segoe UI Light" w:hAnsi="Segoe UI Light" w:cs="Segoe UI Light"/>
          <w:sz w:val="24"/>
          <w:szCs w:val="24"/>
          <w:lang w:val="en"/>
        </w:rPr>
        <w:t xml:space="preserve"> o fewn y </w:t>
      </w:r>
      <w:r w:rsidRPr="00367CA6">
        <w:rPr>
          <w:rFonts w:ascii="Segoe UI Light" w:hAnsi="Segoe UI Light" w:cs="Segoe UI Light"/>
          <w:i/>
          <w:sz w:val="24"/>
          <w:szCs w:val="24"/>
          <w:lang w:val="en"/>
        </w:rPr>
        <w:t>Sanhedrin</w:t>
      </w:r>
      <w:r w:rsidRPr="00222ABB">
        <w:rPr>
          <w:rFonts w:ascii="Segoe UI Light" w:hAnsi="Segoe UI Light" w:cs="Segoe UI Light"/>
          <w:sz w:val="24"/>
          <w:szCs w:val="24"/>
          <w:lang w:val="en"/>
        </w:rPr>
        <w:t xml:space="preserve"> yn cael ei sôn amdani, yn enwedig ar ôl eu cyfraniad enfawr i gasgliad y tora llafar trwy ddilyn credoau a thraddodiadau’r Phariseaid yn achosi tipyn o benbleth yn ymwneud a’i ddilysrwydd. Gellir </w:t>
      </w:r>
      <w:r w:rsidR="00367CA6">
        <w:rPr>
          <w:rFonts w:ascii="Segoe UI Light" w:hAnsi="Segoe UI Light" w:cs="Segoe UI Light"/>
          <w:sz w:val="24"/>
          <w:szCs w:val="24"/>
          <w:lang w:val="en"/>
        </w:rPr>
        <w:t xml:space="preserve">dadlau </w:t>
      </w:r>
      <w:r w:rsidRPr="00222ABB">
        <w:rPr>
          <w:rFonts w:ascii="Segoe UI Light" w:hAnsi="Segoe UI Light" w:cs="Segoe UI Light"/>
          <w:sz w:val="24"/>
          <w:szCs w:val="24"/>
          <w:lang w:val="en"/>
        </w:rPr>
        <w:t>felly nad oes modd trafod beth wnaeth y Phariseaid helpu i ddiogelu'r a oedd orau mewn Iddewiaeth gan nad oes sicrwydd llwyr am fodolaeth y Phariseaid wrth edrych ar waith Josephws.</w:t>
      </w:r>
    </w:p>
    <w:p w:rsidR="00CD6ECB" w:rsidRPr="00222ABB" w:rsidRDefault="00367CA6" w:rsidP="008C7693">
      <w:pPr>
        <w:rPr>
          <w:rFonts w:ascii="Segoe UI Light" w:hAnsi="Segoe UI Light" w:cs="Segoe UI Light"/>
          <w:sz w:val="24"/>
          <w:szCs w:val="24"/>
          <w:lang w:val="en"/>
        </w:rPr>
      </w:pPr>
      <w:r>
        <w:rPr>
          <w:rFonts w:ascii="Segoe UI Light" w:hAnsi="Segoe UI Light" w:cs="Segoe UI Light"/>
          <w:sz w:val="24"/>
          <w:szCs w:val="24"/>
          <w:lang w:val="en"/>
        </w:rPr>
        <w:t>Ond er hyn m</w:t>
      </w:r>
      <w:r w:rsidR="00867C1C" w:rsidRPr="00222ABB">
        <w:rPr>
          <w:rFonts w:ascii="Segoe UI Light" w:hAnsi="Segoe UI Light" w:cs="Segoe UI Light"/>
          <w:sz w:val="24"/>
          <w:szCs w:val="24"/>
          <w:lang w:val="en"/>
        </w:rPr>
        <w:t>ae’n amlwg felly bod y Phariseaid wedi cael effaith enfawr ar Iddewiaeth a’i ddatblygiad dros y canrifoedd gan mai eu hymrwymiad nhw i drafod ac astudio’r tora llafar wnaeth sicrhau parhad Iddewiaeth ar ôl dinistriad yr ail deml.</w:t>
      </w:r>
      <w:r w:rsidR="00222ABB">
        <w:rPr>
          <w:rFonts w:ascii="Segoe UI Light" w:hAnsi="Segoe UI Light" w:cs="Segoe UI Light"/>
          <w:sz w:val="24"/>
          <w:szCs w:val="24"/>
          <w:lang w:val="en"/>
        </w:rPr>
        <w:t xml:space="preserve"> </w:t>
      </w:r>
      <w:r w:rsidR="00222ABB" w:rsidRPr="00222ABB">
        <w:rPr>
          <w:rFonts w:ascii="Segoe UI Light" w:hAnsi="Segoe UI Light" w:cs="Segoe UI Light"/>
          <w:sz w:val="24"/>
          <w:szCs w:val="24"/>
          <w:lang w:val="en"/>
        </w:rPr>
        <w:t>E</w:t>
      </w:r>
      <w:r w:rsidR="00222ABB">
        <w:rPr>
          <w:rFonts w:ascii="Segoe UI Light" w:hAnsi="Segoe UI Light" w:cs="Segoe UI Light"/>
          <w:sz w:val="24"/>
          <w:szCs w:val="24"/>
          <w:lang w:val="en"/>
        </w:rPr>
        <w:t>r nad oes sicrwydd fod gwaith Josephws</w:t>
      </w:r>
      <w:r w:rsidR="00222ABB" w:rsidRPr="00222ABB">
        <w:rPr>
          <w:rFonts w:ascii="Segoe UI Light" w:hAnsi="Segoe UI Light" w:cs="Segoe UI Light"/>
          <w:sz w:val="24"/>
          <w:szCs w:val="24"/>
          <w:lang w:val="en"/>
        </w:rPr>
        <w:t xml:space="preserve"> yn hollol ffeithiol mae testunau sy’n dyddio i adeg y Phariseaid yn cefnogi’r syniad yr oeddent yn grŵp o athrawon </w:t>
      </w:r>
      <w:r>
        <w:rPr>
          <w:rFonts w:ascii="Segoe UI Light" w:hAnsi="Segoe UI Light" w:cs="Segoe UI Light"/>
          <w:sz w:val="24"/>
          <w:szCs w:val="24"/>
          <w:lang w:val="en"/>
        </w:rPr>
        <w:t xml:space="preserve">Iddewig </w:t>
      </w:r>
      <w:r w:rsidR="00222ABB" w:rsidRPr="00222ABB">
        <w:rPr>
          <w:rFonts w:ascii="Segoe UI Light" w:hAnsi="Segoe UI Light" w:cs="Segoe UI Light"/>
          <w:sz w:val="24"/>
          <w:szCs w:val="24"/>
          <w:lang w:val="en"/>
        </w:rPr>
        <w:t>a oedd yn gweld purdeb pob diwrnod ac yn ffocysu ar drafod y tora a mynychu’r synagog</w:t>
      </w:r>
      <w:r w:rsidR="00222ABB">
        <w:rPr>
          <w:rFonts w:ascii="Segoe UI Light" w:hAnsi="Segoe UI Light" w:cs="Segoe UI Light"/>
          <w:sz w:val="24"/>
          <w:szCs w:val="24"/>
          <w:lang w:val="en"/>
        </w:rPr>
        <w:t>.</w:t>
      </w:r>
      <w:r w:rsidR="00867C1C" w:rsidRPr="00222ABB">
        <w:rPr>
          <w:rFonts w:ascii="Segoe UI Light" w:hAnsi="Segoe UI Light" w:cs="Segoe UI Light"/>
          <w:sz w:val="24"/>
          <w:szCs w:val="24"/>
          <w:lang w:val="en"/>
        </w:rPr>
        <w:t xml:space="preserve"> Gellir dweud</w:t>
      </w:r>
      <w:r w:rsidR="00222ABB">
        <w:rPr>
          <w:rFonts w:ascii="Segoe UI Light" w:hAnsi="Segoe UI Light" w:cs="Segoe UI Light"/>
          <w:sz w:val="24"/>
          <w:szCs w:val="24"/>
          <w:lang w:val="en"/>
        </w:rPr>
        <w:t xml:space="preserve"> felly</w:t>
      </w:r>
      <w:r w:rsidR="00867C1C" w:rsidRPr="00222ABB">
        <w:rPr>
          <w:rFonts w:ascii="Segoe UI Light" w:hAnsi="Segoe UI Light" w:cs="Segoe UI Light"/>
          <w:sz w:val="24"/>
          <w:szCs w:val="24"/>
          <w:lang w:val="en"/>
        </w:rPr>
        <w:t xml:space="preserve"> bod y Phariseaid i’w ddiolch am </w:t>
      </w:r>
      <w:r w:rsidR="004F120C" w:rsidRPr="00222ABB">
        <w:rPr>
          <w:rFonts w:ascii="Segoe UI Light" w:hAnsi="Segoe UI Light" w:cs="Segoe UI Light"/>
          <w:sz w:val="24"/>
          <w:szCs w:val="24"/>
          <w:lang w:val="en"/>
        </w:rPr>
        <w:t>gwarchod</w:t>
      </w:r>
      <w:r w:rsidR="00867C1C" w:rsidRPr="00222ABB">
        <w:rPr>
          <w:rFonts w:ascii="Segoe UI Light" w:hAnsi="Segoe UI Light" w:cs="Segoe UI Light"/>
          <w:sz w:val="24"/>
          <w:szCs w:val="24"/>
          <w:lang w:val="en"/>
        </w:rPr>
        <w:t xml:space="preserve"> sawl agwedd hanfodol o fewn Iddewiaeth er enghraifft y syniad o’r ddau tora sef y tora ysgrifenedig a’r tora llafar. Hefyd maent i ddiolch am ddiddymu’r system cast a sicrhau mai’r synagog oedd yn ganolog i’r gred ac nid y deml. Gellir dweud felly yr oedd y Phariseaid yn helpu i ddiogelu’r hyn oedd orau mewn Iddewiaeth, a hefyd bod y Phariseaid yn arwyddocaol i Iddewiaeth ac wedi chwarae rôl hanfodol yn ei </w:t>
      </w:r>
      <w:r w:rsidR="00E719C9">
        <w:rPr>
          <w:rFonts w:ascii="Segoe UI Light" w:hAnsi="Segoe UI Light" w:cs="Segoe UI Light"/>
          <w:sz w:val="24"/>
          <w:szCs w:val="24"/>
          <w:lang w:val="en"/>
        </w:rPr>
        <w:t xml:space="preserve">ddatblygiad </w:t>
      </w:r>
      <w:r w:rsidR="00867C1C" w:rsidRPr="00222ABB">
        <w:rPr>
          <w:rFonts w:ascii="Segoe UI Light" w:hAnsi="Segoe UI Light" w:cs="Segoe UI Light"/>
          <w:sz w:val="24"/>
          <w:szCs w:val="24"/>
          <w:lang w:val="en"/>
        </w:rPr>
        <w:t>a’i gallu i ehangu.</w:t>
      </w:r>
    </w:p>
    <w:p w:rsidR="00AC5983" w:rsidRDefault="00AC5983">
      <w:pPr>
        <w:rPr>
          <w:rFonts w:ascii="Segoe UI Light" w:hAnsi="Segoe UI Light" w:cs="Segoe UI Light"/>
          <w:sz w:val="24"/>
          <w:szCs w:val="24"/>
          <w:u w:val="single"/>
        </w:rPr>
      </w:pPr>
    </w:p>
    <w:p w:rsidR="00AC5983" w:rsidRDefault="00AC5983">
      <w:pPr>
        <w:rPr>
          <w:rFonts w:ascii="Segoe UI Light" w:hAnsi="Segoe UI Light" w:cs="Segoe UI Light"/>
          <w:sz w:val="24"/>
          <w:szCs w:val="24"/>
          <w:u w:val="single"/>
        </w:rPr>
      </w:pPr>
    </w:p>
    <w:p w:rsidR="00AF1785" w:rsidRPr="00E719C9" w:rsidRDefault="003B58E2">
      <w:pPr>
        <w:rPr>
          <w:rFonts w:ascii="Segoe UI Light" w:hAnsi="Segoe UI Light" w:cs="Segoe UI Light"/>
          <w:u w:val="single"/>
        </w:rPr>
      </w:pPr>
      <w:r w:rsidRPr="00E719C9">
        <w:rPr>
          <w:rFonts w:ascii="Segoe UI Light" w:hAnsi="Segoe UI Light" w:cs="Segoe UI Light"/>
          <w:u w:val="single"/>
        </w:rPr>
        <w:lastRenderedPageBreak/>
        <w:t>Llyfryddiaeth</w:t>
      </w:r>
      <w:r w:rsidR="00875134" w:rsidRPr="00E719C9">
        <w:rPr>
          <w:rFonts w:ascii="Segoe UI Light" w:hAnsi="Segoe UI Light" w:cs="Segoe UI Light"/>
          <w:u w:val="single"/>
        </w:rPr>
        <w:t xml:space="preserve"> </w:t>
      </w:r>
    </w:p>
    <w:p w:rsidR="00E719C9" w:rsidRPr="00E719C9" w:rsidRDefault="00E719C9">
      <w:pPr>
        <w:rPr>
          <w:rFonts w:ascii="Segoe UI Light" w:hAnsi="Segoe UI Light" w:cs="Segoe UI Light"/>
        </w:rPr>
      </w:pPr>
      <w:r w:rsidRPr="00E719C9">
        <w:rPr>
          <w:rFonts w:ascii="Segoe UI Light" w:hAnsi="Segoe UI Light" w:cs="Segoe UI Light"/>
        </w:rPr>
        <w:t>Jeremias, J, (1969),</w:t>
      </w:r>
      <w:r w:rsidRPr="00E719C9">
        <w:rPr>
          <w:rFonts w:ascii="Segoe UI Light" w:hAnsi="Segoe UI Light" w:cs="Segoe UI Light"/>
          <w:i/>
        </w:rPr>
        <w:t xml:space="preserve"> Jerusalem in the Time of Jesus,</w:t>
      </w:r>
      <w:r w:rsidRPr="00E719C9">
        <w:rPr>
          <w:rFonts w:ascii="Segoe UI Light" w:hAnsi="Segoe UI Light" w:cs="Segoe UI Light"/>
        </w:rPr>
        <w:t xml:space="preserve"> (Philadelphia: Fortress Press).</w:t>
      </w:r>
    </w:p>
    <w:p w:rsidR="00AC5983" w:rsidRPr="00E719C9" w:rsidRDefault="00AC5983">
      <w:pPr>
        <w:rPr>
          <w:rFonts w:ascii="Segoe UI Light" w:hAnsi="Segoe UI Light" w:cs="Segoe UI Light"/>
        </w:rPr>
      </w:pPr>
      <w:r w:rsidRPr="00E719C9">
        <w:rPr>
          <w:rFonts w:ascii="Segoe UI Light" w:hAnsi="Segoe UI Light" w:cs="Segoe UI Light"/>
        </w:rPr>
        <w:t xml:space="preserve">Lloyd Jones, G., </w:t>
      </w:r>
      <w:r w:rsidRPr="00E719C9">
        <w:rPr>
          <w:rFonts w:ascii="Segoe UI Light" w:hAnsi="Segoe UI Light" w:cs="Segoe UI Light"/>
          <w:i/>
        </w:rPr>
        <w:t>The Bones of Joseph</w:t>
      </w:r>
      <w:r w:rsidRPr="00E719C9">
        <w:rPr>
          <w:rFonts w:ascii="Segoe UI Light" w:hAnsi="Segoe UI Light" w:cs="Segoe UI Light"/>
        </w:rPr>
        <w:t xml:space="preserve"> (Grand Rapids: William B. Eerdmans, 1997)</w:t>
      </w:r>
      <w:r w:rsidRPr="00E719C9">
        <w:rPr>
          <w:rFonts w:ascii="Segoe UI Light" w:hAnsi="Segoe UI Light" w:cs="Segoe UI Light"/>
        </w:rPr>
        <w:t>.</w:t>
      </w:r>
    </w:p>
    <w:p w:rsidR="00E719C9" w:rsidRPr="00E719C9" w:rsidRDefault="00E719C9" w:rsidP="00E719C9">
      <w:pPr>
        <w:rPr>
          <w:rFonts w:ascii="Segoe UI Light" w:hAnsi="Segoe UI Light" w:cs="Segoe UI Light"/>
        </w:rPr>
      </w:pPr>
      <w:r w:rsidRPr="00E719C9">
        <w:rPr>
          <w:rFonts w:ascii="Segoe UI Light" w:hAnsi="Segoe UI Light" w:cs="Segoe UI Light"/>
        </w:rPr>
        <w:t>Neusner. J, Chilton., Bruce In Quest of Historical Pharisees (Baylor University Press: Texas, 2007)</w:t>
      </w:r>
    </w:p>
    <w:p w:rsidR="00E719C9" w:rsidRPr="00E719C9" w:rsidRDefault="00E719C9">
      <w:pPr>
        <w:rPr>
          <w:rFonts w:ascii="Segoe UI Light" w:hAnsi="Segoe UI Light" w:cs="Segoe UI Light"/>
          <w:u w:val="single"/>
        </w:rPr>
      </w:pPr>
      <w:r w:rsidRPr="00E719C9">
        <w:rPr>
          <w:rFonts w:ascii="Segoe UI Light" w:hAnsi="Segoe UI Light" w:cs="Segoe UI Light"/>
        </w:rPr>
        <w:t xml:space="preserve">Neusner, J., </w:t>
      </w:r>
      <w:r w:rsidRPr="00E719C9">
        <w:rPr>
          <w:rFonts w:ascii="Segoe UI Light" w:hAnsi="Segoe UI Light" w:cs="Segoe UI Light"/>
          <w:i/>
        </w:rPr>
        <w:t>Judaism: The Basics</w:t>
      </w:r>
      <w:r w:rsidRPr="00E719C9">
        <w:rPr>
          <w:rFonts w:ascii="Segoe UI Light" w:hAnsi="Segoe UI Light" w:cs="Segoe UI Light"/>
        </w:rPr>
        <w:t>,</w:t>
      </w:r>
      <w:r w:rsidRPr="00E719C9">
        <w:rPr>
          <w:rFonts w:ascii="Segoe UI Light" w:hAnsi="Segoe UI Light" w:cs="Segoe UI Light"/>
          <w:i/>
        </w:rPr>
        <w:t xml:space="preserve"> (</w:t>
      </w:r>
      <w:r w:rsidRPr="00E719C9">
        <w:rPr>
          <w:rStyle w:val="exldetailsdisplayval"/>
          <w:rFonts w:ascii="Segoe UI Light" w:hAnsi="Segoe UI Light" w:cs="Segoe UI Light"/>
          <w:color w:val="32322F"/>
          <w:bdr w:val="none" w:sz="0" w:space="0" w:color="auto" w:frame="1"/>
        </w:rPr>
        <w:t>London ; New York : Routledge, 2006)</w:t>
      </w:r>
    </w:p>
    <w:p w:rsidR="00AC5983" w:rsidRPr="00E719C9" w:rsidRDefault="00AC5983">
      <w:pPr>
        <w:rPr>
          <w:rFonts w:ascii="Segoe UI Light" w:hAnsi="Segoe UI Light" w:cs="Segoe UI Light"/>
        </w:rPr>
      </w:pPr>
      <w:r w:rsidRPr="00E719C9">
        <w:rPr>
          <w:rFonts w:ascii="Segoe UI Light" w:hAnsi="Segoe UI Light" w:cs="Segoe UI Light"/>
        </w:rPr>
        <w:t xml:space="preserve">Rhodri Thomas, </w:t>
      </w:r>
      <w:r w:rsidRPr="007D4DC6">
        <w:rPr>
          <w:rFonts w:ascii="Segoe UI Light" w:hAnsi="Segoe UI Light" w:cs="Segoe UI Light"/>
          <w:i/>
        </w:rPr>
        <w:t>Pwynt pwer</w:t>
      </w:r>
      <w:r w:rsidR="007D4DC6" w:rsidRPr="007D4DC6">
        <w:rPr>
          <w:rFonts w:ascii="Segoe UI Light" w:hAnsi="Segoe UI Light" w:cs="Segoe UI Light"/>
          <w:i/>
        </w:rPr>
        <w:t xml:space="preserve"> a nodiadau darlith.</w:t>
      </w:r>
      <w:bookmarkStart w:id="0" w:name="_GoBack"/>
      <w:bookmarkEnd w:id="0"/>
    </w:p>
    <w:sectPr w:rsidR="00AC5983" w:rsidRPr="00E719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5AD9" w:rsidRDefault="00EA5AD9" w:rsidP="000851DF">
      <w:pPr>
        <w:spacing w:after="0" w:line="240" w:lineRule="auto"/>
      </w:pPr>
      <w:r>
        <w:separator/>
      </w:r>
    </w:p>
  </w:endnote>
  <w:endnote w:type="continuationSeparator" w:id="0">
    <w:p w:rsidR="00EA5AD9" w:rsidRDefault="00EA5AD9" w:rsidP="00085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mj-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5AD9" w:rsidRDefault="00EA5AD9" w:rsidP="000851DF">
      <w:pPr>
        <w:spacing w:after="0" w:line="240" w:lineRule="auto"/>
      </w:pPr>
      <w:r>
        <w:separator/>
      </w:r>
    </w:p>
  </w:footnote>
  <w:footnote w:type="continuationSeparator" w:id="0">
    <w:p w:rsidR="00EA5AD9" w:rsidRDefault="00EA5AD9" w:rsidP="000851DF">
      <w:pPr>
        <w:spacing w:after="0" w:line="240" w:lineRule="auto"/>
      </w:pPr>
      <w:r>
        <w:continuationSeparator/>
      </w:r>
    </w:p>
  </w:footnote>
  <w:footnote w:id="1">
    <w:p w:rsidR="000851DF" w:rsidRDefault="000851DF">
      <w:pPr>
        <w:pStyle w:val="FootnoteText"/>
      </w:pPr>
      <w:r>
        <w:rPr>
          <w:rStyle w:val="FootnoteReference"/>
        </w:rPr>
        <w:footnoteRef/>
      </w:r>
      <w:r>
        <w:t xml:space="preserve"> </w:t>
      </w:r>
      <w:r w:rsidR="00C07DB2" w:rsidRPr="00222ABB">
        <w:rPr>
          <w:rFonts w:ascii="Segoe UI Light" w:hAnsi="Segoe UI Light" w:cs="Segoe UI Light"/>
        </w:rPr>
        <w:t xml:space="preserve">Gareth Lloyd Jones, </w:t>
      </w:r>
      <w:r w:rsidR="00C07DB2" w:rsidRPr="00222ABB">
        <w:rPr>
          <w:rFonts w:ascii="Segoe UI Light" w:hAnsi="Segoe UI Light" w:cs="Segoe UI Light"/>
          <w:i/>
        </w:rPr>
        <w:t>The Bones of Joseph</w:t>
      </w:r>
      <w:r w:rsidR="00C07DB2" w:rsidRPr="00222ABB">
        <w:rPr>
          <w:rFonts w:ascii="Segoe UI Light" w:hAnsi="Segoe UI Light" w:cs="Segoe UI Light"/>
        </w:rPr>
        <w:t xml:space="preserve"> (Grand Rapids: William B. Eerdmans, 1997)</w:t>
      </w:r>
      <w:r w:rsidR="00C07DB2" w:rsidRPr="00222ABB">
        <w:rPr>
          <w:rFonts w:ascii="Segoe UI Light" w:hAnsi="Segoe UI Light" w:cs="Segoe UI Light"/>
        </w:rPr>
        <w:t>, t.t.110-111.</w:t>
      </w:r>
    </w:p>
  </w:footnote>
  <w:footnote w:id="2">
    <w:p w:rsidR="00831FDC" w:rsidRPr="00222ABB" w:rsidRDefault="00831FDC">
      <w:pPr>
        <w:pStyle w:val="FootnoteText"/>
        <w:rPr>
          <w:rFonts w:ascii="Segoe UI Light" w:hAnsi="Segoe UI Light" w:cs="Segoe UI Light"/>
        </w:rPr>
      </w:pPr>
      <w:r>
        <w:rPr>
          <w:rStyle w:val="FootnoteReference"/>
        </w:rPr>
        <w:footnoteRef/>
      </w:r>
      <w:r>
        <w:t xml:space="preserve"> </w:t>
      </w:r>
      <w:r w:rsidR="00C07DB2" w:rsidRPr="00222ABB">
        <w:rPr>
          <w:rFonts w:ascii="Segoe UI Light" w:hAnsi="Segoe UI Light" w:cs="Segoe UI Light"/>
        </w:rPr>
        <w:t xml:space="preserve">Gareth Lloyd Jones, </w:t>
      </w:r>
      <w:r w:rsidR="00875134" w:rsidRPr="00222ABB">
        <w:rPr>
          <w:rFonts w:ascii="Segoe UI Light" w:hAnsi="Segoe UI Light" w:cs="Segoe UI Light"/>
          <w:i/>
        </w:rPr>
        <w:t>The Bones of Joseph</w:t>
      </w:r>
      <w:r w:rsidR="00875134" w:rsidRPr="00222ABB">
        <w:rPr>
          <w:rFonts w:ascii="Segoe UI Light" w:hAnsi="Segoe UI Light" w:cs="Segoe UI Light"/>
        </w:rPr>
        <w:t xml:space="preserve"> (Grand Rapids: William B. Eerdmans, 1997)</w:t>
      </w:r>
      <w:r w:rsidR="00C07DB2" w:rsidRPr="00222ABB">
        <w:rPr>
          <w:rFonts w:ascii="Segoe UI Light" w:hAnsi="Segoe UI Light" w:cs="Segoe UI Light"/>
        </w:rPr>
        <w:t>, t.115.</w:t>
      </w:r>
    </w:p>
  </w:footnote>
  <w:footnote w:id="3">
    <w:p w:rsidR="008C7693" w:rsidRPr="00222ABB" w:rsidRDefault="008C7693">
      <w:pPr>
        <w:pStyle w:val="FootnoteText"/>
        <w:rPr>
          <w:rFonts w:ascii="Segoe UI Light" w:hAnsi="Segoe UI Light" w:cs="Segoe UI Light"/>
        </w:rPr>
      </w:pPr>
      <w:r w:rsidRPr="00222ABB">
        <w:rPr>
          <w:rStyle w:val="FootnoteReference"/>
          <w:rFonts w:ascii="Segoe UI Light" w:hAnsi="Segoe UI Light" w:cs="Segoe UI Light"/>
        </w:rPr>
        <w:footnoteRef/>
      </w:r>
      <w:r w:rsidRPr="00222ABB">
        <w:rPr>
          <w:rFonts w:ascii="Segoe UI Light" w:hAnsi="Segoe UI Light" w:cs="Segoe UI Light"/>
        </w:rPr>
        <w:t xml:space="preserve"> </w:t>
      </w:r>
      <w:r w:rsidR="00222ABB" w:rsidRPr="00222ABB">
        <w:rPr>
          <w:rFonts w:ascii="Segoe UI Light" w:hAnsi="Segoe UI Light" w:cs="Segoe UI Light"/>
        </w:rPr>
        <w:t xml:space="preserve">Rhodri Thomas, nodiadau darlith: </w:t>
      </w:r>
      <w:r w:rsidR="00222ABB" w:rsidRPr="00222ABB">
        <w:rPr>
          <w:rFonts w:ascii="Segoe UI Light" w:hAnsi="Segoe UI Light" w:cs="Segoe UI Light"/>
          <w:i/>
        </w:rPr>
        <w:t>Y Synagog.</w:t>
      </w:r>
    </w:p>
  </w:footnote>
  <w:footnote w:id="4">
    <w:p w:rsidR="005D0DF4" w:rsidRPr="00222ABB" w:rsidRDefault="005D0DF4">
      <w:pPr>
        <w:pStyle w:val="FootnoteText"/>
        <w:rPr>
          <w:rFonts w:ascii="Segoe UI Light" w:hAnsi="Segoe UI Light" w:cs="Segoe UI Light"/>
        </w:rPr>
      </w:pPr>
      <w:r w:rsidRPr="00222ABB">
        <w:rPr>
          <w:rStyle w:val="FootnoteReference"/>
          <w:rFonts w:ascii="Segoe UI Light" w:hAnsi="Segoe UI Light" w:cs="Segoe UI Light"/>
        </w:rPr>
        <w:footnoteRef/>
      </w:r>
      <w:r w:rsidRPr="00222ABB">
        <w:rPr>
          <w:rFonts w:ascii="Segoe UI Light" w:hAnsi="Segoe UI Light" w:cs="Segoe UI Light"/>
        </w:rPr>
        <w:t xml:space="preserve"> </w:t>
      </w:r>
      <w:r w:rsidR="00C07DB2" w:rsidRPr="00222ABB">
        <w:rPr>
          <w:rFonts w:ascii="Segoe UI Light" w:hAnsi="Segoe UI Light" w:cs="Segoe UI Light"/>
        </w:rPr>
        <w:t xml:space="preserve">Gareth Lloyd Jones, </w:t>
      </w:r>
      <w:r w:rsidR="00C07DB2" w:rsidRPr="00222ABB">
        <w:rPr>
          <w:rFonts w:ascii="Segoe UI Light" w:hAnsi="Segoe UI Light" w:cs="Segoe UI Light"/>
          <w:i/>
        </w:rPr>
        <w:t>The Bones of Joseph</w:t>
      </w:r>
      <w:r w:rsidR="00C07DB2" w:rsidRPr="00222ABB">
        <w:rPr>
          <w:rFonts w:ascii="Segoe UI Light" w:hAnsi="Segoe UI Light" w:cs="Segoe UI Light"/>
        </w:rPr>
        <w:t xml:space="preserve"> (Grand Rapids: William B. Eerdmans, 1997), t.115.</w:t>
      </w:r>
    </w:p>
  </w:footnote>
  <w:footnote w:id="5">
    <w:p w:rsidR="008C4F82" w:rsidRDefault="008C4F82">
      <w:pPr>
        <w:pStyle w:val="FootnoteText"/>
      </w:pPr>
      <w:r>
        <w:rPr>
          <w:rStyle w:val="FootnoteReference"/>
        </w:rPr>
        <w:footnoteRef/>
      </w:r>
      <w:r>
        <w:t xml:space="preserve"> </w:t>
      </w:r>
      <w:r w:rsidR="00ED6556" w:rsidRPr="00ED6556">
        <w:rPr>
          <w:rFonts w:ascii="Segoe UI Light" w:hAnsi="Segoe UI Light" w:cs="Segoe UI Light"/>
        </w:rPr>
        <w:t>Jacob Neusner,</w:t>
      </w:r>
      <w:r w:rsidR="00ED6556">
        <w:rPr>
          <w:rFonts w:ascii="Segoe UI Light" w:hAnsi="Segoe UI Light" w:cs="Segoe UI Light"/>
        </w:rPr>
        <w:t xml:space="preserve"> </w:t>
      </w:r>
      <w:r w:rsidR="00ED6556" w:rsidRPr="00ED6556">
        <w:rPr>
          <w:rFonts w:ascii="Segoe UI Light" w:hAnsi="Segoe UI Light" w:cs="Segoe UI Light"/>
          <w:i/>
        </w:rPr>
        <w:t>Judaism: The Basics</w:t>
      </w:r>
      <w:r w:rsidR="00ED6556">
        <w:rPr>
          <w:rFonts w:ascii="Segoe UI Light" w:hAnsi="Segoe UI Light" w:cs="Segoe UI Light"/>
        </w:rPr>
        <w:t>,</w:t>
      </w:r>
      <w:r w:rsidR="00ED6556" w:rsidRPr="00ED6556">
        <w:rPr>
          <w:rFonts w:ascii="Segoe UI Light" w:hAnsi="Segoe UI Light" w:cs="Segoe UI Light"/>
          <w:i/>
        </w:rPr>
        <w:t xml:space="preserve"> </w:t>
      </w:r>
      <w:r w:rsidR="00ED6556" w:rsidRPr="00ED6556">
        <w:rPr>
          <w:rFonts w:ascii="Segoe UI Light" w:hAnsi="Segoe UI Light" w:cs="Segoe UI Light"/>
          <w:i/>
        </w:rPr>
        <w:t>(</w:t>
      </w:r>
      <w:r w:rsidR="00ED6556" w:rsidRPr="00ED6556">
        <w:rPr>
          <w:rStyle w:val="exldetailsdisplayval"/>
          <w:rFonts w:ascii="Segoe UI Light" w:hAnsi="Segoe UI Light" w:cs="Segoe UI Light"/>
          <w:color w:val="32322F"/>
          <w:bdr w:val="none" w:sz="0" w:space="0" w:color="auto" w:frame="1"/>
        </w:rPr>
        <w:t>London ; New York : Routledge</w:t>
      </w:r>
      <w:r w:rsidR="00ED6556" w:rsidRPr="00ED6556">
        <w:rPr>
          <w:rStyle w:val="exldetailsdisplayval"/>
          <w:rFonts w:ascii="Segoe UI Light" w:hAnsi="Segoe UI Light" w:cs="Segoe UI Light"/>
          <w:color w:val="32322F"/>
          <w:bdr w:val="none" w:sz="0" w:space="0" w:color="auto" w:frame="1"/>
        </w:rPr>
        <w:t>, 2006)</w:t>
      </w:r>
      <w:r w:rsidR="00ED6556">
        <w:rPr>
          <w:rStyle w:val="exldetailsdisplayval"/>
          <w:rFonts w:ascii="Segoe UI Light" w:hAnsi="Segoe UI Light" w:cs="Segoe UI Light"/>
          <w:color w:val="32322F"/>
          <w:bdr w:val="none" w:sz="0" w:space="0" w:color="auto" w:frame="1"/>
        </w:rPr>
        <w:t>, t.123.</w:t>
      </w:r>
    </w:p>
    <w:p w:rsidR="006566C0" w:rsidRDefault="006566C0">
      <w:pPr>
        <w:pStyle w:val="FootnoteText"/>
      </w:pPr>
    </w:p>
  </w:footnote>
  <w:footnote w:id="6">
    <w:p w:rsidR="00297C73" w:rsidRPr="00A55210" w:rsidRDefault="00297C73" w:rsidP="00A55210">
      <w:pPr>
        <w:rPr>
          <w:rFonts w:ascii="Segoe UI Light" w:hAnsi="Segoe UI Light" w:cs="Segoe UI Light"/>
          <w:sz w:val="24"/>
          <w:szCs w:val="24"/>
        </w:rPr>
      </w:pPr>
      <w:r>
        <w:rPr>
          <w:rStyle w:val="FootnoteReference"/>
        </w:rPr>
        <w:footnoteRef/>
      </w:r>
      <w:r>
        <w:t xml:space="preserve"> </w:t>
      </w:r>
      <w:r w:rsidR="00ED6556" w:rsidRPr="00ED6556">
        <w:rPr>
          <w:rFonts w:ascii="Segoe UI Light" w:hAnsi="Segoe UI Light" w:cs="Segoe UI Light"/>
          <w:sz w:val="20"/>
          <w:szCs w:val="20"/>
          <w:lang w:val="en"/>
        </w:rPr>
        <w:t>Joachim Jeremias</w:t>
      </w:r>
      <w:r w:rsidR="00ED6556" w:rsidRPr="00ED6556">
        <w:rPr>
          <w:rFonts w:ascii="Segoe UI Light" w:hAnsi="Segoe UI Light" w:cs="Segoe UI Light"/>
          <w:sz w:val="20"/>
          <w:szCs w:val="20"/>
        </w:rPr>
        <w:t>(1969),</w:t>
      </w:r>
      <w:r w:rsidR="00ED6556" w:rsidRPr="00ED6556">
        <w:rPr>
          <w:rFonts w:ascii="Segoe UI Light" w:hAnsi="Segoe UI Light" w:cs="Segoe UI Light"/>
          <w:i/>
          <w:sz w:val="20"/>
          <w:szCs w:val="20"/>
        </w:rPr>
        <w:t xml:space="preserve"> Jerusalem in the Time of Jesus,</w:t>
      </w:r>
      <w:r w:rsidR="00ED6556" w:rsidRPr="00ED6556">
        <w:rPr>
          <w:rFonts w:ascii="Segoe UI Light" w:hAnsi="Segoe UI Light" w:cs="Segoe UI Light"/>
          <w:sz w:val="20"/>
          <w:szCs w:val="20"/>
        </w:rPr>
        <w:t xml:space="preserve"> (Philadelphia</w:t>
      </w:r>
      <w:r w:rsidR="00ED6556" w:rsidRPr="00ED6556">
        <w:rPr>
          <w:rFonts w:ascii="Segoe UI Light" w:hAnsi="Segoe UI Light" w:cs="Segoe UI Light"/>
          <w:sz w:val="20"/>
          <w:szCs w:val="20"/>
        </w:rPr>
        <w:t>: Fortress Press), t.266.</w:t>
      </w:r>
    </w:p>
  </w:footnote>
  <w:footnote w:id="7">
    <w:p w:rsidR="00F3589B" w:rsidRPr="00222ABB" w:rsidRDefault="00F3589B">
      <w:pPr>
        <w:pStyle w:val="FootnoteText"/>
        <w:rPr>
          <w:rFonts w:ascii="Segoe UI Light" w:hAnsi="Segoe UI Light" w:cs="Segoe UI Light"/>
        </w:rPr>
      </w:pPr>
      <w:r w:rsidRPr="00222ABB">
        <w:rPr>
          <w:rStyle w:val="FootnoteReference"/>
          <w:rFonts w:ascii="Segoe UI Light" w:hAnsi="Segoe UI Light" w:cs="Segoe UI Light"/>
        </w:rPr>
        <w:footnoteRef/>
      </w:r>
      <w:r w:rsidRPr="00222ABB">
        <w:rPr>
          <w:rFonts w:ascii="Segoe UI Light" w:hAnsi="Segoe UI Light" w:cs="Segoe UI Light"/>
        </w:rPr>
        <w:t xml:space="preserve"> Rhodri</w:t>
      </w:r>
      <w:r w:rsidR="00C07DB2" w:rsidRPr="00222ABB">
        <w:rPr>
          <w:rFonts w:ascii="Segoe UI Light" w:hAnsi="Segoe UI Light" w:cs="Segoe UI Light"/>
        </w:rPr>
        <w:t xml:space="preserve"> Thomas, Pwynt pwer</w:t>
      </w:r>
      <w:r w:rsidR="00C07DB2" w:rsidRPr="00222ABB">
        <w:rPr>
          <w:rFonts w:ascii="Segoe UI Light" w:hAnsi="Segoe UI Light" w:cs="Segoe UI Light"/>
          <w:i/>
        </w:rPr>
        <w:t xml:space="preserve">: </w:t>
      </w:r>
      <w:r w:rsidR="00C07DB2" w:rsidRPr="00222ABB">
        <w:rPr>
          <w:rFonts w:ascii="Segoe UI Light" w:eastAsia="+mj-ea" w:hAnsi="Segoe UI Light" w:cs="Segoe UI Light"/>
          <w:i/>
          <w:caps/>
          <w:kern w:val="24"/>
          <w:position w:val="1"/>
        </w:rPr>
        <w:t>Adluniad yn Yavneh: Iddewiaeth Rabinaidd o 70 0C Ymlaen</w:t>
      </w:r>
      <w:r w:rsidR="00C07DB2" w:rsidRPr="00222ABB">
        <w:rPr>
          <w:rFonts w:ascii="Segoe UI Light" w:hAnsi="Segoe UI Light" w:cs="Segoe UI Light"/>
        </w:rPr>
        <w:t>,</w:t>
      </w:r>
      <w:r w:rsidRPr="00222ABB">
        <w:rPr>
          <w:rFonts w:ascii="Segoe UI Light" w:hAnsi="Segoe UI Light" w:cs="Segoe UI Light"/>
        </w:rPr>
        <w:t xml:space="preserve"> sleid 17</w:t>
      </w:r>
      <w:r w:rsidR="00C07DB2" w:rsidRPr="00222ABB">
        <w:rPr>
          <w:rFonts w:ascii="Segoe UI Light" w:hAnsi="Segoe UI Light" w:cs="Segoe UI Light"/>
        </w:rPr>
        <w:t>.</w:t>
      </w:r>
    </w:p>
  </w:footnote>
  <w:footnote w:id="8">
    <w:p w:rsidR="00585792" w:rsidRDefault="00585792">
      <w:pPr>
        <w:pStyle w:val="FootnoteText"/>
      </w:pPr>
      <w:r>
        <w:rPr>
          <w:rStyle w:val="FootnoteReference"/>
        </w:rPr>
        <w:footnoteRef/>
      </w:r>
      <w:r>
        <w:t xml:space="preserve"> </w:t>
      </w:r>
      <w:r w:rsidR="00E33620" w:rsidRPr="00E33620">
        <w:rPr>
          <w:rFonts w:ascii="Segoe UI Light" w:hAnsi="Segoe UI Light" w:cs="Segoe UI Light"/>
        </w:rPr>
        <w:t>Jacob Neusner,</w:t>
      </w:r>
      <w:r w:rsidR="00E33620">
        <w:rPr>
          <w:rFonts w:ascii="Segoe UI Light" w:hAnsi="Segoe UI Light" w:cs="Segoe UI Light"/>
          <w:i/>
        </w:rPr>
        <w:t xml:space="preserve"> </w:t>
      </w:r>
      <w:r w:rsidR="00E33620" w:rsidRPr="00E33620">
        <w:rPr>
          <w:rFonts w:ascii="Segoe UI Light" w:hAnsi="Segoe UI Light" w:cs="Segoe UI Light"/>
          <w:i/>
        </w:rPr>
        <w:t>Bruce In Quest of Historical Pharisees</w:t>
      </w:r>
      <w:r w:rsidR="00E33620" w:rsidRPr="00E33620">
        <w:rPr>
          <w:rFonts w:ascii="Segoe UI Light" w:hAnsi="Segoe UI Light" w:cs="Segoe UI Light"/>
        </w:rPr>
        <w:t xml:space="preserve"> (Baylor University Press: Texas, 2007), t.</w:t>
      </w:r>
      <w:r w:rsidR="00ED6556">
        <w:rPr>
          <w:rFonts w:ascii="Segoe UI Light" w:hAnsi="Segoe UI Light" w:cs="Segoe UI Light"/>
        </w:rPr>
        <w:t>51</w:t>
      </w:r>
    </w:p>
  </w:footnote>
  <w:footnote w:id="9">
    <w:p w:rsidR="009517E7" w:rsidRPr="00E33620" w:rsidRDefault="009517E7" w:rsidP="00E33620">
      <w:pPr>
        <w:rPr>
          <w:rFonts w:ascii="Segoe UI Light" w:hAnsi="Segoe UI Light" w:cs="Segoe UI Light"/>
          <w:sz w:val="24"/>
          <w:szCs w:val="24"/>
        </w:rPr>
      </w:pPr>
      <w:r>
        <w:rPr>
          <w:rStyle w:val="FootnoteReference"/>
        </w:rPr>
        <w:footnoteRef/>
      </w:r>
      <w:r w:rsidR="00E33620">
        <w:t xml:space="preserve"> </w:t>
      </w:r>
      <w:r w:rsidR="00E33620" w:rsidRPr="00E33620">
        <w:rPr>
          <w:rFonts w:ascii="Segoe UI Light" w:hAnsi="Segoe UI Light" w:cs="Segoe UI Light"/>
          <w:sz w:val="20"/>
          <w:szCs w:val="20"/>
        </w:rPr>
        <w:t>Jacob Neusner,</w:t>
      </w:r>
      <w:r w:rsidR="00E33620">
        <w:rPr>
          <w:rFonts w:ascii="Segoe UI Light" w:hAnsi="Segoe UI Light" w:cs="Segoe UI Light"/>
          <w:i/>
          <w:sz w:val="20"/>
          <w:szCs w:val="20"/>
        </w:rPr>
        <w:t xml:space="preserve"> </w:t>
      </w:r>
      <w:r w:rsidR="00E33620" w:rsidRPr="00E33620">
        <w:rPr>
          <w:rFonts w:ascii="Segoe UI Light" w:hAnsi="Segoe UI Light" w:cs="Segoe UI Light"/>
          <w:i/>
          <w:sz w:val="20"/>
          <w:szCs w:val="20"/>
        </w:rPr>
        <w:t>Bruce In Quest of Historical Pharisees</w:t>
      </w:r>
      <w:r w:rsidR="00E33620" w:rsidRPr="00E33620">
        <w:rPr>
          <w:rFonts w:ascii="Segoe UI Light" w:hAnsi="Segoe UI Light" w:cs="Segoe UI Light"/>
          <w:sz w:val="20"/>
          <w:szCs w:val="20"/>
        </w:rPr>
        <w:t xml:space="preserve"> (Baylor University Press: Texas, 2007)</w:t>
      </w:r>
      <w:r w:rsidR="00E33620" w:rsidRPr="00E33620">
        <w:rPr>
          <w:rFonts w:ascii="Segoe UI Light" w:hAnsi="Segoe UI Light" w:cs="Segoe UI Light"/>
          <w:sz w:val="20"/>
          <w:szCs w:val="20"/>
        </w:rPr>
        <w:t>, t.</w:t>
      </w:r>
      <w:r w:rsidRPr="00E33620">
        <w:rPr>
          <w:rFonts w:ascii="Segoe UI Light" w:hAnsi="Segoe UI Light" w:cs="Segoe UI Light"/>
          <w:sz w:val="20"/>
          <w:szCs w:val="20"/>
        </w:rPr>
        <w:t>54</w:t>
      </w:r>
      <w:r w:rsidR="00E33620" w:rsidRPr="00E33620">
        <w:rPr>
          <w:rFonts w:ascii="Segoe UI Light" w:hAnsi="Segoe UI Light" w:cs="Segoe UI Light"/>
          <w:sz w:val="20"/>
          <w:szCs w:val="20"/>
        </w:rPr>
        <w:t>.</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5F3E22"/>
    <w:multiLevelType w:val="hybridMultilevel"/>
    <w:tmpl w:val="D1C2859C"/>
    <w:lvl w:ilvl="0" w:tplc="2654BFCA">
      <w:start w:val="1"/>
      <w:numFmt w:val="bullet"/>
      <w:lvlText w:val=""/>
      <w:lvlJc w:val="left"/>
      <w:pPr>
        <w:tabs>
          <w:tab w:val="num" w:pos="927"/>
        </w:tabs>
        <w:ind w:left="927" w:hanging="360"/>
      </w:pPr>
      <w:rPr>
        <w:rFonts w:ascii="Wingdings" w:hAnsi="Wingdings" w:hint="default"/>
      </w:rPr>
    </w:lvl>
    <w:lvl w:ilvl="1" w:tplc="3D02C4D0" w:tentative="1">
      <w:start w:val="1"/>
      <w:numFmt w:val="bullet"/>
      <w:lvlText w:val=""/>
      <w:lvlJc w:val="left"/>
      <w:pPr>
        <w:tabs>
          <w:tab w:val="num" w:pos="1647"/>
        </w:tabs>
        <w:ind w:left="1647" w:hanging="360"/>
      </w:pPr>
      <w:rPr>
        <w:rFonts w:ascii="Wingdings" w:hAnsi="Wingdings" w:hint="default"/>
      </w:rPr>
    </w:lvl>
    <w:lvl w:ilvl="2" w:tplc="0778CBA0" w:tentative="1">
      <w:start w:val="1"/>
      <w:numFmt w:val="bullet"/>
      <w:lvlText w:val=""/>
      <w:lvlJc w:val="left"/>
      <w:pPr>
        <w:tabs>
          <w:tab w:val="num" w:pos="2367"/>
        </w:tabs>
        <w:ind w:left="2367" w:hanging="360"/>
      </w:pPr>
      <w:rPr>
        <w:rFonts w:ascii="Wingdings" w:hAnsi="Wingdings" w:hint="default"/>
      </w:rPr>
    </w:lvl>
    <w:lvl w:ilvl="3" w:tplc="71E267E6" w:tentative="1">
      <w:start w:val="1"/>
      <w:numFmt w:val="bullet"/>
      <w:lvlText w:val=""/>
      <w:lvlJc w:val="left"/>
      <w:pPr>
        <w:tabs>
          <w:tab w:val="num" w:pos="3087"/>
        </w:tabs>
        <w:ind w:left="3087" w:hanging="360"/>
      </w:pPr>
      <w:rPr>
        <w:rFonts w:ascii="Wingdings" w:hAnsi="Wingdings" w:hint="default"/>
      </w:rPr>
    </w:lvl>
    <w:lvl w:ilvl="4" w:tplc="76C4DA08" w:tentative="1">
      <w:start w:val="1"/>
      <w:numFmt w:val="bullet"/>
      <w:lvlText w:val=""/>
      <w:lvlJc w:val="left"/>
      <w:pPr>
        <w:tabs>
          <w:tab w:val="num" w:pos="3807"/>
        </w:tabs>
        <w:ind w:left="3807" w:hanging="360"/>
      </w:pPr>
      <w:rPr>
        <w:rFonts w:ascii="Wingdings" w:hAnsi="Wingdings" w:hint="default"/>
      </w:rPr>
    </w:lvl>
    <w:lvl w:ilvl="5" w:tplc="0B32BB10" w:tentative="1">
      <w:start w:val="1"/>
      <w:numFmt w:val="bullet"/>
      <w:lvlText w:val=""/>
      <w:lvlJc w:val="left"/>
      <w:pPr>
        <w:tabs>
          <w:tab w:val="num" w:pos="4527"/>
        </w:tabs>
        <w:ind w:left="4527" w:hanging="360"/>
      </w:pPr>
      <w:rPr>
        <w:rFonts w:ascii="Wingdings" w:hAnsi="Wingdings" w:hint="default"/>
      </w:rPr>
    </w:lvl>
    <w:lvl w:ilvl="6" w:tplc="F5EC012E" w:tentative="1">
      <w:start w:val="1"/>
      <w:numFmt w:val="bullet"/>
      <w:lvlText w:val=""/>
      <w:lvlJc w:val="left"/>
      <w:pPr>
        <w:tabs>
          <w:tab w:val="num" w:pos="5247"/>
        </w:tabs>
        <w:ind w:left="5247" w:hanging="360"/>
      </w:pPr>
      <w:rPr>
        <w:rFonts w:ascii="Wingdings" w:hAnsi="Wingdings" w:hint="default"/>
      </w:rPr>
    </w:lvl>
    <w:lvl w:ilvl="7" w:tplc="A5483CFE" w:tentative="1">
      <w:start w:val="1"/>
      <w:numFmt w:val="bullet"/>
      <w:lvlText w:val=""/>
      <w:lvlJc w:val="left"/>
      <w:pPr>
        <w:tabs>
          <w:tab w:val="num" w:pos="5967"/>
        </w:tabs>
        <w:ind w:left="5967" w:hanging="360"/>
      </w:pPr>
      <w:rPr>
        <w:rFonts w:ascii="Wingdings" w:hAnsi="Wingdings" w:hint="default"/>
      </w:rPr>
    </w:lvl>
    <w:lvl w:ilvl="8" w:tplc="41AA6D18" w:tentative="1">
      <w:start w:val="1"/>
      <w:numFmt w:val="bullet"/>
      <w:lvlText w:val=""/>
      <w:lvlJc w:val="left"/>
      <w:pPr>
        <w:tabs>
          <w:tab w:val="num" w:pos="6687"/>
        </w:tabs>
        <w:ind w:left="6687" w:hanging="360"/>
      </w:pPr>
      <w:rPr>
        <w:rFonts w:ascii="Wingdings" w:hAnsi="Wingdings" w:hint="default"/>
      </w:rPr>
    </w:lvl>
  </w:abstractNum>
  <w:abstractNum w:abstractNumId="1" w15:restartNumberingAfterBreak="0">
    <w:nsid w:val="5A4A1BFA"/>
    <w:multiLevelType w:val="hybridMultilevel"/>
    <w:tmpl w:val="000C1438"/>
    <w:lvl w:ilvl="0" w:tplc="FD2E6C12">
      <w:start w:val="1"/>
      <w:numFmt w:val="bullet"/>
      <w:lvlText w:val=""/>
      <w:lvlJc w:val="left"/>
      <w:pPr>
        <w:tabs>
          <w:tab w:val="num" w:pos="720"/>
        </w:tabs>
        <w:ind w:left="720" w:hanging="360"/>
      </w:pPr>
      <w:rPr>
        <w:rFonts w:ascii="Wingdings" w:hAnsi="Wingdings" w:hint="default"/>
      </w:rPr>
    </w:lvl>
    <w:lvl w:ilvl="1" w:tplc="71C29410" w:tentative="1">
      <w:start w:val="1"/>
      <w:numFmt w:val="bullet"/>
      <w:lvlText w:val=""/>
      <w:lvlJc w:val="left"/>
      <w:pPr>
        <w:tabs>
          <w:tab w:val="num" w:pos="1440"/>
        </w:tabs>
        <w:ind w:left="1440" w:hanging="360"/>
      </w:pPr>
      <w:rPr>
        <w:rFonts w:ascii="Wingdings" w:hAnsi="Wingdings" w:hint="default"/>
      </w:rPr>
    </w:lvl>
    <w:lvl w:ilvl="2" w:tplc="9258D714" w:tentative="1">
      <w:start w:val="1"/>
      <w:numFmt w:val="bullet"/>
      <w:lvlText w:val=""/>
      <w:lvlJc w:val="left"/>
      <w:pPr>
        <w:tabs>
          <w:tab w:val="num" w:pos="2160"/>
        </w:tabs>
        <w:ind w:left="2160" w:hanging="360"/>
      </w:pPr>
      <w:rPr>
        <w:rFonts w:ascii="Wingdings" w:hAnsi="Wingdings" w:hint="default"/>
      </w:rPr>
    </w:lvl>
    <w:lvl w:ilvl="3" w:tplc="C31ED1AC" w:tentative="1">
      <w:start w:val="1"/>
      <w:numFmt w:val="bullet"/>
      <w:lvlText w:val=""/>
      <w:lvlJc w:val="left"/>
      <w:pPr>
        <w:tabs>
          <w:tab w:val="num" w:pos="2880"/>
        </w:tabs>
        <w:ind w:left="2880" w:hanging="360"/>
      </w:pPr>
      <w:rPr>
        <w:rFonts w:ascii="Wingdings" w:hAnsi="Wingdings" w:hint="default"/>
      </w:rPr>
    </w:lvl>
    <w:lvl w:ilvl="4" w:tplc="2CD6645A" w:tentative="1">
      <w:start w:val="1"/>
      <w:numFmt w:val="bullet"/>
      <w:lvlText w:val=""/>
      <w:lvlJc w:val="left"/>
      <w:pPr>
        <w:tabs>
          <w:tab w:val="num" w:pos="3600"/>
        </w:tabs>
        <w:ind w:left="3600" w:hanging="360"/>
      </w:pPr>
      <w:rPr>
        <w:rFonts w:ascii="Wingdings" w:hAnsi="Wingdings" w:hint="default"/>
      </w:rPr>
    </w:lvl>
    <w:lvl w:ilvl="5" w:tplc="4AFC124C" w:tentative="1">
      <w:start w:val="1"/>
      <w:numFmt w:val="bullet"/>
      <w:lvlText w:val=""/>
      <w:lvlJc w:val="left"/>
      <w:pPr>
        <w:tabs>
          <w:tab w:val="num" w:pos="4320"/>
        </w:tabs>
        <w:ind w:left="4320" w:hanging="360"/>
      </w:pPr>
      <w:rPr>
        <w:rFonts w:ascii="Wingdings" w:hAnsi="Wingdings" w:hint="default"/>
      </w:rPr>
    </w:lvl>
    <w:lvl w:ilvl="6" w:tplc="72104072" w:tentative="1">
      <w:start w:val="1"/>
      <w:numFmt w:val="bullet"/>
      <w:lvlText w:val=""/>
      <w:lvlJc w:val="left"/>
      <w:pPr>
        <w:tabs>
          <w:tab w:val="num" w:pos="5040"/>
        </w:tabs>
        <w:ind w:left="5040" w:hanging="360"/>
      </w:pPr>
      <w:rPr>
        <w:rFonts w:ascii="Wingdings" w:hAnsi="Wingdings" w:hint="default"/>
      </w:rPr>
    </w:lvl>
    <w:lvl w:ilvl="7" w:tplc="E4D0A4AC" w:tentative="1">
      <w:start w:val="1"/>
      <w:numFmt w:val="bullet"/>
      <w:lvlText w:val=""/>
      <w:lvlJc w:val="left"/>
      <w:pPr>
        <w:tabs>
          <w:tab w:val="num" w:pos="5760"/>
        </w:tabs>
        <w:ind w:left="5760" w:hanging="360"/>
      </w:pPr>
      <w:rPr>
        <w:rFonts w:ascii="Wingdings" w:hAnsi="Wingdings" w:hint="default"/>
      </w:rPr>
    </w:lvl>
    <w:lvl w:ilvl="8" w:tplc="0C6ABA6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600B54A9"/>
    <w:multiLevelType w:val="hybridMultilevel"/>
    <w:tmpl w:val="25F8237E"/>
    <w:lvl w:ilvl="0" w:tplc="E960BB2C">
      <w:start w:val="1"/>
      <w:numFmt w:val="bullet"/>
      <w:lvlText w:val=""/>
      <w:lvlJc w:val="left"/>
      <w:pPr>
        <w:tabs>
          <w:tab w:val="num" w:pos="720"/>
        </w:tabs>
        <w:ind w:left="720" w:hanging="360"/>
      </w:pPr>
      <w:rPr>
        <w:rFonts w:ascii="Wingdings" w:hAnsi="Wingdings" w:hint="default"/>
      </w:rPr>
    </w:lvl>
    <w:lvl w:ilvl="1" w:tplc="111E13B4" w:tentative="1">
      <w:start w:val="1"/>
      <w:numFmt w:val="bullet"/>
      <w:lvlText w:val=""/>
      <w:lvlJc w:val="left"/>
      <w:pPr>
        <w:tabs>
          <w:tab w:val="num" w:pos="1440"/>
        </w:tabs>
        <w:ind w:left="1440" w:hanging="360"/>
      </w:pPr>
      <w:rPr>
        <w:rFonts w:ascii="Wingdings" w:hAnsi="Wingdings" w:hint="default"/>
      </w:rPr>
    </w:lvl>
    <w:lvl w:ilvl="2" w:tplc="2500D75E" w:tentative="1">
      <w:start w:val="1"/>
      <w:numFmt w:val="bullet"/>
      <w:lvlText w:val=""/>
      <w:lvlJc w:val="left"/>
      <w:pPr>
        <w:tabs>
          <w:tab w:val="num" w:pos="2160"/>
        </w:tabs>
        <w:ind w:left="2160" w:hanging="360"/>
      </w:pPr>
      <w:rPr>
        <w:rFonts w:ascii="Wingdings" w:hAnsi="Wingdings" w:hint="default"/>
      </w:rPr>
    </w:lvl>
    <w:lvl w:ilvl="3" w:tplc="E246423C" w:tentative="1">
      <w:start w:val="1"/>
      <w:numFmt w:val="bullet"/>
      <w:lvlText w:val=""/>
      <w:lvlJc w:val="left"/>
      <w:pPr>
        <w:tabs>
          <w:tab w:val="num" w:pos="2880"/>
        </w:tabs>
        <w:ind w:left="2880" w:hanging="360"/>
      </w:pPr>
      <w:rPr>
        <w:rFonts w:ascii="Wingdings" w:hAnsi="Wingdings" w:hint="default"/>
      </w:rPr>
    </w:lvl>
    <w:lvl w:ilvl="4" w:tplc="66A2D170" w:tentative="1">
      <w:start w:val="1"/>
      <w:numFmt w:val="bullet"/>
      <w:lvlText w:val=""/>
      <w:lvlJc w:val="left"/>
      <w:pPr>
        <w:tabs>
          <w:tab w:val="num" w:pos="3600"/>
        </w:tabs>
        <w:ind w:left="3600" w:hanging="360"/>
      </w:pPr>
      <w:rPr>
        <w:rFonts w:ascii="Wingdings" w:hAnsi="Wingdings" w:hint="default"/>
      </w:rPr>
    </w:lvl>
    <w:lvl w:ilvl="5" w:tplc="2CF069EC" w:tentative="1">
      <w:start w:val="1"/>
      <w:numFmt w:val="bullet"/>
      <w:lvlText w:val=""/>
      <w:lvlJc w:val="left"/>
      <w:pPr>
        <w:tabs>
          <w:tab w:val="num" w:pos="4320"/>
        </w:tabs>
        <w:ind w:left="4320" w:hanging="360"/>
      </w:pPr>
      <w:rPr>
        <w:rFonts w:ascii="Wingdings" w:hAnsi="Wingdings" w:hint="default"/>
      </w:rPr>
    </w:lvl>
    <w:lvl w:ilvl="6" w:tplc="F8CE9788" w:tentative="1">
      <w:start w:val="1"/>
      <w:numFmt w:val="bullet"/>
      <w:lvlText w:val=""/>
      <w:lvlJc w:val="left"/>
      <w:pPr>
        <w:tabs>
          <w:tab w:val="num" w:pos="5040"/>
        </w:tabs>
        <w:ind w:left="5040" w:hanging="360"/>
      </w:pPr>
      <w:rPr>
        <w:rFonts w:ascii="Wingdings" w:hAnsi="Wingdings" w:hint="default"/>
      </w:rPr>
    </w:lvl>
    <w:lvl w:ilvl="7" w:tplc="D3921098" w:tentative="1">
      <w:start w:val="1"/>
      <w:numFmt w:val="bullet"/>
      <w:lvlText w:val=""/>
      <w:lvlJc w:val="left"/>
      <w:pPr>
        <w:tabs>
          <w:tab w:val="num" w:pos="5760"/>
        </w:tabs>
        <w:ind w:left="5760" w:hanging="360"/>
      </w:pPr>
      <w:rPr>
        <w:rFonts w:ascii="Wingdings" w:hAnsi="Wingdings" w:hint="default"/>
      </w:rPr>
    </w:lvl>
    <w:lvl w:ilvl="8" w:tplc="1970304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C677103"/>
    <w:multiLevelType w:val="hybridMultilevel"/>
    <w:tmpl w:val="C67AB3B2"/>
    <w:lvl w:ilvl="0" w:tplc="283AB83C">
      <w:start w:val="1"/>
      <w:numFmt w:val="bullet"/>
      <w:lvlText w:val=""/>
      <w:lvlJc w:val="left"/>
      <w:pPr>
        <w:tabs>
          <w:tab w:val="num" w:pos="720"/>
        </w:tabs>
        <w:ind w:left="720" w:hanging="360"/>
      </w:pPr>
      <w:rPr>
        <w:rFonts w:ascii="Wingdings" w:hAnsi="Wingdings" w:hint="default"/>
      </w:rPr>
    </w:lvl>
    <w:lvl w:ilvl="1" w:tplc="6CB00600" w:tentative="1">
      <w:start w:val="1"/>
      <w:numFmt w:val="bullet"/>
      <w:lvlText w:val=""/>
      <w:lvlJc w:val="left"/>
      <w:pPr>
        <w:tabs>
          <w:tab w:val="num" w:pos="1440"/>
        </w:tabs>
        <w:ind w:left="1440" w:hanging="360"/>
      </w:pPr>
      <w:rPr>
        <w:rFonts w:ascii="Wingdings" w:hAnsi="Wingdings" w:hint="default"/>
      </w:rPr>
    </w:lvl>
    <w:lvl w:ilvl="2" w:tplc="879E25A8" w:tentative="1">
      <w:start w:val="1"/>
      <w:numFmt w:val="bullet"/>
      <w:lvlText w:val=""/>
      <w:lvlJc w:val="left"/>
      <w:pPr>
        <w:tabs>
          <w:tab w:val="num" w:pos="2160"/>
        </w:tabs>
        <w:ind w:left="2160" w:hanging="360"/>
      </w:pPr>
      <w:rPr>
        <w:rFonts w:ascii="Wingdings" w:hAnsi="Wingdings" w:hint="default"/>
      </w:rPr>
    </w:lvl>
    <w:lvl w:ilvl="3" w:tplc="2A3C9B66" w:tentative="1">
      <w:start w:val="1"/>
      <w:numFmt w:val="bullet"/>
      <w:lvlText w:val=""/>
      <w:lvlJc w:val="left"/>
      <w:pPr>
        <w:tabs>
          <w:tab w:val="num" w:pos="2880"/>
        </w:tabs>
        <w:ind w:left="2880" w:hanging="360"/>
      </w:pPr>
      <w:rPr>
        <w:rFonts w:ascii="Wingdings" w:hAnsi="Wingdings" w:hint="default"/>
      </w:rPr>
    </w:lvl>
    <w:lvl w:ilvl="4" w:tplc="209C8B94" w:tentative="1">
      <w:start w:val="1"/>
      <w:numFmt w:val="bullet"/>
      <w:lvlText w:val=""/>
      <w:lvlJc w:val="left"/>
      <w:pPr>
        <w:tabs>
          <w:tab w:val="num" w:pos="3600"/>
        </w:tabs>
        <w:ind w:left="3600" w:hanging="360"/>
      </w:pPr>
      <w:rPr>
        <w:rFonts w:ascii="Wingdings" w:hAnsi="Wingdings" w:hint="default"/>
      </w:rPr>
    </w:lvl>
    <w:lvl w:ilvl="5" w:tplc="2048C106" w:tentative="1">
      <w:start w:val="1"/>
      <w:numFmt w:val="bullet"/>
      <w:lvlText w:val=""/>
      <w:lvlJc w:val="left"/>
      <w:pPr>
        <w:tabs>
          <w:tab w:val="num" w:pos="4320"/>
        </w:tabs>
        <w:ind w:left="4320" w:hanging="360"/>
      </w:pPr>
      <w:rPr>
        <w:rFonts w:ascii="Wingdings" w:hAnsi="Wingdings" w:hint="default"/>
      </w:rPr>
    </w:lvl>
    <w:lvl w:ilvl="6" w:tplc="78B079C4" w:tentative="1">
      <w:start w:val="1"/>
      <w:numFmt w:val="bullet"/>
      <w:lvlText w:val=""/>
      <w:lvlJc w:val="left"/>
      <w:pPr>
        <w:tabs>
          <w:tab w:val="num" w:pos="5040"/>
        </w:tabs>
        <w:ind w:left="5040" w:hanging="360"/>
      </w:pPr>
      <w:rPr>
        <w:rFonts w:ascii="Wingdings" w:hAnsi="Wingdings" w:hint="default"/>
      </w:rPr>
    </w:lvl>
    <w:lvl w:ilvl="7" w:tplc="AF3ACD60" w:tentative="1">
      <w:start w:val="1"/>
      <w:numFmt w:val="bullet"/>
      <w:lvlText w:val=""/>
      <w:lvlJc w:val="left"/>
      <w:pPr>
        <w:tabs>
          <w:tab w:val="num" w:pos="5760"/>
        </w:tabs>
        <w:ind w:left="5760" w:hanging="360"/>
      </w:pPr>
      <w:rPr>
        <w:rFonts w:ascii="Wingdings" w:hAnsi="Wingdings" w:hint="default"/>
      </w:rPr>
    </w:lvl>
    <w:lvl w:ilvl="8" w:tplc="6D0E288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719359B9"/>
    <w:multiLevelType w:val="hybridMultilevel"/>
    <w:tmpl w:val="94BEACE8"/>
    <w:lvl w:ilvl="0" w:tplc="ED56AD20">
      <w:start w:val="1"/>
      <w:numFmt w:val="bullet"/>
      <w:lvlText w:val=""/>
      <w:lvlJc w:val="left"/>
      <w:pPr>
        <w:tabs>
          <w:tab w:val="num" w:pos="720"/>
        </w:tabs>
        <w:ind w:left="720" w:hanging="360"/>
      </w:pPr>
      <w:rPr>
        <w:rFonts w:ascii="Wingdings" w:hAnsi="Wingdings" w:hint="default"/>
      </w:rPr>
    </w:lvl>
    <w:lvl w:ilvl="1" w:tplc="2ED0592A">
      <w:start w:val="1"/>
      <w:numFmt w:val="bullet"/>
      <w:lvlText w:val=""/>
      <w:lvlJc w:val="left"/>
      <w:pPr>
        <w:tabs>
          <w:tab w:val="num" w:pos="1440"/>
        </w:tabs>
        <w:ind w:left="1440" w:hanging="360"/>
      </w:pPr>
      <w:rPr>
        <w:rFonts w:ascii="Wingdings" w:hAnsi="Wingdings" w:hint="default"/>
      </w:rPr>
    </w:lvl>
    <w:lvl w:ilvl="2" w:tplc="3664E9F4" w:tentative="1">
      <w:start w:val="1"/>
      <w:numFmt w:val="bullet"/>
      <w:lvlText w:val=""/>
      <w:lvlJc w:val="left"/>
      <w:pPr>
        <w:tabs>
          <w:tab w:val="num" w:pos="2160"/>
        </w:tabs>
        <w:ind w:left="2160" w:hanging="360"/>
      </w:pPr>
      <w:rPr>
        <w:rFonts w:ascii="Wingdings" w:hAnsi="Wingdings" w:hint="default"/>
      </w:rPr>
    </w:lvl>
    <w:lvl w:ilvl="3" w:tplc="F9FAB864" w:tentative="1">
      <w:start w:val="1"/>
      <w:numFmt w:val="bullet"/>
      <w:lvlText w:val=""/>
      <w:lvlJc w:val="left"/>
      <w:pPr>
        <w:tabs>
          <w:tab w:val="num" w:pos="2880"/>
        </w:tabs>
        <w:ind w:left="2880" w:hanging="360"/>
      </w:pPr>
      <w:rPr>
        <w:rFonts w:ascii="Wingdings" w:hAnsi="Wingdings" w:hint="default"/>
      </w:rPr>
    </w:lvl>
    <w:lvl w:ilvl="4" w:tplc="6AE66AF8" w:tentative="1">
      <w:start w:val="1"/>
      <w:numFmt w:val="bullet"/>
      <w:lvlText w:val=""/>
      <w:lvlJc w:val="left"/>
      <w:pPr>
        <w:tabs>
          <w:tab w:val="num" w:pos="3600"/>
        </w:tabs>
        <w:ind w:left="3600" w:hanging="360"/>
      </w:pPr>
      <w:rPr>
        <w:rFonts w:ascii="Wingdings" w:hAnsi="Wingdings" w:hint="default"/>
      </w:rPr>
    </w:lvl>
    <w:lvl w:ilvl="5" w:tplc="3D5C6FEA" w:tentative="1">
      <w:start w:val="1"/>
      <w:numFmt w:val="bullet"/>
      <w:lvlText w:val=""/>
      <w:lvlJc w:val="left"/>
      <w:pPr>
        <w:tabs>
          <w:tab w:val="num" w:pos="4320"/>
        </w:tabs>
        <w:ind w:left="4320" w:hanging="360"/>
      </w:pPr>
      <w:rPr>
        <w:rFonts w:ascii="Wingdings" w:hAnsi="Wingdings" w:hint="default"/>
      </w:rPr>
    </w:lvl>
    <w:lvl w:ilvl="6" w:tplc="C97AE562" w:tentative="1">
      <w:start w:val="1"/>
      <w:numFmt w:val="bullet"/>
      <w:lvlText w:val=""/>
      <w:lvlJc w:val="left"/>
      <w:pPr>
        <w:tabs>
          <w:tab w:val="num" w:pos="5040"/>
        </w:tabs>
        <w:ind w:left="5040" w:hanging="360"/>
      </w:pPr>
      <w:rPr>
        <w:rFonts w:ascii="Wingdings" w:hAnsi="Wingdings" w:hint="default"/>
      </w:rPr>
    </w:lvl>
    <w:lvl w:ilvl="7" w:tplc="99141AE6" w:tentative="1">
      <w:start w:val="1"/>
      <w:numFmt w:val="bullet"/>
      <w:lvlText w:val=""/>
      <w:lvlJc w:val="left"/>
      <w:pPr>
        <w:tabs>
          <w:tab w:val="num" w:pos="5760"/>
        </w:tabs>
        <w:ind w:left="5760" w:hanging="360"/>
      </w:pPr>
      <w:rPr>
        <w:rFonts w:ascii="Wingdings" w:hAnsi="Wingdings" w:hint="default"/>
      </w:rPr>
    </w:lvl>
    <w:lvl w:ilvl="8" w:tplc="2A86DDFC"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65F6"/>
    <w:rsid w:val="0003302A"/>
    <w:rsid w:val="00034C26"/>
    <w:rsid w:val="00035F2F"/>
    <w:rsid w:val="000416DB"/>
    <w:rsid w:val="000473AC"/>
    <w:rsid w:val="00064811"/>
    <w:rsid w:val="00065963"/>
    <w:rsid w:val="0007027B"/>
    <w:rsid w:val="000851DF"/>
    <w:rsid w:val="000A2C97"/>
    <w:rsid w:val="000A5257"/>
    <w:rsid w:val="000C2187"/>
    <w:rsid w:val="000D0E04"/>
    <w:rsid w:val="000F3C21"/>
    <w:rsid w:val="0010158E"/>
    <w:rsid w:val="0012339F"/>
    <w:rsid w:val="001357DF"/>
    <w:rsid w:val="00144C97"/>
    <w:rsid w:val="00193F37"/>
    <w:rsid w:val="00195D19"/>
    <w:rsid w:val="001B4933"/>
    <w:rsid w:val="001C4777"/>
    <w:rsid w:val="001C752B"/>
    <w:rsid w:val="001D0A64"/>
    <w:rsid w:val="001D5D60"/>
    <w:rsid w:val="001F1167"/>
    <w:rsid w:val="0020795A"/>
    <w:rsid w:val="00222ABB"/>
    <w:rsid w:val="002508EF"/>
    <w:rsid w:val="00250963"/>
    <w:rsid w:val="00260528"/>
    <w:rsid w:val="00265E73"/>
    <w:rsid w:val="0028641F"/>
    <w:rsid w:val="00293528"/>
    <w:rsid w:val="00297C45"/>
    <w:rsid w:val="00297C73"/>
    <w:rsid w:val="002A15F0"/>
    <w:rsid w:val="002A69CE"/>
    <w:rsid w:val="002A711D"/>
    <w:rsid w:val="002B4B64"/>
    <w:rsid w:val="002B65D3"/>
    <w:rsid w:val="002C4B91"/>
    <w:rsid w:val="002D7078"/>
    <w:rsid w:val="002E5E88"/>
    <w:rsid w:val="0030160B"/>
    <w:rsid w:val="00305AA6"/>
    <w:rsid w:val="003112FB"/>
    <w:rsid w:val="003130E1"/>
    <w:rsid w:val="00317CCC"/>
    <w:rsid w:val="00343053"/>
    <w:rsid w:val="00345CDF"/>
    <w:rsid w:val="00367CA6"/>
    <w:rsid w:val="0038458D"/>
    <w:rsid w:val="00391619"/>
    <w:rsid w:val="003B58E2"/>
    <w:rsid w:val="003C12D5"/>
    <w:rsid w:val="003F7D91"/>
    <w:rsid w:val="00415701"/>
    <w:rsid w:val="0041653A"/>
    <w:rsid w:val="004212ED"/>
    <w:rsid w:val="00423171"/>
    <w:rsid w:val="004268B7"/>
    <w:rsid w:val="004340D0"/>
    <w:rsid w:val="00466CE1"/>
    <w:rsid w:val="004B7429"/>
    <w:rsid w:val="004C7A8A"/>
    <w:rsid w:val="004D009C"/>
    <w:rsid w:val="004F120C"/>
    <w:rsid w:val="004F718C"/>
    <w:rsid w:val="00511087"/>
    <w:rsid w:val="00511308"/>
    <w:rsid w:val="00517560"/>
    <w:rsid w:val="00546F61"/>
    <w:rsid w:val="005512A3"/>
    <w:rsid w:val="005655EE"/>
    <w:rsid w:val="00566BA6"/>
    <w:rsid w:val="0057759B"/>
    <w:rsid w:val="00583453"/>
    <w:rsid w:val="00585106"/>
    <w:rsid w:val="00585792"/>
    <w:rsid w:val="005A151B"/>
    <w:rsid w:val="005A47AB"/>
    <w:rsid w:val="005B0779"/>
    <w:rsid w:val="005B1B5C"/>
    <w:rsid w:val="005C0116"/>
    <w:rsid w:val="005C2CAF"/>
    <w:rsid w:val="005C77A7"/>
    <w:rsid w:val="005D0DF4"/>
    <w:rsid w:val="005D7941"/>
    <w:rsid w:val="005E414F"/>
    <w:rsid w:val="005F3E5F"/>
    <w:rsid w:val="005F7FF6"/>
    <w:rsid w:val="00605731"/>
    <w:rsid w:val="00617CDE"/>
    <w:rsid w:val="006566C0"/>
    <w:rsid w:val="006757D7"/>
    <w:rsid w:val="006A43DF"/>
    <w:rsid w:val="006B7651"/>
    <w:rsid w:val="006C1E99"/>
    <w:rsid w:val="006F15A5"/>
    <w:rsid w:val="00700B3C"/>
    <w:rsid w:val="00703A1B"/>
    <w:rsid w:val="00714E28"/>
    <w:rsid w:val="00745846"/>
    <w:rsid w:val="0074769E"/>
    <w:rsid w:val="00752886"/>
    <w:rsid w:val="00757403"/>
    <w:rsid w:val="007609AC"/>
    <w:rsid w:val="007664BC"/>
    <w:rsid w:val="007755D7"/>
    <w:rsid w:val="00781A0E"/>
    <w:rsid w:val="00796D61"/>
    <w:rsid w:val="007B0E78"/>
    <w:rsid w:val="007C0D20"/>
    <w:rsid w:val="007D3AD4"/>
    <w:rsid w:val="007D40FF"/>
    <w:rsid w:val="007D4DC6"/>
    <w:rsid w:val="007E0FB7"/>
    <w:rsid w:val="007E2CC7"/>
    <w:rsid w:val="007F4377"/>
    <w:rsid w:val="00802093"/>
    <w:rsid w:val="00802745"/>
    <w:rsid w:val="00805BB6"/>
    <w:rsid w:val="00817CBF"/>
    <w:rsid w:val="00820183"/>
    <w:rsid w:val="00826476"/>
    <w:rsid w:val="00830A4F"/>
    <w:rsid w:val="00831FDC"/>
    <w:rsid w:val="00836DDD"/>
    <w:rsid w:val="008524F8"/>
    <w:rsid w:val="00867C1C"/>
    <w:rsid w:val="00875134"/>
    <w:rsid w:val="008835CB"/>
    <w:rsid w:val="008849AE"/>
    <w:rsid w:val="0088629A"/>
    <w:rsid w:val="008903F6"/>
    <w:rsid w:val="00893953"/>
    <w:rsid w:val="008C4F82"/>
    <w:rsid w:val="008C7693"/>
    <w:rsid w:val="008D1D6F"/>
    <w:rsid w:val="008D68AA"/>
    <w:rsid w:val="008F5422"/>
    <w:rsid w:val="00920DC8"/>
    <w:rsid w:val="0093297C"/>
    <w:rsid w:val="00935F9C"/>
    <w:rsid w:val="00942FFD"/>
    <w:rsid w:val="009517E7"/>
    <w:rsid w:val="00966A4B"/>
    <w:rsid w:val="00982E1A"/>
    <w:rsid w:val="00994F4F"/>
    <w:rsid w:val="009A57DC"/>
    <w:rsid w:val="009D53B9"/>
    <w:rsid w:val="009E23DE"/>
    <w:rsid w:val="00A14813"/>
    <w:rsid w:val="00A176E8"/>
    <w:rsid w:val="00A27814"/>
    <w:rsid w:val="00A306AD"/>
    <w:rsid w:val="00A32F4E"/>
    <w:rsid w:val="00A355D4"/>
    <w:rsid w:val="00A46185"/>
    <w:rsid w:val="00A55210"/>
    <w:rsid w:val="00A64CB6"/>
    <w:rsid w:val="00A657C3"/>
    <w:rsid w:val="00A930CE"/>
    <w:rsid w:val="00AA67AD"/>
    <w:rsid w:val="00AB7ED9"/>
    <w:rsid w:val="00AC5983"/>
    <w:rsid w:val="00AC7A31"/>
    <w:rsid w:val="00AD61DD"/>
    <w:rsid w:val="00AF1785"/>
    <w:rsid w:val="00B12F97"/>
    <w:rsid w:val="00B14D45"/>
    <w:rsid w:val="00B23DFD"/>
    <w:rsid w:val="00B26340"/>
    <w:rsid w:val="00B30CAE"/>
    <w:rsid w:val="00B31B33"/>
    <w:rsid w:val="00B4646D"/>
    <w:rsid w:val="00B470BA"/>
    <w:rsid w:val="00B60A13"/>
    <w:rsid w:val="00B630AA"/>
    <w:rsid w:val="00B636E4"/>
    <w:rsid w:val="00B64F4C"/>
    <w:rsid w:val="00BA00CB"/>
    <w:rsid w:val="00BF655C"/>
    <w:rsid w:val="00BF6E9C"/>
    <w:rsid w:val="00C07DB2"/>
    <w:rsid w:val="00C1063B"/>
    <w:rsid w:val="00C149D5"/>
    <w:rsid w:val="00C259A7"/>
    <w:rsid w:val="00C41A9A"/>
    <w:rsid w:val="00C41B32"/>
    <w:rsid w:val="00C51A07"/>
    <w:rsid w:val="00C720C5"/>
    <w:rsid w:val="00C77007"/>
    <w:rsid w:val="00C81706"/>
    <w:rsid w:val="00CB3271"/>
    <w:rsid w:val="00CD3B93"/>
    <w:rsid w:val="00CD5813"/>
    <w:rsid w:val="00CD6ECB"/>
    <w:rsid w:val="00D13EE9"/>
    <w:rsid w:val="00D16A0B"/>
    <w:rsid w:val="00D16F1A"/>
    <w:rsid w:val="00D16F81"/>
    <w:rsid w:val="00D419FC"/>
    <w:rsid w:val="00D42260"/>
    <w:rsid w:val="00D44CFA"/>
    <w:rsid w:val="00D54309"/>
    <w:rsid w:val="00D665F6"/>
    <w:rsid w:val="00D6706B"/>
    <w:rsid w:val="00D8254B"/>
    <w:rsid w:val="00DB4F54"/>
    <w:rsid w:val="00DB5FD0"/>
    <w:rsid w:val="00DE0768"/>
    <w:rsid w:val="00E12171"/>
    <w:rsid w:val="00E1261F"/>
    <w:rsid w:val="00E33620"/>
    <w:rsid w:val="00E37083"/>
    <w:rsid w:val="00E71083"/>
    <w:rsid w:val="00E719C9"/>
    <w:rsid w:val="00E74788"/>
    <w:rsid w:val="00E954EC"/>
    <w:rsid w:val="00EA5AD9"/>
    <w:rsid w:val="00EB415D"/>
    <w:rsid w:val="00EB4C05"/>
    <w:rsid w:val="00ED6556"/>
    <w:rsid w:val="00F06876"/>
    <w:rsid w:val="00F11C93"/>
    <w:rsid w:val="00F14A5B"/>
    <w:rsid w:val="00F20AD7"/>
    <w:rsid w:val="00F333D3"/>
    <w:rsid w:val="00F3589B"/>
    <w:rsid w:val="00F3649D"/>
    <w:rsid w:val="00F36C4D"/>
    <w:rsid w:val="00F72D61"/>
    <w:rsid w:val="00F936CA"/>
    <w:rsid w:val="00FA377B"/>
    <w:rsid w:val="00FD0743"/>
    <w:rsid w:val="00FD11CB"/>
    <w:rsid w:val="00FE4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26BE98F-C578-4774-88AD-7C53FD34D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665F6"/>
    <w:rPr>
      <w:b/>
      <w:bCs/>
    </w:rPr>
  </w:style>
  <w:style w:type="paragraph" w:styleId="ListParagraph">
    <w:name w:val="List Paragraph"/>
    <w:basedOn w:val="Normal"/>
    <w:uiPriority w:val="34"/>
    <w:qFormat/>
    <w:rsid w:val="001D5D60"/>
    <w:pPr>
      <w:spacing w:after="0" w:line="240" w:lineRule="auto"/>
      <w:ind w:left="720"/>
      <w:contextualSpacing/>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0851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851DF"/>
    <w:rPr>
      <w:sz w:val="20"/>
      <w:szCs w:val="20"/>
    </w:rPr>
  </w:style>
  <w:style w:type="character" w:styleId="FootnoteReference">
    <w:name w:val="footnote reference"/>
    <w:basedOn w:val="DefaultParagraphFont"/>
    <w:uiPriority w:val="99"/>
    <w:semiHidden/>
    <w:unhideWhenUsed/>
    <w:rsid w:val="000851DF"/>
    <w:rPr>
      <w:vertAlign w:val="superscript"/>
    </w:rPr>
  </w:style>
  <w:style w:type="character" w:styleId="SubtleEmphasis">
    <w:name w:val="Subtle Emphasis"/>
    <w:basedOn w:val="DefaultParagraphFont"/>
    <w:uiPriority w:val="19"/>
    <w:qFormat/>
    <w:rsid w:val="007755D7"/>
    <w:rPr>
      <w:i/>
      <w:iCs/>
      <w:color w:val="404040" w:themeColor="text1" w:themeTint="BF"/>
    </w:rPr>
  </w:style>
  <w:style w:type="character" w:customStyle="1" w:styleId="shorttext">
    <w:name w:val="short_text"/>
    <w:basedOn w:val="DefaultParagraphFont"/>
    <w:rsid w:val="00BF6E9C"/>
  </w:style>
  <w:style w:type="character" w:styleId="Hyperlink">
    <w:name w:val="Hyperlink"/>
    <w:basedOn w:val="DefaultParagraphFont"/>
    <w:uiPriority w:val="99"/>
    <w:semiHidden/>
    <w:unhideWhenUsed/>
    <w:rsid w:val="00ED6556"/>
    <w:rPr>
      <w:color w:val="0000FF"/>
      <w:u w:val="single"/>
    </w:rPr>
  </w:style>
  <w:style w:type="character" w:customStyle="1" w:styleId="exldetailsdisplayval">
    <w:name w:val="exldetailsdisplayval"/>
    <w:basedOn w:val="DefaultParagraphFont"/>
    <w:rsid w:val="00ED65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4714778">
      <w:bodyDiv w:val="1"/>
      <w:marLeft w:val="0"/>
      <w:marRight w:val="0"/>
      <w:marTop w:val="0"/>
      <w:marBottom w:val="0"/>
      <w:divBdr>
        <w:top w:val="none" w:sz="0" w:space="0" w:color="auto"/>
        <w:left w:val="none" w:sz="0" w:space="0" w:color="auto"/>
        <w:bottom w:val="none" w:sz="0" w:space="0" w:color="auto"/>
        <w:right w:val="none" w:sz="0" w:space="0" w:color="auto"/>
      </w:divBdr>
      <w:divsChild>
        <w:div w:id="749694877">
          <w:marLeft w:val="504"/>
          <w:marRight w:val="0"/>
          <w:marTop w:val="140"/>
          <w:marBottom w:val="0"/>
          <w:divBdr>
            <w:top w:val="none" w:sz="0" w:space="0" w:color="auto"/>
            <w:left w:val="none" w:sz="0" w:space="0" w:color="auto"/>
            <w:bottom w:val="none" w:sz="0" w:space="0" w:color="auto"/>
            <w:right w:val="none" w:sz="0" w:space="0" w:color="auto"/>
          </w:divBdr>
        </w:div>
      </w:divsChild>
    </w:div>
    <w:div w:id="677662043">
      <w:bodyDiv w:val="1"/>
      <w:marLeft w:val="0"/>
      <w:marRight w:val="0"/>
      <w:marTop w:val="0"/>
      <w:marBottom w:val="0"/>
      <w:divBdr>
        <w:top w:val="none" w:sz="0" w:space="0" w:color="auto"/>
        <w:left w:val="none" w:sz="0" w:space="0" w:color="auto"/>
        <w:bottom w:val="none" w:sz="0" w:space="0" w:color="auto"/>
        <w:right w:val="none" w:sz="0" w:space="0" w:color="auto"/>
      </w:divBdr>
      <w:divsChild>
        <w:div w:id="1528175822">
          <w:marLeft w:val="504"/>
          <w:marRight w:val="0"/>
          <w:marTop w:val="140"/>
          <w:marBottom w:val="0"/>
          <w:divBdr>
            <w:top w:val="none" w:sz="0" w:space="0" w:color="auto"/>
            <w:left w:val="none" w:sz="0" w:space="0" w:color="auto"/>
            <w:bottom w:val="none" w:sz="0" w:space="0" w:color="auto"/>
            <w:right w:val="none" w:sz="0" w:space="0" w:color="auto"/>
          </w:divBdr>
        </w:div>
      </w:divsChild>
    </w:div>
    <w:div w:id="685131270">
      <w:bodyDiv w:val="1"/>
      <w:marLeft w:val="0"/>
      <w:marRight w:val="0"/>
      <w:marTop w:val="0"/>
      <w:marBottom w:val="0"/>
      <w:divBdr>
        <w:top w:val="none" w:sz="0" w:space="0" w:color="auto"/>
        <w:left w:val="none" w:sz="0" w:space="0" w:color="auto"/>
        <w:bottom w:val="none" w:sz="0" w:space="0" w:color="auto"/>
        <w:right w:val="none" w:sz="0" w:space="0" w:color="auto"/>
      </w:divBdr>
      <w:divsChild>
        <w:div w:id="1594632149">
          <w:marLeft w:val="504"/>
          <w:marRight w:val="0"/>
          <w:marTop w:val="140"/>
          <w:marBottom w:val="0"/>
          <w:divBdr>
            <w:top w:val="none" w:sz="0" w:space="0" w:color="auto"/>
            <w:left w:val="none" w:sz="0" w:space="0" w:color="auto"/>
            <w:bottom w:val="none" w:sz="0" w:space="0" w:color="auto"/>
            <w:right w:val="none" w:sz="0" w:space="0" w:color="auto"/>
          </w:divBdr>
        </w:div>
      </w:divsChild>
    </w:div>
    <w:div w:id="1277056930">
      <w:bodyDiv w:val="1"/>
      <w:marLeft w:val="0"/>
      <w:marRight w:val="0"/>
      <w:marTop w:val="0"/>
      <w:marBottom w:val="0"/>
      <w:divBdr>
        <w:top w:val="none" w:sz="0" w:space="0" w:color="auto"/>
        <w:left w:val="none" w:sz="0" w:space="0" w:color="auto"/>
        <w:bottom w:val="none" w:sz="0" w:space="0" w:color="auto"/>
        <w:right w:val="none" w:sz="0" w:space="0" w:color="auto"/>
      </w:divBdr>
      <w:divsChild>
        <w:div w:id="1255163934">
          <w:marLeft w:val="504"/>
          <w:marRight w:val="0"/>
          <w:marTop w:val="140"/>
          <w:marBottom w:val="0"/>
          <w:divBdr>
            <w:top w:val="none" w:sz="0" w:space="0" w:color="auto"/>
            <w:left w:val="none" w:sz="0" w:space="0" w:color="auto"/>
            <w:bottom w:val="none" w:sz="0" w:space="0" w:color="auto"/>
            <w:right w:val="none" w:sz="0" w:space="0" w:color="auto"/>
          </w:divBdr>
        </w:div>
      </w:divsChild>
    </w:div>
    <w:div w:id="1713264253">
      <w:bodyDiv w:val="1"/>
      <w:marLeft w:val="0"/>
      <w:marRight w:val="0"/>
      <w:marTop w:val="0"/>
      <w:marBottom w:val="0"/>
      <w:divBdr>
        <w:top w:val="none" w:sz="0" w:space="0" w:color="auto"/>
        <w:left w:val="none" w:sz="0" w:space="0" w:color="auto"/>
        <w:bottom w:val="none" w:sz="0" w:space="0" w:color="auto"/>
        <w:right w:val="none" w:sz="0" w:space="0" w:color="auto"/>
      </w:divBdr>
      <w:divsChild>
        <w:div w:id="1417899452">
          <w:marLeft w:val="504"/>
          <w:marRight w:val="0"/>
          <w:marTop w:val="140"/>
          <w:marBottom w:val="0"/>
          <w:divBdr>
            <w:top w:val="none" w:sz="0" w:space="0" w:color="auto"/>
            <w:left w:val="none" w:sz="0" w:space="0" w:color="auto"/>
            <w:bottom w:val="none" w:sz="0" w:space="0" w:color="auto"/>
            <w:right w:val="none" w:sz="0" w:space="0" w:color="auto"/>
          </w:divBdr>
        </w:div>
      </w:divsChild>
    </w:div>
    <w:div w:id="1777750469">
      <w:bodyDiv w:val="1"/>
      <w:marLeft w:val="0"/>
      <w:marRight w:val="0"/>
      <w:marTop w:val="0"/>
      <w:marBottom w:val="0"/>
      <w:divBdr>
        <w:top w:val="none" w:sz="0" w:space="0" w:color="auto"/>
        <w:left w:val="none" w:sz="0" w:space="0" w:color="auto"/>
        <w:bottom w:val="none" w:sz="0" w:space="0" w:color="auto"/>
        <w:right w:val="none" w:sz="0" w:space="0" w:color="auto"/>
      </w:divBdr>
      <w:divsChild>
        <w:div w:id="967201480">
          <w:marLeft w:val="504"/>
          <w:marRight w:val="0"/>
          <w:marTop w:val="1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3E77A6-813C-4F84-A594-D54DDCC82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2312</Words>
  <Characters>13184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3</cp:revision>
  <dcterms:created xsi:type="dcterms:W3CDTF">2017-12-08T12:49:00Z</dcterms:created>
  <dcterms:modified xsi:type="dcterms:W3CDTF">2017-12-08T12:50:00Z</dcterms:modified>
</cp:coreProperties>
</file>