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4DE3D5D" w14:textId="77777777" w:rsidR="00A85549" w:rsidRDefault="00A85549">
      <w:pPr>
        <w:spacing w:line="360" w:lineRule="auto"/>
        <w:jc w:val="center"/>
        <w:rPr>
          <w:b/>
          <w:sz w:val="28"/>
          <w:szCs w:val="28"/>
        </w:rPr>
      </w:pPr>
    </w:p>
    <w:p w14:paraId="60129CCC" w14:textId="77777777" w:rsidR="00A85549" w:rsidRDefault="00A85549">
      <w:pPr>
        <w:spacing w:line="360" w:lineRule="auto"/>
        <w:jc w:val="center"/>
        <w:rPr>
          <w:b/>
          <w:sz w:val="28"/>
          <w:szCs w:val="28"/>
        </w:rPr>
      </w:pPr>
    </w:p>
    <w:p w14:paraId="7B6AF967" w14:textId="77777777" w:rsidR="00A85549" w:rsidRPr="00A85549" w:rsidRDefault="00E269C7">
      <w:pPr>
        <w:spacing w:line="360" w:lineRule="auto"/>
        <w:jc w:val="center"/>
        <w:rPr>
          <w:b/>
          <w:sz w:val="36"/>
          <w:szCs w:val="36"/>
        </w:rPr>
      </w:pPr>
      <w:r w:rsidRPr="00A85549">
        <w:rPr>
          <w:b/>
          <w:sz w:val="36"/>
          <w:szCs w:val="36"/>
        </w:rPr>
        <w:t>Managing People</w:t>
      </w:r>
    </w:p>
    <w:p w14:paraId="54F097A4" w14:textId="77777777" w:rsidR="00A85549" w:rsidRPr="00A85549" w:rsidRDefault="00A85549">
      <w:pPr>
        <w:spacing w:line="360" w:lineRule="auto"/>
        <w:jc w:val="center"/>
        <w:rPr>
          <w:b/>
          <w:sz w:val="36"/>
          <w:szCs w:val="36"/>
        </w:rPr>
      </w:pPr>
    </w:p>
    <w:p w14:paraId="3DEDF534" w14:textId="39CC3EEE" w:rsidR="00A85549" w:rsidRDefault="00A85549" w:rsidP="00A85549">
      <w:pPr>
        <w:spacing w:line="360" w:lineRule="auto"/>
        <w:rPr>
          <w:b/>
          <w:sz w:val="28"/>
          <w:szCs w:val="28"/>
        </w:rPr>
      </w:pPr>
      <w:r>
        <w:rPr>
          <w:b/>
          <w:sz w:val="28"/>
          <w:szCs w:val="28"/>
        </w:rPr>
        <w:t xml:space="preserve">  Assessment 2                                                                                Student ID           2022007</w:t>
      </w:r>
    </w:p>
    <w:p w14:paraId="22560BDF" w14:textId="139491E6" w:rsidR="00A85549" w:rsidRPr="00A85549" w:rsidRDefault="00A85549" w:rsidP="00A85549">
      <w:pPr>
        <w:spacing w:line="360" w:lineRule="auto"/>
      </w:pPr>
      <w:r>
        <w:rPr>
          <w:b/>
          <w:sz w:val="28"/>
          <w:szCs w:val="28"/>
        </w:rPr>
        <w:t>Student Name     Narcis Gavril</w:t>
      </w:r>
      <w:r w:rsidR="00E269C7">
        <w:br w:type="page"/>
      </w:r>
    </w:p>
    <w:p w14:paraId="00000002" w14:textId="2A9811DD" w:rsidR="00DA50A6" w:rsidRDefault="00A85549">
      <w:pPr>
        <w:spacing w:line="360" w:lineRule="auto"/>
        <w:jc w:val="center"/>
        <w:rPr>
          <w:b/>
          <w:sz w:val="28"/>
          <w:szCs w:val="28"/>
        </w:rPr>
      </w:pPr>
      <w:r>
        <w:rPr>
          <w:b/>
          <w:sz w:val="28"/>
          <w:szCs w:val="28"/>
        </w:rPr>
        <w:lastRenderedPageBreak/>
        <w:t>T</w:t>
      </w:r>
      <w:r w:rsidR="00E269C7">
        <w:rPr>
          <w:b/>
          <w:sz w:val="28"/>
          <w:szCs w:val="28"/>
        </w:rPr>
        <w:t xml:space="preserve">able of Contents </w:t>
      </w:r>
    </w:p>
    <w:p w14:paraId="00000003" w14:textId="77777777" w:rsidR="00DA50A6" w:rsidRDefault="00DA50A6">
      <w:pPr>
        <w:spacing w:line="360" w:lineRule="auto"/>
        <w:jc w:val="both"/>
      </w:pPr>
    </w:p>
    <w:sdt>
      <w:sdtPr>
        <w:id w:val="-2010205136"/>
        <w:docPartObj>
          <w:docPartGallery w:val="Table of Contents"/>
          <w:docPartUnique/>
        </w:docPartObj>
      </w:sdtPr>
      <w:sdtEndPr/>
      <w:sdtContent>
        <w:p w14:paraId="00000004" w14:textId="77777777" w:rsidR="00DA50A6" w:rsidRDefault="00E269C7">
          <w:pPr>
            <w:tabs>
              <w:tab w:val="right" w:pos="9025"/>
            </w:tabs>
            <w:spacing w:before="80" w:line="360" w:lineRule="auto"/>
            <w:rPr>
              <w:b/>
              <w:color w:val="000000"/>
            </w:rPr>
          </w:pPr>
          <w:r>
            <w:fldChar w:fldCharType="begin"/>
          </w:r>
          <w:r>
            <w:instrText xml:space="preserve"> TOC \h \u \z </w:instrText>
          </w:r>
          <w:r>
            <w:fldChar w:fldCharType="separate"/>
          </w:r>
          <w:hyperlink w:anchor="_pckxv6y6rxs6">
            <w:r>
              <w:rPr>
                <w:b/>
                <w:color w:val="000000"/>
              </w:rPr>
              <w:t>Introduction</w:t>
            </w:r>
          </w:hyperlink>
          <w:r>
            <w:rPr>
              <w:b/>
              <w:color w:val="000000"/>
            </w:rPr>
            <w:tab/>
          </w:r>
          <w:r>
            <w:fldChar w:fldCharType="begin"/>
          </w:r>
          <w:r>
            <w:instrText xml:space="preserve"> PAGEREF _pckxv6y6rxs6 \h </w:instrText>
          </w:r>
          <w:r>
            <w:fldChar w:fldCharType="separate"/>
          </w:r>
          <w:r>
            <w:rPr>
              <w:b/>
              <w:color w:val="000000"/>
            </w:rPr>
            <w:t>3</w:t>
          </w:r>
          <w:r>
            <w:fldChar w:fldCharType="end"/>
          </w:r>
        </w:p>
        <w:p w14:paraId="00000005" w14:textId="77777777" w:rsidR="00DA50A6" w:rsidRDefault="00E269C7">
          <w:pPr>
            <w:tabs>
              <w:tab w:val="right" w:pos="9025"/>
            </w:tabs>
            <w:spacing w:before="200" w:line="360" w:lineRule="auto"/>
            <w:rPr>
              <w:b/>
              <w:color w:val="000000"/>
            </w:rPr>
          </w:pPr>
          <w:hyperlink w:anchor="_qb2foxraukaw">
            <w:r>
              <w:rPr>
                <w:b/>
                <w:color w:val="000000"/>
              </w:rPr>
              <w:t>The concept and drivers of employee engagement</w:t>
            </w:r>
          </w:hyperlink>
          <w:r>
            <w:rPr>
              <w:b/>
              <w:color w:val="000000"/>
            </w:rPr>
            <w:tab/>
          </w:r>
          <w:r>
            <w:fldChar w:fldCharType="begin"/>
          </w:r>
          <w:r>
            <w:instrText xml:space="preserve"> PAGEREF _qb2foxraukaw \h </w:instrText>
          </w:r>
          <w:r>
            <w:fldChar w:fldCharType="separate"/>
          </w:r>
          <w:r>
            <w:rPr>
              <w:b/>
              <w:color w:val="000000"/>
            </w:rPr>
            <w:t>3</w:t>
          </w:r>
          <w:r>
            <w:fldChar w:fldCharType="end"/>
          </w:r>
        </w:p>
        <w:p w14:paraId="00000006" w14:textId="77777777" w:rsidR="00DA50A6" w:rsidRDefault="00E269C7">
          <w:pPr>
            <w:tabs>
              <w:tab w:val="right" w:pos="9025"/>
            </w:tabs>
            <w:spacing w:before="60" w:line="360" w:lineRule="auto"/>
            <w:ind w:left="360"/>
          </w:pPr>
          <w:hyperlink w:anchor="_5z5wsshkzlwz">
            <w:r>
              <w:t>The Concept of Employee Engagement</w:t>
            </w:r>
          </w:hyperlink>
          <w:r>
            <w:tab/>
          </w:r>
          <w:r>
            <w:fldChar w:fldCharType="begin"/>
          </w:r>
          <w:r>
            <w:instrText xml:space="preserve"> PAGEREF _5z5wsshkzlwz \h </w:instrText>
          </w:r>
          <w:r>
            <w:fldChar w:fldCharType="separate"/>
          </w:r>
          <w:r>
            <w:t>3</w:t>
          </w:r>
          <w:r>
            <w:fldChar w:fldCharType="end"/>
          </w:r>
        </w:p>
        <w:p w14:paraId="00000007" w14:textId="77777777" w:rsidR="00DA50A6" w:rsidRDefault="00E269C7">
          <w:pPr>
            <w:tabs>
              <w:tab w:val="right" w:pos="9025"/>
            </w:tabs>
            <w:spacing w:before="60" w:line="360" w:lineRule="auto"/>
            <w:ind w:left="360"/>
          </w:pPr>
          <w:hyperlink w:anchor="_resecstzhuhm">
            <w:r>
              <w:t>The Driver of Employee Engagement</w:t>
            </w:r>
          </w:hyperlink>
          <w:r>
            <w:tab/>
          </w:r>
          <w:r>
            <w:fldChar w:fldCharType="begin"/>
          </w:r>
          <w:r>
            <w:instrText xml:space="preserve"> PAGEREF _resecstzhuhm \h </w:instrText>
          </w:r>
          <w:r>
            <w:fldChar w:fldCharType="separate"/>
          </w:r>
          <w:r>
            <w:t>4</w:t>
          </w:r>
          <w:r>
            <w:fldChar w:fldCharType="end"/>
          </w:r>
        </w:p>
        <w:p w14:paraId="00000008" w14:textId="77777777" w:rsidR="00DA50A6" w:rsidRDefault="00E269C7">
          <w:pPr>
            <w:tabs>
              <w:tab w:val="right" w:pos="9025"/>
            </w:tabs>
            <w:spacing w:before="200" w:line="360" w:lineRule="auto"/>
            <w:rPr>
              <w:b/>
              <w:color w:val="000000"/>
            </w:rPr>
          </w:pPr>
          <w:hyperlink w:anchor="_n62ypahb6ug4">
            <w:r>
              <w:rPr>
                <w:b/>
                <w:color w:val="000000"/>
              </w:rPr>
              <w:t>Evaluates diagnostic tools to measure the engagement</w:t>
            </w:r>
          </w:hyperlink>
          <w:r>
            <w:rPr>
              <w:b/>
              <w:color w:val="000000"/>
            </w:rPr>
            <w:tab/>
          </w:r>
          <w:r>
            <w:fldChar w:fldCharType="begin"/>
          </w:r>
          <w:r>
            <w:instrText xml:space="preserve"> PAGEREF _n62ypahb6ug4 \h </w:instrText>
          </w:r>
          <w:r>
            <w:fldChar w:fldCharType="separate"/>
          </w:r>
          <w:r>
            <w:rPr>
              <w:b/>
              <w:color w:val="000000"/>
            </w:rPr>
            <w:t>5</w:t>
          </w:r>
          <w:r>
            <w:fldChar w:fldCharType="end"/>
          </w:r>
        </w:p>
        <w:p w14:paraId="00000009" w14:textId="77777777" w:rsidR="00DA50A6" w:rsidRDefault="00E269C7">
          <w:pPr>
            <w:tabs>
              <w:tab w:val="right" w:pos="9025"/>
            </w:tabs>
            <w:spacing w:before="200" w:line="360" w:lineRule="auto"/>
            <w:rPr>
              <w:b/>
              <w:color w:val="000000"/>
            </w:rPr>
          </w:pPr>
          <w:hyperlink w:anchor="_upxmss9ofz22">
            <w:r>
              <w:rPr>
                <w:b/>
                <w:color w:val="000000"/>
              </w:rPr>
              <w:t>Constructs an employee value proposition from the ideas and analysis previously covered, including strategies to raise levels of engagement.</w:t>
            </w:r>
          </w:hyperlink>
          <w:r>
            <w:rPr>
              <w:b/>
              <w:color w:val="000000"/>
            </w:rPr>
            <w:tab/>
          </w:r>
          <w:r>
            <w:fldChar w:fldCharType="begin"/>
          </w:r>
          <w:r>
            <w:instrText xml:space="preserve"> PAGEREF _upxmss9ofz22 \h </w:instrText>
          </w:r>
          <w:r>
            <w:fldChar w:fldCharType="separate"/>
          </w:r>
          <w:r>
            <w:rPr>
              <w:b/>
              <w:color w:val="000000"/>
            </w:rPr>
            <w:t>7</w:t>
          </w:r>
          <w:r>
            <w:fldChar w:fldCharType="end"/>
          </w:r>
        </w:p>
        <w:p w14:paraId="0000000A" w14:textId="77777777" w:rsidR="00DA50A6" w:rsidRDefault="00E269C7">
          <w:pPr>
            <w:tabs>
              <w:tab w:val="right" w:pos="9025"/>
            </w:tabs>
            <w:spacing w:before="200" w:line="360" w:lineRule="auto"/>
            <w:rPr>
              <w:b/>
              <w:color w:val="000000"/>
            </w:rPr>
          </w:pPr>
          <w:hyperlink w:anchor="_7nategvcj37g">
            <w:r>
              <w:rPr>
                <w:b/>
                <w:color w:val="000000"/>
              </w:rPr>
              <w:t>Conclusion</w:t>
            </w:r>
          </w:hyperlink>
          <w:r>
            <w:rPr>
              <w:b/>
              <w:color w:val="000000"/>
            </w:rPr>
            <w:tab/>
          </w:r>
          <w:r>
            <w:fldChar w:fldCharType="begin"/>
          </w:r>
          <w:r>
            <w:instrText xml:space="preserve"> PAGEREF _7nategvcj37g \h </w:instrText>
          </w:r>
          <w:r>
            <w:fldChar w:fldCharType="separate"/>
          </w:r>
          <w:r>
            <w:rPr>
              <w:b/>
              <w:color w:val="000000"/>
            </w:rPr>
            <w:t>9</w:t>
          </w:r>
          <w:r>
            <w:fldChar w:fldCharType="end"/>
          </w:r>
        </w:p>
        <w:p w14:paraId="0000000B" w14:textId="77777777" w:rsidR="00DA50A6" w:rsidRDefault="00E269C7">
          <w:pPr>
            <w:tabs>
              <w:tab w:val="right" w:pos="9025"/>
            </w:tabs>
            <w:spacing w:before="200" w:after="80" w:line="360" w:lineRule="auto"/>
            <w:rPr>
              <w:b/>
              <w:color w:val="000000"/>
            </w:rPr>
          </w:pPr>
          <w:hyperlink w:anchor="_b1c2p5sqpn0s">
            <w:r>
              <w:rPr>
                <w:b/>
                <w:color w:val="000000"/>
              </w:rPr>
              <w:t>Reference</w:t>
            </w:r>
          </w:hyperlink>
          <w:r>
            <w:rPr>
              <w:b/>
              <w:color w:val="000000"/>
            </w:rPr>
            <w:tab/>
          </w:r>
          <w:r>
            <w:fldChar w:fldCharType="begin"/>
          </w:r>
          <w:r>
            <w:instrText xml:space="preserve"> PA</w:instrText>
          </w:r>
          <w:r>
            <w:instrText xml:space="preserve">GEREF _b1c2p5sqpn0s \h </w:instrText>
          </w:r>
          <w:r>
            <w:fldChar w:fldCharType="separate"/>
          </w:r>
          <w:r>
            <w:rPr>
              <w:b/>
              <w:color w:val="000000"/>
            </w:rPr>
            <w:t>10</w:t>
          </w:r>
          <w:r>
            <w:fldChar w:fldCharType="end"/>
          </w:r>
          <w:r>
            <w:fldChar w:fldCharType="end"/>
          </w:r>
        </w:p>
      </w:sdtContent>
    </w:sdt>
    <w:p w14:paraId="0000000C" w14:textId="77777777" w:rsidR="00DA50A6" w:rsidRDefault="00DA50A6">
      <w:pPr>
        <w:spacing w:line="360" w:lineRule="auto"/>
        <w:jc w:val="both"/>
      </w:pPr>
    </w:p>
    <w:p w14:paraId="0000000D" w14:textId="77777777" w:rsidR="00DA50A6" w:rsidRDefault="00E269C7">
      <w:pPr>
        <w:spacing w:line="360" w:lineRule="auto"/>
        <w:jc w:val="both"/>
      </w:pPr>
      <w:r>
        <w:br w:type="page"/>
      </w:r>
    </w:p>
    <w:p w14:paraId="0000000E" w14:textId="77777777" w:rsidR="00DA50A6" w:rsidRDefault="00E269C7">
      <w:pPr>
        <w:pStyle w:val="Heading1"/>
        <w:spacing w:line="360" w:lineRule="auto"/>
        <w:jc w:val="both"/>
        <w:rPr>
          <w:b/>
          <w:sz w:val="32"/>
          <w:szCs w:val="32"/>
        </w:rPr>
      </w:pPr>
      <w:bookmarkStart w:id="0" w:name="_pckxv6y6rxs6" w:colFirst="0" w:colLast="0"/>
      <w:bookmarkEnd w:id="0"/>
      <w:r>
        <w:rPr>
          <w:b/>
          <w:sz w:val="32"/>
          <w:szCs w:val="32"/>
        </w:rPr>
        <w:lastRenderedPageBreak/>
        <w:t>Introduction</w:t>
      </w:r>
    </w:p>
    <w:p w14:paraId="0000000F" w14:textId="77777777" w:rsidR="00DA50A6" w:rsidRDefault="00E269C7">
      <w:pPr>
        <w:spacing w:line="360" w:lineRule="auto"/>
        <w:jc w:val="both"/>
      </w:pPr>
      <w:r>
        <w:t>The term “Employee Engagement (EE)" is used to describe a worker's enthusiasm and loyalty to their work. Their efforts make a difference in th</w:t>
      </w:r>
      <w:r>
        <w:t xml:space="preserve">e company's </w:t>
      </w:r>
      <w:proofErr w:type="gramStart"/>
      <w:r>
        <w:t>performance</w:t>
      </w:r>
      <w:proofErr w:type="gramEnd"/>
      <w:r>
        <w:t xml:space="preserve"> and they are excited about it. It is not uncommon for an employee to assume that their health is closely tied to their performance, making them essential to the company's success.</w:t>
      </w:r>
    </w:p>
    <w:p w14:paraId="00000010" w14:textId="77777777" w:rsidR="00DA50A6" w:rsidRDefault="00E269C7">
      <w:pPr>
        <w:spacing w:line="360" w:lineRule="auto"/>
        <w:jc w:val="both"/>
      </w:pPr>
      <w:r>
        <w:t>A company's success may be influenced by its apparen</w:t>
      </w:r>
      <w:r>
        <w:t>t links to staff pleasure, morale, and project participation. Building and maintaining employee commitment to their jobs is possible with effective communication. Employees who like what they do at work are more productive and achieve higher levels of succ</w:t>
      </w:r>
      <w:r>
        <w:t>ess in their careers. In addition, a company's values and goals are more vital to it.</w:t>
      </w:r>
    </w:p>
    <w:p w14:paraId="00000011" w14:textId="77777777" w:rsidR="00DA50A6" w:rsidRDefault="00DA50A6">
      <w:pPr>
        <w:spacing w:line="360" w:lineRule="auto"/>
        <w:jc w:val="both"/>
      </w:pPr>
    </w:p>
    <w:p w14:paraId="00000012" w14:textId="77777777" w:rsidR="00DA50A6" w:rsidRDefault="00E269C7">
      <w:pPr>
        <w:pStyle w:val="Heading1"/>
        <w:spacing w:line="360" w:lineRule="auto"/>
        <w:jc w:val="both"/>
        <w:rPr>
          <w:b/>
          <w:sz w:val="32"/>
          <w:szCs w:val="32"/>
        </w:rPr>
      </w:pPr>
      <w:bookmarkStart w:id="1" w:name="_qb2foxraukaw" w:colFirst="0" w:colLast="0"/>
      <w:bookmarkEnd w:id="1"/>
      <w:r>
        <w:rPr>
          <w:b/>
          <w:sz w:val="32"/>
          <w:szCs w:val="32"/>
        </w:rPr>
        <w:t>The concept and drivers of employee engagement</w:t>
      </w:r>
    </w:p>
    <w:p w14:paraId="00000013" w14:textId="77777777" w:rsidR="00DA50A6" w:rsidRDefault="00E269C7">
      <w:pPr>
        <w:pStyle w:val="Heading2"/>
        <w:spacing w:line="360" w:lineRule="auto"/>
        <w:jc w:val="both"/>
      </w:pPr>
      <w:bookmarkStart w:id="2" w:name="_5z5wsshkzlwz" w:colFirst="0" w:colLast="0"/>
      <w:bookmarkEnd w:id="2"/>
      <w:r>
        <w:t>The Concept of Employee Engagement</w:t>
      </w:r>
    </w:p>
    <w:p w14:paraId="00000014" w14:textId="77777777" w:rsidR="00DA50A6" w:rsidRDefault="00E269C7">
      <w:pPr>
        <w:spacing w:line="360" w:lineRule="auto"/>
        <w:jc w:val="both"/>
      </w:pPr>
      <w:r>
        <w:t>Business leaders are increasingly calling for more employee participation (EE), which h</w:t>
      </w:r>
      <w:r>
        <w:t xml:space="preserve">as been a central management idea since the 1990s. There are others who point out the difficulties of conducting an EE analysis; </w:t>
      </w:r>
      <w:proofErr w:type="gramStart"/>
      <w:r>
        <w:t>yet,</w:t>
      </w:r>
      <w:proofErr w:type="gramEnd"/>
      <w:r>
        <w:t xml:space="preserve"> studies show that the results of such analyses have a direct impact on the financial health and stability of a business (S</w:t>
      </w:r>
      <w:r>
        <w:t xml:space="preserve">un, and </w:t>
      </w:r>
      <w:proofErr w:type="spellStart"/>
      <w:r>
        <w:t>Bunchapattanasakda</w:t>
      </w:r>
      <w:proofErr w:type="spellEnd"/>
      <w:r>
        <w:t>, 2019).</w:t>
      </w:r>
    </w:p>
    <w:p w14:paraId="00000015" w14:textId="77777777" w:rsidR="00DA50A6" w:rsidRDefault="00DA50A6">
      <w:pPr>
        <w:spacing w:line="360" w:lineRule="auto"/>
        <w:jc w:val="both"/>
        <w:rPr>
          <w:b/>
          <w:sz w:val="24"/>
          <w:szCs w:val="24"/>
        </w:rPr>
      </w:pPr>
    </w:p>
    <w:p w14:paraId="00000016" w14:textId="77777777" w:rsidR="00DA50A6" w:rsidRDefault="00E269C7">
      <w:pPr>
        <w:spacing w:line="360" w:lineRule="auto"/>
        <w:jc w:val="both"/>
        <w:rPr>
          <w:b/>
          <w:sz w:val="24"/>
          <w:szCs w:val="24"/>
        </w:rPr>
      </w:pPr>
      <w:r>
        <w:rPr>
          <w:b/>
          <w:sz w:val="24"/>
          <w:szCs w:val="24"/>
        </w:rPr>
        <w:t>AON-Hewitt model</w:t>
      </w:r>
    </w:p>
    <w:p w14:paraId="00000017" w14:textId="77777777" w:rsidR="00DA50A6" w:rsidRDefault="00E269C7">
      <w:pPr>
        <w:spacing w:line="360" w:lineRule="auto"/>
        <w:jc w:val="both"/>
      </w:pPr>
      <w:r>
        <w:t xml:space="preserve">AON and Hewitt Associates collaborated to create the AON-Hewitt model. AON-Hewitt model engagement covers a wide range of issues that are required for optimal performance and productivity. Among these are rational thought, emotions, desires, and acts. The </w:t>
      </w:r>
      <w:r>
        <w:t>strategy is centred on six EEs drivers and three targets (</w:t>
      </w:r>
      <w:proofErr w:type="spellStart"/>
      <w:r>
        <w:t>Abdurrohman</w:t>
      </w:r>
      <w:proofErr w:type="spellEnd"/>
      <w:r>
        <w:t xml:space="preserve">, and </w:t>
      </w:r>
      <w:proofErr w:type="spellStart"/>
      <w:r>
        <w:t>Febriansyah</w:t>
      </w:r>
      <w:proofErr w:type="spellEnd"/>
      <w:r>
        <w:t>, 2019).</w:t>
      </w:r>
    </w:p>
    <w:p w14:paraId="00000018" w14:textId="77777777" w:rsidR="00DA50A6" w:rsidRDefault="00E269C7">
      <w:pPr>
        <w:spacing w:line="360" w:lineRule="auto"/>
        <w:jc w:val="both"/>
      </w:pPr>
      <w:r>
        <w:t>The EE Models and Ideas are listed below. Pay, benefits, job security, working conditions, and work-life balance are all crucial factors to consider.</w:t>
      </w:r>
    </w:p>
    <w:p w14:paraId="00000019" w14:textId="77777777" w:rsidR="00DA50A6" w:rsidRDefault="00E269C7">
      <w:pPr>
        <w:spacing w:line="360" w:lineRule="auto"/>
        <w:jc w:val="both"/>
      </w:pPr>
      <w:r>
        <w:t>Work encomp</w:t>
      </w:r>
      <w:r>
        <w:t>asses tasks, accomplishments, empowerment, autonomy, and cooperation. Business policies include things like equality and diversity, connection, innovation, staff, and supporting structures. The employee chose to boost CSR and brand image. Effectiveness rel</w:t>
      </w:r>
      <w:r>
        <w:t>ies heavily on transparency and direction. Aspects of success include career opportunities, education and training, process improvement, collaboration, and recognition programmes. The following are some engagement outcomes that are dependent on the drivers</w:t>
      </w:r>
      <w:r>
        <w:t xml:space="preserve">' effectiveness: Say you'll promote the company to </w:t>
      </w:r>
      <w:proofErr w:type="spellStart"/>
      <w:r>
        <w:t>coworkers</w:t>
      </w:r>
      <w:proofErr w:type="spellEnd"/>
      <w:r>
        <w:t xml:space="preserve">, potential employees, and </w:t>
      </w:r>
      <w:r>
        <w:lastRenderedPageBreak/>
        <w:t>customers. Stay - feel strongly about the company and are unlikely to quit. Strive - a person who is driven to put in the time and effort required to attain professional</w:t>
      </w:r>
      <w:r>
        <w:t xml:space="preserve"> success.</w:t>
      </w:r>
    </w:p>
    <w:p w14:paraId="0000001A" w14:textId="77777777" w:rsidR="00DA50A6" w:rsidRDefault="00DA50A6">
      <w:pPr>
        <w:spacing w:line="360" w:lineRule="auto"/>
        <w:jc w:val="both"/>
      </w:pPr>
    </w:p>
    <w:p w14:paraId="0000001B" w14:textId="77777777" w:rsidR="00DA50A6" w:rsidRDefault="00E269C7">
      <w:pPr>
        <w:pStyle w:val="Heading2"/>
        <w:spacing w:line="360" w:lineRule="auto"/>
        <w:jc w:val="both"/>
      </w:pPr>
      <w:bookmarkStart w:id="3" w:name="_resecstzhuhm" w:colFirst="0" w:colLast="0"/>
      <w:bookmarkEnd w:id="3"/>
      <w:r>
        <w:t>The Driver of Employee Engagement</w:t>
      </w:r>
    </w:p>
    <w:p w14:paraId="0000001C" w14:textId="77777777" w:rsidR="00DA50A6" w:rsidRDefault="00E269C7">
      <w:pPr>
        <w:spacing w:line="360" w:lineRule="auto"/>
        <w:jc w:val="both"/>
      </w:pPr>
      <w:r>
        <w:t>More engaged personnel have a stronger sense of belonging to the company and a greater desire to help it achieve its goals. A happy worker exhibits the following traits, even if their company chooses to define "</w:t>
      </w:r>
      <w:r>
        <w:t>EE" in another way. They are well-versed in their responsibilities and ready to get started. Those who are entrusted with their task are devoted and hardworking (</w:t>
      </w:r>
      <w:proofErr w:type="spellStart"/>
      <w:r>
        <w:t>Motyka</w:t>
      </w:r>
      <w:proofErr w:type="spellEnd"/>
      <w:r>
        <w:t xml:space="preserve">, 2018). </w:t>
      </w:r>
      <w:proofErr w:type="gramStart"/>
      <w:r>
        <w:t>In order to</w:t>
      </w:r>
      <w:proofErr w:type="gramEnd"/>
      <w:r>
        <w:t xml:space="preserve"> see their business grow, they have a strong ambition and are fully </w:t>
      </w:r>
      <w:r>
        <w:t xml:space="preserve">aware of the responsibilities that come with it. As a result, they are both rationally and emotionally dedicated to their employer and determined to achieve their maximum potential. Three key behaviours demonstrate their intellectual and social dedication </w:t>
      </w:r>
      <w:r>
        <w:t>to their organisation: Say, Speak, and Strive (Kwon, and Kim, 2020).</w:t>
      </w:r>
    </w:p>
    <w:p w14:paraId="0000001D" w14:textId="77777777" w:rsidR="00DA50A6" w:rsidRDefault="00DA50A6">
      <w:pPr>
        <w:spacing w:line="360" w:lineRule="auto"/>
        <w:jc w:val="both"/>
        <w:rPr>
          <w:b/>
          <w:sz w:val="24"/>
          <w:szCs w:val="24"/>
        </w:rPr>
      </w:pPr>
    </w:p>
    <w:p w14:paraId="0000001E" w14:textId="77777777" w:rsidR="00DA50A6" w:rsidRDefault="00E269C7">
      <w:pPr>
        <w:spacing w:line="360" w:lineRule="auto"/>
        <w:jc w:val="both"/>
        <w:rPr>
          <w:b/>
          <w:sz w:val="24"/>
          <w:szCs w:val="24"/>
        </w:rPr>
      </w:pPr>
      <w:r>
        <w:rPr>
          <w:b/>
          <w:sz w:val="24"/>
          <w:szCs w:val="24"/>
        </w:rPr>
        <w:t>Maslow's hierarchy of human needs</w:t>
      </w:r>
    </w:p>
    <w:p w14:paraId="0000001F" w14:textId="77777777" w:rsidR="00DA50A6" w:rsidRDefault="00E269C7">
      <w:pPr>
        <w:spacing w:line="360" w:lineRule="auto"/>
        <w:jc w:val="both"/>
      </w:pPr>
      <w:r>
        <w:t xml:space="preserve">Business professionals are familiar with Maslow's hierarchy of needs. Many business disciplines have adopted this practice, and it has had a considerable influence on personnel administration. </w:t>
      </w:r>
      <w:proofErr w:type="gramStart"/>
      <w:r>
        <w:t>So</w:t>
      </w:r>
      <w:proofErr w:type="gramEnd"/>
      <w:r>
        <w:t xml:space="preserve"> there you have it. To better understand why </w:t>
      </w:r>
      <w:proofErr w:type="gramStart"/>
      <w:r>
        <w:t>people</w:t>
      </w:r>
      <w:proofErr w:type="gramEnd"/>
      <w:r>
        <w:t xml:space="preserve"> do what t</w:t>
      </w:r>
      <w:r>
        <w:t>hey do, Abraham Maslow published "A Theory of Human Motivation" in 1943. There are five levels of social needs in Maslow's psychological motivational theory. According to this theory, motivation is the result of attempting to satisfy five basic needs: phys</w:t>
      </w:r>
      <w:r>
        <w:t>ical, interpersonal, a sense of status, and a sense of self. A worker's dedication increases in direct proportion to the degree to which these requirements are met (Hale et al., 2019).</w:t>
      </w:r>
    </w:p>
    <w:p w14:paraId="00000020" w14:textId="77777777" w:rsidR="00DA50A6" w:rsidRDefault="00E269C7">
      <w:pPr>
        <w:spacing w:line="360" w:lineRule="auto"/>
        <w:jc w:val="both"/>
      </w:pPr>
      <w:r>
        <w:t>Until these conditions are satisfied, a person cannot be totally engage</w:t>
      </w:r>
      <w:r>
        <w:t xml:space="preserve">d in their work. </w:t>
      </w:r>
      <w:proofErr w:type="gramStart"/>
      <w:r>
        <w:t>In order for</w:t>
      </w:r>
      <w:proofErr w:type="gramEnd"/>
      <w:r>
        <w:t xml:space="preserve"> workers to feel empowered and secure in their jobs, they need fundamental employment rights and a fair wage. As well as an appreciation indication, workers need to feel like they belong to the team and have a sense of belongin</w:t>
      </w:r>
      <w:r>
        <w:t>g to the project at hand. It is essential that employees be continuously open to learning and adapting to new ideas.</w:t>
      </w:r>
    </w:p>
    <w:p w14:paraId="00000021" w14:textId="77777777" w:rsidR="00DA50A6" w:rsidRDefault="00E269C7">
      <w:pPr>
        <w:spacing w:line="360" w:lineRule="auto"/>
        <w:jc w:val="both"/>
        <w:rPr>
          <w:shd w:val="clear" w:color="auto" w:fill="F4CCCC"/>
        </w:rPr>
      </w:pPr>
      <w:r>
        <w:t>None of the above needs is more important than the preceding ones. Worker satisfaction is a key factor in a company's ability to get things</w:t>
      </w:r>
      <w:r>
        <w:t xml:space="preserve"> done quickly and effectively.</w:t>
      </w:r>
    </w:p>
    <w:p w14:paraId="00000022" w14:textId="77777777" w:rsidR="00DA50A6" w:rsidRDefault="00DA50A6">
      <w:pPr>
        <w:spacing w:line="360" w:lineRule="auto"/>
        <w:jc w:val="both"/>
        <w:rPr>
          <w:b/>
          <w:sz w:val="24"/>
          <w:szCs w:val="24"/>
        </w:rPr>
      </w:pPr>
    </w:p>
    <w:p w14:paraId="00000023" w14:textId="77777777" w:rsidR="00DA50A6" w:rsidRDefault="00E269C7">
      <w:pPr>
        <w:spacing w:line="360" w:lineRule="auto"/>
        <w:jc w:val="both"/>
        <w:rPr>
          <w:b/>
          <w:sz w:val="24"/>
          <w:szCs w:val="24"/>
        </w:rPr>
      </w:pPr>
      <w:r>
        <w:rPr>
          <w:b/>
          <w:sz w:val="24"/>
          <w:szCs w:val="24"/>
        </w:rPr>
        <w:t xml:space="preserve">Theory </w:t>
      </w:r>
      <w:proofErr w:type="gramStart"/>
      <w:r>
        <w:rPr>
          <w:b/>
          <w:sz w:val="24"/>
          <w:szCs w:val="24"/>
        </w:rPr>
        <w:t>of  William</w:t>
      </w:r>
      <w:proofErr w:type="gramEnd"/>
      <w:r>
        <w:rPr>
          <w:b/>
          <w:sz w:val="24"/>
          <w:szCs w:val="24"/>
        </w:rPr>
        <w:t xml:space="preserve"> Kahn </w:t>
      </w:r>
    </w:p>
    <w:p w14:paraId="00000024" w14:textId="77777777" w:rsidR="00DA50A6" w:rsidRDefault="00E269C7">
      <w:pPr>
        <w:spacing w:line="360" w:lineRule="auto"/>
        <w:jc w:val="both"/>
      </w:pPr>
      <w:r>
        <w:t>William Kahn, an organisational psychologist, was one of the first to introduce the concept of Employee Engagement (EE). As a result of his studies, he was able to identify three distinct types of em</w:t>
      </w:r>
      <w:r>
        <w:t xml:space="preserve">ployee involvement: physical, mental, and psychological. Psychosocial </w:t>
      </w:r>
      <w:r>
        <w:lastRenderedPageBreak/>
        <w:t xml:space="preserve">Determinants of Individual Participation and Disconnection at Work: Individual Determinants of Summer Enrichment </w:t>
      </w:r>
      <w:proofErr w:type="spellStart"/>
      <w:r>
        <w:t>Counselors</w:t>
      </w:r>
      <w:proofErr w:type="spellEnd"/>
      <w:r>
        <w:t xml:space="preserve"> and an Architectural Firm's Staff (Brown, and </w:t>
      </w:r>
      <w:proofErr w:type="spellStart"/>
      <w:r>
        <w:t>Masias</w:t>
      </w:r>
      <w:proofErr w:type="spellEnd"/>
      <w:r>
        <w:t>, 2019). T</w:t>
      </w:r>
      <w:r>
        <w:t xml:space="preserve">he study looked at the factors that influence </w:t>
      </w:r>
      <w:proofErr w:type="gramStart"/>
      <w:r>
        <w:t>whether or not</w:t>
      </w:r>
      <w:proofErr w:type="gramEnd"/>
      <w:r>
        <w:t xml:space="preserve"> people remain or leave their jobs.</w:t>
      </w:r>
    </w:p>
    <w:p w14:paraId="00000025" w14:textId="77777777" w:rsidR="00DA50A6" w:rsidRDefault="00DA50A6">
      <w:pPr>
        <w:spacing w:line="360" w:lineRule="auto"/>
        <w:jc w:val="both"/>
      </w:pPr>
    </w:p>
    <w:p w14:paraId="00000026" w14:textId="77777777" w:rsidR="00DA50A6" w:rsidRDefault="00DA50A6">
      <w:pPr>
        <w:spacing w:line="360" w:lineRule="auto"/>
        <w:jc w:val="both"/>
      </w:pPr>
    </w:p>
    <w:p w14:paraId="00000027" w14:textId="77777777" w:rsidR="00DA50A6" w:rsidRDefault="00E269C7">
      <w:pPr>
        <w:pStyle w:val="Heading1"/>
        <w:spacing w:line="360" w:lineRule="auto"/>
        <w:jc w:val="both"/>
        <w:rPr>
          <w:b/>
          <w:sz w:val="32"/>
          <w:szCs w:val="32"/>
        </w:rPr>
      </w:pPr>
      <w:bookmarkStart w:id="4" w:name="_n62ypahb6ug4" w:colFirst="0" w:colLast="0"/>
      <w:bookmarkEnd w:id="4"/>
      <w:r>
        <w:rPr>
          <w:b/>
          <w:sz w:val="32"/>
          <w:szCs w:val="32"/>
        </w:rPr>
        <w:t>Evaluates diagnostic tools to measure the engagement</w:t>
      </w:r>
    </w:p>
    <w:p w14:paraId="00000028" w14:textId="77777777" w:rsidR="00DA50A6" w:rsidRDefault="00E269C7">
      <w:pPr>
        <w:spacing w:line="360" w:lineRule="auto"/>
        <w:jc w:val="both"/>
      </w:pPr>
      <w:r>
        <w:t>Employee engagement is more than just measuring how happy people are with their jobs or how much effort t</w:t>
      </w:r>
      <w:r>
        <w:t>hey put in. Employees' commitment, connection, and motivation to their work and firm are referred to as "worker engagement."</w:t>
      </w:r>
    </w:p>
    <w:p w14:paraId="00000029" w14:textId="77777777" w:rsidR="00DA50A6" w:rsidRDefault="00E269C7">
      <w:pPr>
        <w:spacing w:line="360" w:lineRule="auto"/>
        <w:jc w:val="both"/>
      </w:pPr>
      <w:r>
        <w:t>Employee participation, on the other hand, fluctuates over the year. Here are a few resources to assist you to improve the level of</w:t>
      </w:r>
      <w:r>
        <w:t xml:space="preserve"> engagement among your employees.</w:t>
      </w:r>
    </w:p>
    <w:p w14:paraId="0000002A" w14:textId="77777777" w:rsidR="00DA50A6" w:rsidRDefault="00DA50A6">
      <w:pPr>
        <w:spacing w:line="360" w:lineRule="auto"/>
        <w:jc w:val="both"/>
      </w:pPr>
    </w:p>
    <w:p w14:paraId="0000002B" w14:textId="77777777" w:rsidR="00DA50A6" w:rsidRDefault="00E269C7">
      <w:pPr>
        <w:spacing w:line="360" w:lineRule="auto"/>
        <w:jc w:val="both"/>
        <w:rPr>
          <w:b/>
        </w:rPr>
      </w:pPr>
      <w:r>
        <w:rPr>
          <w:b/>
        </w:rPr>
        <w:t>Gratitude and Recognition Programs for Employees</w:t>
      </w:r>
    </w:p>
    <w:p w14:paraId="0000002C" w14:textId="77777777" w:rsidR="00DA50A6" w:rsidRDefault="00E269C7">
      <w:pPr>
        <w:spacing w:line="360" w:lineRule="auto"/>
        <w:jc w:val="both"/>
      </w:pPr>
      <w:r>
        <w:t xml:space="preserve">According to a recent poll, 70% of employees would work harder if they were recognised for their efforts (Li </w:t>
      </w:r>
      <w:r>
        <w:rPr>
          <w:i/>
        </w:rPr>
        <w:t>et al.,</w:t>
      </w:r>
      <w:r>
        <w:t xml:space="preserve"> 2021). Recognising and rewarding motivated employees is</w:t>
      </w:r>
      <w:r>
        <w:t xml:space="preserve"> a great way to learn about their personalities. Recognising and rewarding hard work is a proven way to boost employee morale and productivity. The inverse is also true: administrators and experts may better gauge employee level of organisational commitmen</w:t>
      </w:r>
      <w:r>
        <w:t>t by tracking the number of employees who receive awards and recognition.</w:t>
      </w:r>
    </w:p>
    <w:p w14:paraId="0000002D" w14:textId="77777777" w:rsidR="00DA50A6" w:rsidRDefault="00DA50A6">
      <w:pPr>
        <w:spacing w:line="360" w:lineRule="auto"/>
        <w:jc w:val="both"/>
      </w:pPr>
    </w:p>
    <w:p w14:paraId="0000002E" w14:textId="77777777" w:rsidR="00DA50A6" w:rsidRDefault="00E269C7">
      <w:pPr>
        <w:spacing w:line="360" w:lineRule="auto"/>
        <w:jc w:val="both"/>
        <w:rPr>
          <w:b/>
        </w:rPr>
      </w:pPr>
      <w:r>
        <w:rPr>
          <w:b/>
        </w:rPr>
        <w:t>On a Regular Basis, Employee Surveys.</w:t>
      </w:r>
    </w:p>
    <w:p w14:paraId="0000002F" w14:textId="77777777" w:rsidR="00DA50A6" w:rsidRDefault="00E269C7">
      <w:pPr>
        <w:spacing w:line="360" w:lineRule="auto"/>
        <w:jc w:val="both"/>
      </w:pPr>
      <w:r>
        <w:t>If you're looking for a fast and easy way to determine how engaged your employees are, start with questionnaires. It's a great tool for measuring employee engagement, but it's also a great way to motivate and collect ideas from your employees. An engaged w</w:t>
      </w:r>
      <w:r>
        <w:t>orkforce needs open, two-way communication. Managers and human resources (HR) experts should routinely send surveys to employees asking about their jobs that are clear, actionable, and easy for them to answer. Human resource managers, business leaders, and</w:t>
      </w:r>
      <w:r>
        <w:t xml:space="preserve"> the organisation </w:t>
      </w:r>
      <w:proofErr w:type="gramStart"/>
      <w:r>
        <w:t>as a whole will</w:t>
      </w:r>
      <w:proofErr w:type="gramEnd"/>
      <w:r>
        <w:t xml:space="preserve"> benefit from this tool by getting a better sense of employee engagement and the company's culture. Level of satisfaction, regularity, </w:t>
      </w:r>
      <w:proofErr w:type="gramStart"/>
      <w:r>
        <w:t>performance</w:t>
      </w:r>
      <w:proofErr w:type="gramEnd"/>
      <w:r>
        <w:t xml:space="preserve"> and improvement should all be addressed in the questionnaire items.</w:t>
      </w:r>
    </w:p>
    <w:p w14:paraId="00000030" w14:textId="77777777" w:rsidR="00DA50A6" w:rsidRDefault="00DA50A6">
      <w:pPr>
        <w:spacing w:line="360" w:lineRule="auto"/>
        <w:jc w:val="both"/>
      </w:pPr>
    </w:p>
    <w:p w14:paraId="00000031" w14:textId="77777777" w:rsidR="00DA50A6" w:rsidRDefault="00E269C7">
      <w:pPr>
        <w:spacing w:line="360" w:lineRule="auto"/>
        <w:jc w:val="both"/>
        <w:rPr>
          <w:b/>
        </w:rPr>
      </w:pPr>
      <w:r>
        <w:rPr>
          <w:b/>
        </w:rPr>
        <w:t xml:space="preserve">Have a </w:t>
      </w:r>
      <w:r>
        <w:rPr>
          <w:b/>
        </w:rPr>
        <w:t>lot of one-on-ones</w:t>
      </w:r>
    </w:p>
    <w:p w14:paraId="00000032" w14:textId="77777777" w:rsidR="00DA50A6" w:rsidRDefault="00E269C7">
      <w:pPr>
        <w:spacing w:line="360" w:lineRule="auto"/>
        <w:jc w:val="both"/>
      </w:pPr>
      <w:r>
        <w:t xml:space="preserve">Human resources (HR) experts and supervisors should meet one-on-one with their employees on a regular basis. One-on-one sessions with management or HR allow employees to freely </w:t>
      </w:r>
      <w:r>
        <w:lastRenderedPageBreak/>
        <w:t>express their thoughts and get insight into their own person</w:t>
      </w:r>
      <w:r>
        <w:t>alities. This should be done on a weekly or biweekly basis at the very least.</w:t>
      </w:r>
    </w:p>
    <w:p w14:paraId="00000033" w14:textId="77777777" w:rsidR="00DA50A6" w:rsidRDefault="00E269C7">
      <w:pPr>
        <w:spacing w:line="360" w:lineRule="auto"/>
        <w:jc w:val="both"/>
      </w:pPr>
      <w:r>
        <w:t xml:space="preserve">If someone </w:t>
      </w:r>
      <w:proofErr w:type="gramStart"/>
      <w:r>
        <w:t>is in charge of</w:t>
      </w:r>
      <w:proofErr w:type="gramEnd"/>
      <w:r>
        <w:t xml:space="preserve"> human resources or managing employees, they need to know why they're quitting. In many cases, employees blame a lack of enthusiasm for their work for t</w:t>
      </w:r>
      <w:r>
        <w:t xml:space="preserve">heir decision to leave their employer. Management and HR professionals may learn more about how to improve employee engagement by conducting exit and stay </w:t>
      </w:r>
      <w:proofErr w:type="gramStart"/>
      <w:r>
        <w:t>interviews  (</w:t>
      </w:r>
      <w:proofErr w:type="gramEnd"/>
      <w:r>
        <w:t>Clack, 2020).</w:t>
      </w:r>
    </w:p>
    <w:p w14:paraId="00000034" w14:textId="77777777" w:rsidR="00DA50A6" w:rsidRDefault="00E269C7">
      <w:pPr>
        <w:spacing w:line="360" w:lineRule="auto"/>
        <w:jc w:val="both"/>
      </w:pPr>
      <w:r>
        <w:t>Exit interviews highlight what one could have done much better to increase</w:t>
      </w:r>
      <w:r>
        <w:t xml:space="preserve"> customer engagement, while remaining conversations indicate what they are and are not now excellent at.</w:t>
      </w:r>
    </w:p>
    <w:p w14:paraId="00000035" w14:textId="77777777" w:rsidR="00DA50A6" w:rsidRDefault="00DA50A6">
      <w:pPr>
        <w:spacing w:line="360" w:lineRule="auto"/>
        <w:jc w:val="both"/>
      </w:pPr>
    </w:p>
    <w:p w14:paraId="00000036" w14:textId="77777777" w:rsidR="00DA50A6" w:rsidRDefault="00E269C7">
      <w:pPr>
        <w:spacing w:line="360" w:lineRule="auto"/>
        <w:jc w:val="both"/>
        <w:rPr>
          <w:b/>
        </w:rPr>
      </w:pPr>
      <w:r>
        <w:rPr>
          <w:b/>
        </w:rPr>
        <w:t>Create a few intimate focus groups.</w:t>
      </w:r>
    </w:p>
    <w:p w14:paraId="00000037" w14:textId="77777777" w:rsidR="00DA50A6" w:rsidRDefault="00E269C7">
      <w:pPr>
        <w:spacing w:line="360" w:lineRule="auto"/>
        <w:jc w:val="both"/>
      </w:pPr>
      <w:r>
        <w:t>If your firm is too large, it may be difficult to have one-on-one meetings with your employees. In this case, focu</w:t>
      </w:r>
      <w:r>
        <w:t xml:space="preserve">s groups may be organised. It's common for groups of people to be formed for this reason. Supervisors and HR professionals should prepare a list of 6 to 9 questions to ask employees, such as </w:t>
      </w:r>
      <w:proofErr w:type="gramStart"/>
      <w:r>
        <w:t>whether or not</w:t>
      </w:r>
      <w:proofErr w:type="gramEnd"/>
      <w:r>
        <w:t xml:space="preserve"> they consider their job worthwhile and whether or </w:t>
      </w:r>
      <w:r>
        <w:t>not they get all of the materials they require to complete their responsibilities (</w:t>
      </w:r>
      <w:proofErr w:type="spellStart"/>
      <w:r>
        <w:t>Nagori</w:t>
      </w:r>
      <w:proofErr w:type="spellEnd"/>
      <w:r>
        <w:t>, 2022). Businesses may use this data to better understand what they can do to boost employee morale.</w:t>
      </w:r>
    </w:p>
    <w:p w14:paraId="00000038" w14:textId="77777777" w:rsidR="00DA50A6" w:rsidRDefault="00DA50A6">
      <w:pPr>
        <w:spacing w:line="360" w:lineRule="auto"/>
        <w:jc w:val="both"/>
      </w:pPr>
    </w:p>
    <w:p w14:paraId="00000039" w14:textId="77777777" w:rsidR="00DA50A6" w:rsidRDefault="00E269C7">
      <w:pPr>
        <w:spacing w:line="360" w:lineRule="auto"/>
        <w:jc w:val="both"/>
        <w:rPr>
          <w:b/>
        </w:rPr>
      </w:pPr>
      <w:r>
        <w:rPr>
          <w:b/>
        </w:rPr>
        <w:t>Efficiency Metrics and Retention of Employees</w:t>
      </w:r>
    </w:p>
    <w:p w14:paraId="0000003A" w14:textId="77777777" w:rsidR="00DA50A6" w:rsidRDefault="00E269C7">
      <w:pPr>
        <w:spacing w:line="360" w:lineRule="auto"/>
        <w:jc w:val="both"/>
      </w:pPr>
      <w:r>
        <w:t>Employee retention</w:t>
      </w:r>
      <w:r>
        <w:t xml:space="preserve"> and productivity metrics may be used to gauge how committed employees are to their employer. There will be a significant influence on employee happiness and organisational commitment.</w:t>
      </w:r>
    </w:p>
    <w:p w14:paraId="0000003B" w14:textId="77777777" w:rsidR="00DA50A6" w:rsidRDefault="00E269C7">
      <w:pPr>
        <w:spacing w:line="360" w:lineRule="auto"/>
        <w:jc w:val="both"/>
        <w:rPr>
          <w:b/>
        </w:rPr>
      </w:pPr>
      <w:r>
        <w:t>We cannot underline the significance of EE and how it should be regular</w:t>
      </w:r>
      <w:r>
        <w:t>ly checked for your company's employees to remain interested. Employer engagement evaluation techniques and technology should be put into place right away if you haven't previously.</w:t>
      </w:r>
    </w:p>
    <w:p w14:paraId="0000003C" w14:textId="77777777" w:rsidR="00DA50A6" w:rsidRDefault="00DA50A6">
      <w:pPr>
        <w:spacing w:line="360" w:lineRule="auto"/>
        <w:jc w:val="both"/>
        <w:rPr>
          <w:b/>
        </w:rPr>
      </w:pPr>
    </w:p>
    <w:p w14:paraId="0000003D" w14:textId="77777777" w:rsidR="00DA50A6" w:rsidRDefault="00E269C7">
      <w:pPr>
        <w:pStyle w:val="Heading1"/>
        <w:spacing w:line="360" w:lineRule="auto"/>
        <w:jc w:val="both"/>
      </w:pPr>
      <w:bookmarkStart w:id="5" w:name="_upxmss9ofz22" w:colFirst="0" w:colLast="0"/>
      <w:bookmarkEnd w:id="5"/>
      <w:r>
        <w:rPr>
          <w:b/>
          <w:sz w:val="32"/>
          <w:szCs w:val="32"/>
        </w:rPr>
        <w:t>Constructs an employee value proposition from the ideas and analysis prev</w:t>
      </w:r>
      <w:r>
        <w:rPr>
          <w:b/>
          <w:sz w:val="32"/>
          <w:szCs w:val="32"/>
        </w:rPr>
        <w:t>iously covered, including strategies to raise levels of engagement.</w:t>
      </w:r>
    </w:p>
    <w:p w14:paraId="0000003E" w14:textId="77777777" w:rsidR="00DA50A6" w:rsidRDefault="00E269C7">
      <w:pPr>
        <w:spacing w:line="360" w:lineRule="auto"/>
        <w:jc w:val="both"/>
      </w:pPr>
      <w:r>
        <w:t>In exchange for the knowledge, talents, and expertise they provide to a firm, employees get a specific set of rewards known as an employee value proposition (EVP).</w:t>
      </w:r>
    </w:p>
    <w:p w14:paraId="0000003F" w14:textId="77777777" w:rsidR="00DA50A6" w:rsidRDefault="00E269C7">
      <w:pPr>
        <w:spacing w:line="360" w:lineRule="auto"/>
        <w:jc w:val="both"/>
      </w:pPr>
      <w:r>
        <w:t>Establishing a company's</w:t>
      </w:r>
      <w:r>
        <w:t xml:space="preserve"> identity is the job of an executive vice president (EVP). Employees are inspired and pleased to work there because of its exciting vision and unique culture. It's </w:t>
      </w:r>
      <w:r>
        <w:lastRenderedPageBreak/>
        <w:t xml:space="preserve">critical that your EVP stands out from the crowd by being original, timely, and intriguing. </w:t>
      </w:r>
      <w:r>
        <w:t>A strong EVP helps a corporation retain its finest employees and recruit the greatest external talent when it is incorporated into all elements of the organisation.</w:t>
      </w:r>
    </w:p>
    <w:p w14:paraId="00000040" w14:textId="77777777" w:rsidR="00DA50A6" w:rsidRDefault="00E269C7">
      <w:pPr>
        <w:spacing w:line="360" w:lineRule="auto"/>
        <w:jc w:val="both"/>
      </w:pPr>
      <w:r>
        <w:t>There has been a long history of HR managers being concerned about their workers' mental an</w:t>
      </w:r>
      <w:r>
        <w:t>d emotional well-being, but they are now taking a more hopeful attitude. This entails paying attention to what others are experiencing and establishing problem-solving abilities.</w:t>
      </w:r>
    </w:p>
    <w:p w14:paraId="00000041" w14:textId="77777777" w:rsidR="00DA50A6" w:rsidRDefault="00E269C7">
      <w:pPr>
        <w:spacing w:line="360" w:lineRule="auto"/>
        <w:jc w:val="both"/>
      </w:pPr>
      <w:proofErr w:type="gramStart"/>
      <w:r>
        <w:t>A greater degree of</w:t>
      </w:r>
      <w:proofErr w:type="gramEnd"/>
      <w:r>
        <w:t xml:space="preserve"> emotional intelligence is required by HR, which will affe</w:t>
      </w:r>
      <w:r>
        <w:t xml:space="preserve">ct what firms are looking for in HR personnel in the future. Additionally, a fresh focus on employee satisfaction is </w:t>
      </w:r>
      <w:proofErr w:type="gramStart"/>
      <w:r>
        <w:t>required, since</w:t>
      </w:r>
      <w:proofErr w:type="gramEnd"/>
      <w:r>
        <w:t xml:space="preserve"> this has moved dramatically as a result of remote work. Employees who have been with the company for much less than a year </w:t>
      </w:r>
      <w:r>
        <w:t xml:space="preserve">may not have even scheduled a meeting or seen their supervisor or </w:t>
      </w:r>
      <w:proofErr w:type="spellStart"/>
      <w:r>
        <w:t>coworkers</w:t>
      </w:r>
      <w:proofErr w:type="spellEnd"/>
      <w:r>
        <w:t xml:space="preserve"> in person (Rasool </w:t>
      </w:r>
      <w:r>
        <w:rPr>
          <w:i/>
        </w:rPr>
        <w:t xml:space="preserve">et al., </w:t>
      </w:r>
      <w:r>
        <w:t xml:space="preserve">2021). Such an approach requires a new kind of mentoring programme with long-term staff members who may help new recruits better comprehend the company's </w:t>
      </w:r>
      <w:r>
        <w:t>culture.</w:t>
      </w:r>
    </w:p>
    <w:p w14:paraId="00000042" w14:textId="77777777" w:rsidR="00DA50A6" w:rsidRDefault="00DA50A6">
      <w:pPr>
        <w:spacing w:line="360" w:lineRule="auto"/>
        <w:jc w:val="both"/>
        <w:rPr>
          <w:shd w:val="clear" w:color="auto" w:fill="F4CCCC"/>
        </w:rPr>
      </w:pPr>
    </w:p>
    <w:p w14:paraId="00000043" w14:textId="77777777" w:rsidR="00DA50A6" w:rsidRDefault="00E269C7">
      <w:pPr>
        <w:spacing w:line="360" w:lineRule="auto"/>
        <w:jc w:val="both"/>
      </w:pPr>
      <w:r>
        <w:rPr>
          <w:b/>
        </w:rPr>
        <w:t>Employee engagement in Pre covid situations</w:t>
      </w:r>
      <w:r>
        <w:t xml:space="preserve"> </w:t>
      </w:r>
    </w:p>
    <w:p w14:paraId="00000044" w14:textId="77777777" w:rsidR="00DA50A6" w:rsidRDefault="00E269C7">
      <w:pPr>
        <w:spacing w:line="360" w:lineRule="auto"/>
        <w:jc w:val="both"/>
      </w:pPr>
      <w:r>
        <w:t>Participation of employees in circumstances that are likely to occur</w:t>
      </w:r>
    </w:p>
    <w:p w14:paraId="00000045" w14:textId="77777777" w:rsidR="00DA50A6" w:rsidRDefault="00E269C7">
      <w:pPr>
        <w:spacing w:line="360" w:lineRule="auto"/>
        <w:jc w:val="both"/>
      </w:pPr>
      <w:r>
        <w:t>When it comes to human resources, HR specialists are people-oriented persons who know how to ensure that a company's efficiency is m</w:t>
      </w:r>
      <w:r>
        <w:t>aintained and that the company's policies are frequently updated. Previously, this role required daily face-to-face interaction with all employees. Recruiting, training, and developing employees, as well as resolving conflicts within collaborative teams, h</w:t>
      </w:r>
      <w:r>
        <w:t>ave all been made possible in large part because of the efforts of human resources.</w:t>
      </w:r>
    </w:p>
    <w:p w14:paraId="00000046" w14:textId="77777777" w:rsidR="00DA50A6" w:rsidRDefault="00E269C7">
      <w:pPr>
        <w:spacing w:line="360" w:lineRule="auto"/>
        <w:jc w:val="both"/>
      </w:pPr>
      <w:r>
        <w:t xml:space="preserve">Traditional methods of evaluating Employee Engagement (EE) have included annual questionnaires, group discussions, and ad hoc surveys. </w:t>
      </w:r>
      <w:proofErr w:type="gramStart"/>
      <w:r>
        <w:t>In spite of the fact that</w:t>
      </w:r>
      <w:proofErr w:type="gramEnd"/>
      <w:r>
        <w:t xml:space="preserve"> these proce</w:t>
      </w:r>
      <w:r>
        <w:t>sses have a lot of value, the fact that they are often only done once or twice a year and depend on third-party data means that they don't provide a comprehensive picture of the institutional environment as perceived by employees.</w:t>
      </w:r>
    </w:p>
    <w:p w14:paraId="00000047" w14:textId="77777777" w:rsidR="00DA50A6" w:rsidRDefault="00E269C7">
      <w:pPr>
        <w:spacing w:line="360" w:lineRule="auto"/>
        <w:jc w:val="both"/>
      </w:pPr>
      <w:r>
        <w:t xml:space="preserve">Human resources (HR) </w:t>
      </w:r>
      <w:proofErr w:type="gramStart"/>
      <w:r>
        <w:t>has</w:t>
      </w:r>
      <w:proofErr w:type="gramEnd"/>
      <w:r>
        <w:t xml:space="preserve"> </w:t>
      </w:r>
      <w:r>
        <w:t xml:space="preserve">evolved from a function solely focused on employee satisfaction to one that has a bigger impact on the company's bottom line. HR has grown to be a vital enabler in every workplace </w:t>
      </w:r>
      <w:proofErr w:type="gramStart"/>
      <w:r>
        <w:t>as a consequence of</w:t>
      </w:r>
      <w:proofErr w:type="gramEnd"/>
      <w:r>
        <w:t xml:space="preserve"> the effect of technology. Most human resources professio</w:t>
      </w:r>
      <w:r>
        <w:t xml:space="preserve">nals (De-la-Calle-Durán and </w:t>
      </w:r>
      <w:proofErr w:type="spellStart"/>
      <w:r>
        <w:t>Rodrguez</w:t>
      </w:r>
      <w:proofErr w:type="spellEnd"/>
      <w:r>
        <w:t xml:space="preserve">-Sánchez, 2021) utilise </w:t>
      </w:r>
      <w:proofErr w:type="gramStart"/>
      <w:r>
        <w:t>some kind of recruiting</w:t>
      </w:r>
      <w:proofErr w:type="gramEnd"/>
      <w:r>
        <w:t xml:space="preserve"> software.</w:t>
      </w:r>
    </w:p>
    <w:p w14:paraId="00000048" w14:textId="77777777" w:rsidR="00DA50A6" w:rsidRDefault="00E269C7">
      <w:pPr>
        <w:spacing w:line="360" w:lineRule="auto"/>
        <w:jc w:val="both"/>
      </w:pPr>
      <w:r>
        <w:t>Improved asset management, supply planning, talent searches, as well as recruitment assessments, were all a consequence of the effective partnership between HR and digitalization. The introduction of resource software suites into HR teams has resulted in s</w:t>
      </w:r>
      <w:r>
        <w:t>mart HR programmes and strong leadership.</w:t>
      </w:r>
    </w:p>
    <w:p w14:paraId="00000049" w14:textId="77777777" w:rsidR="00DA50A6" w:rsidRDefault="00DA50A6">
      <w:pPr>
        <w:spacing w:line="360" w:lineRule="auto"/>
        <w:jc w:val="both"/>
      </w:pPr>
    </w:p>
    <w:p w14:paraId="0000004A" w14:textId="77777777" w:rsidR="00DA50A6" w:rsidRDefault="00DA50A6">
      <w:pPr>
        <w:spacing w:line="360" w:lineRule="auto"/>
        <w:jc w:val="both"/>
      </w:pPr>
    </w:p>
    <w:p w14:paraId="0000004B" w14:textId="77777777" w:rsidR="00DA50A6" w:rsidRDefault="00E269C7">
      <w:pPr>
        <w:spacing w:line="360" w:lineRule="auto"/>
        <w:jc w:val="both"/>
      </w:pPr>
      <w:r>
        <w:rPr>
          <w:b/>
        </w:rPr>
        <w:t>Employee engagement during covid scenario</w:t>
      </w:r>
      <w:r>
        <w:t xml:space="preserve">: </w:t>
      </w:r>
    </w:p>
    <w:p w14:paraId="0000004C" w14:textId="77777777" w:rsidR="00DA50A6" w:rsidRDefault="00E269C7">
      <w:pPr>
        <w:spacing w:line="360" w:lineRule="auto"/>
        <w:jc w:val="both"/>
      </w:pPr>
      <w:r>
        <w:t>Companies are always looking for new and effective methods to keep employees engaged during this hard time. Throughout this global epidemic scenario, organisational HRM groups are developing a wide range of community engagements such as online positive par</w:t>
      </w:r>
      <w:r>
        <w:t>enting practises, virtual education and training and online group activities, webinars with experts in the field, weekly online behaviour alignment meetings, team gatherings over video conferencing for a meal, brief online video game programmes, digital ch</w:t>
      </w:r>
      <w:r>
        <w:t xml:space="preserve">allenges and tournaments, online </w:t>
      </w:r>
      <w:proofErr w:type="gramStart"/>
      <w:r>
        <w:t>learning</w:t>
      </w:r>
      <w:proofErr w:type="gramEnd"/>
      <w:r>
        <w:t xml:space="preserve"> and gratitude work. Employee and company engagement initiatives are very beneficial while working remotely. Taking part in these sorts of events gives HR professionals the opportunity to expand their skill set whil</w:t>
      </w:r>
      <w:r>
        <w:t>e also advancing their professional careers (</w:t>
      </w:r>
      <w:proofErr w:type="spellStart"/>
      <w:r>
        <w:t>Chanana</w:t>
      </w:r>
      <w:proofErr w:type="spellEnd"/>
      <w:r>
        <w:t>, 2021). No matter how widespread the COVID19 epidemic may be, the firm and its staff remain dedicated to the cause.</w:t>
      </w:r>
    </w:p>
    <w:p w14:paraId="0000004D" w14:textId="77777777" w:rsidR="00DA50A6" w:rsidRDefault="00DA50A6">
      <w:pPr>
        <w:spacing w:line="360" w:lineRule="auto"/>
        <w:jc w:val="both"/>
      </w:pPr>
    </w:p>
    <w:p w14:paraId="0000004E" w14:textId="77777777" w:rsidR="00DA50A6" w:rsidRDefault="00E269C7">
      <w:pPr>
        <w:spacing w:line="360" w:lineRule="auto"/>
        <w:jc w:val="both"/>
        <w:rPr>
          <w:b/>
        </w:rPr>
      </w:pPr>
      <w:r>
        <w:rPr>
          <w:b/>
        </w:rPr>
        <w:t>A post-covid scenario: Employee engagement</w:t>
      </w:r>
    </w:p>
    <w:p w14:paraId="0000004F" w14:textId="77777777" w:rsidR="00DA50A6" w:rsidRDefault="00E269C7">
      <w:pPr>
        <w:spacing w:line="360" w:lineRule="auto"/>
        <w:jc w:val="both"/>
      </w:pPr>
      <w:r>
        <w:t>Even if the implications of the COVID-19 ep</w:t>
      </w:r>
      <w:r>
        <w:t>idemic varied, it impacted every company and industry in the same manner. While some companies have had little trouble going digital and resuming operations, as usual, others are still having difficulty making the switch (</w:t>
      </w:r>
      <w:proofErr w:type="spellStart"/>
      <w:r>
        <w:t>Risley</w:t>
      </w:r>
      <w:proofErr w:type="spellEnd"/>
      <w:r>
        <w:t>, 2020). Organizations' digi</w:t>
      </w:r>
      <w:r>
        <w:t>tal capabilities and the management strategies they use to interact electronically have contributed to this difference.</w:t>
      </w:r>
    </w:p>
    <w:p w14:paraId="00000050" w14:textId="77777777" w:rsidR="00DA50A6" w:rsidRDefault="00E269C7">
      <w:pPr>
        <w:spacing w:line="360" w:lineRule="auto"/>
        <w:jc w:val="both"/>
      </w:pPr>
      <w:r>
        <w:t xml:space="preserve">The emergence of the remote worker necessitates a new set of challenges for HR departments. It is essential for all workers, regardless </w:t>
      </w:r>
      <w:r>
        <w:t>of geographic location or financial status, but this is particularly true for those who work in the interior. Automated and scalable collaboration solutions are needed now more than ever. It's worth noting that several well-known companies have made signif</w:t>
      </w:r>
      <w:r>
        <w:t>icant efforts in recent months to provide remote employees in Tier-2 cities with the necessary infrastructure.</w:t>
      </w:r>
    </w:p>
    <w:p w14:paraId="00000051" w14:textId="77777777" w:rsidR="00DA50A6" w:rsidRDefault="00E269C7">
      <w:pPr>
        <w:spacing w:line="360" w:lineRule="auto"/>
        <w:jc w:val="both"/>
      </w:pPr>
      <w:r>
        <w:t xml:space="preserve">Most people polled said their company could do more to prevent employee burnout. </w:t>
      </w:r>
      <w:proofErr w:type="gramStart"/>
      <w:r>
        <w:t>In order to</w:t>
      </w:r>
      <w:proofErr w:type="gramEnd"/>
      <w:r>
        <w:t xml:space="preserve"> address the critical challenges of employee psycholo</w:t>
      </w:r>
      <w:r>
        <w:t xml:space="preserve">gical health and insecurity, a few companies tried some novel approaches. They staged </w:t>
      </w:r>
      <w:proofErr w:type="gramStart"/>
      <w:r>
        <w:t>a number of</w:t>
      </w:r>
      <w:proofErr w:type="gramEnd"/>
      <w:r>
        <w:t xml:space="preserve"> important talks and motivational speaker events in order to keep the employees' spirits up. Several fun-filled activities were held frequently to re-energise </w:t>
      </w:r>
      <w:r>
        <w:t xml:space="preserve">the employees who were working long hours to meet corporate objectives (Stuart </w:t>
      </w:r>
      <w:r>
        <w:rPr>
          <w:i/>
        </w:rPr>
        <w:t xml:space="preserve">et al., </w:t>
      </w:r>
      <w:r>
        <w:t>2021).</w:t>
      </w:r>
    </w:p>
    <w:p w14:paraId="00000052" w14:textId="77777777" w:rsidR="00DA50A6" w:rsidRDefault="00E269C7">
      <w:pPr>
        <w:spacing w:line="360" w:lineRule="auto"/>
        <w:jc w:val="both"/>
      </w:pPr>
      <w:r>
        <w:t>Formerly seen as an "extra," the magical realm of digitization has shown to be indispensable for organisations all around the globe. However, empathy, personal to</w:t>
      </w:r>
      <w:r>
        <w:t>uch, and a healthy work environment are now required. The post-COVID age is supported by a compassionate HR role and cutting-edge technology (Saad et al., 2021).</w:t>
      </w:r>
    </w:p>
    <w:p w14:paraId="00000053" w14:textId="77777777" w:rsidR="00DA50A6" w:rsidRDefault="00E269C7">
      <w:pPr>
        <w:pStyle w:val="Heading1"/>
        <w:spacing w:line="360" w:lineRule="auto"/>
        <w:jc w:val="both"/>
        <w:rPr>
          <w:b/>
          <w:sz w:val="32"/>
          <w:szCs w:val="32"/>
        </w:rPr>
      </w:pPr>
      <w:bookmarkStart w:id="6" w:name="_7nategvcj37g" w:colFirst="0" w:colLast="0"/>
      <w:bookmarkEnd w:id="6"/>
      <w:r>
        <w:rPr>
          <w:b/>
          <w:sz w:val="32"/>
          <w:szCs w:val="32"/>
        </w:rPr>
        <w:lastRenderedPageBreak/>
        <w:t>Conclusion</w:t>
      </w:r>
    </w:p>
    <w:p w14:paraId="00000054" w14:textId="77777777" w:rsidR="00DA50A6" w:rsidRDefault="00E269C7">
      <w:pPr>
        <w:spacing w:line="360" w:lineRule="auto"/>
        <w:jc w:val="both"/>
      </w:pPr>
      <w:r>
        <w:t xml:space="preserve">Final thoughts: we've just covered a quick overview of employee engagement and how </w:t>
      </w:r>
      <w:r>
        <w:t>it may be used in various organisational settings. The research presented here provides light on several facets of employee engagement, including theoretical methods as well as real-world consequences. Many top-notch strategic, managerial, and policy chang</w:t>
      </w:r>
      <w:r>
        <w:t xml:space="preserve">es occurred during the pandemic period, which left the HRM system and organisations in a state of significant difficulty even in post-pandemic settings. Considerable emphasis is paid to such </w:t>
      </w:r>
      <w:proofErr w:type="spellStart"/>
      <w:r>
        <w:t>discussional</w:t>
      </w:r>
      <w:proofErr w:type="spellEnd"/>
      <w:r>
        <w:t xml:space="preserve"> aspects. Based on pre-pandemic and post-pandemic hum</w:t>
      </w:r>
      <w:r>
        <w:t>an resources management (HRM), employee relations and satisfaction (HRS), a credible comparison has been established throughout Every successful firm relies on a well-managed workforce and appropriate policies to ensure its safety, security, and contentmen</w:t>
      </w:r>
      <w:r>
        <w:t>t. An in-depth grasp of this fundamental component is critical to resource analysis.</w:t>
      </w:r>
    </w:p>
    <w:p w14:paraId="00000055" w14:textId="77777777" w:rsidR="00DA50A6" w:rsidRDefault="00DA50A6">
      <w:pPr>
        <w:spacing w:line="360" w:lineRule="auto"/>
        <w:jc w:val="both"/>
        <w:rPr>
          <w:shd w:val="clear" w:color="auto" w:fill="F4CCCC"/>
        </w:rPr>
      </w:pPr>
    </w:p>
    <w:p w14:paraId="00000056" w14:textId="77777777" w:rsidR="00DA50A6" w:rsidRDefault="00DA50A6">
      <w:pPr>
        <w:spacing w:line="360" w:lineRule="auto"/>
        <w:jc w:val="both"/>
        <w:rPr>
          <w:shd w:val="clear" w:color="auto" w:fill="F4CCCC"/>
        </w:rPr>
      </w:pPr>
    </w:p>
    <w:p w14:paraId="00000057" w14:textId="77777777" w:rsidR="00DA50A6" w:rsidRDefault="00DA50A6">
      <w:pPr>
        <w:spacing w:line="360" w:lineRule="auto"/>
        <w:jc w:val="both"/>
        <w:rPr>
          <w:shd w:val="clear" w:color="auto" w:fill="F4CCCC"/>
        </w:rPr>
      </w:pPr>
    </w:p>
    <w:p w14:paraId="00000058" w14:textId="77777777" w:rsidR="00DA50A6" w:rsidRDefault="00E269C7">
      <w:pPr>
        <w:pStyle w:val="Heading1"/>
        <w:spacing w:line="360" w:lineRule="auto"/>
        <w:jc w:val="both"/>
      </w:pPr>
      <w:bookmarkStart w:id="7" w:name="_zhv0k7f3k59g" w:colFirst="0" w:colLast="0"/>
      <w:bookmarkEnd w:id="7"/>
      <w:r>
        <w:br w:type="page"/>
      </w:r>
    </w:p>
    <w:p w14:paraId="00000059" w14:textId="77777777" w:rsidR="00DA50A6" w:rsidRDefault="00E269C7">
      <w:pPr>
        <w:pStyle w:val="Heading1"/>
        <w:spacing w:line="360" w:lineRule="auto"/>
        <w:jc w:val="both"/>
      </w:pPr>
      <w:bookmarkStart w:id="8" w:name="_b1c2p5sqpn0s" w:colFirst="0" w:colLast="0"/>
      <w:bookmarkEnd w:id="8"/>
      <w:r>
        <w:lastRenderedPageBreak/>
        <w:t>Reference</w:t>
      </w:r>
    </w:p>
    <w:p w14:paraId="0000005A" w14:textId="77777777" w:rsidR="00DA50A6" w:rsidRDefault="00E269C7">
      <w:pPr>
        <w:spacing w:line="360" w:lineRule="auto"/>
        <w:jc w:val="both"/>
      </w:pPr>
      <w:proofErr w:type="spellStart"/>
      <w:r>
        <w:t>Abdurrohman</w:t>
      </w:r>
      <w:proofErr w:type="spellEnd"/>
      <w:r>
        <w:t xml:space="preserve">, M.K. and </w:t>
      </w:r>
      <w:proofErr w:type="spellStart"/>
      <w:r>
        <w:t>Febriansyah</w:t>
      </w:r>
      <w:proofErr w:type="spellEnd"/>
      <w:r>
        <w:t xml:space="preserve">, H., 2019, November. </w:t>
      </w:r>
      <w:proofErr w:type="spellStart"/>
      <w:r>
        <w:t>Analyzing</w:t>
      </w:r>
      <w:proofErr w:type="spellEnd"/>
      <w:r>
        <w:t xml:space="preserve"> Employee Engagement Improvement in CV. </w:t>
      </w:r>
      <w:proofErr w:type="spellStart"/>
      <w:r>
        <w:t>Crisbar</w:t>
      </w:r>
      <w:proofErr w:type="spellEnd"/>
      <w:r>
        <w:t xml:space="preserve"> Using AON Hewitt and Deloitte Model. In The </w:t>
      </w:r>
      <w:r>
        <w:t>International Conference of Business and Banking Innovations (Vol. 1, No. 1, pp. 131-144).</w:t>
      </w:r>
    </w:p>
    <w:p w14:paraId="0000005B" w14:textId="77777777" w:rsidR="00DA50A6" w:rsidRDefault="00E269C7">
      <w:pPr>
        <w:spacing w:line="360" w:lineRule="auto"/>
        <w:jc w:val="both"/>
      </w:pPr>
      <w:r>
        <w:t xml:space="preserve">Brown, E. and </w:t>
      </w:r>
      <w:proofErr w:type="spellStart"/>
      <w:r>
        <w:t>Masias</w:t>
      </w:r>
      <w:proofErr w:type="spellEnd"/>
      <w:r>
        <w:t xml:space="preserve">, M., 2019. Engaged Employees-Satisfied Court Customers. Trends St. </w:t>
      </w:r>
      <w:proofErr w:type="spellStart"/>
      <w:r>
        <w:t>Cts</w:t>
      </w:r>
      <w:proofErr w:type="spellEnd"/>
      <w:r>
        <w:t>., p.14.</w:t>
      </w:r>
    </w:p>
    <w:p w14:paraId="0000005C" w14:textId="77777777" w:rsidR="00DA50A6" w:rsidRDefault="00E269C7">
      <w:pPr>
        <w:spacing w:line="360" w:lineRule="auto"/>
        <w:jc w:val="both"/>
      </w:pPr>
      <w:proofErr w:type="spellStart"/>
      <w:r>
        <w:t>Chanana</w:t>
      </w:r>
      <w:proofErr w:type="spellEnd"/>
      <w:r>
        <w:t xml:space="preserve">, N., 2021. Employee engagement practices during COVID‐19 </w:t>
      </w:r>
      <w:r>
        <w:t>lockdown. Journal of public affairs, 21(4), p.e2508.</w:t>
      </w:r>
    </w:p>
    <w:p w14:paraId="0000005D" w14:textId="77777777" w:rsidR="00DA50A6" w:rsidRDefault="00E269C7">
      <w:pPr>
        <w:spacing w:line="360" w:lineRule="auto"/>
        <w:jc w:val="both"/>
      </w:pPr>
      <w:r>
        <w:t>Clack, L., 2020. Employee engagement: keys to organizational success. The Palgrave Handbook of Workplace Well-Being, pp.1-28.</w:t>
      </w:r>
    </w:p>
    <w:p w14:paraId="0000005E" w14:textId="77777777" w:rsidR="00DA50A6" w:rsidRDefault="00E269C7">
      <w:pPr>
        <w:spacing w:line="360" w:lineRule="auto"/>
        <w:jc w:val="both"/>
      </w:pPr>
      <w:r>
        <w:t>De-la-Calle-Durán, M.C. and Rodríguez-Sánchez, J.L., 2021. Employee engagemen</w:t>
      </w:r>
      <w:r>
        <w:t>t and wellbeing in times of COVID-19: a proposal of the 5Cs model. International Journal of Environmental Research and Public Health, 18(10), p.5470.</w:t>
      </w:r>
    </w:p>
    <w:p w14:paraId="0000005F" w14:textId="77777777" w:rsidR="00DA50A6" w:rsidRDefault="00E269C7">
      <w:pPr>
        <w:spacing w:line="360" w:lineRule="auto"/>
        <w:jc w:val="both"/>
      </w:pPr>
      <w:r>
        <w:t xml:space="preserve">Hale, A.J., Ricotta, D.N., Freed, J., Smith, </w:t>
      </w:r>
      <w:proofErr w:type="gramStart"/>
      <w:r>
        <w:t>C.C.</w:t>
      </w:r>
      <w:proofErr w:type="gramEnd"/>
      <w:r>
        <w:t xml:space="preserve"> and Huang, G.C., 2019. Adapting Maslow's hierarchy of ne</w:t>
      </w:r>
      <w:r>
        <w:t>eds as a framework for resident wellness. Teaching and learning in medicine, 31(1), pp.109-118.</w:t>
      </w:r>
    </w:p>
    <w:p w14:paraId="00000060" w14:textId="77777777" w:rsidR="00DA50A6" w:rsidRDefault="00E269C7">
      <w:pPr>
        <w:spacing w:line="360" w:lineRule="auto"/>
        <w:jc w:val="both"/>
      </w:pPr>
      <w:r>
        <w:t xml:space="preserve">Kwon, K. and Kim, T., 2020. An integrative literature review of employee engagement and innovative </w:t>
      </w:r>
      <w:proofErr w:type="spellStart"/>
      <w:r>
        <w:t>behavior</w:t>
      </w:r>
      <w:proofErr w:type="spellEnd"/>
      <w:r>
        <w:t>: Revisiting the JD-R model. Human Resource Managemen</w:t>
      </w:r>
      <w:r>
        <w:t>t Review, 30(2), p.100704.</w:t>
      </w:r>
    </w:p>
    <w:p w14:paraId="00000061" w14:textId="77777777" w:rsidR="00DA50A6" w:rsidRDefault="00E269C7">
      <w:pPr>
        <w:spacing w:line="360" w:lineRule="auto"/>
        <w:jc w:val="both"/>
      </w:pPr>
      <w:r>
        <w:t xml:space="preserve">Li, P., Sun, J.M., Taris, T.W., Xing, L. and </w:t>
      </w:r>
      <w:proofErr w:type="spellStart"/>
      <w:r>
        <w:t>Peeters</w:t>
      </w:r>
      <w:proofErr w:type="spellEnd"/>
      <w:r>
        <w:t>, M.C., 2021. Country differences in the relationship between leadership and employee engagement: A meta-analysis. The Leadership Quarterly, 32(1), p.101458.</w:t>
      </w:r>
    </w:p>
    <w:p w14:paraId="00000062" w14:textId="77777777" w:rsidR="00DA50A6" w:rsidRDefault="00E269C7">
      <w:pPr>
        <w:spacing w:line="360" w:lineRule="auto"/>
        <w:jc w:val="both"/>
      </w:pPr>
      <w:proofErr w:type="spellStart"/>
      <w:r>
        <w:t>Motyka</w:t>
      </w:r>
      <w:proofErr w:type="spellEnd"/>
      <w:r>
        <w:t>, B., 2018. E</w:t>
      </w:r>
      <w:r>
        <w:t>mployee engagement and performance: a systematic literature review. International Journal of Management and Economics, 54(3), pp.227-244.</w:t>
      </w:r>
    </w:p>
    <w:p w14:paraId="00000063" w14:textId="77777777" w:rsidR="00DA50A6" w:rsidRDefault="00E269C7">
      <w:pPr>
        <w:spacing w:line="360" w:lineRule="auto"/>
        <w:jc w:val="both"/>
      </w:pPr>
      <w:proofErr w:type="spellStart"/>
      <w:r>
        <w:t>Nagori</w:t>
      </w:r>
      <w:proofErr w:type="spellEnd"/>
      <w:r>
        <w:t>, R., 2022. Improving Employee Engagement in Small and Medium Enterprises. In Small Business Management and Cont</w:t>
      </w:r>
      <w:r>
        <w:t>rol of the Uncertain External Environment. Emerald Publishing Limited.</w:t>
      </w:r>
    </w:p>
    <w:p w14:paraId="00000064" w14:textId="77777777" w:rsidR="00DA50A6" w:rsidRDefault="00E269C7">
      <w:pPr>
        <w:spacing w:line="360" w:lineRule="auto"/>
        <w:jc w:val="both"/>
      </w:pPr>
      <w:r>
        <w:t xml:space="preserve">Rasool, S.F., Wang, M., Tang, M., Saeed, A. and Iqbal, J., 2021. </w:t>
      </w:r>
      <w:proofErr w:type="gramStart"/>
      <w:r>
        <w:t>How</w:t>
      </w:r>
      <w:proofErr w:type="gramEnd"/>
      <w:r>
        <w:t xml:space="preserve"> toxic workplace environment effects the employee engagement: the mediating role of organizational support and employ</w:t>
      </w:r>
      <w:r>
        <w:t>ee wellbeing. International journal of environmental research and public health, 18(5), p.2294.</w:t>
      </w:r>
    </w:p>
    <w:p w14:paraId="00000065" w14:textId="77777777" w:rsidR="00DA50A6" w:rsidRDefault="00E269C7">
      <w:pPr>
        <w:spacing w:line="360" w:lineRule="auto"/>
        <w:jc w:val="both"/>
      </w:pPr>
      <w:proofErr w:type="spellStart"/>
      <w:r>
        <w:t>Risley</w:t>
      </w:r>
      <w:proofErr w:type="spellEnd"/>
      <w:r>
        <w:t>, C., 2020. Maintaining performance and employee engagement during the COVID-19 pandemic. Journal of Library Administration, 60(6), pp.653-659.</w:t>
      </w:r>
    </w:p>
    <w:p w14:paraId="00000066" w14:textId="77777777" w:rsidR="00DA50A6" w:rsidRDefault="00E269C7">
      <w:pPr>
        <w:spacing w:line="360" w:lineRule="auto"/>
        <w:jc w:val="both"/>
      </w:pPr>
      <w:r>
        <w:lastRenderedPageBreak/>
        <w:t>Saad, M.M., Gaber, H.R. and Labib, A.A., 2021. Investigating the impact of human resource management pract</w:t>
      </w:r>
      <w:r>
        <w:t>ices on employee engagement, and the moderating role of strategy implementation in Egypt. SA Journal of Human Resource Management, 19, p.9.</w:t>
      </w:r>
    </w:p>
    <w:p w14:paraId="00000067" w14:textId="77777777" w:rsidR="00DA50A6" w:rsidRDefault="00E269C7">
      <w:pPr>
        <w:spacing w:line="360" w:lineRule="auto"/>
        <w:jc w:val="both"/>
      </w:pPr>
      <w:r>
        <w:t xml:space="preserve">Stuart, M., Spencer, D.A., McLachlan, C.J. and Forde, C., 2021. COVID‐19 and the uncertain future of HRM: Furlough, </w:t>
      </w:r>
      <w:r>
        <w:t>job retention and reform. Human Resource Management Journal, 31(4), pp.904-917.</w:t>
      </w:r>
    </w:p>
    <w:p w14:paraId="00000068" w14:textId="77777777" w:rsidR="00DA50A6" w:rsidRDefault="00E269C7">
      <w:pPr>
        <w:spacing w:line="360" w:lineRule="auto"/>
        <w:jc w:val="both"/>
      </w:pPr>
      <w:r>
        <w:t xml:space="preserve">Sun, L. and </w:t>
      </w:r>
      <w:proofErr w:type="spellStart"/>
      <w:r>
        <w:t>Bunchapattanasakda</w:t>
      </w:r>
      <w:proofErr w:type="spellEnd"/>
      <w:r>
        <w:t>, C., 2019. Employee engagement: A literature review. International Journal of Human Resource Studies, 9(1), pp.63-80.</w:t>
      </w:r>
    </w:p>
    <w:p w14:paraId="00000069" w14:textId="77777777" w:rsidR="00DA50A6" w:rsidRDefault="00DA50A6">
      <w:pPr>
        <w:spacing w:line="360" w:lineRule="auto"/>
        <w:jc w:val="both"/>
        <w:rPr>
          <w:shd w:val="clear" w:color="auto" w:fill="F4CCCC"/>
        </w:rPr>
      </w:pPr>
    </w:p>
    <w:p w14:paraId="0000006A" w14:textId="77777777" w:rsidR="00DA50A6" w:rsidRDefault="00DA50A6">
      <w:pPr>
        <w:spacing w:line="360" w:lineRule="auto"/>
        <w:jc w:val="both"/>
        <w:rPr>
          <w:shd w:val="clear" w:color="auto" w:fill="F4CCCC"/>
        </w:rPr>
      </w:pPr>
    </w:p>
    <w:sectPr w:rsidR="00DA50A6">
      <w:footerReference w:type="default" r:id="rId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C0B3A" w14:textId="77777777" w:rsidR="00E269C7" w:rsidRDefault="00E269C7">
      <w:pPr>
        <w:spacing w:line="240" w:lineRule="auto"/>
      </w:pPr>
      <w:r>
        <w:separator/>
      </w:r>
    </w:p>
  </w:endnote>
  <w:endnote w:type="continuationSeparator" w:id="0">
    <w:p w14:paraId="11958CB3" w14:textId="77777777" w:rsidR="00E269C7" w:rsidRDefault="00E269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B" w14:textId="0E5446EC" w:rsidR="00DA50A6" w:rsidRDefault="00E269C7">
    <w:pPr>
      <w:jc w:val="right"/>
    </w:pPr>
    <w:r>
      <w:fldChar w:fldCharType="begin"/>
    </w:r>
    <w:r>
      <w:instrText>PAGE</w:instrText>
    </w:r>
    <w:r>
      <w:fldChar w:fldCharType="separate"/>
    </w:r>
    <w:r w:rsidR="00A8554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46042" w14:textId="77777777" w:rsidR="00E269C7" w:rsidRDefault="00E269C7">
      <w:pPr>
        <w:spacing w:line="240" w:lineRule="auto"/>
      </w:pPr>
      <w:r>
        <w:separator/>
      </w:r>
    </w:p>
  </w:footnote>
  <w:footnote w:type="continuationSeparator" w:id="0">
    <w:p w14:paraId="3D67B67C" w14:textId="77777777" w:rsidR="00E269C7" w:rsidRDefault="00E269C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0A6"/>
    <w:rsid w:val="00A85549"/>
    <w:rsid w:val="00DA50A6"/>
    <w:rsid w:val="00E26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01CD2"/>
  <w15:docId w15:val="{54D25063-420C-46DC-BDAC-54A9A0B5E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2978</Words>
  <Characters>16981</Characters>
  <Application>Microsoft Office Word</Application>
  <DocSecurity>0</DocSecurity>
  <Lines>141</Lines>
  <Paragraphs>39</Paragraphs>
  <ScaleCrop>false</ScaleCrop>
  <Company/>
  <LinksUpToDate>false</LinksUpToDate>
  <CharactersWithSpaces>19920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Gavril</cp:lastModifiedBy>
  <cp:revision>3</cp:revision>
  <dcterms:created xsi:type="dcterms:W3CDTF">2022-04-23T12:01:00Z</dcterms:created>
  <dcterms:modified xsi:type="dcterms:W3CDTF">2022-04-23T12:05:00Z</dcterms:modified>
</cp:coreProperties>
</file>