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08399" w14:textId="77777777" w:rsidR="00EB6E55" w:rsidRPr="00E676F7" w:rsidRDefault="00EB6E55" w:rsidP="00EB6E55">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37552434" w14:textId="77777777" w:rsidR="00EB6E55" w:rsidRPr="00E676F7" w:rsidRDefault="00EB6E55" w:rsidP="00EB6E55">
      <w:pPr>
        <w:ind w:right="237"/>
        <w:jc w:val="both"/>
        <w:rPr>
          <w:rFonts w:eastAsia="Arial"/>
          <w:color w:val="000000" w:themeColor="text1"/>
          <w:sz w:val="24"/>
          <w:szCs w:val="24"/>
        </w:rPr>
      </w:pPr>
    </w:p>
    <w:p w14:paraId="585AAB65" w14:textId="77777777" w:rsidR="00EB6E55" w:rsidRPr="00E676F7" w:rsidRDefault="00EB6E55" w:rsidP="00EB6E55">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296E1DA1" w14:textId="77777777" w:rsidR="00EB6E55" w:rsidRPr="00E676F7" w:rsidRDefault="00EB6E55" w:rsidP="00EB6E55">
      <w:pPr>
        <w:ind w:right="237"/>
        <w:jc w:val="both"/>
        <w:rPr>
          <w:rFonts w:eastAsia="Arial"/>
          <w:color w:val="000000" w:themeColor="text1"/>
          <w:sz w:val="24"/>
          <w:szCs w:val="24"/>
        </w:rPr>
      </w:pPr>
      <w:r w:rsidRPr="69F7424F">
        <w:rPr>
          <w:rFonts w:eastAsia="Arial"/>
          <w:b/>
          <w:bCs/>
          <w:color w:val="000000" w:themeColor="text1"/>
          <w:sz w:val="24"/>
          <w:szCs w:val="24"/>
        </w:rPr>
        <w:t>Vulnerability and Risk, Evidence-based policing</w:t>
      </w:r>
    </w:p>
    <w:p w14:paraId="00737E76" w14:textId="77777777" w:rsidR="00EB6E55" w:rsidRPr="00E676F7" w:rsidRDefault="00EB6E55" w:rsidP="00EB6E55">
      <w:pPr>
        <w:ind w:right="237"/>
        <w:jc w:val="both"/>
        <w:rPr>
          <w:rFonts w:eastAsia="Arial"/>
          <w:color w:val="000000" w:themeColor="text1"/>
          <w:sz w:val="24"/>
          <w:szCs w:val="24"/>
        </w:rPr>
      </w:pPr>
    </w:p>
    <w:p w14:paraId="69C72797" w14:textId="77777777" w:rsidR="00EB6E55" w:rsidRPr="00E676F7" w:rsidRDefault="00EB6E55" w:rsidP="00EB6E55">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1846CAF0" w14:textId="77777777" w:rsidR="00EB6E55" w:rsidRPr="00E676F7" w:rsidRDefault="00EB6E55" w:rsidP="00EB6E5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B6E55" w:rsidRPr="00E676F7" w14:paraId="5E9F0C21" w14:textId="77777777" w:rsidTr="00227623">
        <w:tc>
          <w:tcPr>
            <w:tcW w:w="10188" w:type="dxa"/>
            <w:shd w:val="clear" w:color="auto" w:fill="auto"/>
          </w:tcPr>
          <w:p w14:paraId="6EE41A86" w14:textId="77777777" w:rsidR="00EB6E55" w:rsidRPr="00E676F7" w:rsidRDefault="00EB6E55" w:rsidP="00227623">
            <w:pPr>
              <w:ind w:right="237"/>
              <w:rPr>
                <w:sz w:val="24"/>
                <w:szCs w:val="24"/>
              </w:rPr>
            </w:pPr>
          </w:p>
          <w:p w14:paraId="3FDA6F81" w14:textId="77777777" w:rsidR="00EB6E55" w:rsidRPr="00E676F7" w:rsidRDefault="00EB6E55" w:rsidP="00227623">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39F48633" w14:textId="77777777" w:rsidR="00EB6E55" w:rsidRPr="00E676F7" w:rsidRDefault="00EB6E55" w:rsidP="00227623">
            <w:pPr>
              <w:rPr>
                <w:rFonts w:eastAsia="Arial"/>
                <w:color w:val="000000" w:themeColor="text1"/>
                <w:sz w:val="24"/>
                <w:szCs w:val="24"/>
              </w:rPr>
            </w:pPr>
          </w:p>
          <w:p w14:paraId="74CD204D" w14:textId="77777777" w:rsidR="00EB6E55" w:rsidRPr="00E676F7" w:rsidRDefault="00EB6E55" w:rsidP="00227623">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7C5D18A3" w14:textId="77777777" w:rsidR="00EB6E55" w:rsidRPr="00E676F7" w:rsidRDefault="00EB6E55" w:rsidP="00227623">
            <w:pPr>
              <w:rPr>
                <w:rFonts w:eastAsia="Arial"/>
                <w:color w:val="000000" w:themeColor="text1"/>
                <w:sz w:val="24"/>
                <w:szCs w:val="24"/>
              </w:rPr>
            </w:pPr>
          </w:p>
          <w:p w14:paraId="1A87305C" w14:textId="77777777" w:rsidR="00EB6E55" w:rsidRPr="00E676F7" w:rsidRDefault="00EB6E55" w:rsidP="00227623">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Consider the use of evidence-based policing. </w:t>
            </w:r>
          </w:p>
          <w:p w14:paraId="4F56F8BC" w14:textId="77777777" w:rsidR="00EB6E55" w:rsidRPr="00E676F7" w:rsidRDefault="00EB6E55" w:rsidP="00227623">
            <w:pPr>
              <w:ind w:right="237"/>
              <w:jc w:val="both"/>
              <w:rPr>
                <w:rFonts w:eastAsia="Arial"/>
                <w:color w:val="000000" w:themeColor="text1"/>
                <w:sz w:val="24"/>
                <w:szCs w:val="24"/>
              </w:rPr>
            </w:pPr>
          </w:p>
          <w:p w14:paraId="569130CB" w14:textId="77777777" w:rsidR="00EB6E55" w:rsidRPr="00E676F7" w:rsidRDefault="00EB6E55" w:rsidP="00227623">
            <w:pPr>
              <w:ind w:right="237"/>
              <w:jc w:val="both"/>
              <w:rPr>
                <w:rFonts w:eastAsia="Arial"/>
                <w:color w:val="000000" w:themeColor="text1"/>
                <w:sz w:val="24"/>
                <w:szCs w:val="24"/>
              </w:rPr>
            </w:pPr>
            <w:r w:rsidRPr="0B413A8F">
              <w:rPr>
                <w:rFonts w:eastAsia="Arial"/>
                <w:color w:val="000000" w:themeColor="text1"/>
                <w:sz w:val="24"/>
                <w:szCs w:val="24"/>
              </w:rPr>
              <w:t xml:space="preserve">2000 words </w:t>
            </w:r>
            <w:r w:rsidRPr="0B413A8F">
              <w:rPr>
                <w:rFonts w:eastAsia="Arial"/>
                <w:i/>
                <w:iCs/>
                <w:color w:val="000000" w:themeColor="text1"/>
                <w:sz w:val="24"/>
                <w:szCs w:val="24"/>
              </w:rPr>
              <w:t>(+/- 10%: include your actual word count at the end of each section)</w:t>
            </w:r>
          </w:p>
          <w:p w14:paraId="1B09B630" w14:textId="77777777" w:rsidR="00EB6E55" w:rsidRPr="00E676F7" w:rsidRDefault="00EB6E55" w:rsidP="00227623">
            <w:pPr>
              <w:ind w:right="237"/>
              <w:jc w:val="both"/>
              <w:rPr>
                <w:sz w:val="24"/>
                <w:szCs w:val="24"/>
              </w:rPr>
            </w:pPr>
          </w:p>
        </w:tc>
      </w:tr>
    </w:tbl>
    <w:p w14:paraId="16A12CC7" w14:textId="77777777" w:rsidR="00EB6E55" w:rsidRPr="00E676F7" w:rsidRDefault="00EB6E55" w:rsidP="00EB6E55">
      <w:pPr>
        <w:ind w:right="237"/>
        <w:jc w:val="both"/>
        <w:rPr>
          <w:sz w:val="24"/>
          <w:szCs w:val="24"/>
        </w:rPr>
      </w:pPr>
    </w:p>
    <w:p w14:paraId="403F7927" w14:textId="77777777" w:rsidR="00EB6E55" w:rsidRPr="00E676F7" w:rsidRDefault="00EB6E55" w:rsidP="00EB6E55">
      <w:pPr>
        <w:ind w:right="237"/>
        <w:jc w:val="both"/>
        <w:rPr>
          <w:rFonts w:eastAsia="Arial"/>
          <w:color w:val="000000" w:themeColor="text1"/>
          <w:sz w:val="24"/>
          <w:szCs w:val="24"/>
        </w:rPr>
      </w:pPr>
    </w:p>
    <w:p w14:paraId="5E17A31C" w14:textId="77777777" w:rsidR="00EB6E55" w:rsidRPr="00E676F7" w:rsidRDefault="00EB6E55" w:rsidP="00EB6E55">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D9501F" w14:textId="77777777" w:rsidR="00EB6E55" w:rsidRPr="00E676F7" w:rsidRDefault="00EB6E55" w:rsidP="00EB6E55">
      <w:pPr>
        <w:ind w:right="237"/>
        <w:jc w:val="both"/>
        <w:rPr>
          <w:rFonts w:eastAsia="Arial"/>
          <w:color w:val="000000" w:themeColor="text1"/>
          <w:sz w:val="24"/>
          <w:szCs w:val="24"/>
        </w:rPr>
      </w:pPr>
    </w:p>
    <w:p w14:paraId="6AE3A521" w14:textId="77777777" w:rsidR="00EB6E55" w:rsidRDefault="00EB6E55" w:rsidP="00EB6E55">
      <w:pPr>
        <w:ind w:right="237"/>
        <w:rPr>
          <w:sz w:val="24"/>
          <w:szCs w:val="24"/>
        </w:rPr>
      </w:pPr>
      <w:r w:rsidRPr="00D812A7">
        <w:rPr>
          <w:sz w:val="24"/>
          <w:szCs w:val="24"/>
        </w:rPr>
        <w:t xml:space="preserve">Within this </w:t>
      </w:r>
      <w:r>
        <w:rPr>
          <w:sz w:val="24"/>
          <w:szCs w:val="24"/>
        </w:rPr>
        <w:t>t</w:t>
      </w:r>
      <w:r w:rsidRPr="00D812A7">
        <w:rPr>
          <w:sz w:val="24"/>
          <w:szCs w:val="24"/>
        </w:rPr>
        <w:t>ask I am going to describe a policing incident of which I played a significant role with a victim of crime</w:t>
      </w:r>
      <w:r>
        <w:rPr>
          <w:sz w:val="24"/>
          <w:szCs w:val="24"/>
        </w:rPr>
        <w:t xml:space="preserve"> and</w:t>
      </w:r>
      <w:r w:rsidRPr="00D812A7">
        <w:rPr>
          <w:sz w:val="24"/>
          <w:szCs w:val="24"/>
        </w:rPr>
        <w:t xml:space="preserve"> reflect upon what happened. </w:t>
      </w:r>
      <w:r>
        <w:rPr>
          <w:sz w:val="24"/>
          <w:szCs w:val="24"/>
        </w:rPr>
        <w:t xml:space="preserve">To reflect upon the incident, I will be using Borton’s’ Model of Reflection developed in the 1970’s (Rolfe 2014).  Additionally, I will critically assess the appropriateness of the policing approach, as well as other professionals from partner agencies, in supporting the victim, and what works in tackling repeat victimisation and offending.  </w:t>
      </w:r>
    </w:p>
    <w:p w14:paraId="3A42C419" w14:textId="77777777" w:rsidR="00EB6E55" w:rsidRDefault="00EB6E55" w:rsidP="00EB6E55">
      <w:pPr>
        <w:ind w:right="237"/>
        <w:rPr>
          <w:sz w:val="24"/>
          <w:szCs w:val="24"/>
        </w:rPr>
      </w:pPr>
      <w:r>
        <w:rPr>
          <w:sz w:val="24"/>
          <w:szCs w:val="24"/>
        </w:rPr>
        <w:t xml:space="preserve">This incident relates to an anti-social behaviour incident which happened on a street, within a </w:t>
      </w:r>
      <w:proofErr w:type="gramStart"/>
      <w:r>
        <w:rPr>
          <w:sz w:val="24"/>
          <w:szCs w:val="24"/>
        </w:rPr>
        <w:t>City</w:t>
      </w:r>
      <w:proofErr w:type="gramEnd"/>
      <w:r>
        <w:rPr>
          <w:sz w:val="24"/>
          <w:szCs w:val="24"/>
        </w:rPr>
        <w:t xml:space="preserve"> centre, late of an evening. Under (Section 2 (1a) Anti-social Behaviour, Crime and Policing Act of 2014) anti-social behaviour is defined as “conduct that has caused, or is likely to cause, harassment, alarm or distress to any person”.  </w:t>
      </w:r>
    </w:p>
    <w:p w14:paraId="2E69B625" w14:textId="77777777" w:rsidR="00EB6E55" w:rsidRDefault="00EB6E55" w:rsidP="00EB6E55">
      <w:pPr>
        <w:ind w:right="237"/>
        <w:rPr>
          <w:sz w:val="24"/>
          <w:szCs w:val="24"/>
        </w:rPr>
      </w:pPr>
      <w:r>
        <w:rPr>
          <w:sz w:val="24"/>
          <w:szCs w:val="24"/>
        </w:rPr>
        <w:t xml:space="preserve">The incident involved a female who was having issues with 6 young male teenagers. The female was reporting that the group were playing music loudly outside her house, throwing objects at her property, and shouting abuse and swearing at her when she asked them to turn the music down. This behaviour lasted for several hours, and made her feel frightened, distressed, and fearful. Worried that criminal damage would be caused to her property and thus she reported it to the Police. </w:t>
      </w:r>
    </w:p>
    <w:p w14:paraId="287D72B9" w14:textId="77777777" w:rsidR="00EB6E55" w:rsidRDefault="00EB6E55" w:rsidP="00EB6E55">
      <w:pPr>
        <w:ind w:right="237"/>
        <w:rPr>
          <w:sz w:val="24"/>
          <w:szCs w:val="24"/>
        </w:rPr>
      </w:pPr>
      <w:r>
        <w:rPr>
          <w:sz w:val="24"/>
          <w:szCs w:val="24"/>
        </w:rPr>
        <w:t>By the time myself and another colleague arrived on scene the offenders had made off. Whilst my colleague did an area search to find the people responsible, I stayed with the victim to establish what had happened.</w:t>
      </w:r>
      <w:r w:rsidRPr="002A1D92">
        <w:rPr>
          <w:color w:val="FF0000"/>
          <w:sz w:val="24"/>
          <w:szCs w:val="24"/>
        </w:rPr>
        <w:t xml:space="preserve"> </w:t>
      </w:r>
      <w:r>
        <w:rPr>
          <w:sz w:val="24"/>
          <w:szCs w:val="24"/>
        </w:rPr>
        <w:t xml:space="preserve">I could see that she was visibly upset as she was shaking and struggling to talk, or get her words out, she had also been crying. I sat her down, and calmed her down, before I asked her about the incident. She stated that she had been having ongoing issues with the </w:t>
      </w:r>
      <w:r>
        <w:rPr>
          <w:sz w:val="24"/>
          <w:szCs w:val="24"/>
        </w:rPr>
        <w:lastRenderedPageBreak/>
        <w:t xml:space="preserve">same 6 males for approximately 5 weeks now, but this was the first time that it had been reported to the Police. She told me that she hadn’t reported before as she was worried of repercussions if she had, and further issues from offenders. The victim felt that she was being targeted due to her age as she described herself as being elderly. Age has been classified as a protected characteristic under (Chapter 1 Equality Act 2010) and makes it unlawful to discriminate against an individual on the grounds of a protected characteristic. It is not proven that the males were targeting the lady due to her age. </w:t>
      </w:r>
    </w:p>
    <w:p w14:paraId="6FA6EF68" w14:textId="77777777" w:rsidR="00EB6E55" w:rsidRDefault="00EB6E55" w:rsidP="00EB6E55">
      <w:pPr>
        <w:ind w:right="237"/>
        <w:rPr>
          <w:sz w:val="24"/>
          <w:szCs w:val="24"/>
        </w:rPr>
      </w:pPr>
      <w:r>
        <w:rPr>
          <w:sz w:val="24"/>
          <w:szCs w:val="24"/>
        </w:rPr>
        <w:t xml:space="preserve">The lady did not wish to provide a statement in relation to the incident but wanted the behaviour towards her to be stopped. After checking that no criminal damage had been caused to the females’ property, I established that no offences were committed on this occasion, but something had to be done to stop their anti-social behaviour and prevent any offences being committed in the future. The lady was advised to call the police straight away should she have any further issues and to not approach them if she sees them again. The lady gave permission for her details to be passed onto partner agencies for further support. </w:t>
      </w:r>
    </w:p>
    <w:p w14:paraId="723B5E91" w14:textId="77777777" w:rsidR="00EB6E55" w:rsidRDefault="00EB6E55" w:rsidP="00EB6E55">
      <w:pPr>
        <w:ind w:right="237"/>
        <w:rPr>
          <w:sz w:val="24"/>
          <w:szCs w:val="24"/>
        </w:rPr>
      </w:pPr>
      <w:r>
        <w:rPr>
          <w:sz w:val="24"/>
          <w:szCs w:val="24"/>
        </w:rPr>
        <w:t xml:space="preserve">Whilst I was talking with the victim, my colleague had tracked down the 6 male teenagers responsible. My colleague took the details of the males involved and advised them to go home/leave the area to prevent further issues from occurring in the future. The males obliged and left the area. During this incident there were no cultural, ethnicity or language issues. </w:t>
      </w:r>
    </w:p>
    <w:p w14:paraId="6AA7CF31" w14:textId="006985B7" w:rsidR="00EB6E55" w:rsidRDefault="00EB6E55" w:rsidP="00EB6E55">
      <w:pPr>
        <w:ind w:right="237"/>
        <w:rPr>
          <w:sz w:val="24"/>
          <w:szCs w:val="24"/>
        </w:rPr>
      </w:pPr>
      <w:r>
        <w:rPr>
          <w:sz w:val="24"/>
          <w:szCs w:val="24"/>
        </w:rPr>
        <w:t xml:space="preserve">Although the police are often the first responders when dealing with Anti-Social Behaviour, they work closely with partner agencies </w:t>
      </w:r>
      <w:r>
        <w:rPr>
          <w:sz w:val="24"/>
          <w:szCs w:val="24"/>
        </w:rPr>
        <w:t>to</w:t>
      </w:r>
      <w:r>
        <w:rPr>
          <w:sz w:val="24"/>
          <w:szCs w:val="24"/>
        </w:rPr>
        <w:t xml:space="preserve"> get the victim relevant support and to prevent re-offending in the future. </w:t>
      </w:r>
      <w:proofErr w:type="spellStart"/>
      <w:r>
        <w:rPr>
          <w:sz w:val="24"/>
          <w:szCs w:val="24"/>
        </w:rPr>
        <w:t>Its</w:t>
      </w:r>
      <w:proofErr w:type="spellEnd"/>
      <w:r>
        <w:rPr>
          <w:sz w:val="24"/>
          <w:szCs w:val="24"/>
        </w:rPr>
        <w:t xml:space="preserve"> this multi-agency approach by the Police which has had a positive impact on the communities of which the police serve and prevent further issues in the future. </w:t>
      </w:r>
    </w:p>
    <w:p w14:paraId="42C48802" w14:textId="3A85A478" w:rsidR="00EB6E55" w:rsidRDefault="00EB6E55" w:rsidP="00EB6E55">
      <w:pPr>
        <w:ind w:right="237"/>
        <w:rPr>
          <w:sz w:val="24"/>
          <w:szCs w:val="24"/>
        </w:rPr>
      </w:pPr>
      <w:r>
        <w:rPr>
          <w:sz w:val="24"/>
          <w:szCs w:val="24"/>
        </w:rPr>
        <w:t xml:space="preserve">Once back at the police station I made the relevant referrals so that the lady could get the support that she required. The lady lived in social housing which was owned by the local council. I made a referral to them for the victim to get further support in relation to her housing. They offered her window and door alarms for her house </w:t>
      </w:r>
      <w:proofErr w:type="gramStart"/>
      <w:r>
        <w:rPr>
          <w:sz w:val="24"/>
          <w:szCs w:val="24"/>
        </w:rPr>
        <w:t>and also</w:t>
      </w:r>
      <w:proofErr w:type="gramEnd"/>
      <w:r>
        <w:rPr>
          <w:sz w:val="24"/>
          <w:szCs w:val="24"/>
        </w:rPr>
        <w:t xml:space="preserve"> liaised with the Fire Service to get letterbox blanking plates installed as an extra safety measure for the victim. </w:t>
      </w:r>
      <w:r w:rsidR="008100EE">
        <w:rPr>
          <w:sz w:val="24"/>
          <w:szCs w:val="24"/>
        </w:rPr>
        <w:t xml:space="preserve">A referral to Victim Support was also made so that they could offer emotional support for the lady as this incident clearly had a negative effect on her and was impacting on her life. </w:t>
      </w:r>
    </w:p>
    <w:p w14:paraId="343D953D" w14:textId="00E55FC7" w:rsidR="008100EE" w:rsidRDefault="008100EE" w:rsidP="00EB6E55">
      <w:pPr>
        <w:ind w:right="237"/>
        <w:rPr>
          <w:sz w:val="24"/>
          <w:szCs w:val="24"/>
        </w:rPr>
      </w:pPr>
      <w:r>
        <w:rPr>
          <w:sz w:val="24"/>
          <w:szCs w:val="24"/>
        </w:rPr>
        <w:t xml:space="preserve">Youth offending Service were contacted in relation to the 6 young males. They work closely with the offenders and the schools of which they attend to try and educate and work with the males to prevent this sort of behaviour from happening again in the future. </w:t>
      </w:r>
    </w:p>
    <w:p w14:paraId="0AF08D63" w14:textId="68563D4F" w:rsidR="005C5A5D" w:rsidRDefault="005C5A5D" w:rsidP="005C5A5D">
      <w:pPr>
        <w:ind w:right="237"/>
        <w:rPr>
          <w:sz w:val="24"/>
          <w:szCs w:val="24"/>
        </w:rPr>
      </w:pPr>
      <w:r w:rsidRPr="005C5A5D">
        <w:rPr>
          <w:sz w:val="24"/>
          <w:szCs w:val="24"/>
        </w:rPr>
        <w:t>The police</w:t>
      </w:r>
      <w:r>
        <w:rPr>
          <w:sz w:val="24"/>
          <w:szCs w:val="24"/>
        </w:rPr>
        <w:t>,</w:t>
      </w:r>
      <w:r w:rsidRPr="005C5A5D">
        <w:rPr>
          <w:sz w:val="24"/>
          <w:szCs w:val="24"/>
        </w:rPr>
        <w:t xml:space="preserve"> as an organisation</w:t>
      </w:r>
      <w:r>
        <w:rPr>
          <w:sz w:val="24"/>
          <w:szCs w:val="24"/>
        </w:rPr>
        <w:t>,</w:t>
      </w:r>
      <w:r w:rsidRPr="005C5A5D">
        <w:rPr>
          <w:sz w:val="24"/>
          <w:szCs w:val="24"/>
        </w:rPr>
        <w:t xml:space="preserve"> use many models to dea</w:t>
      </w:r>
      <w:r>
        <w:rPr>
          <w:sz w:val="24"/>
          <w:szCs w:val="24"/>
        </w:rPr>
        <w:t xml:space="preserve">l with different aspects of police. Evidence based policing is an example of this and is used </w:t>
      </w:r>
      <w:proofErr w:type="gramStart"/>
      <w:r>
        <w:rPr>
          <w:sz w:val="24"/>
          <w:szCs w:val="24"/>
        </w:rPr>
        <w:t>widely  to</w:t>
      </w:r>
      <w:proofErr w:type="gramEnd"/>
      <w:r>
        <w:rPr>
          <w:sz w:val="24"/>
          <w:szCs w:val="24"/>
        </w:rPr>
        <w:t xml:space="preserve"> deal with issues such as Anti-social behaviour to prevent re-offending and repeat victimisation. One theory used in this style of policing is the “Broken Window” Theory. This is</w:t>
      </w:r>
      <w:r>
        <w:rPr>
          <w:sz w:val="24"/>
          <w:szCs w:val="24"/>
        </w:rPr>
        <w:t xml:space="preserve"> based upon trying to make your home, as an example</w:t>
      </w:r>
      <w:r>
        <w:rPr>
          <w:sz w:val="24"/>
          <w:szCs w:val="24"/>
        </w:rPr>
        <w:t>,</w:t>
      </w:r>
      <w:r>
        <w:rPr>
          <w:sz w:val="24"/>
          <w:szCs w:val="24"/>
        </w:rPr>
        <w:t xml:space="preserve"> less likely to be targeted by offenders. This is by making it less appealing. Evidence supports the idea that a house is more likely to be targeted again if there are signs that criminal behaviour has occurred there before (search evidence to support this). </w:t>
      </w:r>
      <w:r>
        <w:rPr>
          <w:sz w:val="24"/>
          <w:szCs w:val="24"/>
        </w:rPr>
        <w:t>T</w:t>
      </w:r>
      <w:r>
        <w:rPr>
          <w:sz w:val="24"/>
          <w:szCs w:val="24"/>
        </w:rPr>
        <w:t xml:space="preserve">arget </w:t>
      </w:r>
      <w:r>
        <w:rPr>
          <w:sz w:val="24"/>
          <w:szCs w:val="24"/>
        </w:rPr>
        <w:t xml:space="preserve">hardening is the key to stopping something from being a target of criminal behaviour in the future.  </w:t>
      </w:r>
    </w:p>
    <w:p w14:paraId="4F7AF33D" w14:textId="77777777" w:rsidR="00E47FFA" w:rsidRDefault="00E47FFA" w:rsidP="005C5A5D">
      <w:pPr>
        <w:ind w:right="237"/>
        <w:rPr>
          <w:sz w:val="24"/>
          <w:szCs w:val="24"/>
        </w:rPr>
      </w:pPr>
    </w:p>
    <w:p w14:paraId="2106DF20" w14:textId="496CCDC1" w:rsidR="007247FA" w:rsidRPr="005C5A5D" w:rsidRDefault="00E47FFA">
      <w:pPr>
        <w:rPr>
          <w:sz w:val="24"/>
          <w:szCs w:val="24"/>
        </w:rPr>
      </w:pPr>
    </w:p>
    <w:p w14:paraId="406E8903" w14:textId="66C820C3" w:rsidR="005C5A5D" w:rsidRDefault="005C5A5D" w:rsidP="005C5A5D">
      <w:pPr>
        <w:ind w:right="237"/>
        <w:rPr>
          <w:sz w:val="24"/>
          <w:szCs w:val="24"/>
        </w:rPr>
      </w:pPr>
      <w:r>
        <w:rPr>
          <w:sz w:val="24"/>
          <w:szCs w:val="24"/>
        </w:rPr>
        <w:lastRenderedPageBreak/>
        <w:t>POP’s also known as Partnership Orientated Policing has been adopted to try and tackle issues before they happen. This model is about identifying the problem</w:t>
      </w:r>
      <w:r>
        <w:rPr>
          <w:sz w:val="24"/>
          <w:szCs w:val="24"/>
        </w:rPr>
        <w:t xml:space="preserve"> and then </w:t>
      </w:r>
      <w:r>
        <w:rPr>
          <w:sz w:val="24"/>
          <w:szCs w:val="24"/>
        </w:rPr>
        <w:t>working with other partner agencies to rectify the problem.</w:t>
      </w:r>
      <w:r>
        <w:rPr>
          <w:sz w:val="24"/>
          <w:szCs w:val="24"/>
        </w:rPr>
        <w:t xml:space="preserve"> As an example of ASB, housing can often be the problem. The police can work with</w:t>
      </w:r>
      <w:r>
        <w:rPr>
          <w:sz w:val="24"/>
          <w:szCs w:val="24"/>
        </w:rPr>
        <w:t xml:space="preserve"> housing to get more lighting around house or better security methods. Increase patrols within the area.  Hopefully issues</w:t>
      </w:r>
      <w:r w:rsidR="009470E6">
        <w:rPr>
          <w:sz w:val="24"/>
          <w:szCs w:val="24"/>
        </w:rPr>
        <w:t xml:space="preserve"> within that </w:t>
      </w:r>
      <w:proofErr w:type="gramStart"/>
      <w:r w:rsidR="009470E6">
        <w:rPr>
          <w:sz w:val="24"/>
          <w:szCs w:val="24"/>
        </w:rPr>
        <w:t>particular area</w:t>
      </w:r>
      <w:proofErr w:type="gramEnd"/>
      <w:r w:rsidR="009470E6">
        <w:rPr>
          <w:sz w:val="24"/>
          <w:szCs w:val="24"/>
        </w:rPr>
        <w:t xml:space="preserve"> go before it becomes a problem.</w:t>
      </w:r>
      <w:r>
        <w:rPr>
          <w:sz w:val="24"/>
          <w:szCs w:val="24"/>
        </w:rPr>
        <w:t xml:space="preserve"> </w:t>
      </w:r>
      <w:r w:rsidR="009470E6">
        <w:rPr>
          <w:sz w:val="24"/>
          <w:szCs w:val="24"/>
        </w:rPr>
        <w:t>This policing style is</w:t>
      </w:r>
      <w:r>
        <w:rPr>
          <w:sz w:val="24"/>
          <w:szCs w:val="24"/>
        </w:rPr>
        <w:t xml:space="preserve"> about nipping the issue in the bud before it becomes unmanageable</w:t>
      </w:r>
      <w:r w:rsidR="009470E6">
        <w:rPr>
          <w:sz w:val="24"/>
          <w:szCs w:val="24"/>
        </w:rPr>
        <w:t xml:space="preserve">, whereas, with the “Broken Window” Theory the issue has already </w:t>
      </w:r>
      <w:proofErr w:type="gramStart"/>
      <w:r w:rsidR="009470E6">
        <w:rPr>
          <w:sz w:val="24"/>
          <w:szCs w:val="24"/>
        </w:rPr>
        <w:t>occurred</w:t>
      </w:r>
      <w:proofErr w:type="gramEnd"/>
      <w:r w:rsidR="009470E6">
        <w:rPr>
          <w:sz w:val="24"/>
          <w:szCs w:val="24"/>
        </w:rPr>
        <w:t xml:space="preserve"> and it is about managing the risk and preventing further issues. Both styles have negatives and positives but are both affective when trying to manage repeat victimisation and re-offending, </w:t>
      </w:r>
    </w:p>
    <w:p w14:paraId="7D05EE9E" w14:textId="1ED33826" w:rsidR="008100EE" w:rsidRPr="00AE62F9" w:rsidRDefault="009470E6">
      <w:pPr>
        <w:rPr>
          <w:color w:val="auto"/>
          <w:sz w:val="24"/>
          <w:szCs w:val="24"/>
          <w:shd w:val="clear" w:color="auto" w:fill="F3F3F3"/>
        </w:rPr>
      </w:pPr>
      <w:r w:rsidRPr="00AE62F9">
        <w:rPr>
          <w:sz w:val="24"/>
          <w:szCs w:val="24"/>
        </w:rPr>
        <w:t xml:space="preserve">A study </w:t>
      </w:r>
      <w:proofErr w:type="gramStart"/>
      <w:r w:rsidRPr="00AE62F9">
        <w:rPr>
          <w:sz w:val="24"/>
          <w:szCs w:val="24"/>
        </w:rPr>
        <w:t>conducted  by</w:t>
      </w:r>
      <w:proofErr w:type="gramEnd"/>
      <w:r w:rsidRPr="00AE62F9">
        <w:rPr>
          <w:sz w:val="24"/>
          <w:szCs w:val="24"/>
        </w:rPr>
        <w:t xml:space="preserve"> Victoria Police, Australia in 2022 looked at whether a patron ban would act as a deterrent to future anti-social </w:t>
      </w:r>
      <w:proofErr w:type="spellStart"/>
      <w:r w:rsidRPr="00AE62F9">
        <w:rPr>
          <w:sz w:val="24"/>
          <w:szCs w:val="24"/>
        </w:rPr>
        <w:t>behaviour.The</w:t>
      </w:r>
      <w:proofErr w:type="spellEnd"/>
      <w:r w:rsidRPr="00AE62F9">
        <w:rPr>
          <w:sz w:val="24"/>
          <w:szCs w:val="24"/>
        </w:rPr>
        <w:t xml:space="preserve"> police imposed patron bans seek to reduce alcohol related harm in and around licensed premises. </w:t>
      </w:r>
      <w:r w:rsidRPr="00AE62F9">
        <w:rPr>
          <w:color w:val="3A3A3A"/>
          <w:sz w:val="24"/>
          <w:szCs w:val="24"/>
          <w:shd w:val="clear" w:color="auto" w:fill="F3F3F3"/>
        </w:rPr>
        <w:t xml:space="preserve"> </w:t>
      </w:r>
      <w:r w:rsidRPr="00AE62F9">
        <w:rPr>
          <w:sz w:val="24"/>
          <w:szCs w:val="24"/>
        </w:rPr>
        <w:t xml:space="preserve">The study found that </w:t>
      </w:r>
      <w:proofErr w:type="gramStart"/>
      <w:r w:rsidR="00AE62F9" w:rsidRPr="00AE62F9">
        <w:rPr>
          <w:color w:val="auto"/>
          <w:sz w:val="24"/>
          <w:szCs w:val="24"/>
          <w:shd w:val="clear" w:color="auto" w:fill="F3F3F3"/>
        </w:rPr>
        <w:t>Of</w:t>
      </w:r>
      <w:proofErr w:type="gramEnd"/>
      <w:r w:rsidR="00AE62F9" w:rsidRPr="00AE62F9">
        <w:rPr>
          <w:color w:val="auto"/>
          <w:sz w:val="24"/>
          <w:szCs w:val="24"/>
          <w:shd w:val="clear" w:color="auto" w:fill="F3F3F3"/>
        </w:rPr>
        <w:t xml:space="preserve"> those who received bans, 70.7% had recorded offences before the ban. The median number of charges before and after receiving a ban were not significantly different with respect to both anti-social behaviours and other behaviours. However, when examining short term effects (two years prior and post receiving a ban), there was a significant increase in anti-social </w:t>
      </w:r>
      <w:r w:rsidR="00AE62F9" w:rsidRPr="00AE62F9">
        <w:rPr>
          <w:color w:val="auto"/>
          <w:sz w:val="24"/>
          <w:szCs w:val="24"/>
        </w:rPr>
        <w:t>offending</w:t>
      </w:r>
      <w:r w:rsidR="00AE62F9" w:rsidRPr="00AE62F9">
        <w:rPr>
          <w:color w:val="auto"/>
          <w:sz w:val="24"/>
          <w:szCs w:val="24"/>
          <w:shd w:val="clear" w:color="auto" w:fill="F3F3F3"/>
        </w:rPr>
        <w:t>, specifically public order offences</w:t>
      </w:r>
      <w:r w:rsidR="00AE62F9" w:rsidRPr="00AE62F9">
        <w:rPr>
          <w:color w:val="auto"/>
          <w:sz w:val="24"/>
          <w:szCs w:val="24"/>
          <w:shd w:val="clear" w:color="auto" w:fill="F3F3F3"/>
        </w:rPr>
        <w:t xml:space="preserve">, </w:t>
      </w:r>
      <w:r w:rsidR="00AE62F9" w:rsidRPr="00AE62F9">
        <w:rPr>
          <w:color w:val="auto"/>
          <w:sz w:val="24"/>
          <w:szCs w:val="24"/>
          <w:shd w:val="clear" w:color="auto" w:fill="F3F3F3"/>
        </w:rPr>
        <w:t>after receiving a ban compared to before.</w:t>
      </w:r>
      <w:r w:rsidR="00AE62F9" w:rsidRPr="00AE62F9">
        <w:rPr>
          <w:color w:val="auto"/>
          <w:sz w:val="24"/>
          <w:szCs w:val="24"/>
          <w:shd w:val="clear" w:color="auto" w:fill="F3F3F3"/>
        </w:rPr>
        <w:t xml:space="preserve"> </w:t>
      </w:r>
      <w:r w:rsidR="00AE62F9" w:rsidRPr="00AE62F9">
        <w:rPr>
          <w:color w:val="auto"/>
          <w:sz w:val="24"/>
          <w:szCs w:val="24"/>
          <w:shd w:val="clear" w:color="auto" w:fill="F3F3F3"/>
        </w:rPr>
        <w:t>As a short-term sanction which limits access to specific locations, Victoria's police-imposed bans do not appear to deter recipients from </w:t>
      </w:r>
      <w:r w:rsidR="00AE62F9" w:rsidRPr="00AE62F9">
        <w:rPr>
          <w:color w:val="auto"/>
          <w:sz w:val="24"/>
          <w:szCs w:val="24"/>
        </w:rPr>
        <w:t>repeat offending</w:t>
      </w:r>
      <w:r w:rsidR="00AE62F9" w:rsidRPr="00AE62F9">
        <w:rPr>
          <w:color w:val="auto"/>
          <w:sz w:val="24"/>
          <w:szCs w:val="24"/>
          <w:shd w:val="clear" w:color="auto" w:fill="F3F3F3"/>
        </w:rPr>
        <w:t> or change already established patterns of anti-social behaviours. Consideration should be given to extending the permissible length of bans and to ensuring more effective enforcement. In addition, alternative interventions or diversions for those with a record of anti-social </w:t>
      </w:r>
      <w:r w:rsidR="00AE62F9" w:rsidRPr="00AE62F9">
        <w:rPr>
          <w:color w:val="auto"/>
          <w:sz w:val="24"/>
          <w:szCs w:val="24"/>
        </w:rPr>
        <w:t>offending</w:t>
      </w:r>
      <w:r w:rsidR="00AE62F9" w:rsidRPr="00AE62F9">
        <w:rPr>
          <w:color w:val="auto"/>
          <w:sz w:val="24"/>
          <w:szCs w:val="24"/>
          <w:shd w:val="clear" w:color="auto" w:fill="F3F3F3"/>
        </w:rPr>
        <w:t xml:space="preserve">, which could be initiated on-the-spot, may be more effective in reducing undesirable behaviours in and around licensed </w:t>
      </w:r>
      <w:proofErr w:type="gramStart"/>
      <w:r w:rsidR="00AE62F9" w:rsidRPr="00AE62F9">
        <w:rPr>
          <w:color w:val="auto"/>
          <w:sz w:val="24"/>
          <w:szCs w:val="24"/>
          <w:shd w:val="clear" w:color="auto" w:fill="F3F3F3"/>
        </w:rPr>
        <w:t>premises.</w:t>
      </w:r>
      <w:r w:rsidR="00AE62F9" w:rsidRPr="00AE62F9">
        <w:rPr>
          <w:color w:val="auto"/>
          <w:sz w:val="24"/>
          <w:szCs w:val="24"/>
          <w:shd w:val="clear" w:color="auto" w:fill="F3F3F3"/>
        </w:rPr>
        <w:t>(</w:t>
      </w:r>
      <w:proofErr w:type="gramEnd"/>
      <w:r w:rsidR="00AE62F9" w:rsidRPr="00AE62F9">
        <w:rPr>
          <w:color w:val="auto"/>
          <w:sz w:val="24"/>
          <w:szCs w:val="24"/>
          <w:shd w:val="clear" w:color="auto" w:fill="F3F3F3"/>
        </w:rPr>
        <w:t>Curtis et al 2022)</w:t>
      </w:r>
    </w:p>
    <w:p w14:paraId="78D13983" w14:textId="7ECD6842" w:rsidR="00AE62F9" w:rsidRDefault="00AE62F9">
      <w:pPr>
        <w:rPr>
          <w:color w:val="auto"/>
          <w:sz w:val="24"/>
          <w:szCs w:val="24"/>
          <w:shd w:val="clear" w:color="auto" w:fill="F3F3F3"/>
        </w:rPr>
      </w:pPr>
      <w:r w:rsidRPr="00AE62F9">
        <w:rPr>
          <w:color w:val="auto"/>
          <w:sz w:val="24"/>
          <w:szCs w:val="24"/>
          <w:shd w:val="clear" w:color="auto" w:fill="F3F3F3"/>
        </w:rPr>
        <w:t xml:space="preserve">Although this study focuses on licensed premises bans, there could be similar findings with ant-social behaviour. The police need to focus on decreasing repeat offending and harsher sanctions put on people who de re-offend. </w:t>
      </w:r>
    </w:p>
    <w:p w14:paraId="2925A2D1" w14:textId="25391194" w:rsidR="00AE62F9" w:rsidRDefault="00AE62F9">
      <w:pPr>
        <w:rPr>
          <w:color w:val="auto"/>
          <w:sz w:val="24"/>
          <w:szCs w:val="24"/>
          <w:shd w:val="clear" w:color="auto" w:fill="F3F3F3"/>
        </w:rPr>
      </w:pPr>
      <w:r>
        <w:rPr>
          <w:color w:val="auto"/>
          <w:sz w:val="24"/>
          <w:szCs w:val="24"/>
          <w:shd w:val="clear" w:color="auto" w:fill="F3F3F3"/>
        </w:rPr>
        <w:t xml:space="preserve">The police </w:t>
      </w:r>
      <w:proofErr w:type="gramStart"/>
      <w:r>
        <w:rPr>
          <w:color w:val="auto"/>
          <w:sz w:val="24"/>
          <w:szCs w:val="24"/>
          <w:shd w:val="clear" w:color="auto" w:fill="F3F3F3"/>
        </w:rPr>
        <w:t>is</w:t>
      </w:r>
      <w:proofErr w:type="gramEnd"/>
      <w:r>
        <w:rPr>
          <w:color w:val="auto"/>
          <w:sz w:val="24"/>
          <w:szCs w:val="24"/>
          <w:shd w:val="clear" w:color="auto" w:fill="F3F3F3"/>
        </w:rPr>
        <w:t xml:space="preserve"> victim led so working with victims to prevent repeat victimisation also needs to be affective to dec</w:t>
      </w:r>
      <w:r w:rsidR="00E47FFA">
        <w:rPr>
          <w:color w:val="auto"/>
          <w:sz w:val="24"/>
          <w:szCs w:val="24"/>
          <w:shd w:val="clear" w:color="auto" w:fill="F3F3F3"/>
        </w:rPr>
        <w:t xml:space="preserve">rease offending and increase public confidence in the police service. </w:t>
      </w:r>
    </w:p>
    <w:p w14:paraId="44D080C2" w14:textId="15CEA782" w:rsidR="00AE62F9" w:rsidRPr="00AE62F9" w:rsidRDefault="00E47FFA">
      <w:pPr>
        <w:rPr>
          <w:color w:val="auto"/>
          <w:sz w:val="24"/>
          <w:szCs w:val="24"/>
        </w:rPr>
      </w:pPr>
      <w:r>
        <w:rPr>
          <w:color w:val="auto"/>
          <w:sz w:val="24"/>
          <w:szCs w:val="24"/>
        </w:rPr>
        <w:t xml:space="preserve">To conclude, I felt that I dealt with my incident very well, and since this </w:t>
      </w:r>
      <w:proofErr w:type="gramStart"/>
      <w:r>
        <w:rPr>
          <w:color w:val="auto"/>
          <w:sz w:val="24"/>
          <w:szCs w:val="24"/>
        </w:rPr>
        <w:t>particular incident</w:t>
      </w:r>
      <w:proofErr w:type="gramEnd"/>
      <w:r>
        <w:rPr>
          <w:color w:val="auto"/>
          <w:sz w:val="24"/>
          <w:szCs w:val="24"/>
        </w:rPr>
        <w:t xml:space="preserve"> the lady concerned has not had any further issues since. Whether, this is down to police involvement, or the multi-agency approach which was targeted at all aspects of the incident. This incident goes to show that when </w:t>
      </w:r>
      <w:proofErr w:type="spellStart"/>
      <w:r>
        <w:rPr>
          <w:color w:val="auto"/>
          <w:sz w:val="24"/>
          <w:szCs w:val="24"/>
        </w:rPr>
        <w:t>delaing</w:t>
      </w:r>
      <w:proofErr w:type="spellEnd"/>
      <w:r>
        <w:rPr>
          <w:color w:val="auto"/>
          <w:sz w:val="24"/>
          <w:szCs w:val="24"/>
        </w:rPr>
        <w:t xml:space="preserve"> with anti-social behaviour a multiple agency approach is key, which is </w:t>
      </w:r>
      <w:proofErr w:type="gramStart"/>
      <w:r>
        <w:rPr>
          <w:color w:val="auto"/>
          <w:sz w:val="24"/>
          <w:szCs w:val="24"/>
        </w:rPr>
        <w:t>similar to</w:t>
      </w:r>
      <w:proofErr w:type="gramEnd"/>
      <w:r>
        <w:rPr>
          <w:color w:val="auto"/>
          <w:sz w:val="24"/>
          <w:szCs w:val="24"/>
        </w:rPr>
        <w:t xml:space="preserve"> many other offences which officers deal with </w:t>
      </w:r>
      <w:proofErr w:type="spellStart"/>
      <w:r>
        <w:rPr>
          <w:color w:val="auto"/>
          <w:sz w:val="24"/>
          <w:szCs w:val="24"/>
        </w:rPr>
        <w:t>everyday</w:t>
      </w:r>
      <w:proofErr w:type="spellEnd"/>
      <w:r>
        <w:rPr>
          <w:color w:val="auto"/>
          <w:sz w:val="24"/>
          <w:szCs w:val="24"/>
        </w:rPr>
        <w:t xml:space="preserve">, from domestic violence cases to hate crime incidents. </w:t>
      </w:r>
    </w:p>
    <w:p w14:paraId="0509E221" w14:textId="6734B340" w:rsidR="008100EE" w:rsidRPr="00AE62F9" w:rsidRDefault="008100EE">
      <w:pPr>
        <w:rPr>
          <w:color w:val="auto"/>
        </w:rPr>
      </w:pPr>
    </w:p>
    <w:p w14:paraId="6BCD7EFB" w14:textId="458D5021" w:rsidR="008100EE" w:rsidRDefault="008100EE"/>
    <w:p w14:paraId="5947E006" w14:textId="356A1E72" w:rsidR="008100EE" w:rsidRDefault="008100EE"/>
    <w:p w14:paraId="10BFB219" w14:textId="77777777" w:rsidR="008100EE" w:rsidRDefault="008100EE" w:rsidP="008100EE">
      <w:pPr>
        <w:ind w:right="237"/>
        <w:rPr>
          <w:sz w:val="24"/>
          <w:szCs w:val="24"/>
        </w:rPr>
      </w:pPr>
      <w:r w:rsidRPr="003E2252">
        <w:rPr>
          <w:i/>
          <w:iCs/>
          <w:sz w:val="24"/>
          <w:szCs w:val="24"/>
        </w:rPr>
        <w:t xml:space="preserve">Anti-social Behaviour, Crime and Policing Act 2014, c. 12. </w:t>
      </w:r>
      <w:r w:rsidRPr="003E2252">
        <w:rPr>
          <w:sz w:val="24"/>
          <w:szCs w:val="24"/>
        </w:rPr>
        <w:t xml:space="preserve">Available at: </w:t>
      </w:r>
      <w:hyperlink r:id="rId6" w:history="1">
        <w:r w:rsidRPr="003E2252">
          <w:rPr>
            <w:rStyle w:val="Hyperlink"/>
            <w:sz w:val="24"/>
            <w:szCs w:val="24"/>
          </w:rPr>
          <w:t>Anti-social Behaviour, Crime and Policing Act 2014 (legislation.gov.uk)</w:t>
        </w:r>
      </w:hyperlink>
      <w:r w:rsidRPr="003E2252">
        <w:rPr>
          <w:sz w:val="24"/>
          <w:szCs w:val="24"/>
        </w:rPr>
        <w:t xml:space="preserve"> (Accessed: 15</w:t>
      </w:r>
      <w:r w:rsidRPr="003E2252">
        <w:rPr>
          <w:sz w:val="24"/>
          <w:szCs w:val="24"/>
          <w:vertAlign w:val="superscript"/>
        </w:rPr>
        <w:t>th</w:t>
      </w:r>
      <w:r w:rsidRPr="003E2252">
        <w:rPr>
          <w:sz w:val="24"/>
          <w:szCs w:val="24"/>
        </w:rPr>
        <w:t xml:space="preserve"> June 2022).</w:t>
      </w:r>
    </w:p>
    <w:p w14:paraId="25202F71" w14:textId="5452FCD8" w:rsidR="008100EE" w:rsidRDefault="008100EE" w:rsidP="008100EE">
      <w:pPr>
        <w:keepNext/>
        <w:spacing w:before="240" w:after="60"/>
        <w:ind w:right="237"/>
      </w:pPr>
      <w:r>
        <w:rPr>
          <w:sz w:val="24"/>
          <w:szCs w:val="24"/>
        </w:rPr>
        <w:lastRenderedPageBreak/>
        <w:t>Cambridge University Press 2022, Cambridge Dictionary. Team definition. Accessed on: 12</w:t>
      </w:r>
      <w:r w:rsidRPr="00C7046F">
        <w:rPr>
          <w:sz w:val="24"/>
          <w:szCs w:val="24"/>
          <w:vertAlign w:val="superscript"/>
        </w:rPr>
        <w:t>th</w:t>
      </w:r>
      <w:r>
        <w:rPr>
          <w:sz w:val="24"/>
          <w:szCs w:val="24"/>
        </w:rPr>
        <w:t xml:space="preserve"> June 2022. Accessed: </w:t>
      </w:r>
      <w:hyperlink r:id="rId7" w:history="1">
        <w:r>
          <w:rPr>
            <w:rStyle w:val="Hyperlink"/>
          </w:rPr>
          <w:t>TEAM | meaning in the Cambridge English Dictionary</w:t>
        </w:r>
      </w:hyperlink>
      <w:r>
        <w:t xml:space="preserve">. </w:t>
      </w:r>
    </w:p>
    <w:p w14:paraId="0EBAC0A4" w14:textId="3CA02FCA" w:rsidR="00E47FFA" w:rsidRPr="00E47FFA" w:rsidRDefault="00E47FFA" w:rsidP="008100EE">
      <w:pPr>
        <w:keepNext/>
        <w:spacing w:before="240" w:after="60"/>
        <w:ind w:right="237"/>
      </w:pPr>
      <w:r w:rsidRPr="00E47FFA">
        <w:rPr>
          <w:sz w:val="24"/>
          <w:szCs w:val="24"/>
        </w:rPr>
        <w:t xml:space="preserve">Curtis, Farmer, C., Harries, T., </w:t>
      </w:r>
      <w:proofErr w:type="spellStart"/>
      <w:r w:rsidRPr="00E47FFA">
        <w:rPr>
          <w:sz w:val="24"/>
          <w:szCs w:val="24"/>
        </w:rPr>
        <w:t>Mayshak</w:t>
      </w:r>
      <w:proofErr w:type="spellEnd"/>
      <w:r w:rsidRPr="00E47FFA">
        <w:rPr>
          <w:sz w:val="24"/>
          <w:szCs w:val="24"/>
        </w:rPr>
        <w:t xml:space="preserve">, R., </w:t>
      </w:r>
      <w:proofErr w:type="spellStart"/>
      <w:r w:rsidRPr="00E47FFA">
        <w:rPr>
          <w:sz w:val="24"/>
          <w:szCs w:val="24"/>
        </w:rPr>
        <w:t>Coomber</w:t>
      </w:r>
      <w:proofErr w:type="spellEnd"/>
      <w:r w:rsidRPr="00E47FFA">
        <w:rPr>
          <w:sz w:val="24"/>
          <w:szCs w:val="24"/>
        </w:rPr>
        <w:t xml:space="preserve">, K., Guadagno, B., &amp; Miller, P. (2022). Do patron </w:t>
      </w:r>
      <w:proofErr w:type="gramStart"/>
      <w:r w:rsidRPr="00E47FFA">
        <w:rPr>
          <w:sz w:val="24"/>
          <w:szCs w:val="24"/>
        </w:rPr>
        <w:t>bans</w:t>
      </w:r>
      <w:proofErr w:type="gramEnd"/>
      <w:r w:rsidRPr="00E47FFA">
        <w:rPr>
          <w:sz w:val="24"/>
          <w:szCs w:val="24"/>
        </w:rPr>
        <w:t xml:space="preserve"> act as a deterrent to future anti-social offending? An analysis of banning and offending data from Victoria, Australia. Policing &amp; Society, 32(2), 234–247. </w:t>
      </w:r>
      <w:hyperlink r:id="rId8" w:history="1">
        <w:r w:rsidRPr="00B12060">
          <w:rPr>
            <w:rStyle w:val="Hyperlink"/>
            <w:sz w:val="24"/>
            <w:szCs w:val="24"/>
          </w:rPr>
          <w:t>https://doi.org/10.1080/10439463.2021.1896516</w:t>
        </w:r>
      </w:hyperlink>
      <w:r>
        <w:rPr>
          <w:sz w:val="24"/>
          <w:szCs w:val="24"/>
        </w:rPr>
        <w:t xml:space="preserve"> (Accessed 12th May 2022). </w:t>
      </w:r>
    </w:p>
    <w:p w14:paraId="5EC8CB08" w14:textId="77777777" w:rsidR="008100EE" w:rsidRPr="008A2F24" w:rsidRDefault="008100EE" w:rsidP="008100EE">
      <w:pPr>
        <w:keepNext/>
        <w:spacing w:before="240" w:after="60"/>
        <w:ind w:right="237"/>
        <w:rPr>
          <w:sz w:val="24"/>
          <w:szCs w:val="24"/>
        </w:rPr>
      </w:pPr>
      <w:r w:rsidRPr="008A2F24">
        <w:rPr>
          <w:i/>
          <w:iCs/>
          <w:sz w:val="24"/>
          <w:szCs w:val="24"/>
        </w:rPr>
        <w:t xml:space="preserve">Equality Act 2010, c.15. </w:t>
      </w:r>
      <w:r w:rsidRPr="008A2F24">
        <w:rPr>
          <w:sz w:val="24"/>
          <w:szCs w:val="24"/>
        </w:rPr>
        <w:t xml:space="preserve">Available at: </w:t>
      </w:r>
      <w:hyperlink r:id="rId9" w:history="1">
        <w:r w:rsidRPr="008A2F24">
          <w:rPr>
            <w:rStyle w:val="Hyperlink"/>
            <w:sz w:val="24"/>
            <w:szCs w:val="24"/>
          </w:rPr>
          <w:t>Equality Act 2010 (legislation.gov.uk)</w:t>
        </w:r>
      </w:hyperlink>
      <w:r w:rsidRPr="008A2F24">
        <w:rPr>
          <w:sz w:val="24"/>
          <w:szCs w:val="24"/>
        </w:rPr>
        <w:t xml:space="preserve"> (Accessed: 15</w:t>
      </w:r>
      <w:r w:rsidRPr="008A2F24">
        <w:rPr>
          <w:sz w:val="24"/>
          <w:szCs w:val="24"/>
          <w:vertAlign w:val="superscript"/>
        </w:rPr>
        <w:t>th</w:t>
      </w:r>
      <w:r w:rsidRPr="008A2F24">
        <w:rPr>
          <w:sz w:val="24"/>
          <w:szCs w:val="24"/>
        </w:rPr>
        <w:t xml:space="preserve"> June 2022). </w:t>
      </w:r>
    </w:p>
    <w:p w14:paraId="5821C899" w14:textId="77777777" w:rsidR="008100EE" w:rsidRPr="00611AEA" w:rsidRDefault="008100EE" w:rsidP="008100EE">
      <w:pPr>
        <w:keepNext/>
        <w:spacing w:before="240" w:after="60"/>
        <w:ind w:right="237"/>
        <w:rPr>
          <w:sz w:val="24"/>
          <w:szCs w:val="24"/>
        </w:rPr>
      </w:pPr>
      <w:r w:rsidRPr="00611AEA">
        <w:rPr>
          <w:color w:val="3A3A3A"/>
          <w:sz w:val="24"/>
          <w:szCs w:val="24"/>
          <w:shd w:val="clear" w:color="auto" w:fill="FFFFFF"/>
        </w:rPr>
        <w:t xml:space="preserve">Rolfe, G. (2014) ‘Reach touch and teach: Terry </w:t>
      </w:r>
      <w:proofErr w:type="spellStart"/>
      <w:r w:rsidRPr="00611AEA">
        <w:rPr>
          <w:color w:val="3A3A3A"/>
          <w:sz w:val="24"/>
          <w:szCs w:val="24"/>
          <w:shd w:val="clear" w:color="auto" w:fill="FFFFFF"/>
        </w:rPr>
        <w:t>Borton</w:t>
      </w:r>
      <w:proofErr w:type="spellEnd"/>
      <w:r w:rsidRPr="00611AEA">
        <w:rPr>
          <w:color w:val="3A3A3A"/>
          <w:sz w:val="24"/>
          <w:szCs w:val="24"/>
          <w:shd w:val="clear" w:color="auto" w:fill="FFFFFF"/>
        </w:rPr>
        <w:t>’, </w:t>
      </w:r>
      <w:r w:rsidRPr="00611AEA">
        <w:rPr>
          <w:i/>
          <w:iCs/>
          <w:color w:val="3A3A3A"/>
          <w:sz w:val="24"/>
          <w:szCs w:val="24"/>
          <w:shd w:val="clear" w:color="auto" w:fill="FFFFFF"/>
        </w:rPr>
        <w:t>Nurse education today</w:t>
      </w:r>
      <w:r w:rsidRPr="00611AEA">
        <w:rPr>
          <w:color w:val="3A3A3A"/>
          <w:sz w:val="24"/>
          <w:szCs w:val="24"/>
          <w:shd w:val="clear" w:color="auto" w:fill="FFFFFF"/>
        </w:rPr>
        <w:t xml:space="preserve">, 34(4), pp. 488–489. </w:t>
      </w:r>
      <w:proofErr w:type="gramStart"/>
      <w:r w:rsidRPr="00611AEA">
        <w:rPr>
          <w:color w:val="3A3A3A"/>
          <w:sz w:val="24"/>
          <w:szCs w:val="24"/>
          <w:shd w:val="clear" w:color="auto" w:fill="FFFFFF"/>
        </w:rPr>
        <w:t>doi:10.1016/j.nedt</w:t>
      </w:r>
      <w:proofErr w:type="gramEnd"/>
      <w:r w:rsidRPr="00611AEA">
        <w:rPr>
          <w:color w:val="3A3A3A"/>
          <w:sz w:val="24"/>
          <w:szCs w:val="24"/>
          <w:shd w:val="clear" w:color="auto" w:fill="FFFFFF"/>
        </w:rPr>
        <w:t>.2013.11.003.</w:t>
      </w:r>
    </w:p>
    <w:p w14:paraId="431ED434" w14:textId="77777777" w:rsidR="008100EE" w:rsidRDefault="008100EE"/>
    <w:sectPr w:rsidR="008100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4707D" w14:textId="77777777" w:rsidR="00E47FFA" w:rsidRDefault="00E47FFA" w:rsidP="00E47FFA">
      <w:r>
        <w:separator/>
      </w:r>
    </w:p>
  </w:endnote>
  <w:endnote w:type="continuationSeparator" w:id="0">
    <w:p w14:paraId="7C5665E2" w14:textId="77777777" w:rsidR="00E47FFA" w:rsidRDefault="00E47FFA" w:rsidP="00E47F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E3F20" w14:textId="77777777" w:rsidR="00E47FFA" w:rsidRDefault="00E47FFA" w:rsidP="00E47FFA">
      <w:r>
        <w:separator/>
      </w:r>
    </w:p>
  </w:footnote>
  <w:footnote w:type="continuationSeparator" w:id="0">
    <w:p w14:paraId="316D02C1" w14:textId="77777777" w:rsidR="00E47FFA" w:rsidRDefault="00E47FFA" w:rsidP="00E47FF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E55"/>
    <w:rsid w:val="00581EEA"/>
    <w:rsid w:val="005C5A5D"/>
    <w:rsid w:val="008100EE"/>
    <w:rsid w:val="009470E6"/>
    <w:rsid w:val="00AE62F9"/>
    <w:rsid w:val="00B9608E"/>
    <w:rsid w:val="00E47FFA"/>
    <w:rsid w:val="00EB6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50D0FC"/>
  <w15:chartTrackingRefBased/>
  <w15:docId w15:val="{22DF9A48-E2B0-4ED0-A785-7AABEF5ED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E55"/>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8100EE"/>
    <w:rPr>
      <w:color w:val="0000FF"/>
      <w:u w:val="single"/>
    </w:rPr>
  </w:style>
  <w:style w:type="character" w:styleId="UnresolvedMention">
    <w:name w:val="Unresolved Mention"/>
    <w:basedOn w:val="DefaultParagraphFont"/>
    <w:uiPriority w:val="99"/>
    <w:semiHidden/>
    <w:unhideWhenUsed/>
    <w:rsid w:val="00E47F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439463.2021.1896516" TargetMode="External"/><Relationship Id="rId3" Type="http://schemas.openxmlformats.org/officeDocument/2006/relationships/webSettings" Target="webSettings.xml"/><Relationship Id="rId7" Type="http://schemas.openxmlformats.org/officeDocument/2006/relationships/hyperlink" Target="https://dictionary.cambridge.org/dictionary/english/tea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14/12/section/2"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legislation.gov.uk/ukpga/2010/15/part/2/chapte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4</Pages>
  <Words>1571</Words>
  <Characters>8960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Cowling, Leah</dc:creator>
  <cp:keywords/>
  <dc:description/>
  <cp:lastModifiedBy>Cowling, Leah</cp:lastModifiedBy>
  <cp:revision>1</cp:revision>
  <dcterms:created xsi:type="dcterms:W3CDTF">2022-07-24T21:44:00Z</dcterms:created>
  <dcterms:modified xsi:type="dcterms:W3CDTF">2022-07-24T22:42:00Z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2022-07-24T21:44:09Z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73e80864-10be-49c7-a37a-c5993c1b61e5</vt:lpwstr>
  </property>
  <property fmtid="{D5CDD505-2E9C-101B-9397-08002B2CF9AE}" pid="8" name="MSIP_Label_f2acd28b-79a3-4a0f-b0ff-4b75658b1549_ContentBits">
    <vt:lpwstr>0</vt:lpwstr>
  </property>
</Properties>
</file>