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D1E88" w14:textId="2F9D0063" w:rsidR="00806C53" w:rsidRDefault="00D947AE" w:rsidP="00D947AE">
      <w:pPr>
        <w:jc w:val="center"/>
        <w:rPr>
          <w:rFonts w:ascii="Times New Roman" w:hAnsi="Times New Roman" w:cs="Times New Roman"/>
          <w:sz w:val="40"/>
          <w:szCs w:val="40"/>
        </w:rPr>
      </w:pPr>
      <w:r w:rsidRPr="00D947AE">
        <w:rPr>
          <w:rFonts w:ascii="Times New Roman" w:hAnsi="Times New Roman" w:cs="Times New Roman"/>
          <w:sz w:val="40"/>
          <w:szCs w:val="40"/>
        </w:rPr>
        <w:t>COMMUNITY ENGAGEMENT</w:t>
      </w:r>
    </w:p>
    <w:p w14:paraId="5BE67E98" w14:textId="0EE77E55" w:rsidR="00D947AE" w:rsidRDefault="00D947AE" w:rsidP="00D947AE">
      <w:pPr>
        <w:jc w:val="center"/>
        <w:rPr>
          <w:rFonts w:ascii="Times New Roman" w:hAnsi="Times New Roman" w:cs="Times New Roman"/>
          <w:sz w:val="40"/>
          <w:szCs w:val="40"/>
        </w:rPr>
      </w:pPr>
      <w:r w:rsidRPr="00D947AE">
        <w:rPr>
          <w:rFonts w:ascii="Times New Roman" w:hAnsi="Times New Roman" w:cs="Times New Roman"/>
          <w:sz w:val="40"/>
          <w:szCs w:val="40"/>
        </w:rPr>
        <w:t>Report on the Community Engagement Project: The Nuneaton Green Space Program</w:t>
      </w:r>
    </w:p>
    <w:p w14:paraId="07997174" w14:textId="26FFFC89" w:rsidR="00DA3ACA" w:rsidRDefault="005836E4" w:rsidP="00D947AE">
      <w:pPr>
        <w:jc w:val="center"/>
        <w:rPr>
          <w:rFonts w:ascii="Times New Roman" w:hAnsi="Times New Roman" w:cs="Times New Roman"/>
          <w:sz w:val="40"/>
          <w:szCs w:val="40"/>
        </w:rPr>
      </w:pPr>
      <w:r>
        <w:rPr>
          <w:rFonts w:ascii="Times New Roman" w:hAnsi="Times New Roman" w:cs="Times New Roman"/>
          <w:sz w:val="40"/>
          <w:szCs w:val="40"/>
        </w:rPr>
        <w:t xml:space="preserve">Student – </w:t>
      </w:r>
      <w:proofErr w:type="spellStart"/>
      <w:r>
        <w:rPr>
          <w:rFonts w:ascii="Times New Roman" w:hAnsi="Times New Roman" w:cs="Times New Roman"/>
          <w:sz w:val="40"/>
          <w:szCs w:val="40"/>
        </w:rPr>
        <w:t>Iuliana</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Luminita</w:t>
      </w:r>
      <w:proofErr w:type="spellEnd"/>
      <w:r>
        <w:rPr>
          <w:rFonts w:ascii="Times New Roman" w:hAnsi="Times New Roman" w:cs="Times New Roman"/>
          <w:sz w:val="40"/>
          <w:szCs w:val="40"/>
        </w:rPr>
        <w:t xml:space="preserve"> Nica </w:t>
      </w:r>
    </w:p>
    <w:p w14:paraId="07D92C32" w14:textId="3E38DEE3" w:rsidR="005836E4" w:rsidRDefault="005836E4" w:rsidP="00D947AE">
      <w:pPr>
        <w:jc w:val="center"/>
        <w:rPr>
          <w:rFonts w:ascii="Times New Roman" w:hAnsi="Times New Roman" w:cs="Times New Roman"/>
          <w:sz w:val="40"/>
          <w:szCs w:val="40"/>
        </w:rPr>
      </w:pPr>
      <w:r>
        <w:rPr>
          <w:rFonts w:ascii="Times New Roman" w:hAnsi="Times New Roman" w:cs="Times New Roman"/>
          <w:sz w:val="40"/>
          <w:szCs w:val="40"/>
        </w:rPr>
        <w:t xml:space="preserve">Student ID- </w:t>
      </w:r>
      <w:r w:rsidR="00490F01">
        <w:rPr>
          <w:rFonts w:ascii="Times New Roman" w:hAnsi="Times New Roman" w:cs="Times New Roman"/>
          <w:sz w:val="40"/>
          <w:szCs w:val="40"/>
        </w:rPr>
        <w:t>2244846</w:t>
      </w:r>
    </w:p>
    <w:p w14:paraId="57897530" w14:textId="77777777" w:rsidR="00D947AE" w:rsidRDefault="00D947AE" w:rsidP="00D947AE">
      <w:pPr>
        <w:jc w:val="center"/>
        <w:rPr>
          <w:rFonts w:ascii="Times New Roman" w:hAnsi="Times New Roman" w:cs="Times New Roman"/>
          <w:sz w:val="40"/>
          <w:szCs w:val="40"/>
        </w:rPr>
      </w:pPr>
    </w:p>
    <w:p w14:paraId="6C7A6F86" w14:textId="77777777" w:rsidR="00D947AE" w:rsidRDefault="00D947AE" w:rsidP="00D947AE">
      <w:pPr>
        <w:jc w:val="center"/>
        <w:rPr>
          <w:rFonts w:ascii="Times New Roman" w:hAnsi="Times New Roman" w:cs="Times New Roman"/>
          <w:sz w:val="40"/>
          <w:szCs w:val="40"/>
        </w:rPr>
      </w:pPr>
    </w:p>
    <w:p w14:paraId="3CAA2407" w14:textId="77777777" w:rsidR="00D947AE" w:rsidRDefault="00D947AE" w:rsidP="00D947AE">
      <w:pPr>
        <w:jc w:val="center"/>
        <w:rPr>
          <w:rFonts w:ascii="Times New Roman" w:hAnsi="Times New Roman" w:cs="Times New Roman"/>
          <w:sz w:val="40"/>
          <w:szCs w:val="40"/>
        </w:rPr>
      </w:pPr>
    </w:p>
    <w:p w14:paraId="1AEEE256" w14:textId="77777777" w:rsidR="00D947AE" w:rsidRDefault="00D947AE" w:rsidP="00D947AE">
      <w:pPr>
        <w:jc w:val="center"/>
        <w:rPr>
          <w:rFonts w:ascii="Times New Roman" w:hAnsi="Times New Roman" w:cs="Times New Roman"/>
          <w:sz w:val="40"/>
          <w:szCs w:val="40"/>
        </w:rPr>
      </w:pPr>
    </w:p>
    <w:p w14:paraId="5FA5BA13" w14:textId="77777777" w:rsidR="00D947AE" w:rsidRDefault="00D947AE" w:rsidP="00D947AE">
      <w:pPr>
        <w:jc w:val="center"/>
        <w:rPr>
          <w:rFonts w:ascii="Times New Roman" w:hAnsi="Times New Roman" w:cs="Times New Roman"/>
          <w:sz w:val="40"/>
          <w:szCs w:val="40"/>
        </w:rPr>
      </w:pPr>
    </w:p>
    <w:p w14:paraId="0137F67B" w14:textId="77777777" w:rsidR="00D947AE" w:rsidRDefault="00D947AE" w:rsidP="00D947AE">
      <w:pPr>
        <w:jc w:val="center"/>
        <w:rPr>
          <w:rFonts w:ascii="Times New Roman" w:hAnsi="Times New Roman" w:cs="Times New Roman"/>
          <w:sz w:val="40"/>
          <w:szCs w:val="40"/>
        </w:rPr>
      </w:pPr>
    </w:p>
    <w:p w14:paraId="6195523E" w14:textId="77777777" w:rsidR="00D947AE" w:rsidRDefault="00D947AE" w:rsidP="00D947AE">
      <w:pPr>
        <w:jc w:val="center"/>
        <w:rPr>
          <w:rFonts w:ascii="Times New Roman" w:hAnsi="Times New Roman" w:cs="Times New Roman"/>
          <w:sz w:val="40"/>
          <w:szCs w:val="40"/>
        </w:rPr>
      </w:pPr>
    </w:p>
    <w:p w14:paraId="46DA8539" w14:textId="77777777" w:rsidR="00D947AE" w:rsidRDefault="00D947AE" w:rsidP="00D947AE">
      <w:pPr>
        <w:jc w:val="center"/>
        <w:rPr>
          <w:rFonts w:ascii="Times New Roman" w:hAnsi="Times New Roman" w:cs="Times New Roman"/>
          <w:sz w:val="40"/>
          <w:szCs w:val="40"/>
        </w:rPr>
      </w:pPr>
    </w:p>
    <w:p w14:paraId="4E99B802" w14:textId="77777777" w:rsidR="00D947AE" w:rsidRDefault="00D947AE" w:rsidP="00D947AE">
      <w:pPr>
        <w:jc w:val="center"/>
        <w:rPr>
          <w:rFonts w:ascii="Times New Roman" w:hAnsi="Times New Roman" w:cs="Times New Roman"/>
          <w:sz w:val="40"/>
          <w:szCs w:val="40"/>
        </w:rPr>
      </w:pPr>
    </w:p>
    <w:p w14:paraId="5C4DC6E9" w14:textId="77777777" w:rsidR="00D947AE" w:rsidRDefault="00D947AE" w:rsidP="00D947AE">
      <w:pPr>
        <w:jc w:val="center"/>
        <w:rPr>
          <w:rFonts w:ascii="Times New Roman" w:hAnsi="Times New Roman" w:cs="Times New Roman"/>
          <w:sz w:val="40"/>
          <w:szCs w:val="40"/>
        </w:rPr>
      </w:pPr>
    </w:p>
    <w:p w14:paraId="31378C10" w14:textId="77777777" w:rsidR="00D947AE" w:rsidRDefault="00D947AE" w:rsidP="00D947AE">
      <w:pPr>
        <w:jc w:val="center"/>
        <w:rPr>
          <w:rFonts w:ascii="Times New Roman" w:hAnsi="Times New Roman" w:cs="Times New Roman"/>
          <w:sz w:val="40"/>
          <w:szCs w:val="40"/>
        </w:rPr>
      </w:pPr>
    </w:p>
    <w:p w14:paraId="4EB4DF52" w14:textId="77777777" w:rsidR="00D947AE" w:rsidRDefault="00D947AE" w:rsidP="00D947AE">
      <w:pPr>
        <w:jc w:val="center"/>
        <w:rPr>
          <w:rFonts w:ascii="Times New Roman" w:hAnsi="Times New Roman" w:cs="Times New Roman"/>
          <w:sz w:val="40"/>
          <w:szCs w:val="40"/>
        </w:rPr>
      </w:pPr>
    </w:p>
    <w:p w14:paraId="6601AA6E" w14:textId="77777777" w:rsidR="00D947AE" w:rsidRDefault="00D947AE" w:rsidP="00D947AE">
      <w:pPr>
        <w:jc w:val="center"/>
        <w:rPr>
          <w:rFonts w:ascii="Times New Roman" w:hAnsi="Times New Roman" w:cs="Times New Roman"/>
          <w:sz w:val="40"/>
          <w:szCs w:val="40"/>
        </w:rPr>
      </w:pPr>
    </w:p>
    <w:p w14:paraId="7CAB66CE" w14:textId="77777777" w:rsidR="00D947AE" w:rsidRDefault="00D947AE" w:rsidP="00D947AE">
      <w:pPr>
        <w:jc w:val="center"/>
        <w:rPr>
          <w:rFonts w:ascii="Times New Roman" w:hAnsi="Times New Roman" w:cs="Times New Roman"/>
          <w:sz w:val="40"/>
          <w:szCs w:val="40"/>
        </w:rPr>
      </w:pPr>
    </w:p>
    <w:p w14:paraId="052FDC6B" w14:textId="77777777" w:rsidR="00D947AE" w:rsidRDefault="00D947AE" w:rsidP="00D947AE">
      <w:pPr>
        <w:jc w:val="center"/>
        <w:rPr>
          <w:rFonts w:ascii="Times New Roman" w:hAnsi="Times New Roman" w:cs="Times New Roman"/>
          <w:sz w:val="40"/>
          <w:szCs w:val="40"/>
        </w:rPr>
      </w:pPr>
    </w:p>
    <w:p w14:paraId="41F6EC96" w14:textId="77777777" w:rsidR="00D947AE" w:rsidRDefault="00D947AE" w:rsidP="00D947AE">
      <w:pPr>
        <w:jc w:val="center"/>
        <w:rPr>
          <w:rFonts w:ascii="Times New Roman" w:hAnsi="Times New Roman" w:cs="Times New Roman"/>
          <w:sz w:val="40"/>
          <w:szCs w:val="40"/>
        </w:rPr>
      </w:pPr>
    </w:p>
    <w:p w14:paraId="5EF2D087" w14:textId="77777777" w:rsidR="00D947AE" w:rsidRDefault="00D947AE" w:rsidP="00D947AE">
      <w:pPr>
        <w:jc w:val="center"/>
        <w:rPr>
          <w:rFonts w:ascii="Times New Roman" w:hAnsi="Times New Roman" w:cs="Times New Roman"/>
          <w:sz w:val="40"/>
          <w:szCs w:val="40"/>
        </w:rPr>
      </w:pPr>
    </w:p>
    <w:p w14:paraId="5EEA6913" w14:textId="77777777" w:rsidR="00D947AE" w:rsidRDefault="00D947AE" w:rsidP="00D947AE">
      <w:pPr>
        <w:jc w:val="center"/>
        <w:rPr>
          <w:rFonts w:ascii="Times New Roman" w:hAnsi="Times New Roman" w:cs="Times New Roman"/>
          <w:sz w:val="40"/>
          <w:szCs w:val="40"/>
        </w:rPr>
      </w:pPr>
    </w:p>
    <w:p w14:paraId="331C2BB4" w14:textId="77777777" w:rsidR="00D947AE" w:rsidRDefault="00D947AE" w:rsidP="00D947AE">
      <w:pPr>
        <w:jc w:val="center"/>
        <w:rPr>
          <w:rFonts w:ascii="Times New Roman" w:hAnsi="Times New Roman" w:cs="Times New Roman"/>
          <w:sz w:val="40"/>
          <w:szCs w:val="40"/>
        </w:rPr>
      </w:pPr>
    </w:p>
    <w:p w14:paraId="21B5478A" w14:textId="6F3FE171" w:rsidR="00D947AE" w:rsidRPr="00D947AE" w:rsidRDefault="00D947AE" w:rsidP="00D947AE">
      <w:pPr>
        <w:jc w:val="both"/>
        <w:rPr>
          <w:rFonts w:ascii="Times New Roman" w:hAnsi="Times New Roman" w:cs="Times New Roman"/>
          <w:sz w:val="28"/>
          <w:szCs w:val="28"/>
          <w:u w:val="single"/>
        </w:rPr>
      </w:pPr>
      <w:r w:rsidRPr="00D947AE">
        <w:rPr>
          <w:rFonts w:ascii="Times New Roman" w:hAnsi="Times New Roman" w:cs="Times New Roman"/>
          <w:sz w:val="28"/>
          <w:szCs w:val="28"/>
          <w:u w:val="single"/>
        </w:rPr>
        <w:lastRenderedPageBreak/>
        <w:t xml:space="preserve">Introduction </w:t>
      </w:r>
    </w:p>
    <w:p w14:paraId="05EE5E44" w14:textId="1823078A" w:rsid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sz w:val="24"/>
          <w:szCs w:val="24"/>
        </w:rPr>
        <w:t xml:space="preserve">According to </w:t>
      </w:r>
      <w:r w:rsidRPr="00D947AE">
        <w:rPr>
          <w:rFonts w:ascii="Times New Roman" w:hAnsi="Times New Roman" w:cs="Times New Roman"/>
          <w:i/>
          <w:iCs/>
          <w:sz w:val="24"/>
          <w:szCs w:val="24"/>
        </w:rPr>
        <w:t>Cornwall (2008),</w:t>
      </w:r>
      <w:r w:rsidRPr="00D947AE">
        <w:rPr>
          <w:rFonts w:ascii="Times New Roman" w:hAnsi="Times New Roman" w:cs="Times New Roman"/>
          <w:sz w:val="24"/>
          <w:szCs w:val="24"/>
        </w:rPr>
        <w:t xml:space="preserve"> one definition of community engagement is </w:t>
      </w:r>
      <w:r>
        <w:rPr>
          <w:rFonts w:ascii="Times New Roman" w:hAnsi="Times New Roman" w:cs="Times New Roman"/>
          <w:sz w:val="24"/>
          <w:szCs w:val="24"/>
        </w:rPr>
        <w:t>the</w:t>
      </w:r>
      <w:r w:rsidRPr="00D947AE">
        <w:rPr>
          <w:rFonts w:ascii="Times New Roman" w:hAnsi="Times New Roman" w:cs="Times New Roman"/>
          <w:sz w:val="24"/>
          <w:szCs w:val="24"/>
        </w:rPr>
        <w:t xml:space="preserve"> process by which organisations and individuals build ongoing and permanent relationships for the purpose of applying a collective vision for the benefit of a community.</w:t>
      </w:r>
      <w:r>
        <w:rPr>
          <w:rFonts w:ascii="Times New Roman" w:hAnsi="Times New Roman" w:cs="Times New Roman"/>
          <w:sz w:val="24"/>
          <w:szCs w:val="24"/>
        </w:rPr>
        <w:t xml:space="preserve"> </w:t>
      </w:r>
      <w:r w:rsidRPr="00D947AE">
        <w:rPr>
          <w:rFonts w:ascii="Times New Roman" w:hAnsi="Times New Roman" w:cs="Times New Roman"/>
          <w:sz w:val="24"/>
          <w:szCs w:val="24"/>
        </w:rPr>
        <w:t>It requires including people, groups, and communities in the decision-making process so that their wants, needs, and goals may be taken into consideration (</w:t>
      </w:r>
      <w:r w:rsidRPr="00D947AE">
        <w:rPr>
          <w:rFonts w:ascii="Times New Roman" w:hAnsi="Times New Roman" w:cs="Times New Roman"/>
          <w:i/>
          <w:iCs/>
          <w:sz w:val="24"/>
          <w:szCs w:val="24"/>
        </w:rPr>
        <w:t>Arnstein, 1969</w:t>
      </w:r>
      <w:r w:rsidRPr="00D947AE">
        <w:rPr>
          <w:rFonts w:ascii="Times New Roman" w:hAnsi="Times New Roman" w:cs="Times New Roman"/>
          <w:sz w:val="24"/>
          <w:szCs w:val="24"/>
        </w:rPr>
        <w:t xml:space="preserve">). The local government of Nuneaton, which is located in the middle of the United Kingdom, has begun an ambitious initiative called the Nuneaton Green Space Initiative. </w:t>
      </w:r>
      <w:r>
        <w:rPr>
          <w:rFonts w:ascii="Times New Roman" w:hAnsi="Times New Roman" w:cs="Times New Roman"/>
          <w:sz w:val="24"/>
          <w:szCs w:val="24"/>
        </w:rPr>
        <w:t>Therefore, t</w:t>
      </w:r>
      <w:r w:rsidRPr="00D947AE">
        <w:rPr>
          <w:rFonts w:ascii="Times New Roman" w:hAnsi="Times New Roman" w:cs="Times New Roman"/>
          <w:sz w:val="24"/>
          <w:szCs w:val="24"/>
        </w:rPr>
        <w:t>his project's goal was to revitalise urban areas by developing shared green spaces, which would contribute to the long-term viability of the environment as well as generate a sense of community. The concept of community participation, which encompasses more than simple communication, was an essential part of the plan that led to its successful execution. This paper investigates how the Nuneaton Green Space Initiative leveraged community interaction. It does so by evaluating the principles that were adhered to, the planning and design, applicable standards, and the assessment of the initiative's effect.</w:t>
      </w:r>
    </w:p>
    <w:p w14:paraId="74CB9D87" w14:textId="1CE90A49" w:rsidR="00D947AE" w:rsidRPr="00D947AE" w:rsidRDefault="00D947AE" w:rsidP="00D947AE">
      <w:pPr>
        <w:spacing w:line="360" w:lineRule="auto"/>
        <w:jc w:val="both"/>
        <w:rPr>
          <w:rFonts w:ascii="Times New Roman" w:hAnsi="Times New Roman" w:cs="Times New Roman"/>
          <w:sz w:val="28"/>
          <w:szCs w:val="28"/>
          <w:u w:val="single"/>
        </w:rPr>
      </w:pPr>
      <w:r w:rsidRPr="00D947AE">
        <w:rPr>
          <w:rFonts w:ascii="Times New Roman" w:hAnsi="Times New Roman" w:cs="Times New Roman"/>
          <w:sz w:val="28"/>
          <w:szCs w:val="28"/>
          <w:u w:val="single"/>
        </w:rPr>
        <w:t>Mian Body</w:t>
      </w:r>
    </w:p>
    <w:p w14:paraId="5B2560B9" w14:textId="2D3A4F29" w:rsidR="00D947AE" w:rsidRPr="00D947AE" w:rsidRDefault="00D947AE" w:rsidP="00D947AE">
      <w:pPr>
        <w:spacing w:line="360" w:lineRule="auto"/>
        <w:jc w:val="both"/>
        <w:rPr>
          <w:rFonts w:ascii="Times New Roman" w:hAnsi="Times New Roman" w:cs="Times New Roman"/>
          <w:i/>
          <w:iCs/>
          <w:sz w:val="24"/>
          <w:szCs w:val="24"/>
        </w:rPr>
      </w:pPr>
      <w:r w:rsidRPr="00D947AE">
        <w:rPr>
          <w:rFonts w:ascii="Times New Roman" w:hAnsi="Times New Roman" w:cs="Times New Roman"/>
          <w:i/>
          <w:iCs/>
          <w:sz w:val="24"/>
          <w:szCs w:val="24"/>
        </w:rPr>
        <w:t>Principles of Community Involvement and Engagement</w:t>
      </w:r>
    </w:p>
    <w:p w14:paraId="473260E5" w14:textId="30FB999C" w:rsidR="00D947AE" w:rsidRP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sz w:val="24"/>
          <w:szCs w:val="24"/>
        </w:rPr>
        <w:t xml:space="preserve">The Nuneaton Green Space Initiative is built on a firm commitment to three fundamental principles of effective community engagement: inclusion, transparency, and cooperation. These are the cornerstones of the project. According to </w:t>
      </w:r>
      <w:r w:rsidRPr="00D947AE">
        <w:rPr>
          <w:rFonts w:ascii="Times New Roman" w:hAnsi="Times New Roman" w:cs="Times New Roman"/>
          <w:i/>
          <w:iCs/>
          <w:sz w:val="24"/>
          <w:szCs w:val="24"/>
        </w:rPr>
        <w:t>Pretty (1995),</w:t>
      </w:r>
      <w:r w:rsidRPr="00D947AE">
        <w:rPr>
          <w:rFonts w:ascii="Times New Roman" w:hAnsi="Times New Roman" w:cs="Times New Roman"/>
          <w:sz w:val="24"/>
          <w:szCs w:val="24"/>
        </w:rPr>
        <w:t xml:space="preserve"> each of these tenets exemplifies a distinctive dimension of engagement in one's community that is both meaningful and productive.</w:t>
      </w:r>
    </w:p>
    <w:p w14:paraId="72BBF9CB" w14:textId="13D9A047" w:rsidR="00D947AE" w:rsidRP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b/>
          <w:bCs/>
          <w:sz w:val="24"/>
          <w:szCs w:val="24"/>
        </w:rPr>
        <w:t>Inclusion:</w:t>
      </w:r>
      <w:r w:rsidRPr="00D947AE">
        <w:rPr>
          <w:rFonts w:ascii="Times New Roman" w:hAnsi="Times New Roman" w:cs="Times New Roman"/>
          <w:sz w:val="24"/>
          <w:szCs w:val="24"/>
        </w:rPr>
        <w:t xml:space="preserve"> Recognising the variety that exists within the community, the project's goal was to be inclusive. This meant making sure that everyone's voice, regardless of their age, gender, socioeconomic level, or ethnicity, was given an equal chance to be heard. </w:t>
      </w:r>
      <w:r>
        <w:rPr>
          <w:rFonts w:ascii="Times New Roman" w:hAnsi="Times New Roman" w:cs="Times New Roman"/>
          <w:sz w:val="24"/>
          <w:szCs w:val="24"/>
        </w:rPr>
        <w:t>Also, t</w:t>
      </w:r>
      <w:r w:rsidRPr="00D947AE">
        <w:rPr>
          <w:rFonts w:ascii="Times New Roman" w:hAnsi="Times New Roman" w:cs="Times New Roman"/>
          <w:sz w:val="24"/>
          <w:szCs w:val="24"/>
        </w:rPr>
        <w:t xml:space="preserve">his approach struck a strong chord with people since they were strongly incentivised to participate in town hall meetings, which provided them with a forum in which to air their problems and share their thoughts. </w:t>
      </w:r>
      <w:r>
        <w:rPr>
          <w:rFonts w:ascii="Times New Roman" w:hAnsi="Times New Roman" w:cs="Times New Roman"/>
          <w:sz w:val="24"/>
          <w:szCs w:val="24"/>
        </w:rPr>
        <w:t>Therefore, t</w:t>
      </w:r>
      <w:r w:rsidRPr="00D947AE">
        <w:rPr>
          <w:rFonts w:ascii="Times New Roman" w:hAnsi="Times New Roman" w:cs="Times New Roman"/>
          <w:sz w:val="24"/>
          <w:szCs w:val="24"/>
        </w:rPr>
        <w:t>hese kinds of inclusive methods make certain that the project caters to the requirements and goals of the community as a whole, hence strengthening the feeling of ownership that residents have in the endeavour (</w:t>
      </w:r>
      <w:r w:rsidRPr="00D947AE">
        <w:rPr>
          <w:rFonts w:ascii="Times New Roman" w:hAnsi="Times New Roman" w:cs="Times New Roman"/>
          <w:i/>
          <w:iCs/>
          <w:sz w:val="24"/>
          <w:szCs w:val="24"/>
        </w:rPr>
        <w:t>IAP2, 2014).</w:t>
      </w:r>
    </w:p>
    <w:p w14:paraId="7D7FA41E" w14:textId="62D30BBE" w:rsidR="00D947AE" w:rsidRP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b/>
          <w:bCs/>
          <w:sz w:val="24"/>
          <w:szCs w:val="24"/>
        </w:rPr>
        <w:t>Openness:</w:t>
      </w:r>
      <w:r w:rsidRPr="00D947AE">
        <w:rPr>
          <w:rFonts w:ascii="Times New Roman" w:hAnsi="Times New Roman" w:cs="Times New Roman"/>
          <w:sz w:val="24"/>
          <w:szCs w:val="24"/>
        </w:rPr>
        <w:t xml:space="preserve"> The council made certain that there was no lack of openness in order to cultivate and preserve the confidence of the community. It was made sure that every stakeholder was </w:t>
      </w:r>
      <w:r w:rsidRPr="00D947AE">
        <w:rPr>
          <w:rFonts w:ascii="Times New Roman" w:hAnsi="Times New Roman" w:cs="Times New Roman"/>
          <w:sz w:val="24"/>
          <w:szCs w:val="24"/>
        </w:rPr>
        <w:lastRenderedPageBreak/>
        <w:t>kept informed about advances, choices, and future plans by providing regular updates on the project's progress via a dedicated project website and monthly newsletters (</w:t>
      </w:r>
      <w:r w:rsidRPr="00D947AE">
        <w:rPr>
          <w:rFonts w:ascii="Times New Roman" w:hAnsi="Times New Roman" w:cs="Times New Roman"/>
          <w:i/>
          <w:iCs/>
          <w:sz w:val="24"/>
          <w:szCs w:val="24"/>
        </w:rPr>
        <w:t>Head, 2007).</w:t>
      </w:r>
    </w:p>
    <w:p w14:paraId="291BEF02" w14:textId="644EBF16" w:rsidR="00D947AE" w:rsidRP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b/>
          <w:bCs/>
          <w:sz w:val="24"/>
          <w:szCs w:val="24"/>
        </w:rPr>
        <w:t>Collaboration:</w:t>
      </w:r>
      <w:r w:rsidRPr="00D947AE">
        <w:rPr>
          <w:rFonts w:ascii="Times New Roman" w:hAnsi="Times New Roman" w:cs="Times New Roman"/>
          <w:sz w:val="24"/>
          <w:szCs w:val="24"/>
        </w:rPr>
        <w:t xml:space="preserve"> The concept of collaboration was not only discussed in the context of this endeavour; rather, it was really put into action. </w:t>
      </w:r>
      <w:r>
        <w:rPr>
          <w:rFonts w:ascii="Times New Roman" w:hAnsi="Times New Roman" w:cs="Times New Roman"/>
          <w:sz w:val="24"/>
          <w:szCs w:val="24"/>
        </w:rPr>
        <w:t>Also, t</w:t>
      </w:r>
      <w:r w:rsidRPr="00D947AE">
        <w:rPr>
          <w:rFonts w:ascii="Times New Roman" w:hAnsi="Times New Roman" w:cs="Times New Roman"/>
          <w:sz w:val="24"/>
          <w:szCs w:val="24"/>
        </w:rPr>
        <w:t xml:space="preserve">he project went from being an endeavour led by the council to being one driven by the community when it partnered with local schools, companies, and non-governmental organisations. According to </w:t>
      </w:r>
      <w:r w:rsidRPr="00D947AE">
        <w:rPr>
          <w:rFonts w:ascii="Times New Roman" w:hAnsi="Times New Roman" w:cs="Times New Roman"/>
          <w:i/>
          <w:iCs/>
          <w:sz w:val="24"/>
          <w:szCs w:val="24"/>
        </w:rPr>
        <w:t>Freeman (2011),</w:t>
      </w:r>
      <w:r w:rsidRPr="00D947AE">
        <w:rPr>
          <w:rFonts w:ascii="Times New Roman" w:hAnsi="Times New Roman" w:cs="Times New Roman"/>
          <w:sz w:val="24"/>
          <w:szCs w:val="24"/>
        </w:rPr>
        <w:t xml:space="preserve"> this kind of cooperation fosters a feeling of shared responsibility as well as reciprocal involvement in the success of the project.</w:t>
      </w:r>
    </w:p>
    <w:p w14:paraId="2FACD860" w14:textId="798AB863" w:rsid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sz w:val="24"/>
          <w:szCs w:val="24"/>
        </w:rPr>
        <w:t xml:space="preserve">A technique that utilises several channels was chosen since it was determined to be the most effective method of communicating these ideas. Platforms such as the project website, social media channels, and community </w:t>
      </w:r>
      <w:r w:rsidR="000936B6" w:rsidRPr="00D947AE">
        <w:rPr>
          <w:rFonts w:ascii="Times New Roman" w:hAnsi="Times New Roman" w:cs="Times New Roman"/>
          <w:sz w:val="24"/>
          <w:szCs w:val="24"/>
        </w:rPr>
        <w:t>statement</w:t>
      </w:r>
      <w:r w:rsidRPr="00D947AE">
        <w:rPr>
          <w:rFonts w:ascii="Times New Roman" w:hAnsi="Times New Roman" w:cs="Times New Roman"/>
          <w:sz w:val="24"/>
          <w:szCs w:val="24"/>
        </w:rPr>
        <w:t xml:space="preserve"> boards guaranteed that members of the community from all walks of life, including young people who are adept with technology as well as older individuals, could access the information and continue to participate.</w:t>
      </w:r>
    </w:p>
    <w:p w14:paraId="414B6EEF" w14:textId="7664F304" w:rsidR="006E6A38" w:rsidRPr="006E6A38" w:rsidRDefault="006E6A38" w:rsidP="00D947AE">
      <w:pPr>
        <w:spacing w:line="360" w:lineRule="auto"/>
        <w:jc w:val="both"/>
        <w:rPr>
          <w:rFonts w:ascii="Times New Roman" w:hAnsi="Times New Roman" w:cs="Times New Roman"/>
          <w:b/>
          <w:bCs/>
          <w:sz w:val="24"/>
          <w:szCs w:val="24"/>
        </w:rPr>
      </w:pPr>
      <w:r w:rsidRPr="006E6A38">
        <w:rPr>
          <w:rFonts w:ascii="Times New Roman" w:hAnsi="Times New Roman" w:cs="Times New Roman"/>
          <w:b/>
          <w:bCs/>
          <w:sz w:val="24"/>
          <w:szCs w:val="24"/>
        </w:rPr>
        <w:t>Purpose, Goals, and Objectives of the Nuneaton Green Space Initiative</w:t>
      </w:r>
    </w:p>
    <w:p w14:paraId="63D2506E" w14:textId="399E5AB2" w:rsidR="006E6A38" w:rsidRPr="006E6A38" w:rsidRDefault="006E6A38" w:rsidP="006E6A38">
      <w:p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 xml:space="preserve">The Nuneaton Green Space Initiative's overriding goal was to revitalise urban areas in Nuneaton by establishing and caring for common green spaces. This was to be accomplished in order to fulfil the initiative's mission. It was the intention of these areas to provide advantages to the environment as well as to the community. </w:t>
      </w:r>
      <w:r>
        <w:rPr>
          <w:rFonts w:ascii="Times New Roman" w:hAnsi="Times New Roman" w:cs="Times New Roman"/>
          <w:sz w:val="24"/>
          <w:szCs w:val="24"/>
        </w:rPr>
        <w:t>Therefore, t</w:t>
      </w:r>
      <w:r w:rsidRPr="006E6A38">
        <w:rPr>
          <w:rFonts w:ascii="Times New Roman" w:hAnsi="Times New Roman" w:cs="Times New Roman"/>
          <w:sz w:val="24"/>
          <w:szCs w:val="24"/>
        </w:rPr>
        <w:t>his was done in order to solve the twin problem of urban deterioration as well as the need for community-oriented places in which citizens may socialise, unwind, and participate in recreational pursuits.</w:t>
      </w:r>
    </w:p>
    <w:p w14:paraId="26122A98" w14:textId="0B0A4325" w:rsidR="006E6A38" w:rsidRPr="006E6A38" w:rsidRDefault="006E6A38" w:rsidP="006E6A38">
      <w:pPr>
        <w:spacing w:line="360" w:lineRule="auto"/>
        <w:jc w:val="both"/>
        <w:rPr>
          <w:rFonts w:ascii="Times New Roman" w:hAnsi="Times New Roman" w:cs="Times New Roman"/>
          <w:b/>
          <w:bCs/>
          <w:i/>
          <w:iCs/>
          <w:sz w:val="24"/>
          <w:szCs w:val="24"/>
        </w:rPr>
      </w:pPr>
      <w:r w:rsidRPr="006E6A38">
        <w:rPr>
          <w:rFonts w:ascii="Times New Roman" w:hAnsi="Times New Roman" w:cs="Times New Roman"/>
          <w:b/>
          <w:bCs/>
          <w:i/>
          <w:iCs/>
          <w:sz w:val="24"/>
          <w:szCs w:val="24"/>
        </w:rPr>
        <w:t>Goals: </w:t>
      </w:r>
    </w:p>
    <w:p w14:paraId="7DAE556C" w14:textId="554E4AF0" w:rsidR="006E6A38" w:rsidRDefault="006E6A38" w:rsidP="006E6A38">
      <w:pPr>
        <w:pStyle w:val="ListParagraph"/>
        <w:numPr>
          <w:ilvl w:val="0"/>
          <w:numId w:val="1"/>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Restoring the environment means transforming urban areas that have been abandoned or are underutilised into thriving green spaces that add to the biodiversity of the region, improve the quality of the air, and provide surroundings that are visually pleasant</w:t>
      </w:r>
      <w:r>
        <w:rPr>
          <w:rFonts w:ascii="Times New Roman" w:hAnsi="Times New Roman" w:cs="Times New Roman"/>
          <w:sz w:val="24"/>
          <w:szCs w:val="24"/>
        </w:rPr>
        <w:t xml:space="preserve"> (</w:t>
      </w:r>
      <w:proofErr w:type="spellStart"/>
      <w:r w:rsidRPr="006E6A38">
        <w:rPr>
          <w:rFonts w:ascii="Times New Roman" w:hAnsi="Times New Roman" w:cs="Times New Roman"/>
          <w:i/>
          <w:iCs/>
          <w:sz w:val="24"/>
          <w:szCs w:val="24"/>
        </w:rPr>
        <w:t>Wolch</w:t>
      </w:r>
      <w:proofErr w:type="spellEnd"/>
      <w:r w:rsidRPr="006E6A38">
        <w:rPr>
          <w:rFonts w:ascii="Times New Roman" w:hAnsi="Times New Roman" w:cs="Times New Roman"/>
          <w:i/>
          <w:iCs/>
          <w:sz w:val="24"/>
          <w:szCs w:val="24"/>
        </w:rPr>
        <w:t>,  Byrne and  Newell, 2014).</w:t>
      </w:r>
    </w:p>
    <w:p w14:paraId="41A560CC" w14:textId="77777777" w:rsidR="006E6A38" w:rsidRDefault="006E6A38" w:rsidP="006E6A38">
      <w:pPr>
        <w:pStyle w:val="ListParagraph"/>
        <w:numPr>
          <w:ilvl w:val="0"/>
          <w:numId w:val="1"/>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The wellbeing of the community should be prioritised, and people of Nuneaton should be provided with places where they may congregate, interact with one another, and take part in activities that benefit the community as a whole.</w:t>
      </w:r>
    </w:p>
    <w:p w14:paraId="49E5587F" w14:textId="77777777" w:rsidR="006E6A38" w:rsidRDefault="006E6A38" w:rsidP="006E6A38">
      <w:pPr>
        <w:pStyle w:val="ListParagraph"/>
        <w:numPr>
          <w:ilvl w:val="0"/>
          <w:numId w:val="1"/>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Encourage outdoor activities like as walking, running, and playing sports by providing the appropriate infrastructure in these green places so that people may participate in these activities. This will help promote healthy lifestyles.</w:t>
      </w:r>
    </w:p>
    <w:p w14:paraId="72F80C58" w14:textId="176BDA3C" w:rsidR="006E6A38" w:rsidRDefault="006E6A38" w:rsidP="006E6A38">
      <w:pPr>
        <w:pStyle w:val="ListParagraph"/>
        <w:numPr>
          <w:ilvl w:val="0"/>
          <w:numId w:val="1"/>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lastRenderedPageBreak/>
        <w:t>Economic Revitalization: Boosting Property Values in Surrounding Areas While Attracting Businesses and Visitors, Which Will Ultimately Lead to Growth in the Local Economy</w:t>
      </w:r>
      <w:r>
        <w:rPr>
          <w:rFonts w:ascii="Times New Roman" w:hAnsi="Times New Roman" w:cs="Times New Roman"/>
          <w:sz w:val="24"/>
          <w:szCs w:val="24"/>
        </w:rPr>
        <w:t xml:space="preserve"> (</w:t>
      </w:r>
      <w:r w:rsidRPr="006E6A38">
        <w:rPr>
          <w:rFonts w:ascii="Times New Roman" w:hAnsi="Times New Roman" w:cs="Times New Roman"/>
          <w:i/>
          <w:iCs/>
          <w:sz w:val="24"/>
          <w:szCs w:val="24"/>
        </w:rPr>
        <w:t xml:space="preserve">Jones,  </w:t>
      </w:r>
      <w:proofErr w:type="spellStart"/>
      <w:r w:rsidRPr="006E6A38">
        <w:rPr>
          <w:rFonts w:ascii="Times New Roman" w:hAnsi="Times New Roman" w:cs="Times New Roman"/>
          <w:i/>
          <w:iCs/>
          <w:sz w:val="24"/>
          <w:szCs w:val="24"/>
        </w:rPr>
        <w:t>Hillsdon</w:t>
      </w:r>
      <w:proofErr w:type="spellEnd"/>
      <w:r w:rsidRPr="006E6A38">
        <w:rPr>
          <w:rFonts w:ascii="Times New Roman" w:hAnsi="Times New Roman" w:cs="Times New Roman"/>
          <w:i/>
          <w:iCs/>
          <w:sz w:val="24"/>
          <w:szCs w:val="24"/>
        </w:rPr>
        <w:t xml:space="preserve"> and Coombes, 2019</w:t>
      </w:r>
      <w:r>
        <w:rPr>
          <w:rFonts w:ascii="Times New Roman" w:hAnsi="Times New Roman" w:cs="Times New Roman"/>
          <w:sz w:val="24"/>
          <w:szCs w:val="24"/>
        </w:rPr>
        <w:t>).</w:t>
      </w:r>
    </w:p>
    <w:p w14:paraId="38389D30" w14:textId="1189EA8E" w:rsidR="006E6A38" w:rsidRPr="006E6A38" w:rsidRDefault="006E6A38" w:rsidP="006E6A38">
      <w:pPr>
        <w:pStyle w:val="ListParagraph"/>
        <w:numPr>
          <w:ilvl w:val="0"/>
          <w:numId w:val="1"/>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Education and Awareness: Incorporate educational elements into the green areas, such as informational signs on the local flora and fauna, in order to raise visitors' levels of environmental consciousness.</w:t>
      </w:r>
    </w:p>
    <w:p w14:paraId="7B587C40" w14:textId="30FE861A" w:rsidR="006E6A38" w:rsidRPr="006E6A38" w:rsidRDefault="006E6A38" w:rsidP="006E6A38">
      <w:pPr>
        <w:spacing w:line="360" w:lineRule="auto"/>
        <w:jc w:val="both"/>
        <w:rPr>
          <w:rFonts w:ascii="Times New Roman" w:hAnsi="Times New Roman" w:cs="Times New Roman"/>
          <w:b/>
          <w:bCs/>
          <w:i/>
          <w:iCs/>
          <w:sz w:val="24"/>
          <w:szCs w:val="24"/>
        </w:rPr>
      </w:pPr>
      <w:r w:rsidRPr="006E6A38">
        <w:rPr>
          <w:rFonts w:ascii="Times New Roman" w:hAnsi="Times New Roman" w:cs="Times New Roman"/>
          <w:b/>
          <w:bCs/>
          <w:i/>
          <w:iCs/>
          <w:sz w:val="24"/>
          <w:szCs w:val="24"/>
        </w:rPr>
        <w:t>The objectives: </w:t>
      </w:r>
    </w:p>
    <w:p w14:paraId="4F79B07C" w14:textId="2F23E23A" w:rsidR="006E6A38" w:rsidRDefault="006E6A38" w:rsidP="006E6A38">
      <w:pPr>
        <w:pStyle w:val="ListParagraph"/>
        <w:numPr>
          <w:ilvl w:val="0"/>
          <w:numId w:val="2"/>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Community Engagement: By the end of the first year, at least seventy percent of the local citizens should have been involved in the planning and feedback stages of the creation of the green space</w:t>
      </w:r>
      <w:r>
        <w:rPr>
          <w:rFonts w:ascii="Times New Roman" w:hAnsi="Times New Roman" w:cs="Times New Roman"/>
          <w:sz w:val="24"/>
          <w:szCs w:val="24"/>
        </w:rPr>
        <w:t xml:space="preserve"> (</w:t>
      </w:r>
      <w:r w:rsidRPr="006E6A38">
        <w:rPr>
          <w:rFonts w:ascii="Times New Roman" w:hAnsi="Times New Roman" w:cs="Times New Roman"/>
          <w:i/>
          <w:iCs/>
          <w:sz w:val="24"/>
          <w:szCs w:val="24"/>
        </w:rPr>
        <w:t>Nuneaton Local Council, 2022</w:t>
      </w:r>
      <w:r w:rsidRPr="006E6A38">
        <w:rPr>
          <w:rFonts w:ascii="Times New Roman" w:hAnsi="Times New Roman" w:cs="Times New Roman"/>
          <w:sz w:val="24"/>
          <w:szCs w:val="24"/>
        </w:rPr>
        <w:t>).</w:t>
      </w:r>
    </w:p>
    <w:p w14:paraId="104C924B" w14:textId="77777777" w:rsidR="006E6A38" w:rsidRDefault="006E6A38" w:rsidP="006E6A38">
      <w:pPr>
        <w:pStyle w:val="ListParagraph"/>
        <w:numPr>
          <w:ilvl w:val="0"/>
          <w:numId w:val="2"/>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The development of space requires the transformation of at least three populated regions into open areas during the first two years.</w:t>
      </w:r>
    </w:p>
    <w:p w14:paraId="7C8A3BBB" w14:textId="77777777" w:rsidR="006E6A38" w:rsidRDefault="006E6A38" w:rsidP="006E6A38">
      <w:pPr>
        <w:pStyle w:val="ListParagraph"/>
        <w:numPr>
          <w:ilvl w:val="0"/>
          <w:numId w:val="2"/>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To increase the area's biodiversity, plant a wide variety of native trees and plants, with the goal of introducing at least fifty distinct species in the very first year.</w:t>
      </w:r>
    </w:p>
    <w:p w14:paraId="18AA8DC2" w14:textId="77777777" w:rsidR="006E6A38" w:rsidRDefault="006E6A38" w:rsidP="006E6A38">
      <w:pPr>
        <w:pStyle w:val="ListParagraph"/>
        <w:numPr>
          <w:ilvl w:val="0"/>
          <w:numId w:val="2"/>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Ensure that recreational amenities, such as jogging tracks, benches, and play areas, are easily accessible to people of all ages and abilities when you install them in each of the green spaces.</w:t>
      </w:r>
    </w:p>
    <w:p w14:paraId="6E783EFD" w14:textId="77777777" w:rsidR="006E6A38" w:rsidRDefault="006E6A38" w:rsidP="006E6A38">
      <w:pPr>
        <w:pStyle w:val="ListParagraph"/>
        <w:numPr>
          <w:ilvl w:val="0"/>
          <w:numId w:val="2"/>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Continuous Improvement: Conduct community surveys on a biannual basis to collect input and make any required improvements to the green spaces depending on the preferences and requirements of the community.</w:t>
      </w:r>
    </w:p>
    <w:p w14:paraId="69312630" w14:textId="210EBE83" w:rsidR="006E6A38" w:rsidRPr="006E6A38" w:rsidRDefault="006E6A38" w:rsidP="006E6A38">
      <w:pPr>
        <w:pStyle w:val="ListParagraph"/>
        <w:numPr>
          <w:ilvl w:val="0"/>
          <w:numId w:val="2"/>
        </w:num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The Nuneaton council provided a disciplined approach to the implementation of the Green Space Initiative by ensuring that the purpose, aims, and objectives of the initiative were clearly outlined</w:t>
      </w:r>
      <w:r>
        <w:rPr>
          <w:rFonts w:ascii="Times New Roman" w:hAnsi="Times New Roman" w:cs="Times New Roman"/>
          <w:sz w:val="24"/>
          <w:szCs w:val="24"/>
        </w:rPr>
        <w:t xml:space="preserve"> (</w:t>
      </w:r>
      <w:r w:rsidRPr="006E6A38">
        <w:rPr>
          <w:rFonts w:ascii="Times New Roman" w:hAnsi="Times New Roman" w:cs="Times New Roman"/>
          <w:i/>
          <w:iCs/>
          <w:sz w:val="24"/>
          <w:szCs w:val="24"/>
        </w:rPr>
        <w:t>Smith, 2018</w:t>
      </w:r>
      <w:r w:rsidRPr="006E6A38">
        <w:rPr>
          <w:rFonts w:ascii="Times New Roman" w:hAnsi="Times New Roman" w:cs="Times New Roman"/>
          <w:sz w:val="24"/>
          <w:szCs w:val="24"/>
        </w:rPr>
        <w:t>).</w:t>
      </w:r>
      <w:r>
        <w:rPr>
          <w:rFonts w:ascii="Times New Roman" w:hAnsi="Times New Roman" w:cs="Times New Roman"/>
          <w:sz w:val="24"/>
          <w:szCs w:val="24"/>
        </w:rPr>
        <w:t xml:space="preserve"> </w:t>
      </w:r>
      <w:r w:rsidRPr="006E6A38">
        <w:rPr>
          <w:rFonts w:ascii="Times New Roman" w:hAnsi="Times New Roman" w:cs="Times New Roman"/>
          <w:sz w:val="24"/>
          <w:szCs w:val="24"/>
        </w:rPr>
        <w:t>This enabled clear communication with stakeholders and made it easier to regularly evaluate how well the initiative was working.</w:t>
      </w:r>
    </w:p>
    <w:p w14:paraId="2F43BF90" w14:textId="28873BA8" w:rsidR="000936B6" w:rsidRPr="000936B6" w:rsidRDefault="000936B6" w:rsidP="00D947AE">
      <w:pPr>
        <w:spacing w:line="360" w:lineRule="auto"/>
        <w:jc w:val="both"/>
        <w:rPr>
          <w:rFonts w:ascii="Times New Roman" w:hAnsi="Times New Roman" w:cs="Times New Roman"/>
          <w:b/>
          <w:bCs/>
          <w:sz w:val="24"/>
          <w:szCs w:val="24"/>
        </w:rPr>
      </w:pPr>
      <w:r w:rsidRPr="000936B6">
        <w:rPr>
          <w:rFonts w:ascii="Times New Roman" w:hAnsi="Times New Roman" w:cs="Times New Roman"/>
          <w:b/>
          <w:bCs/>
          <w:sz w:val="24"/>
          <w:szCs w:val="24"/>
        </w:rPr>
        <w:t>The Communicator (Local Council and Stakeholders)</w:t>
      </w:r>
    </w:p>
    <w:p w14:paraId="460681F2" w14:textId="0ADF158C" w:rsidR="000936B6" w:rsidRPr="000936B6" w:rsidRDefault="000936B6" w:rsidP="000936B6">
      <w:pPr>
        <w:spacing w:line="360" w:lineRule="auto"/>
        <w:jc w:val="both"/>
        <w:rPr>
          <w:rFonts w:ascii="Times New Roman" w:hAnsi="Times New Roman" w:cs="Times New Roman"/>
          <w:sz w:val="24"/>
          <w:szCs w:val="24"/>
        </w:rPr>
      </w:pPr>
      <w:r w:rsidRPr="000936B6">
        <w:rPr>
          <w:rFonts w:ascii="Times New Roman" w:hAnsi="Times New Roman" w:cs="Times New Roman"/>
          <w:b/>
          <w:bCs/>
          <w:i/>
          <w:iCs/>
          <w:sz w:val="24"/>
          <w:szCs w:val="24"/>
        </w:rPr>
        <w:t>Credibility and role:</w:t>
      </w:r>
      <w:r w:rsidRPr="000936B6">
        <w:rPr>
          <w:rFonts w:ascii="Times New Roman" w:hAnsi="Times New Roman" w:cs="Times New Roman"/>
          <w:sz w:val="24"/>
          <w:szCs w:val="24"/>
        </w:rPr>
        <w:t xml:space="preserve"> The council's responsibility to the community made it the primary decision-maker and project initiator. Their responsibilities went beyond making judgements to include the community's perspective in all decisions (</w:t>
      </w:r>
      <w:proofErr w:type="spellStart"/>
      <w:r w:rsidRPr="000936B6">
        <w:rPr>
          <w:rFonts w:ascii="Times New Roman" w:hAnsi="Times New Roman" w:cs="Times New Roman"/>
          <w:i/>
          <w:iCs/>
          <w:sz w:val="24"/>
          <w:szCs w:val="24"/>
        </w:rPr>
        <w:t>Carpini</w:t>
      </w:r>
      <w:proofErr w:type="spellEnd"/>
      <w:r w:rsidRPr="000936B6">
        <w:rPr>
          <w:rFonts w:ascii="Times New Roman" w:hAnsi="Times New Roman" w:cs="Times New Roman"/>
          <w:i/>
          <w:iCs/>
          <w:sz w:val="24"/>
          <w:szCs w:val="24"/>
        </w:rPr>
        <w:t>, Cook, and Jacobs, 2004).</w:t>
      </w:r>
      <w:r w:rsidRPr="000936B6">
        <w:rPr>
          <w:rFonts w:ascii="Times New Roman" w:hAnsi="Times New Roman" w:cs="Times New Roman"/>
          <w:sz w:val="24"/>
          <w:szCs w:val="24"/>
        </w:rPr>
        <w:t xml:space="preserve"> </w:t>
      </w:r>
      <w:r>
        <w:rPr>
          <w:rFonts w:ascii="Times New Roman" w:hAnsi="Times New Roman" w:cs="Times New Roman"/>
          <w:sz w:val="24"/>
          <w:szCs w:val="24"/>
        </w:rPr>
        <w:t>Also, t</w:t>
      </w:r>
      <w:r w:rsidRPr="000936B6">
        <w:rPr>
          <w:rFonts w:ascii="Times New Roman" w:hAnsi="Times New Roman" w:cs="Times New Roman"/>
          <w:sz w:val="24"/>
          <w:szCs w:val="24"/>
        </w:rPr>
        <w:t xml:space="preserve">heir public actions and consistent attempts to integrate community feedback at every important step boosted their reputation. </w:t>
      </w:r>
      <w:r>
        <w:rPr>
          <w:rFonts w:ascii="Times New Roman" w:hAnsi="Times New Roman" w:cs="Times New Roman"/>
          <w:sz w:val="24"/>
          <w:szCs w:val="24"/>
        </w:rPr>
        <w:t>Therefore, t</w:t>
      </w:r>
      <w:r w:rsidRPr="000936B6">
        <w:rPr>
          <w:rFonts w:ascii="Times New Roman" w:hAnsi="Times New Roman" w:cs="Times New Roman"/>
          <w:sz w:val="24"/>
          <w:szCs w:val="24"/>
        </w:rPr>
        <w:t>he community trusted the council's activities because of their community-centric decision-making.</w:t>
      </w:r>
    </w:p>
    <w:p w14:paraId="4D73D21D" w14:textId="699B4FE5" w:rsidR="000936B6" w:rsidRPr="000936B6" w:rsidRDefault="000936B6" w:rsidP="000936B6">
      <w:pPr>
        <w:spacing w:line="360" w:lineRule="auto"/>
        <w:jc w:val="both"/>
        <w:rPr>
          <w:rFonts w:ascii="Times New Roman" w:hAnsi="Times New Roman" w:cs="Times New Roman"/>
          <w:sz w:val="24"/>
          <w:szCs w:val="24"/>
        </w:rPr>
      </w:pPr>
      <w:r w:rsidRPr="000936B6">
        <w:rPr>
          <w:rFonts w:ascii="Times New Roman" w:hAnsi="Times New Roman" w:cs="Times New Roman"/>
          <w:b/>
          <w:bCs/>
          <w:i/>
          <w:iCs/>
          <w:sz w:val="24"/>
          <w:szCs w:val="24"/>
        </w:rPr>
        <w:lastRenderedPageBreak/>
        <w:t>Communication Channels</w:t>
      </w:r>
      <w:r w:rsidRPr="000936B6">
        <w:rPr>
          <w:rFonts w:ascii="Times New Roman" w:hAnsi="Times New Roman" w:cs="Times New Roman"/>
          <w:sz w:val="24"/>
          <w:szCs w:val="24"/>
        </w:rPr>
        <w:t xml:space="preserve">: Today, choosing the right channels is crucial. </w:t>
      </w:r>
      <w:r>
        <w:rPr>
          <w:rFonts w:ascii="Times New Roman" w:hAnsi="Times New Roman" w:cs="Times New Roman"/>
          <w:sz w:val="24"/>
          <w:szCs w:val="24"/>
        </w:rPr>
        <w:t>Also, t</w:t>
      </w:r>
      <w:r w:rsidRPr="000936B6">
        <w:rPr>
          <w:rFonts w:ascii="Times New Roman" w:hAnsi="Times New Roman" w:cs="Times New Roman"/>
          <w:sz w:val="24"/>
          <w:szCs w:val="24"/>
        </w:rPr>
        <w:t>he council utilised town hall meetings and digital tools including the project website and social media. The multi-channel approach ensured that all community segments, regardless of access capabilities or preferences, were included (</w:t>
      </w:r>
      <w:r w:rsidRPr="000936B6">
        <w:rPr>
          <w:rFonts w:ascii="Times New Roman" w:hAnsi="Times New Roman" w:cs="Times New Roman"/>
          <w:i/>
          <w:iCs/>
          <w:sz w:val="24"/>
          <w:szCs w:val="24"/>
        </w:rPr>
        <w:t>Mergel, 2013).</w:t>
      </w:r>
    </w:p>
    <w:p w14:paraId="6F507960" w14:textId="690D2F1A" w:rsidR="000936B6" w:rsidRDefault="000936B6" w:rsidP="000936B6">
      <w:pPr>
        <w:spacing w:line="360" w:lineRule="auto"/>
        <w:jc w:val="both"/>
        <w:rPr>
          <w:rFonts w:ascii="Times New Roman" w:hAnsi="Times New Roman" w:cs="Times New Roman"/>
          <w:sz w:val="24"/>
          <w:szCs w:val="24"/>
        </w:rPr>
      </w:pPr>
      <w:r w:rsidRPr="000936B6">
        <w:rPr>
          <w:rFonts w:ascii="Times New Roman" w:hAnsi="Times New Roman" w:cs="Times New Roman"/>
          <w:b/>
          <w:bCs/>
          <w:i/>
          <w:iCs/>
          <w:sz w:val="24"/>
          <w:szCs w:val="24"/>
        </w:rPr>
        <w:t>Feedback Mechanisms</w:t>
      </w:r>
      <w:r w:rsidRPr="000936B6">
        <w:rPr>
          <w:rFonts w:ascii="Times New Roman" w:hAnsi="Times New Roman" w:cs="Times New Roman"/>
          <w:sz w:val="24"/>
          <w:szCs w:val="24"/>
        </w:rPr>
        <w:t>: Community engagement is maximised via two-way communication. The council understood this and established efficient feedback methods. Meet-ups offered the community a personal touch and made them feel listened and valued (</w:t>
      </w:r>
      <w:r w:rsidRPr="000936B6">
        <w:rPr>
          <w:rFonts w:ascii="Times New Roman" w:hAnsi="Times New Roman" w:cs="Times New Roman"/>
          <w:i/>
          <w:iCs/>
          <w:sz w:val="24"/>
          <w:szCs w:val="24"/>
        </w:rPr>
        <w:t xml:space="preserve">Rowe and </w:t>
      </w:r>
      <w:proofErr w:type="spellStart"/>
      <w:r w:rsidRPr="000936B6">
        <w:rPr>
          <w:rFonts w:ascii="Times New Roman" w:hAnsi="Times New Roman" w:cs="Times New Roman"/>
          <w:i/>
          <w:iCs/>
          <w:sz w:val="24"/>
          <w:szCs w:val="24"/>
        </w:rPr>
        <w:t>Frewer</w:t>
      </w:r>
      <w:proofErr w:type="spellEnd"/>
      <w:r w:rsidRPr="000936B6">
        <w:rPr>
          <w:rFonts w:ascii="Times New Roman" w:hAnsi="Times New Roman" w:cs="Times New Roman"/>
          <w:i/>
          <w:iCs/>
          <w:sz w:val="24"/>
          <w:szCs w:val="24"/>
        </w:rPr>
        <w:t>, 2005</w:t>
      </w:r>
      <w:r w:rsidRPr="000936B6">
        <w:rPr>
          <w:rFonts w:ascii="Times New Roman" w:hAnsi="Times New Roman" w:cs="Times New Roman"/>
          <w:sz w:val="24"/>
          <w:szCs w:val="24"/>
        </w:rPr>
        <w:t xml:space="preserve">). </w:t>
      </w:r>
      <w:r>
        <w:rPr>
          <w:rFonts w:ascii="Times New Roman" w:hAnsi="Times New Roman" w:cs="Times New Roman"/>
          <w:sz w:val="24"/>
          <w:szCs w:val="24"/>
        </w:rPr>
        <w:t>However, t</w:t>
      </w:r>
      <w:r w:rsidRPr="000936B6">
        <w:rPr>
          <w:rFonts w:ascii="Times New Roman" w:hAnsi="Times New Roman" w:cs="Times New Roman"/>
          <w:sz w:val="24"/>
          <w:szCs w:val="24"/>
        </w:rPr>
        <w:t>he tech-savvy generation liked online polls, but face-to-face conversations were more personal.</w:t>
      </w:r>
    </w:p>
    <w:p w14:paraId="3694FD5F" w14:textId="1346A869" w:rsidR="00FF6355" w:rsidRPr="00FF6355" w:rsidRDefault="00FF6355" w:rsidP="00FF6355">
      <w:pPr>
        <w:spacing w:line="360" w:lineRule="auto"/>
        <w:jc w:val="both"/>
        <w:rPr>
          <w:rFonts w:ascii="Times New Roman" w:hAnsi="Times New Roman" w:cs="Times New Roman"/>
          <w:b/>
          <w:bCs/>
          <w:sz w:val="24"/>
          <w:szCs w:val="24"/>
        </w:rPr>
      </w:pPr>
      <w:r w:rsidRPr="00FF6355">
        <w:rPr>
          <w:rFonts w:ascii="Times New Roman" w:hAnsi="Times New Roman" w:cs="Times New Roman"/>
          <w:b/>
          <w:bCs/>
          <w:sz w:val="24"/>
          <w:szCs w:val="24"/>
        </w:rPr>
        <w:t>Message (Green Space Initiative Information)</w:t>
      </w:r>
    </w:p>
    <w:p w14:paraId="1729A3A9" w14:textId="6ADE6E31" w:rsidR="00FF6355" w:rsidRPr="00FF6355" w:rsidRDefault="00FF6355" w:rsidP="00FF6355">
      <w:pPr>
        <w:spacing w:line="360" w:lineRule="auto"/>
        <w:jc w:val="both"/>
        <w:rPr>
          <w:rFonts w:ascii="Times New Roman" w:hAnsi="Times New Roman" w:cs="Times New Roman"/>
          <w:sz w:val="24"/>
          <w:szCs w:val="24"/>
        </w:rPr>
      </w:pPr>
      <w:r w:rsidRPr="00FF6355">
        <w:rPr>
          <w:rFonts w:ascii="Times New Roman" w:hAnsi="Times New Roman" w:cs="Times New Roman"/>
          <w:b/>
          <w:bCs/>
          <w:i/>
          <w:iCs/>
          <w:sz w:val="24"/>
          <w:szCs w:val="24"/>
        </w:rPr>
        <w:t>Clarity:</w:t>
      </w:r>
      <w:r w:rsidRPr="00FF6355">
        <w:rPr>
          <w:rFonts w:ascii="Times New Roman" w:hAnsi="Times New Roman" w:cs="Times New Roman"/>
          <w:sz w:val="24"/>
          <w:szCs w:val="24"/>
        </w:rPr>
        <w:t xml:space="preserve"> Communicating a concept or idea to everyone is tough. However, the council achieved this challenging goal. The Green Space Initiative's aims and benefits are clearly stated. Clarity ensured that everyone in the community, regardless of age, education, or expertise, could understand the initiative's goals and benefits (</w:t>
      </w:r>
      <w:r w:rsidRPr="00FF6355">
        <w:rPr>
          <w:rFonts w:ascii="Times New Roman" w:hAnsi="Times New Roman" w:cs="Times New Roman"/>
          <w:i/>
          <w:iCs/>
          <w:sz w:val="24"/>
          <w:szCs w:val="24"/>
        </w:rPr>
        <w:t>Schultz, 2007).</w:t>
      </w:r>
      <w:r w:rsidRPr="00FF6355">
        <w:rPr>
          <w:rFonts w:ascii="Times New Roman" w:hAnsi="Times New Roman" w:cs="Times New Roman"/>
          <w:sz w:val="24"/>
          <w:szCs w:val="24"/>
        </w:rPr>
        <w:t xml:space="preserve"> Every communication medium</w:t>
      </w:r>
      <w:r>
        <w:rPr>
          <w:rFonts w:ascii="Times New Roman" w:hAnsi="Times New Roman" w:cs="Times New Roman"/>
          <w:sz w:val="24"/>
          <w:szCs w:val="24"/>
        </w:rPr>
        <w:t xml:space="preserve"> </w:t>
      </w:r>
      <w:r w:rsidRPr="00FF6355">
        <w:rPr>
          <w:rFonts w:ascii="Times New Roman" w:hAnsi="Times New Roman" w:cs="Times New Roman"/>
          <w:sz w:val="24"/>
          <w:szCs w:val="24"/>
        </w:rPr>
        <w:t>from brochures to website updates</w:t>
      </w:r>
      <w:r>
        <w:rPr>
          <w:rFonts w:ascii="Times New Roman" w:hAnsi="Times New Roman" w:cs="Times New Roman"/>
          <w:sz w:val="24"/>
          <w:szCs w:val="24"/>
        </w:rPr>
        <w:t xml:space="preserve"> </w:t>
      </w:r>
      <w:r w:rsidRPr="00FF6355">
        <w:rPr>
          <w:rFonts w:ascii="Times New Roman" w:hAnsi="Times New Roman" w:cs="Times New Roman"/>
          <w:sz w:val="24"/>
          <w:szCs w:val="24"/>
        </w:rPr>
        <w:t>was intended for simplicity.</w:t>
      </w:r>
    </w:p>
    <w:p w14:paraId="2A5FBDDA" w14:textId="24F45539" w:rsidR="00FF6355" w:rsidRPr="00FF6355" w:rsidRDefault="00FF6355" w:rsidP="00FF6355">
      <w:pPr>
        <w:spacing w:line="360" w:lineRule="auto"/>
        <w:jc w:val="both"/>
        <w:rPr>
          <w:rFonts w:ascii="Times New Roman" w:hAnsi="Times New Roman" w:cs="Times New Roman"/>
          <w:sz w:val="24"/>
          <w:szCs w:val="24"/>
        </w:rPr>
      </w:pPr>
      <w:r w:rsidRPr="00FF6355">
        <w:rPr>
          <w:rFonts w:ascii="Times New Roman" w:hAnsi="Times New Roman" w:cs="Times New Roman"/>
          <w:b/>
          <w:bCs/>
          <w:i/>
          <w:iCs/>
          <w:sz w:val="24"/>
          <w:szCs w:val="24"/>
        </w:rPr>
        <w:t>Always preserve consistency</w:t>
      </w:r>
      <w:r w:rsidRPr="00FF6355">
        <w:rPr>
          <w:rFonts w:ascii="Times New Roman" w:hAnsi="Times New Roman" w:cs="Times New Roman"/>
          <w:sz w:val="24"/>
          <w:szCs w:val="24"/>
        </w:rPr>
        <w:t xml:space="preserve">, which defines trustworthy communication. Whether in print or online, inclusivity, diversity, and sustainability was the same. </w:t>
      </w:r>
      <w:r w:rsidRPr="00FF6355">
        <w:rPr>
          <w:rFonts w:ascii="Times New Roman" w:hAnsi="Times New Roman" w:cs="Times New Roman"/>
          <w:i/>
          <w:iCs/>
          <w:sz w:val="24"/>
          <w:szCs w:val="24"/>
        </w:rPr>
        <w:t>Heath and Bryant (2000)</w:t>
      </w:r>
      <w:r w:rsidRPr="00FF6355">
        <w:rPr>
          <w:rFonts w:ascii="Times New Roman" w:hAnsi="Times New Roman" w:cs="Times New Roman"/>
          <w:sz w:val="24"/>
          <w:szCs w:val="24"/>
        </w:rPr>
        <w:t xml:space="preserve"> found that consistent communication of the project's goals and objectives boosted community trust and confidence.</w:t>
      </w:r>
    </w:p>
    <w:p w14:paraId="36032A4A" w14:textId="33DADC44" w:rsidR="00FF6355" w:rsidRPr="00FF6355" w:rsidRDefault="00FF6355" w:rsidP="00FF6355">
      <w:pPr>
        <w:spacing w:line="360" w:lineRule="auto"/>
        <w:jc w:val="both"/>
        <w:rPr>
          <w:rFonts w:ascii="Times New Roman" w:hAnsi="Times New Roman" w:cs="Times New Roman"/>
          <w:sz w:val="24"/>
          <w:szCs w:val="24"/>
        </w:rPr>
      </w:pPr>
      <w:r w:rsidRPr="00FF6355">
        <w:rPr>
          <w:rFonts w:ascii="Times New Roman" w:hAnsi="Times New Roman" w:cs="Times New Roman"/>
          <w:b/>
          <w:bCs/>
          <w:i/>
          <w:iCs/>
          <w:sz w:val="24"/>
          <w:szCs w:val="24"/>
        </w:rPr>
        <w:t>Relevance</w:t>
      </w:r>
      <w:r>
        <w:rPr>
          <w:rFonts w:ascii="Times New Roman" w:hAnsi="Times New Roman" w:cs="Times New Roman"/>
          <w:sz w:val="24"/>
          <w:szCs w:val="24"/>
        </w:rPr>
        <w:t xml:space="preserve">: </w:t>
      </w:r>
      <w:r w:rsidRPr="00FF6355">
        <w:rPr>
          <w:rFonts w:ascii="Times New Roman" w:hAnsi="Times New Roman" w:cs="Times New Roman"/>
          <w:sz w:val="24"/>
          <w:szCs w:val="24"/>
        </w:rPr>
        <w:t xml:space="preserve">The </w:t>
      </w:r>
      <w:r w:rsidRPr="00FF6355">
        <w:rPr>
          <w:rFonts w:ascii="Times New Roman" w:hAnsi="Times New Roman" w:cs="Times New Roman"/>
          <w:i/>
          <w:iCs/>
          <w:sz w:val="24"/>
          <w:szCs w:val="24"/>
        </w:rPr>
        <w:t>one size fits all</w:t>
      </w:r>
      <w:r w:rsidRPr="00FF6355">
        <w:rPr>
          <w:rFonts w:ascii="Times New Roman" w:hAnsi="Times New Roman" w:cs="Times New Roman"/>
          <w:sz w:val="24"/>
          <w:szCs w:val="24"/>
        </w:rPr>
        <w:t xml:space="preserve"> approach to community engagement occasionally works. The council demonstrated its understanding of this notion by linking its pronouncements to community needs and aspirations rather than generic proclamations. Matching communications with initial survey results helped the council create contextually appropriate messaging. </w:t>
      </w:r>
      <w:r>
        <w:rPr>
          <w:rFonts w:ascii="Times New Roman" w:hAnsi="Times New Roman" w:cs="Times New Roman"/>
          <w:sz w:val="24"/>
          <w:szCs w:val="24"/>
        </w:rPr>
        <w:t>Also, t</w:t>
      </w:r>
      <w:r w:rsidRPr="00FF6355">
        <w:rPr>
          <w:rFonts w:ascii="Times New Roman" w:hAnsi="Times New Roman" w:cs="Times New Roman"/>
          <w:sz w:val="24"/>
          <w:szCs w:val="24"/>
        </w:rPr>
        <w:t>his boosted communal ownership and significance (</w:t>
      </w:r>
      <w:r w:rsidRPr="00FF6355">
        <w:rPr>
          <w:rFonts w:ascii="Times New Roman" w:hAnsi="Times New Roman" w:cs="Times New Roman"/>
          <w:i/>
          <w:iCs/>
          <w:sz w:val="24"/>
          <w:szCs w:val="24"/>
        </w:rPr>
        <w:t>Habermas, 1984).</w:t>
      </w:r>
    </w:p>
    <w:p w14:paraId="27D3CEB9" w14:textId="129C88FF" w:rsidR="00FF6355" w:rsidRPr="00FF6355" w:rsidRDefault="00FF6355" w:rsidP="00FF6355">
      <w:pPr>
        <w:spacing w:line="360" w:lineRule="auto"/>
        <w:jc w:val="both"/>
        <w:rPr>
          <w:rFonts w:ascii="Times New Roman" w:hAnsi="Times New Roman" w:cs="Times New Roman"/>
          <w:b/>
          <w:bCs/>
          <w:sz w:val="24"/>
          <w:szCs w:val="24"/>
        </w:rPr>
      </w:pPr>
      <w:r w:rsidRPr="00FF6355">
        <w:rPr>
          <w:rFonts w:ascii="Times New Roman" w:hAnsi="Times New Roman" w:cs="Times New Roman"/>
          <w:b/>
          <w:bCs/>
          <w:sz w:val="24"/>
          <w:szCs w:val="24"/>
        </w:rPr>
        <w:t>The Community (Recipient)</w:t>
      </w:r>
    </w:p>
    <w:p w14:paraId="552BE117" w14:textId="1607D44C" w:rsidR="00FF6355" w:rsidRPr="00FF6355" w:rsidRDefault="00FF6355" w:rsidP="00FF6355">
      <w:pPr>
        <w:spacing w:line="360" w:lineRule="auto"/>
        <w:jc w:val="both"/>
        <w:rPr>
          <w:rFonts w:ascii="Times New Roman" w:hAnsi="Times New Roman" w:cs="Times New Roman"/>
          <w:sz w:val="24"/>
          <w:szCs w:val="24"/>
        </w:rPr>
      </w:pPr>
      <w:r w:rsidRPr="00FF6355">
        <w:rPr>
          <w:rFonts w:ascii="Times New Roman" w:hAnsi="Times New Roman" w:cs="Times New Roman"/>
          <w:sz w:val="24"/>
          <w:szCs w:val="24"/>
        </w:rPr>
        <w:t xml:space="preserve">Nuneaton, like many communities, has a diverse population profile. Diversity was evident, from young families to senior citizens, techies to traditionalists. The council made sure its engagement techniques were versatile to accommodate these differences. </w:t>
      </w:r>
      <w:r>
        <w:rPr>
          <w:rFonts w:ascii="Times New Roman" w:hAnsi="Times New Roman" w:cs="Times New Roman"/>
          <w:sz w:val="24"/>
          <w:szCs w:val="24"/>
        </w:rPr>
        <w:t>Also, t</w:t>
      </w:r>
      <w:r w:rsidRPr="00FF6355">
        <w:rPr>
          <w:rFonts w:ascii="Times New Roman" w:hAnsi="Times New Roman" w:cs="Times New Roman"/>
          <w:sz w:val="24"/>
          <w:szCs w:val="24"/>
        </w:rPr>
        <w:t>hey made events accessible and inclusive by using multi-channel communication and scheduling them at different times and locations (</w:t>
      </w:r>
      <w:r w:rsidRPr="00FF6355">
        <w:rPr>
          <w:rFonts w:ascii="Times New Roman" w:hAnsi="Times New Roman" w:cs="Times New Roman"/>
          <w:i/>
          <w:iCs/>
          <w:sz w:val="24"/>
          <w:szCs w:val="24"/>
        </w:rPr>
        <w:t>Reed, 2008).</w:t>
      </w:r>
    </w:p>
    <w:p w14:paraId="01035BE1" w14:textId="6AC43331" w:rsidR="00FF6355" w:rsidRPr="00FF6355" w:rsidRDefault="00FF6355" w:rsidP="00FF6355">
      <w:pPr>
        <w:spacing w:line="360" w:lineRule="auto"/>
        <w:jc w:val="both"/>
        <w:rPr>
          <w:rFonts w:ascii="Times New Roman" w:hAnsi="Times New Roman" w:cs="Times New Roman"/>
          <w:sz w:val="24"/>
          <w:szCs w:val="24"/>
        </w:rPr>
      </w:pPr>
      <w:r w:rsidRPr="00FF6355">
        <w:rPr>
          <w:rFonts w:ascii="Times New Roman" w:hAnsi="Times New Roman" w:cs="Times New Roman"/>
          <w:b/>
          <w:bCs/>
          <w:i/>
          <w:iCs/>
          <w:sz w:val="24"/>
          <w:szCs w:val="24"/>
        </w:rPr>
        <w:t>Feedback and Participation:</w:t>
      </w:r>
      <w:r w:rsidRPr="00FF6355">
        <w:rPr>
          <w:rFonts w:ascii="Times New Roman" w:hAnsi="Times New Roman" w:cs="Times New Roman"/>
          <w:sz w:val="24"/>
          <w:szCs w:val="24"/>
        </w:rPr>
        <w:t xml:space="preserve"> Instead of top-down communication, the council adopted a participatory format that turned community people into vital partners. </w:t>
      </w:r>
      <w:r>
        <w:rPr>
          <w:rFonts w:ascii="Times New Roman" w:hAnsi="Times New Roman" w:cs="Times New Roman"/>
          <w:sz w:val="24"/>
          <w:szCs w:val="24"/>
        </w:rPr>
        <w:t>Therefore, t</w:t>
      </w:r>
      <w:r w:rsidRPr="00FF6355">
        <w:rPr>
          <w:rFonts w:ascii="Times New Roman" w:hAnsi="Times New Roman" w:cs="Times New Roman"/>
          <w:sz w:val="24"/>
          <w:szCs w:val="24"/>
        </w:rPr>
        <w:t>heir opinions were solicited and visible throughout the process. This fostered community ownership and faith in the effort (</w:t>
      </w:r>
      <w:r w:rsidRPr="00FF6355">
        <w:rPr>
          <w:rFonts w:ascii="Times New Roman" w:hAnsi="Times New Roman" w:cs="Times New Roman"/>
          <w:i/>
          <w:iCs/>
          <w:sz w:val="24"/>
          <w:szCs w:val="24"/>
        </w:rPr>
        <w:t>Arnstein, 1969).</w:t>
      </w:r>
    </w:p>
    <w:p w14:paraId="78E88407" w14:textId="00996866" w:rsidR="00FF6355" w:rsidRPr="00FF6355" w:rsidRDefault="00FF6355" w:rsidP="00FF6355">
      <w:pPr>
        <w:spacing w:line="360" w:lineRule="auto"/>
        <w:jc w:val="both"/>
        <w:rPr>
          <w:rFonts w:ascii="Times New Roman" w:hAnsi="Times New Roman" w:cs="Times New Roman"/>
          <w:sz w:val="24"/>
          <w:szCs w:val="24"/>
        </w:rPr>
      </w:pPr>
      <w:r w:rsidRPr="00FF6355">
        <w:rPr>
          <w:rFonts w:ascii="Times New Roman" w:hAnsi="Times New Roman" w:cs="Times New Roman"/>
          <w:b/>
          <w:bCs/>
          <w:i/>
          <w:iCs/>
          <w:sz w:val="24"/>
          <w:szCs w:val="24"/>
        </w:rPr>
        <w:t>Evaluation:</w:t>
      </w:r>
      <w:r w:rsidRPr="00FF6355">
        <w:rPr>
          <w:rFonts w:ascii="Times New Roman" w:hAnsi="Times New Roman" w:cs="Times New Roman"/>
          <w:sz w:val="24"/>
          <w:szCs w:val="24"/>
        </w:rPr>
        <w:t xml:space="preserve"> Testing community involvement strategies is crucial. This was helped by the digital and paper post-implementation survey. This poll collected community green space opinions and proposals. </w:t>
      </w:r>
      <w:r>
        <w:rPr>
          <w:rFonts w:ascii="Times New Roman" w:hAnsi="Times New Roman" w:cs="Times New Roman"/>
          <w:sz w:val="24"/>
          <w:szCs w:val="24"/>
        </w:rPr>
        <w:t>However, t</w:t>
      </w:r>
      <w:r w:rsidRPr="00FF6355">
        <w:rPr>
          <w:rFonts w:ascii="Times New Roman" w:hAnsi="Times New Roman" w:cs="Times New Roman"/>
          <w:sz w:val="24"/>
          <w:szCs w:val="24"/>
        </w:rPr>
        <w:t>hey achieved inclusion in feedback by giving online and offline versions, creating a complete picture of the project's effect and opportunities for development (</w:t>
      </w:r>
      <w:r w:rsidRPr="00FF6355">
        <w:rPr>
          <w:rFonts w:ascii="Times New Roman" w:hAnsi="Times New Roman" w:cs="Times New Roman"/>
          <w:i/>
          <w:iCs/>
          <w:sz w:val="24"/>
          <w:szCs w:val="24"/>
        </w:rPr>
        <w:t>Rowe and Frewer, 2000</w:t>
      </w:r>
      <w:r w:rsidRPr="00FF6355">
        <w:rPr>
          <w:rFonts w:ascii="Times New Roman" w:hAnsi="Times New Roman" w:cs="Times New Roman"/>
          <w:sz w:val="24"/>
          <w:szCs w:val="24"/>
        </w:rPr>
        <w:t>).</w:t>
      </w:r>
    </w:p>
    <w:p w14:paraId="0B1DF0B7" w14:textId="4F86B01D" w:rsidR="00FF6355" w:rsidRPr="00161CFA" w:rsidRDefault="00161CFA" w:rsidP="00FF6355">
      <w:pPr>
        <w:spacing w:line="360" w:lineRule="auto"/>
        <w:jc w:val="both"/>
        <w:rPr>
          <w:rFonts w:ascii="Times New Roman" w:hAnsi="Times New Roman" w:cs="Times New Roman"/>
          <w:b/>
          <w:bCs/>
          <w:sz w:val="24"/>
          <w:szCs w:val="24"/>
        </w:rPr>
      </w:pPr>
      <w:r w:rsidRPr="00161CFA">
        <w:rPr>
          <w:rFonts w:ascii="Times New Roman" w:hAnsi="Times New Roman" w:cs="Times New Roman"/>
          <w:b/>
          <w:bCs/>
          <w:sz w:val="24"/>
          <w:szCs w:val="24"/>
        </w:rPr>
        <w:t>Consequences: Outputs for the Nuneaton Green Space Initiative</w:t>
      </w:r>
    </w:p>
    <w:p w14:paraId="135D9CD2" w14:textId="37573E78" w:rsidR="00161CFA" w:rsidRPr="00161CFA" w:rsidRDefault="00161CFA" w:rsidP="00161CFA">
      <w:pPr>
        <w:spacing w:line="360" w:lineRule="auto"/>
        <w:jc w:val="both"/>
        <w:rPr>
          <w:rFonts w:ascii="Times New Roman" w:hAnsi="Times New Roman" w:cs="Times New Roman"/>
          <w:b/>
          <w:bCs/>
          <w:i/>
          <w:iCs/>
          <w:sz w:val="24"/>
          <w:szCs w:val="24"/>
        </w:rPr>
      </w:pPr>
      <w:r w:rsidRPr="00161CFA">
        <w:rPr>
          <w:rFonts w:ascii="Times New Roman" w:hAnsi="Times New Roman" w:cs="Times New Roman"/>
          <w:b/>
          <w:bCs/>
          <w:i/>
          <w:iCs/>
          <w:sz w:val="24"/>
          <w:szCs w:val="24"/>
        </w:rPr>
        <w:t>Outputs:</w:t>
      </w:r>
    </w:p>
    <w:p w14:paraId="4080CB32" w14:textId="77777777" w:rsidR="00161CFA" w:rsidRDefault="00161CFA" w:rsidP="00161CFA">
      <w:pPr>
        <w:pStyle w:val="ListParagraph"/>
        <w:numPr>
          <w:ilvl w:val="0"/>
          <w:numId w:val="3"/>
        </w:num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The development of green spaces included the transformation of a certain number of urban areas into environmentally friendly places. Therefore, these areas were enhanced with various facilities, including benches, jogging tracks, playgrounds, and educational signages.</w:t>
      </w:r>
    </w:p>
    <w:p w14:paraId="50180AEA" w14:textId="77777777" w:rsidR="00161CFA" w:rsidRDefault="00161CFA" w:rsidP="00161CFA">
      <w:pPr>
        <w:pStyle w:val="ListParagraph"/>
        <w:numPr>
          <w:ilvl w:val="0"/>
          <w:numId w:val="3"/>
        </w:num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The increase of biodiversity was seen as a result of the incorporation of local flora, which facilitated the attraction of diverse wildlife species and fostered the establishment of a harmonious urban ecology.</w:t>
      </w:r>
    </w:p>
    <w:p w14:paraId="7410A139" w14:textId="77777777" w:rsidR="00161CFA" w:rsidRDefault="00161CFA" w:rsidP="00161CFA">
      <w:pPr>
        <w:pStyle w:val="ListParagraph"/>
        <w:numPr>
          <w:ilvl w:val="0"/>
          <w:numId w:val="3"/>
        </w:num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Community Engagement Events: A collection of town hall meetings, seminars, and community events were meticulously coordinated, facilitating heightened community engagement and stakeholder inclusion.</w:t>
      </w:r>
    </w:p>
    <w:p w14:paraId="45F47DB0" w14:textId="77777777" w:rsidR="00161CFA" w:rsidRDefault="00161CFA" w:rsidP="00161CFA">
      <w:pPr>
        <w:pStyle w:val="ListParagraph"/>
        <w:numPr>
          <w:ilvl w:val="0"/>
          <w:numId w:val="3"/>
        </w:num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Educational Programmes: Various initiatives were implemented with the objective of enhancing environmental consciousness, including seminars targeting schools, community gardening sessions, and guided tours emphasising the indigenous plant and animal species in the area.</w:t>
      </w:r>
    </w:p>
    <w:p w14:paraId="53522D31" w14:textId="50E03F98" w:rsidR="00FF6355" w:rsidRDefault="00161CFA" w:rsidP="00161CFA">
      <w:pPr>
        <w:pStyle w:val="ListParagraph"/>
        <w:numPr>
          <w:ilvl w:val="0"/>
          <w:numId w:val="3"/>
        </w:num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Input mechanisms were implemented via both digital and offline channels in order to gather community input. This resulted in the accumulation of a comprehensive collection of data and insights pertaining to the project's effect.</w:t>
      </w:r>
    </w:p>
    <w:p w14:paraId="2F25E6A9" w14:textId="11E3D13C" w:rsidR="00161CFA" w:rsidRPr="00161CFA" w:rsidRDefault="00161CFA" w:rsidP="00161CFA">
      <w:pPr>
        <w:spacing w:line="360" w:lineRule="auto"/>
        <w:jc w:val="both"/>
        <w:rPr>
          <w:rFonts w:ascii="Times New Roman" w:hAnsi="Times New Roman" w:cs="Times New Roman"/>
          <w:b/>
          <w:bCs/>
          <w:sz w:val="24"/>
          <w:szCs w:val="24"/>
        </w:rPr>
      </w:pPr>
      <w:r w:rsidRPr="00161CFA">
        <w:rPr>
          <w:rFonts w:ascii="Times New Roman" w:hAnsi="Times New Roman" w:cs="Times New Roman"/>
          <w:b/>
          <w:bCs/>
          <w:sz w:val="24"/>
          <w:szCs w:val="24"/>
        </w:rPr>
        <w:t>Conclusion</w:t>
      </w:r>
    </w:p>
    <w:p w14:paraId="385280E5" w14:textId="1E7B00EF" w:rsidR="00161CFA" w:rsidRPr="00161CFA" w:rsidRDefault="00161CFA" w:rsidP="00161CFA">
      <w:p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The Nuneaton Green Space Initiative is a successful example of how community involvement and a progressive environmental perspective can transform urban environments. The initiative prioritizes the environment and the well-being of its citizens, adhering to principles of inclusion, transparency, and cooperation. The project's success was facilitated by various communication channels, such as town hall meetings and social media platforms, and a continuous feedback loop that allowed for adapting plans and implementations in response to real-time community inputs.</w:t>
      </w:r>
    </w:p>
    <w:p w14:paraId="58591EDB" w14:textId="105CE4AE" w:rsidR="00161CFA" w:rsidRPr="00161CFA" w:rsidRDefault="00161CFA" w:rsidP="00161CFA">
      <w:pPr>
        <w:spacing w:line="360" w:lineRule="auto"/>
        <w:jc w:val="both"/>
        <w:rPr>
          <w:rFonts w:ascii="Times New Roman" w:hAnsi="Times New Roman" w:cs="Times New Roman"/>
          <w:sz w:val="24"/>
          <w:szCs w:val="24"/>
        </w:rPr>
      </w:pPr>
      <w:r w:rsidRPr="00161CFA">
        <w:rPr>
          <w:rFonts w:ascii="Times New Roman" w:hAnsi="Times New Roman" w:cs="Times New Roman"/>
          <w:sz w:val="24"/>
          <w:szCs w:val="24"/>
        </w:rPr>
        <w:t>However, future endeavors should focus on addressing community needs and prioritizing less represented groups in existing communication channels. Additionally, there is potential for exploring novel approaches to environmental conservation in urban areas using new technology and best practices.</w:t>
      </w:r>
      <w:r>
        <w:rPr>
          <w:rFonts w:ascii="Times New Roman" w:hAnsi="Times New Roman" w:cs="Times New Roman"/>
          <w:sz w:val="24"/>
          <w:szCs w:val="24"/>
        </w:rPr>
        <w:t xml:space="preserve"> </w:t>
      </w:r>
      <w:r w:rsidRPr="00161CFA">
        <w:rPr>
          <w:rFonts w:ascii="Times New Roman" w:hAnsi="Times New Roman" w:cs="Times New Roman"/>
          <w:sz w:val="24"/>
          <w:szCs w:val="24"/>
        </w:rPr>
        <w:t>The Nuneaton Green Space Initiative has established a prominent presence in Nuneaton's urban landscape, fostering a sense of community, ownership, and shared accountability. This case study offers valuable insights for other local governments, demonstrating that when community voices are prioritized and integrated with environmental aims, significant urban transformation can be both feasible and tangible.</w:t>
      </w:r>
    </w:p>
    <w:p w14:paraId="327A2769" w14:textId="77777777" w:rsidR="00FF6355" w:rsidRPr="00FF6355" w:rsidRDefault="00FF6355" w:rsidP="00FF6355">
      <w:pPr>
        <w:spacing w:line="360" w:lineRule="auto"/>
        <w:jc w:val="both"/>
        <w:rPr>
          <w:rFonts w:ascii="Times New Roman" w:hAnsi="Times New Roman" w:cs="Times New Roman"/>
          <w:sz w:val="24"/>
          <w:szCs w:val="24"/>
        </w:rPr>
      </w:pPr>
    </w:p>
    <w:p w14:paraId="1380D02E" w14:textId="77777777" w:rsidR="00FF6355" w:rsidRPr="000936B6" w:rsidRDefault="00FF6355" w:rsidP="000936B6">
      <w:pPr>
        <w:spacing w:line="360" w:lineRule="auto"/>
        <w:jc w:val="both"/>
        <w:rPr>
          <w:rFonts w:ascii="Times New Roman" w:hAnsi="Times New Roman" w:cs="Times New Roman"/>
          <w:sz w:val="24"/>
          <w:szCs w:val="24"/>
        </w:rPr>
      </w:pPr>
    </w:p>
    <w:p w14:paraId="48151AE9" w14:textId="77777777" w:rsidR="000936B6" w:rsidRDefault="000936B6" w:rsidP="00D947AE">
      <w:pPr>
        <w:spacing w:line="360" w:lineRule="auto"/>
        <w:jc w:val="both"/>
        <w:rPr>
          <w:rFonts w:ascii="Times New Roman" w:hAnsi="Times New Roman" w:cs="Times New Roman"/>
          <w:sz w:val="24"/>
          <w:szCs w:val="24"/>
        </w:rPr>
      </w:pPr>
    </w:p>
    <w:p w14:paraId="343DEA3C" w14:textId="77777777" w:rsidR="000936B6" w:rsidRPr="00D947AE" w:rsidRDefault="000936B6" w:rsidP="00D947AE">
      <w:pPr>
        <w:spacing w:line="360" w:lineRule="auto"/>
        <w:jc w:val="both"/>
        <w:rPr>
          <w:rFonts w:ascii="Times New Roman" w:hAnsi="Times New Roman" w:cs="Times New Roman"/>
          <w:sz w:val="24"/>
          <w:szCs w:val="24"/>
        </w:rPr>
      </w:pPr>
    </w:p>
    <w:p w14:paraId="14F59AA4" w14:textId="77777777" w:rsidR="00D947AE" w:rsidRPr="00D947AE" w:rsidRDefault="00D947AE" w:rsidP="00D947AE">
      <w:pPr>
        <w:spacing w:line="360" w:lineRule="auto"/>
        <w:jc w:val="both"/>
        <w:rPr>
          <w:rFonts w:ascii="Times New Roman" w:hAnsi="Times New Roman" w:cs="Times New Roman"/>
          <w:sz w:val="24"/>
          <w:szCs w:val="24"/>
        </w:rPr>
      </w:pPr>
    </w:p>
    <w:p w14:paraId="0CBA2C96" w14:textId="77777777" w:rsidR="00D947AE" w:rsidRDefault="00D947AE" w:rsidP="00D947AE">
      <w:pPr>
        <w:spacing w:line="360" w:lineRule="auto"/>
        <w:jc w:val="both"/>
        <w:rPr>
          <w:rFonts w:ascii="Times New Roman" w:hAnsi="Times New Roman" w:cs="Times New Roman"/>
          <w:sz w:val="24"/>
          <w:szCs w:val="24"/>
        </w:rPr>
      </w:pPr>
    </w:p>
    <w:p w14:paraId="45008B4C" w14:textId="77777777" w:rsidR="00161CFA" w:rsidRDefault="00161CFA" w:rsidP="00D947AE">
      <w:pPr>
        <w:spacing w:line="360" w:lineRule="auto"/>
        <w:jc w:val="both"/>
        <w:rPr>
          <w:rFonts w:ascii="Times New Roman" w:hAnsi="Times New Roman" w:cs="Times New Roman"/>
          <w:sz w:val="24"/>
          <w:szCs w:val="24"/>
        </w:rPr>
      </w:pPr>
    </w:p>
    <w:p w14:paraId="53D5A728" w14:textId="77777777" w:rsidR="00161CFA" w:rsidRDefault="00161CFA" w:rsidP="00D947AE">
      <w:pPr>
        <w:spacing w:line="360" w:lineRule="auto"/>
        <w:jc w:val="both"/>
        <w:rPr>
          <w:rFonts w:ascii="Times New Roman" w:hAnsi="Times New Roman" w:cs="Times New Roman"/>
          <w:sz w:val="24"/>
          <w:szCs w:val="24"/>
        </w:rPr>
      </w:pPr>
    </w:p>
    <w:p w14:paraId="67368C5A" w14:textId="77777777" w:rsidR="00161CFA" w:rsidRDefault="00161CFA" w:rsidP="00D947AE">
      <w:pPr>
        <w:spacing w:line="360" w:lineRule="auto"/>
        <w:jc w:val="both"/>
        <w:rPr>
          <w:rFonts w:ascii="Times New Roman" w:hAnsi="Times New Roman" w:cs="Times New Roman"/>
          <w:sz w:val="24"/>
          <w:szCs w:val="24"/>
        </w:rPr>
      </w:pPr>
    </w:p>
    <w:p w14:paraId="21BD2B64" w14:textId="77777777" w:rsidR="00161CFA" w:rsidRDefault="00161CFA" w:rsidP="00D947AE">
      <w:pPr>
        <w:spacing w:line="360" w:lineRule="auto"/>
        <w:jc w:val="both"/>
        <w:rPr>
          <w:rFonts w:ascii="Times New Roman" w:hAnsi="Times New Roman" w:cs="Times New Roman"/>
          <w:sz w:val="24"/>
          <w:szCs w:val="24"/>
        </w:rPr>
      </w:pPr>
    </w:p>
    <w:p w14:paraId="4B8585FD" w14:textId="77777777" w:rsidR="00161CFA" w:rsidRDefault="00161CFA" w:rsidP="00D947AE">
      <w:pPr>
        <w:spacing w:line="360" w:lineRule="auto"/>
        <w:jc w:val="both"/>
        <w:rPr>
          <w:rFonts w:ascii="Times New Roman" w:hAnsi="Times New Roman" w:cs="Times New Roman"/>
          <w:sz w:val="24"/>
          <w:szCs w:val="24"/>
        </w:rPr>
      </w:pPr>
    </w:p>
    <w:p w14:paraId="22CEB62E" w14:textId="77777777" w:rsidR="00161CFA" w:rsidRDefault="00161CFA" w:rsidP="00D947AE">
      <w:pPr>
        <w:spacing w:line="360" w:lineRule="auto"/>
        <w:jc w:val="both"/>
        <w:rPr>
          <w:rFonts w:ascii="Times New Roman" w:hAnsi="Times New Roman" w:cs="Times New Roman"/>
          <w:sz w:val="24"/>
          <w:szCs w:val="24"/>
        </w:rPr>
      </w:pPr>
    </w:p>
    <w:p w14:paraId="2E0AAEA2" w14:textId="2D0D9AC1" w:rsidR="00D947AE" w:rsidRDefault="00D947AE" w:rsidP="00D947AE">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2C5DB368" w14:textId="4D7A58DE" w:rsidR="00FF6355" w:rsidRP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sz w:val="24"/>
          <w:szCs w:val="24"/>
        </w:rPr>
        <w:t xml:space="preserve">Arnstein, S. R. (1969). A Ladder of Citizen Participation. </w:t>
      </w:r>
      <w:r w:rsidRPr="00D947AE">
        <w:rPr>
          <w:rFonts w:ascii="Times New Roman" w:hAnsi="Times New Roman" w:cs="Times New Roman"/>
          <w:i/>
          <w:iCs/>
          <w:sz w:val="24"/>
          <w:szCs w:val="24"/>
        </w:rPr>
        <w:t>Journal of the American Institute of Planners</w:t>
      </w:r>
      <w:r w:rsidRPr="00D947AE">
        <w:rPr>
          <w:rFonts w:ascii="Times New Roman" w:hAnsi="Times New Roman" w:cs="Times New Roman"/>
          <w:sz w:val="24"/>
          <w:szCs w:val="24"/>
        </w:rPr>
        <w:t>, 35(4), 216-224.</w:t>
      </w:r>
    </w:p>
    <w:p w14:paraId="517A8806" w14:textId="77777777" w:rsidR="00D947AE" w:rsidRDefault="00D947AE" w:rsidP="00D947AE">
      <w:pPr>
        <w:spacing w:line="360" w:lineRule="auto"/>
        <w:jc w:val="both"/>
        <w:rPr>
          <w:rFonts w:ascii="Times New Roman" w:hAnsi="Times New Roman" w:cs="Times New Roman"/>
          <w:sz w:val="24"/>
          <w:szCs w:val="24"/>
        </w:rPr>
      </w:pPr>
      <w:r w:rsidRPr="00D947AE">
        <w:rPr>
          <w:rFonts w:ascii="Times New Roman" w:hAnsi="Times New Roman" w:cs="Times New Roman"/>
          <w:sz w:val="24"/>
          <w:szCs w:val="24"/>
        </w:rPr>
        <w:t xml:space="preserve">Cornwall, A. (2008). Unpacking 'Participation': models, meanings and practices. </w:t>
      </w:r>
      <w:r w:rsidRPr="00D947AE">
        <w:rPr>
          <w:rFonts w:ascii="Times New Roman" w:hAnsi="Times New Roman" w:cs="Times New Roman"/>
          <w:i/>
          <w:iCs/>
          <w:sz w:val="24"/>
          <w:szCs w:val="24"/>
        </w:rPr>
        <w:t>Community Development Journal</w:t>
      </w:r>
      <w:r w:rsidRPr="00D947AE">
        <w:rPr>
          <w:rFonts w:ascii="Times New Roman" w:hAnsi="Times New Roman" w:cs="Times New Roman"/>
          <w:sz w:val="24"/>
          <w:szCs w:val="24"/>
        </w:rPr>
        <w:t>, 43(3), 269-283.</w:t>
      </w:r>
    </w:p>
    <w:p w14:paraId="39CF8FED" w14:textId="3D9B2985" w:rsidR="000936B6" w:rsidRDefault="000936B6" w:rsidP="00D947AE">
      <w:pPr>
        <w:spacing w:line="360" w:lineRule="auto"/>
        <w:jc w:val="both"/>
        <w:rPr>
          <w:rFonts w:ascii="Times New Roman" w:hAnsi="Times New Roman" w:cs="Times New Roman"/>
          <w:sz w:val="24"/>
          <w:szCs w:val="24"/>
        </w:rPr>
      </w:pPr>
      <w:proofErr w:type="spellStart"/>
      <w:r w:rsidRPr="000936B6">
        <w:rPr>
          <w:rFonts w:ascii="Times New Roman" w:hAnsi="Times New Roman" w:cs="Times New Roman"/>
          <w:sz w:val="24"/>
          <w:szCs w:val="24"/>
        </w:rPr>
        <w:t>Carpini</w:t>
      </w:r>
      <w:proofErr w:type="spellEnd"/>
      <w:r w:rsidRPr="000936B6">
        <w:rPr>
          <w:rFonts w:ascii="Times New Roman" w:hAnsi="Times New Roman" w:cs="Times New Roman"/>
          <w:sz w:val="24"/>
          <w:szCs w:val="24"/>
        </w:rPr>
        <w:t xml:space="preserve">, M. X. D., Cook, F. L., &amp; Jacobs, L. R. (2004). Public deliberation, discursive participation, and citizen engagement: A review of the empirical literature. </w:t>
      </w:r>
      <w:r w:rsidRPr="000936B6">
        <w:rPr>
          <w:rFonts w:ascii="Times New Roman" w:hAnsi="Times New Roman" w:cs="Times New Roman"/>
          <w:i/>
          <w:iCs/>
          <w:sz w:val="24"/>
          <w:szCs w:val="24"/>
        </w:rPr>
        <w:t>Annual Review of Political Science, 7</w:t>
      </w:r>
      <w:r w:rsidRPr="000936B6">
        <w:rPr>
          <w:rFonts w:ascii="Times New Roman" w:hAnsi="Times New Roman" w:cs="Times New Roman"/>
          <w:sz w:val="24"/>
          <w:szCs w:val="24"/>
        </w:rPr>
        <w:t>, 315-344.</w:t>
      </w:r>
    </w:p>
    <w:p w14:paraId="77BD4EB3" w14:textId="1CF21E3D" w:rsidR="000936B6" w:rsidRDefault="000936B6" w:rsidP="00D947AE">
      <w:pPr>
        <w:spacing w:line="360" w:lineRule="auto"/>
        <w:jc w:val="both"/>
        <w:rPr>
          <w:rFonts w:ascii="Times New Roman" w:hAnsi="Times New Roman" w:cs="Times New Roman"/>
          <w:sz w:val="24"/>
          <w:szCs w:val="24"/>
        </w:rPr>
      </w:pPr>
      <w:r w:rsidRPr="000936B6">
        <w:rPr>
          <w:rFonts w:ascii="Times New Roman" w:hAnsi="Times New Roman" w:cs="Times New Roman"/>
          <w:sz w:val="24"/>
          <w:szCs w:val="24"/>
        </w:rPr>
        <w:t xml:space="preserve">Freeman, R. E. (2011). </w:t>
      </w:r>
      <w:r w:rsidRPr="000936B6">
        <w:rPr>
          <w:rFonts w:ascii="Times New Roman" w:hAnsi="Times New Roman" w:cs="Times New Roman"/>
          <w:i/>
          <w:iCs/>
          <w:sz w:val="24"/>
          <w:szCs w:val="24"/>
        </w:rPr>
        <w:t>Stakeholder theory of the modern corporation.</w:t>
      </w:r>
      <w:r w:rsidRPr="000936B6">
        <w:rPr>
          <w:rFonts w:ascii="Times New Roman" w:hAnsi="Times New Roman" w:cs="Times New Roman"/>
          <w:sz w:val="24"/>
          <w:szCs w:val="24"/>
        </w:rPr>
        <w:t xml:space="preserve"> In General issues in management (pp. 119-127). London: Routledge.</w:t>
      </w:r>
    </w:p>
    <w:p w14:paraId="725CCF1C" w14:textId="6D824FDE" w:rsidR="000936B6" w:rsidRDefault="000936B6" w:rsidP="00D947AE">
      <w:pPr>
        <w:spacing w:line="360" w:lineRule="auto"/>
        <w:jc w:val="both"/>
        <w:rPr>
          <w:rFonts w:ascii="Times New Roman" w:hAnsi="Times New Roman" w:cs="Times New Roman"/>
          <w:sz w:val="24"/>
          <w:szCs w:val="24"/>
        </w:rPr>
      </w:pPr>
      <w:r w:rsidRPr="000936B6">
        <w:rPr>
          <w:rFonts w:ascii="Times New Roman" w:hAnsi="Times New Roman" w:cs="Times New Roman"/>
          <w:sz w:val="24"/>
          <w:szCs w:val="24"/>
        </w:rPr>
        <w:t xml:space="preserve">Head, B. W. (2007). Community engagement: participation on whose terms? </w:t>
      </w:r>
      <w:r w:rsidRPr="000936B6">
        <w:rPr>
          <w:rFonts w:ascii="Times New Roman" w:hAnsi="Times New Roman" w:cs="Times New Roman"/>
          <w:i/>
          <w:iCs/>
          <w:sz w:val="24"/>
          <w:szCs w:val="24"/>
        </w:rPr>
        <w:t>Australian Journal of Political Science</w:t>
      </w:r>
      <w:r w:rsidRPr="000936B6">
        <w:rPr>
          <w:rFonts w:ascii="Times New Roman" w:hAnsi="Times New Roman" w:cs="Times New Roman"/>
          <w:sz w:val="24"/>
          <w:szCs w:val="24"/>
        </w:rPr>
        <w:t>, 42(3), 441-454.</w:t>
      </w:r>
    </w:p>
    <w:p w14:paraId="3E410903" w14:textId="6FB9BC5D" w:rsidR="00FF6355" w:rsidRDefault="00FF6355" w:rsidP="00D947AE">
      <w:pPr>
        <w:spacing w:line="360" w:lineRule="auto"/>
        <w:jc w:val="both"/>
        <w:rPr>
          <w:rFonts w:ascii="Times New Roman" w:hAnsi="Times New Roman" w:cs="Times New Roman"/>
          <w:sz w:val="24"/>
          <w:szCs w:val="24"/>
        </w:rPr>
      </w:pPr>
      <w:r w:rsidRPr="00FF6355">
        <w:rPr>
          <w:rFonts w:ascii="Times New Roman" w:hAnsi="Times New Roman" w:cs="Times New Roman"/>
          <w:sz w:val="24"/>
          <w:szCs w:val="24"/>
        </w:rPr>
        <w:t xml:space="preserve">Heath, R. L., &amp; Bryant, J. (2000). </w:t>
      </w:r>
      <w:r w:rsidRPr="00FF6355">
        <w:rPr>
          <w:rFonts w:ascii="Times New Roman" w:hAnsi="Times New Roman" w:cs="Times New Roman"/>
          <w:i/>
          <w:iCs/>
          <w:sz w:val="24"/>
          <w:szCs w:val="24"/>
        </w:rPr>
        <w:t>Human communication theory and research: Concepts, contexts, and challenges.</w:t>
      </w:r>
      <w:r w:rsidRPr="00FF6355">
        <w:rPr>
          <w:rFonts w:ascii="Times New Roman" w:hAnsi="Times New Roman" w:cs="Times New Roman"/>
          <w:sz w:val="24"/>
          <w:szCs w:val="24"/>
        </w:rPr>
        <w:t xml:space="preserve"> Lawrence Erlbaum Associates Publishers.</w:t>
      </w:r>
    </w:p>
    <w:p w14:paraId="49981520" w14:textId="380F19B6" w:rsidR="00FF6355" w:rsidRDefault="00FF6355" w:rsidP="00D947AE">
      <w:pPr>
        <w:spacing w:line="360" w:lineRule="auto"/>
        <w:jc w:val="both"/>
        <w:rPr>
          <w:rFonts w:ascii="Times New Roman" w:hAnsi="Times New Roman" w:cs="Times New Roman"/>
          <w:sz w:val="24"/>
          <w:szCs w:val="24"/>
        </w:rPr>
      </w:pPr>
      <w:r w:rsidRPr="00FF6355">
        <w:rPr>
          <w:rFonts w:ascii="Times New Roman" w:hAnsi="Times New Roman" w:cs="Times New Roman"/>
          <w:sz w:val="24"/>
          <w:szCs w:val="24"/>
        </w:rPr>
        <w:t xml:space="preserve">Habermas, J. (1984). </w:t>
      </w:r>
      <w:r w:rsidRPr="00FF6355">
        <w:rPr>
          <w:rFonts w:ascii="Times New Roman" w:hAnsi="Times New Roman" w:cs="Times New Roman"/>
          <w:i/>
          <w:iCs/>
          <w:sz w:val="24"/>
          <w:szCs w:val="24"/>
        </w:rPr>
        <w:t>The theory of communicative action: Reason and the rationalization of society (Vol. 1).</w:t>
      </w:r>
      <w:r w:rsidRPr="00FF6355">
        <w:rPr>
          <w:rFonts w:ascii="Times New Roman" w:hAnsi="Times New Roman" w:cs="Times New Roman"/>
          <w:sz w:val="24"/>
          <w:szCs w:val="24"/>
        </w:rPr>
        <w:t xml:space="preserve"> Beacon press.</w:t>
      </w:r>
    </w:p>
    <w:p w14:paraId="33E9884E" w14:textId="72A725B4" w:rsidR="000936B6" w:rsidRDefault="000936B6" w:rsidP="00D947AE">
      <w:pPr>
        <w:spacing w:line="360" w:lineRule="auto"/>
        <w:jc w:val="both"/>
        <w:rPr>
          <w:rFonts w:ascii="Times New Roman" w:hAnsi="Times New Roman" w:cs="Times New Roman"/>
          <w:sz w:val="24"/>
          <w:szCs w:val="24"/>
        </w:rPr>
      </w:pPr>
      <w:r w:rsidRPr="000936B6">
        <w:rPr>
          <w:rFonts w:ascii="Times New Roman" w:hAnsi="Times New Roman" w:cs="Times New Roman"/>
          <w:sz w:val="24"/>
          <w:szCs w:val="24"/>
        </w:rPr>
        <w:t xml:space="preserve">IAP2 (2014). </w:t>
      </w:r>
      <w:r w:rsidRPr="000936B6">
        <w:rPr>
          <w:rFonts w:ascii="Times New Roman" w:hAnsi="Times New Roman" w:cs="Times New Roman"/>
          <w:i/>
          <w:iCs/>
          <w:sz w:val="24"/>
          <w:szCs w:val="24"/>
        </w:rPr>
        <w:t>IAP2's Public Participation Spectrum.</w:t>
      </w:r>
      <w:r w:rsidRPr="000936B6">
        <w:rPr>
          <w:rFonts w:ascii="Times New Roman" w:hAnsi="Times New Roman" w:cs="Times New Roman"/>
          <w:sz w:val="24"/>
          <w:szCs w:val="24"/>
        </w:rPr>
        <w:t xml:space="preserve"> International Association for Public Participation.</w:t>
      </w:r>
    </w:p>
    <w:p w14:paraId="52D65200" w14:textId="28ADF9D9" w:rsidR="006E6A38" w:rsidRDefault="006E6A38" w:rsidP="00D947AE">
      <w:p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 xml:space="preserve">Jones, P., </w:t>
      </w:r>
      <w:proofErr w:type="spellStart"/>
      <w:r w:rsidRPr="006E6A38">
        <w:rPr>
          <w:rFonts w:ascii="Times New Roman" w:hAnsi="Times New Roman" w:cs="Times New Roman"/>
          <w:sz w:val="24"/>
          <w:szCs w:val="24"/>
        </w:rPr>
        <w:t>Hillsdon</w:t>
      </w:r>
      <w:proofErr w:type="spellEnd"/>
      <w:r w:rsidRPr="006E6A38">
        <w:rPr>
          <w:rFonts w:ascii="Times New Roman" w:hAnsi="Times New Roman" w:cs="Times New Roman"/>
          <w:sz w:val="24"/>
          <w:szCs w:val="24"/>
        </w:rPr>
        <w:t xml:space="preserve">, M., &amp; Coombes, E. (2019). Green spaces and mental well-being: An observational study. </w:t>
      </w:r>
      <w:r w:rsidRPr="006E6A38">
        <w:rPr>
          <w:rFonts w:ascii="Times New Roman" w:hAnsi="Times New Roman" w:cs="Times New Roman"/>
          <w:i/>
          <w:iCs/>
          <w:sz w:val="24"/>
          <w:szCs w:val="24"/>
        </w:rPr>
        <w:t>Urban Studies, 56</w:t>
      </w:r>
      <w:r w:rsidRPr="006E6A38">
        <w:rPr>
          <w:rFonts w:ascii="Times New Roman" w:hAnsi="Times New Roman" w:cs="Times New Roman"/>
          <w:sz w:val="24"/>
          <w:szCs w:val="24"/>
        </w:rPr>
        <w:t>(12), 2493-2511.</w:t>
      </w:r>
    </w:p>
    <w:p w14:paraId="2FA862F2" w14:textId="254A6F12" w:rsidR="000936B6" w:rsidRDefault="000936B6" w:rsidP="00D947AE">
      <w:pPr>
        <w:spacing w:line="360" w:lineRule="auto"/>
        <w:jc w:val="both"/>
        <w:rPr>
          <w:rFonts w:ascii="Times New Roman" w:hAnsi="Times New Roman" w:cs="Times New Roman"/>
          <w:sz w:val="24"/>
          <w:szCs w:val="24"/>
        </w:rPr>
      </w:pPr>
      <w:r w:rsidRPr="000936B6">
        <w:rPr>
          <w:rFonts w:ascii="Times New Roman" w:hAnsi="Times New Roman" w:cs="Times New Roman"/>
          <w:sz w:val="24"/>
          <w:szCs w:val="24"/>
        </w:rPr>
        <w:t xml:space="preserve">Mergel, I. (2013). Social media adoption and resulting tactics in the U.S. federal government. </w:t>
      </w:r>
      <w:r w:rsidRPr="000936B6">
        <w:rPr>
          <w:rFonts w:ascii="Times New Roman" w:hAnsi="Times New Roman" w:cs="Times New Roman"/>
          <w:i/>
          <w:iCs/>
          <w:sz w:val="24"/>
          <w:szCs w:val="24"/>
        </w:rPr>
        <w:t>Government Information Quarterly, 30</w:t>
      </w:r>
      <w:r w:rsidRPr="000936B6">
        <w:rPr>
          <w:rFonts w:ascii="Times New Roman" w:hAnsi="Times New Roman" w:cs="Times New Roman"/>
          <w:sz w:val="24"/>
          <w:szCs w:val="24"/>
        </w:rPr>
        <w:t>(2), 123-130.</w:t>
      </w:r>
    </w:p>
    <w:p w14:paraId="442EE8B0" w14:textId="42CF51FD" w:rsidR="006E6A38" w:rsidRDefault="006E6A38" w:rsidP="00D947AE">
      <w:p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 xml:space="preserve">Nuneaton Local Council. (2022). </w:t>
      </w:r>
      <w:r w:rsidRPr="006E6A38">
        <w:rPr>
          <w:rFonts w:ascii="Times New Roman" w:hAnsi="Times New Roman" w:cs="Times New Roman"/>
          <w:i/>
          <w:iCs/>
          <w:sz w:val="24"/>
          <w:szCs w:val="24"/>
        </w:rPr>
        <w:t>Nuneaton Green Space Initiative Report</w:t>
      </w:r>
      <w:r w:rsidRPr="006E6A38">
        <w:rPr>
          <w:rFonts w:ascii="Times New Roman" w:hAnsi="Times New Roman" w:cs="Times New Roman"/>
          <w:sz w:val="24"/>
          <w:szCs w:val="24"/>
        </w:rPr>
        <w:t>. Nuneaton: Nuneaton Local Council Publications.</w:t>
      </w:r>
    </w:p>
    <w:p w14:paraId="00B62FE2" w14:textId="5B17F3CE" w:rsidR="000936B6" w:rsidRDefault="000936B6" w:rsidP="00D947AE">
      <w:pPr>
        <w:spacing w:line="360" w:lineRule="auto"/>
        <w:jc w:val="both"/>
        <w:rPr>
          <w:rFonts w:ascii="Times New Roman" w:hAnsi="Times New Roman" w:cs="Times New Roman"/>
          <w:sz w:val="24"/>
          <w:szCs w:val="24"/>
        </w:rPr>
      </w:pPr>
      <w:r w:rsidRPr="000936B6">
        <w:rPr>
          <w:rFonts w:ascii="Times New Roman" w:hAnsi="Times New Roman" w:cs="Times New Roman"/>
          <w:sz w:val="24"/>
          <w:szCs w:val="24"/>
        </w:rPr>
        <w:t xml:space="preserve">Pretty, J. (1995). </w:t>
      </w:r>
      <w:r w:rsidRPr="000936B6">
        <w:rPr>
          <w:rFonts w:ascii="Times New Roman" w:hAnsi="Times New Roman" w:cs="Times New Roman"/>
          <w:i/>
          <w:iCs/>
          <w:sz w:val="24"/>
          <w:szCs w:val="24"/>
        </w:rPr>
        <w:t>Participatory learning for sustainable agriculture.</w:t>
      </w:r>
      <w:r w:rsidRPr="000936B6">
        <w:rPr>
          <w:rFonts w:ascii="Times New Roman" w:hAnsi="Times New Roman" w:cs="Times New Roman"/>
          <w:sz w:val="24"/>
          <w:szCs w:val="24"/>
        </w:rPr>
        <w:t xml:space="preserve"> World Development, 23(8), 1247-1263.</w:t>
      </w:r>
    </w:p>
    <w:p w14:paraId="2B850C25" w14:textId="0EB1851E" w:rsidR="000936B6" w:rsidRDefault="000936B6" w:rsidP="00D947AE">
      <w:pPr>
        <w:spacing w:line="360" w:lineRule="auto"/>
        <w:jc w:val="both"/>
        <w:rPr>
          <w:rFonts w:ascii="Times New Roman" w:hAnsi="Times New Roman" w:cs="Times New Roman"/>
          <w:sz w:val="24"/>
          <w:szCs w:val="24"/>
        </w:rPr>
      </w:pPr>
      <w:r w:rsidRPr="000936B6">
        <w:rPr>
          <w:rFonts w:ascii="Times New Roman" w:hAnsi="Times New Roman" w:cs="Times New Roman"/>
          <w:sz w:val="24"/>
          <w:szCs w:val="24"/>
        </w:rPr>
        <w:t xml:space="preserve">Rowe, G., &amp; </w:t>
      </w:r>
      <w:proofErr w:type="spellStart"/>
      <w:r w:rsidRPr="000936B6">
        <w:rPr>
          <w:rFonts w:ascii="Times New Roman" w:hAnsi="Times New Roman" w:cs="Times New Roman"/>
          <w:sz w:val="24"/>
          <w:szCs w:val="24"/>
        </w:rPr>
        <w:t>Frewer</w:t>
      </w:r>
      <w:proofErr w:type="spellEnd"/>
      <w:r w:rsidRPr="000936B6">
        <w:rPr>
          <w:rFonts w:ascii="Times New Roman" w:hAnsi="Times New Roman" w:cs="Times New Roman"/>
          <w:sz w:val="24"/>
          <w:szCs w:val="24"/>
        </w:rPr>
        <w:t xml:space="preserve">, L. J. (2005). A typology of public engagement mechanisms. </w:t>
      </w:r>
      <w:r w:rsidRPr="000936B6">
        <w:rPr>
          <w:rFonts w:ascii="Times New Roman" w:hAnsi="Times New Roman" w:cs="Times New Roman"/>
          <w:i/>
          <w:iCs/>
          <w:sz w:val="24"/>
          <w:szCs w:val="24"/>
        </w:rPr>
        <w:t>Science, Technology, &amp; Human Values, 30</w:t>
      </w:r>
      <w:r w:rsidRPr="000936B6">
        <w:rPr>
          <w:rFonts w:ascii="Times New Roman" w:hAnsi="Times New Roman" w:cs="Times New Roman"/>
          <w:sz w:val="24"/>
          <w:szCs w:val="24"/>
        </w:rPr>
        <w:t>(2), 251-290.</w:t>
      </w:r>
    </w:p>
    <w:p w14:paraId="251BF6E9" w14:textId="27B6EB92" w:rsidR="00FF6355" w:rsidRDefault="00FF6355" w:rsidP="00D947AE">
      <w:pPr>
        <w:spacing w:line="360" w:lineRule="auto"/>
        <w:jc w:val="both"/>
        <w:rPr>
          <w:rFonts w:ascii="Times New Roman" w:hAnsi="Times New Roman" w:cs="Times New Roman"/>
          <w:sz w:val="24"/>
          <w:szCs w:val="24"/>
        </w:rPr>
      </w:pPr>
      <w:r w:rsidRPr="00FF6355">
        <w:rPr>
          <w:rFonts w:ascii="Times New Roman" w:hAnsi="Times New Roman" w:cs="Times New Roman"/>
          <w:sz w:val="24"/>
          <w:szCs w:val="24"/>
        </w:rPr>
        <w:t xml:space="preserve">Rowe, G., &amp; </w:t>
      </w:r>
      <w:proofErr w:type="spellStart"/>
      <w:r w:rsidRPr="00FF6355">
        <w:rPr>
          <w:rFonts w:ascii="Times New Roman" w:hAnsi="Times New Roman" w:cs="Times New Roman"/>
          <w:sz w:val="24"/>
          <w:szCs w:val="24"/>
        </w:rPr>
        <w:t>Frewer</w:t>
      </w:r>
      <w:proofErr w:type="spellEnd"/>
      <w:r w:rsidRPr="00FF6355">
        <w:rPr>
          <w:rFonts w:ascii="Times New Roman" w:hAnsi="Times New Roman" w:cs="Times New Roman"/>
          <w:sz w:val="24"/>
          <w:szCs w:val="24"/>
        </w:rPr>
        <w:t xml:space="preserve">, L. J. (2000). Public participation methods: A framework for evaluation. </w:t>
      </w:r>
      <w:r w:rsidRPr="00FF6355">
        <w:rPr>
          <w:rFonts w:ascii="Times New Roman" w:hAnsi="Times New Roman" w:cs="Times New Roman"/>
          <w:i/>
          <w:iCs/>
          <w:sz w:val="24"/>
          <w:szCs w:val="24"/>
        </w:rPr>
        <w:t>Science, Technology, &amp; Human Values, 25</w:t>
      </w:r>
      <w:r w:rsidRPr="00FF6355">
        <w:rPr>
          <w:rFonts w:ascii="Times New Roman" w:hAnsi="Times New Roman" w:cs="Times New Roman"/>
          <w:sz w:val="24"/>
          <w:szCs w:val="24"/>
        </w:rPr>
        <w:t>(1), 3-29.</w:t>
      </w:r>
    </w:p>
    <w:p w14:paraId="6F5896C8" w14:textId="44DC8066" w:rsidR="00FF6355" w:rsidRDefault="00FF6355" w:rsidP="00D947AE">
      <w:pPr>
        <w:spacing w:line="360" w:lineRule="auto"/>
        <w:jc w:val="both"/>
        <w:rPr>
          <w:rFonts w:ascii="Times New Roman" w:hAnsi="Times New Roman" w:cs="Times New Roman"/>
          <w:sz w:val="24"/>
          <w:szCs w:val="24"/>
        </w:rPr>
      </w:pPr>
      <w:r w:rsidRPr="00FF6355">
        <w:rPr>
          <w:rFonts w:ascii="Times New Roman" w:hAnsi="Times New Roman" w:cs="Times New Roman"/>
          <w:sz w:val="24"/>
          <w:szCs w:val="24"/>
        </w:rPr>
        <w:t xml:space="preserve">Reed, M. S. (2008). Stakeholder participation for environmental management: A literature review. </w:t>
      </w:r>
      <w:r w:rsidRPr="00FF6355">
        <w:rPr>
          <w:rFonts w:ascii="Times New Roman" w:hAnsi="Times New Roman" w:cs="Times New Roman"/>
          <w:i/>
          <w:iCs/>
          <w:sz w:val="24"/>
          <w:szCs w:val="24"/>
        </w:rPr>
        <w:t>Biological Conservation, 141</w:t>
      </w:r>
      <w:r w:rsidRPr="00FF6355">
        <w:rPr>
          <w:rFonts w:ascii="Times New Roman" w:hAnsi="Times New Roman" w:cs="Times New Roman"/>
          <w:sz w:val="24"/>
          <w:szCs w:val="24"/>
        </w:rPr>
        <w:t>(10), 2417-2431.</w:t>
      </w:r>
    </w:p>
    <w:p w14:paraId="4995EE54" w14:textId="19F177C1" w:rsidR="00FF6355" w:rsidRDefault="00FF6355" w:rsidP="00D947AE">
      <w:pPr>
        <w:spacing w:line="360" w:lineRule="auto"/>
        <w:jc w:val="both"/>
        <w:rPr>
          <w:rFonts w:ascii="Times New Roman" w:hAnsi="Times New Roman" w:cs="Times New Roman"/>
          <w:sz w:val="24"/>
          <w:szCs w:val="24"/>
        </w:rPr>
      </w:pPr>
      <w:r w:rsidRPr="00FF6355">
        <w:rPr>
          <w:rFonts w:ascii="Times New Roman" w:hAnsi="Times New Roman" w:cs="Times New Roman"/>
          <w:sz w:val="24"/>
          <w:szCs w:val="24"/>
        </w:rPr>
        <w:t xml:space="preserve">Schultz, D. E. (2007). </w:t>
      </w:r>
      <w:r w:rsidRPr="00FF6355">
        <w:rPr>
          <w:rFonts w:ascii="Times New Roman" w:hAnsi="Times New Roman" w:cs="Times New Roman"/>
          <w:i/>
          <w:iCs/>
          <w:sz w:val="24"/>
          <w:szCs w:val="24"/>
        </w:rPr>
        <w:t>The complexities of multi-channel marketing communications.</w:t>
      </w:r>
      <w:r w:rsidRPr="00FF6355">
        <w:rPr>
          <w:rFonts w:ascii="Times New Roman" w:hAnsi="Times New Roman" w:cs="Times New Roman"/>
          <w:sz w:val="24"/>
          <w:szCs w:val="24"/>
        </w:rPr>
        <w:t xml:space="preserve"> Journal of Integrated Marketing Communications, 15-25.</w:t>
      </w:r>
    </w:p>
    <w:p w14:paraId="5C22C2E3" w14:textId="365A5F1D" w:rsidR="006E6A38" w:rsidRDefault="006E6A38" w:rsidP="00D947AE">
      <w:pPr>
        <w:spacing w:line="360" w:lineRule="auto"/>
        <w:jc w:val="both"/>
        <w:rPr>
          <w:rFonts w:ascii="Times New Roman" w:hAnsi="Times New Roman" w:cs="Times New Roman"/>
          <w:sz w:val="24"/>
          <w:szCs w:val="24"/>
        </w:rPr>
      </w:pPr>
      <w:r w:rsidRPr="006E6A38">
        <w:rPr>
          <w:rFonts w:ascii="Times New Roman" w:hAnsi="Times New Roman" w:cs="Times New Roman"/>
          <w:sz w:val="24"/>
          <w:szCs w:val="24"/>
        </w:rPr>
        <w:t xml:space="preserve">Smith, L. (2018). </w:t>
      </w:r>
      <w:r w:rsidRPr="006E6A38">
        <w:rPr>
          <w:rFonts w:ascii="Times New Roman" w:hAnsi="Times New Roman" w:cs="Times New Roman"/>
          <w:i/>
          <w:iCs/>
          <w:sz w:val="24"/>
          <w:szCs w:val="24"/>
        </w:rPr>
        <w:t>Urban Greening for a Sustainable Future</w:t>
      </w:r>
      <w:r w:rsidRPr="006E6A38">
        <w:rPr>
          <w:rFonts w:ascii="Times New Roman" w:hAnsi="Times New Roman" w:cs="Times New Roman"/>
          <w:sz w:val="24"/>
          <w:szCs w:val="24"/>
        </w:rPr>
        <w:t>. Oxford: Oxford University Press.</w:t>
      </w:r>
    </w:p>
    <w:p w14:paraId="47C9E6A0" w14:textId="439F7D73" w:rsidR="00161CFA" w:rsidRPr="00D947AE" w:rsidRDefault="00161CFA" w:rsidP="00D947AE">
      <w:pPr>
        <w:spacing w:line="360" w:lineRule="auto"/>
        <w:jc w:val="both"/>
        <w:rPr>
          <w:rFonts w:ascii="Times New Roman" w:hAnsi="Times New Roman" w:cs="Times New Roman"/>
          <w:sz w:val="24"/>
          <w:szCs w:val="24"/>
        </w:rPr>
      </w:pPr>
      <w:proofErr w:type="spellStart"/>
      <w:r w:rsidRPr="00161CFA">
        <w:rPr>
          <w:rFonts w:ascii="Times New Roman" w:hAnsi="Times New Roman" w:cs="Times New Roman"/>
          <w:sz w:val="24"/>
          <w:szCs w:val="24"/>
        </w:rPr>
        <w:t>Wolch</w:t>
      </w:r>
      <w:proofErr w:type="spellEnd"/>
      <w:r w:rsidRPr="00161CFA">
        <w:rPr>
          <w:rFonts w:ascii="Times New Roman" w:hAnsi="Times New Roman" w:cs="Times New Roman"/>
          <w:sz w:val="24"/>
          <w:szCs w:val="24"/>
        </w:rPr>
        <w:t xml:space="preserve">, J. R., Byrne, J., &amp; Newell, J. P. (2014). Urban green space, public health, and environmental justice: The challenge of making cities ‘just green enough’. </w:t>
      </w:r>
      <w:r w:rsidRPr="00161CFA">
        <w:rPr>
          <w:rFonts w:ascii="Times New Roman" w:hAnsi="Times New Roman" w:cs="Times New Roman"/>
          <w:i/>
          <w:iCs/>
          <w:sz w:val="24"/>
          <w:szCs w:val="24"/>
        </w:rPr>
        <w:t>Landscape and Urban Planning, 125</w:t>
      </w:r>
      <w:r w:rsidRPr="00161CFA">
        <w:rPr>
          <w:rFonts w:ascii="Times New Roman" w:hAnsi="Times New Roman" w:cs="Times New Roman"/>
          <w:sz w:val="24"/>
          <w:szCs w:val="24"/>
        </w:rPr>
        <w:t>, 234-244.</w:t>
      </w:r>
    </w:p>
    <w:p w14:paraId="78951001" w14:textId="77777777" w:rsidR="00D947AE" w:rsidRPr="00D947AE" w:rsidRDefault="00D947AE" w:rsidP="00D947AE">
      <w:pPr>
        <w:spacing w:line="360" w:lineRule="auto"/>
        <w:jc w:val="both"/>
        <w:rPr>
          <w:rFonts w:ascii="Times New Roman" w:hAnsi="Times New Roman" w:cs="Times New Roman"/>
          <w:sz w:val="24"/>
          <w:szCs w:val="24"/>
        </w:rPr>
      </w:pPr>
    </w:p>
    <w:p w14:paraId="449BAF0E" w14:textId="77777777" w:rsidR="00D947AE" w:rsidRPr="00D947AE" w:rsidRDefault="00D947AE" w:rsidP="00D947AE">
      <w:pPr>
        <w:spacing w:line="360" w:lineRule="auto"/>
        <w:jc w:val="both"/>
        <w:rPr>
          <w:rFonts w:ascii="Times New Roman" w:hAnsi="Times New Roman" w:cs="Times New Roman"/>
          <w:sz w:val="24"/>
          <w:szCs w:val="24"/>
        </w:rPr>
      </w:pPr>
    </w:p>
    <w:sectPr w:rsidR="00D947AE" w:rsidRPr="00D94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53C6A"/>
    <w:multiLevelType w:val="hybridMultilevel"/>
    <w:tmpl w:val="F2E4C7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8D10AE"/>
    <w:multiLevelType w:val="hybridMultilevel"/>
    <w:tmpl w:val="26922B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F3899"/>
    <w:multiLevelType w:val="hybridMultilevel"/>
    <w:tmpl w:val="1BA4D9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5166939">
    <w:abstractNumId w:val="2"/>
  </w:num>
  <w:num w:numId="2" w16cid:durableId="1940598570">
    <w:abstractNumId w:val="0"/>
  </w:num>
  <w:num w:numId="3" w16cid:durableId="600531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7AE"/>
    <w:rsid w:val="000936B6"/>
    <w:rsid w:val="00161CFA"/>
    <w:rsid w:val="00490F01"/>
    <w:rsid w:val="005836E4"/>
    <w:rsid w:val="006E6A38"/>
    <w:rsid w:val="00806C53"/>
    <w:rsid w:val="00D947AE"/>
    <w:rsid w:val="00DA3ACA"/>
    <w:rsid w:val="00FF6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E48DF"/>
  <w15:chartTrackingRefBased/>
  <w15:docId w15:val="{D5C25F5B-86ED-4F31-B567-ADAACA379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6A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861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2320</Words>
  <Characters>13228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Iuliana Nica</cp:lastModifiedBy>
  <cp:revision>2</cp:revision>
  <dcterms:created xsi:type="dcterms:W3CDTF">2023-10-24T10:41:00Z</dcterms:created>
  <dcterms:modified xsi:type="dcterms:W3CDTF">2023-10-24T10:41:00Z</dcterms:modified>
</cp:coreProperties>
</file>