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8154922"/>
        <w:docPartObj>
          <w:docPartGallery w:val="Cover Pages"/>
          <w:docPartUnique/>
        </w:docPartObj>
      </w:sdtPr>
      <w:sdtEndPr>
        <w:rPr>
          <w:rFonts w:ascii="Arial Black" w:hAnsi="Arial Black" w:cs="Arial"/>
          <w:sz w:val="24"/>
          <w:szCs w:val="24"/>
        </w:rPr>
      </w:sdtEndPr>
      <w:sdtContent>
        <w:p w14:paraId="156F8D4D" w14:textId="485A058B" w:rsidR="00AF7389" w:rsidRDefault="00AF7389"/>
        <w:tbl>
          <w:tblPr>
            <w:tblpPr w:leftFromText="187" w:rightFromText="187" w:horzAnchor="margin" w:tblpXSpec="center" w:tblpY="2881"/>
            <w:tblW w:w="4633" w:type="pct"/>
            <w:tblBorders>
              <w:left w:val="single" w:sz="12" w:space="0" w:color="156082" w:themeColor="accent1"/>
            </w:tblBorders>
            <w:tblCellMar>
              <w:left w:w="144" w:type="dxa"/>
              <w:right w:w="115" w:type="dxa"/>
            </w:tblCellMar>
            <w:tblLook w:val="04A0" w:firstRow="1" w:lastRow="0" w:firstColumn="1" w:lastColumn="0" w:noHBand="0" w:noVBand="1"/>
          </w:tblPr>
          <w:tblGrid>
            <w:gridCol w:w="8350"/>
          </w:tblGrid>
          <w:tr w:rsidR="00AF7389" w14:paraId="6E41701A" w14:textId="77777777" w:rsidTr="005A26C5">
            <w:tc>
              <w:tcPr>
                <w:tcW w:w="8349" w:type="dxa"/>
                <w:tcMar>
                  <w:top w:w="216" w:type="dxa"/>
                  <w:left w:w="115" w:type="dxa"/>
                  <w:bottom w:w="216" w:type="dxa"/>
                  <w:right w:w="115" w:type="dxa"/>
                </w:tcMar>
              </w:tcPr>
              <w:p w14:paraId="738C73C0" w14:textId="0398B808" w:rsidR="00AF7389" w:rsidRDefault="00AF7389">
                <w:pPr>
                  <w:pStyle w:val="NoSpacing"/>
                  <w:rPr>
                    <w:color w:val="0F4761" w:themeColor="accent1" w:themeShade="BF"/>
                    <w:sz w:val="24"/>
                  </w:rPr>
                </w:pPr>
              </w:p>
            </w:tc>
          </w:tr>
          <w:tr w:rsidR="00AF7389" w14:paraId="6288DC5C" w14:textId="77777777" w:rsidTr="005A26C5">
            <w:tc>
              <w:tcPr>
                <w:tcW w:w="8349" w:type="dxa"/>
              </w:tcPr>
              <w:sdt>
                <w:sdtPr>
                  <w:rPr>
                    <w:rFonts w:ascii="Arial Black" w:eastAsiaTheme="majorEastAsia" w:hAnsi="Arial Black" w:cstheme="majorBidi"/>
                    <w:color w:val="156082" w:themeColor="accent1"/>
                    <w:sz w:val="88"/>
                    <w:szCs w:val="88"/>
                  </w:rPr>
                  <w:alias w:val="Title"/>
                  <w:id w:val="13406919"/>
                  <w:placeholder>
                    <w:docPart w:val="6219EEBE91DC4141B22BB8897C239EA7"/>
                  </w:placeholder>
                  <w:dataBinding w:prefixMappings="xmlns:ns0='http://schemas.openxmlformats.org/package/2006/metadata/core-properties' xmlns:ns1='http://purl.org/dc/elements/1.1/'" w:xpath="/ns0:coreProperties[1]/ns1:title[1]" w:storeItemID="{6C3C8BC8-F283-45AE-878A-BAB7291924A1}"/>
                  <w:text/>
                </w:sdtPr>
                <w:sdtContent>
                  <w:p w14:paraId="5F769040" w14:textId="1438C3CF" w:rsidR="00AF7389" w:rsidRPr="005A26C5" w:rsidRDefault="005A26C5">
                    <w:pPr>
                      <w:pStyle w:val="NoSpacing"/>
                      <w:spacing w:line="216" w:lineRule="auto"/>
                      <w:rPr>
                        <w:rFonts w:ascii="Arial Black" w:eastAsiaTheme="majorEastAsia" w:hAnsi="Arial Black" w:cstheme="majorBidi"/>
                        <w:color w:val="156082" w:themeColor="accent1"/>
                        <w:sz w:val="88"/>
                        <w:szCs w:val="88"/>
                      </w:rPr>
                    </w:pPr>
                    <w:r w:rsidRPr="005A26C5">
                      <w:rPr>
                        <w:rFonts w:ascii="Arial Black" w:eastAsiaTheme="majorEastAsia" w:hAnsi="Arial Black" w:cstheme="majorBidi"/>
                        <w:color w:val="156082" w:themeColor="accent1"/>
                        <w:sz w:val="88"/>
                        <w:szCs w:val="88"/>
                      </w:rPr>
                      <w:t>Carmarthen</w:t>
                    </w:r>
                    <w:r w:rsidRPr="005A26C5">
                      <w:rPr>
                        <w:rFonts w:ascii="Arial Black" w:eastAsiaTheme="majorEastAsia" w:hAnsi="Arial Black" w:cstheme="majorBidi"/>
                        <w:color w:val="156082" w:themeColor="accent1"/>
                        <w:sz w:val="88"/>
                        <w:szCs w:val="88"/>
                      </w:rPr>
                      <w:t xml:space="preserve"> Appraisal</w:t>
                    </w:r>
                  </w:p>
                </w:sdtContent>
              </w:sdt>
            </w:tc>
          </w:tr>
          <w:tr w:rsidR="00AF7389" w14:paraId="7909B321" w14:textId="77777777" w:rsidTr="005A26C5">
            <w:tc>
              <w:tcPr>
                <w:tcW w:w="8349" w:type="dxa"/>
                <w:tcMar>
                  <w:top w:w="216" w:type="dxa"/>
                  <w:left w:w="115" w:type="dxa"/>
                  <w:bottom w:w="216" w:type="dxa"/>
                  <w:right w:w="115" w:type="dxa"/>
                </w:tcMar>
              </w:tcPr>
              <w:p w14:paraId="377AB1F4" w14:textId="58380ED2" w:rsidR="00AF7389" w:rsidRDefault="00AF7389">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F7389" w14:paraId="0E84CBB8" w14:textId="77777777">
            <w:tc>
              <w:tcPr>
                <w:tcW w:w="7221" w:type="dxa"/>
                <w:tcMar>
                  <w:top w:w="216" w:type="dxa"/>
                  <w:left w:w="115" w:type="dxa"/>
                  <w:bottom w:w="216" w:type="dxa"/>
                  <w:right w:w="115" w:type="dxa"/>
                </w:tcMar>
              </w:tcPr>
              <w:sdt>
                <w:sdtPr>
                  <w:rPr>
                    <w:rFonts w:ascii="Arial Black" w:hAnsi="Arial Black"/>
                    <w:color w:val="156082" w:themeColor="accent1"/>
                    <w:sz w:val="28"/>
                    <w:szCs w:val="28"/>
                  </w:rPr>
                  <w:alias w:val="Author"/>
                  <w:id w:val="13406928"/>
                  <w:placeholder>
                    <w:docPart w:val="D07FB780FB3245488CF64512C753486C"/>
                  </w:placeholder>
                  <w:dataBinding w:prefixMappings="xmlns:ns0='http://schemas.openxmlformats.org/package/2006/metadata/core-properties' xmlns:ns1='http://purl.org/dc/elements/1.1/'" w:xpath="/ns0:coreProperties[1]/ns1:creator[1]" w:storeItemID="{6C3C8BC8-F283-45AE-878A-BAB7291924A1}"/>
                  <w:text/>
                </w:sdtPr>
                <w:sdtContent>
                  <w:p w14:paraId="042A02DC" w14:textId="4A5C6E1F" w:rsidR="00AF7389" w:rsidRPr="005A26C5" w:rsidRDefault="005A26C5" w:rsidP="005A26C5">
                    <w:pPr>
                      <w:pStyle w:val="NoSpacing"/>
                      <w:rPr>
                        <w:rFonts w:ascii="Arial Black" w:hAnsi="Arial Black"/>
                        <w:color w:val="156082" w:themeColor="accent1"/>
                        <w:sz w:val="28"/>
                        <w:szCs w:val="28"/>
                      </w:rPr>
                    </w:pPr>
                    <w:r w:rsidRPr="005A26C5">
                      <w:rPr>
                        <w:rFonts w:ascii="Arial Black" w:hAnsi="Arial Black"/>
                        <w:color w:val="156082" w:themeColor="accent1"/>
                        <w:sz w:val="28"/>
                        <w:szCs w:val="28"/>
                      </w:rPr>
                      <w:t>Module:</w:t>
                    </w:r>
                    <w:r w:rsidRPr="005A26C5">
                      <w:rPr>
                        <w:rFonts w:ascii="Arial Black" w:hAnsi="Arial Black"/>
                        <w:color w:val="156082" w:themeColor="accent1"/>
                        <w:sz w:val="28"/>
                        <w:szCs w:val="28"/>
                      </w:rPr>
                      <w:t xml:space="preserve"> </w:t>
                    </w:r>
                    <w:r w:rsidRPr="005A26C5">
                      <w:rPr>
                        <w:rFonts w:ascii="Arial Black" w:hAnsi="Arial Black"/>
                        <w:color w:val="156082" w:themeColor="accent1"/>
                        <w:sz w:val="28"/>
                        <w:szCs w:val="28"/>
                      </w:rPr>
                      <w:t>Distinctiveness and Regeneration</w:t>
                    </w:r>
                    <w:r w:rsidRPr="005A26C5">
                      <w:rPr>
                        <w:rFonts w:ascii="Arial Black" w:hAnsi="Arial Black"/>
                        <w:color w:val="156082" w:themeColor="accent1"/>
                        <w:sz w:val="28"/>
                        <w:szCs w:val="28"/>
                      </w:rPr>
                      <w:t xml:space="preserve">                     </w:t>
                    </w:r>
                    <w:r w:rsidRPr="005A26C5">
                      <w:rPr>
                        <w:rFonts w:ascii="Arial Black" w:hAnsi="Arial Black"/>
                        <w:color w:val="156082" w:themeColor="accent1"/>
                        <w:sz w:val="28"/>
                        <w:szCs w:val="28"/>
                      </w:rPr>
                      <w:t>Module code:</w:t>
                    </w:r>
                    <w:r w:rsidRPr="005A26C5">
                      <w:rPr>
                        <w:rFonts w:ascii="Arial Black" w:hAnsi="Arial Black"/>
                        <w:color w:val="156082" w:themeColor="accent1"/>
                        <w:sz w:val="28"/>
                        <w:szCs w:val="28"/>
                      </w:rPr>
                      <w:t xml:space="preserve"> </w:t>
                    </w:r>
                    <w:r w:rsidRPr="005A26C5">
                      <w:rPr>
                        <w:rFonts w:ascii="Arial Black" w:hAnsi="Arial Black"/>
                        <w:color w:val="156082" w:themeColor="accent1"/>
                        <w:sz w:val="28"/>
                        <w:szCs w:val="28"/>
                      </w:rPr>
                      <w:t>BMSP4014</w:t>
                    </w:r>
                    <w:r w:rsidRPr="005A26C5">
                      <w:rPr>
                        <w:rFonts w:ascii="Arial Black" w:hAnsi="Arial Black"/>
                        <w:color w:val="156082" w:themeColor="accent1"/>
                        <w:sz w:val="28"/>
                        <w:szCs w:val="28"/>
                      </w:rPr>
                      <w:t xml:space="preserve"> </w:t>
                    </w:r>
                  </w:p>
                </w:sdtContent>
              </w:sdt>
              <w:sdt>
                <w:sdtPr>
                  <w:rPr>
                    <w:rFonts w:ascii="Arial Black" w:hAnsi="Arial Black"/>
                    <w:color w:val="156082" w:themeColor="accent1"/>
                    <w:sz w:val="28"/>
                    <w:szCs w:val="28"/>
                  </w:rPr>
                  <w:alias w:val="Date"/>
                  <w:tag w:val="Date"/>
                  <w:id w:val="13406932"/>
                  <w:placeholder>
                    <w:docPart w:val="A87C5AC33AC14734AE107E5FC4693FB3"/>
                  </w:placeholder>
                  <w:dataBinding w:prefixMappings="xmlns:ns0='http://schemas.microsoft.com/office/2006/coverPageProps'" w:xpath="/ns0:CoverPageProperties[1]/ns0:PublishDate[1]" w:storeItemID="{55AF091B-3C7A-41E3-B477-F2FDAA23CFDA}"/>
                  <w:date w:fullDate="2024-03-01T00:00:00Z">
                    <w:dateFormat w:val="M-d-yyyy"/>
                    <w:lid w:val="en-US"/>
                    <w:storeMappedDataAs w:val="dateTime"/>
                    <w:calendar w:val="gregorian"/>
                  </w:date>
                </w:sdtPr>
                <w:sdtContent>
                  <w:p w14:paraId="5ABC6DCA" w14:textId="257ED431" w:rsidR="00AF7389" w:rsidRPr="005A26C5" w:rsidRDefault="005A26C5">
                    <w:pPr>
                      <w:pStyle w:val="NoSpacing"/>
                      <w:rPr>
                        <w:rFonts w:ascii="Arial Black" w:hAnsi="Arial Black"/>
                        <w:color w:val="156082" w:themeColor="accent1"/>
                        <w:sz w:val="28"/>
                        <w:szCs w:val="28"/>
                      </w:rPr>
                    </w:pPr>
                    <w:r w:rsidRPr="005A26C5">
                      <w:rPr>
                        <w:rFonts w:ascii="Arial Black" w:hAnsi="Arial Black"/>
                        <w:color w:val="156082" w:themeColor="accent1"/>
                        <w:sz w:val="28"/>
                        <w:szCs w:val="28"/>
                      </w:rPr>
                      <w:t>3-1-2024</w:t>
                    </w:r>
                  </w:p>
                </w:sdtContent>
              </w:sdt>
              <w:p w14:paraId="09CCBD3F" w14:textId="77777777" w:rsidR="00AF7389" w:rsidRPr="005A26C5" w:rsidRDefault="00AF7389">
                <w:pPr>
                  <w:pStyle w:val="NoSpacing"/>
                  <w:rPr>
                    <w:rFonts w:ascii="Arial Black" w:hAnsi="Arial Black"/>
                    <w:color w:val="156082" w:themeColor="accent1"/>
                  </w:rPr>
                </w:pPr>
              </w:p>
            </w:tc>
          </w:tr>
        </w:tbl>
        <w:p w14:paraId="052C741F" w14:textId="4B2AE9D9" w:rsidR="00AF7389" w:rsidRDefault="00AF7389">
          <w:pPr>
            <w:rPr>
              <w:rFonts w:ascii="Arial Black" w:hAnsi="Arial Black" w:cs="Arial"/>
              <w:sz w:val="24"/>
              <w:szCs w:val="24"/>
            </w:rPr>
          </w:pPr>
          <w:r>
            <w:rPr>
              <w:rFonts w:ascii="Arial Black" w:hAnsi="Arial Black" w:cs="Arial"/>
              <w:sz w:val="24"/>
              <w:szCs w:val="24"/>
            </w:rPr>
            <w:br w:type="page"/>
          </w:r>
        </w:p>
      </w:sdtContent>
    </w:sdt>
    <w:p w14:paraId="4DF9E967" w14:textId="49E58502" w:rsidR="00FC0008" w:rsidRPr="00FC0008" w:rsidRDefault="00FC0008">
      <w:pPr>
        <w:rPr>
          <w:rFonts w:ascii="Arial Black" w:hAnsi="Arial Black" w:cs="Arial"/>
          <w:sz w:val="24"/>
          <w:szCs w:val="24"/>
        </w:rPr>
      </w:pPr>
      <w:r w:rsidRPr="00FC0008">
        <w:rPr>
          <w:rFonts w:ascii="Arial Black" w:hAnsi="Arial Black" w:cs="Arial"/>
          <w:sz w:val="24"/>
          <w:szCs w:val="24"/>
        </w:rPr>
        <w:lastRenderedPageBreak/>
        <w:t>Part A</w:t>
      </w:r>
    </w:p>
    <w:p w14:paraId="35B47B35" w14:textId="574A06F6" w:rsidR="003A2F4E" w:rsidRPr="00FC0008" w:rsidRDefault="00A2259F">
      <w:pPr>
        <w:rPr>
          <w:rFonts w:ascii="Arial Black" w:hAnsi="Arial Black" w:cs="Arial"/>
          <w:sz w:val="24"/>
          <w:szCs w:val="24"/>
        </w:rPr>
      </w:pPr>
      <w:r w:rsidRPr="00FC0008">
        <w:rPr>
          <w:rFonts w:ascii="Arial Black" w:hAnsi="Arial Black" w:cs="Arial"/>
          <w:sz w:val="24"/>
          <w:szCs w:val="24"/>
        </w:rPr>
        <w:t>Changing Fortunes</w:t>
      </w:r>
    </w:p>
    <w:p w14:paraId="62678B4C" w14:textId="5301A3C0" w:rsidR="00FB6F22" w:rsidRDefault="00FB6F22">
      <w:pPr>
        <w:rPr>
          <w:rFonts w:ascii="Arial" w:hAnsi="Arial" w:cs="Arial"/>
          <w:sz w:val="24"/>
          <w:szCs w:val="24"/>
        </w:rPr>
      </w:pPr>
      <w:r w:rsidRPr="00FB6F22">
        <w:rPr>
          <w:rFonts w:ascii="Arial" w:hAnsi="Arial" w:cs="Arial"/>
          <w:sz w:val="24"/>
          <w:szCs w:val="24"/>
        </w:rPr>
        <w:t>Carmarthen, a classic ancient town set in the heart of Wales, has gone through several types of economic alterations, mirroring the larger shifts affecting rural and semi-urban areas across the United Kingdom. Historically, the town's economic vibrancy was inextricably linked to agriculture, retail, and local services, acting as a foundation for both the local community and the surrounding countryside</w:t>
      </w:r>
      <w:r w:rsidR="00167C6C" w:rsidRPr="00167C6C">
        <w:t xml:space="preserve"> </w:t>
      </w:r>
      <w:r w:rsidR="00167C6C" w:rsidRPr="00167C6C">
        <w:rPr>
          <w:rFonts w:ascii="Arial" w:hAnsi="Arial" w:cs="Arial"/>
          <w:sz w:val="24"/>
          <w:szCs w:val="24"/>
        </w:rPr>
        <w:t>(Larkham, 1997)</w:t>
      </w:r>
      <w:r w:rsidRPr="00FB6F22">
        <w:rPr>
          <w:rFonts w:ascii="Arial" w:hAnsi="Arial" w:cs="Arial"/>
          <w:sz w:val="24"/>
          <w:szCs w:val="24"/>
        </w:rPr>
        <w:t xml:space="preserve">. This traditional economic model, however, has been put to the test by the relentless advance of modern retail dynamics, such as the widespread rise of online shopping and the strategic positioning of out-of-town shopping </w:t>
      </w:r>
      <w:r w:rsidRPr="00FB6F22">
        <w:rPr>
          <w:rFonts w:ascii="Arial" w:hAnsi="Arial" w:cs="Arial"/>
          <w:sz w:val="24"/>
          <w:szCs w:val="24"/>
        </w:rPr>
        <w:t>centres</w:t>
      </w:r>
      <w:r w:rsidRPr="00FB6F22">
        <w:rPr>
          <w:rFonts w:ascii="Arial" w:hAnsi="Arial" w:cs="Arial"/>
          <w:sz w:val="24"/>
          <w:szCs w:val="24"/>
        </w:rPr>
        <w:t>, which have collectively siphoned off a significant portion of consumer spending from high-street retailers.</w:t>
      </w:r>
      <w:r w:rsidRPr="00FB6F22">
        <w:t xml:space="preserve"> </w:t>
      </w:r>
      <w:r w:rsidR="00167C6C">
        <w:t xml:space="preserve">                                                                                                                                                                                                                                               </w:t>
      </w:r>
      <w:r w:rsidRPr="00FB6F22">
        <w:rPr>
          <w:rFonts w:ascii="Arial" w:hAnsi="Arial" w:cs="Arial"/>
          <w:sz w:val="24"/>
          <w:szCs w:val="24"/>
        </w:rPr>
        <w:t>The phenomenon of high street decline is not unique to Carmarthen but rather reflects a national trend in which local businesses struggle to compete with the convenience and breadth of selection provided by online giants, as well as the allure of one-stop shopping environments located on the town's outskirts</w:t>
      </w:r>
      <w:r w:rsidR="00167C6C">
        <w:rPr>
          <w:rFonts w:ascii="Arial" w:hAnsi="Arial" w:cs="Arial"/>
          <w:sz w:val="24"/>
          <w:szCs w:val="24"/>
        </w:rPr>
        <w:t xml:space="preserve">.                                                                             </w:t>
      </w:r>
      <w:r w:rsidRPr="00FB6F22">
        <w:rPr>
          <w:rFonts w:ascii="Arial" w:hAnsi="Arial" w:cs="Arial"/>
          <w:sz w:val="24"/>
          <w:szCs w:val="24"/>
        </w:rPr>
        <w:t xml:space="preserve"> These changes have raised worries about the long-term viability of traditional retail formats and the overall economic health of towns like Carmarthen, which have long relied on a vibrant town </w:t>
      </w:r>
      <w:r w:rsidRPr="00FB6F22">
        <w:rPr>
          <w:rFonts w:ascii="Arial" w:hAnsi="Arial" w:cs="Arial"/>
          <w:sz w:val="24"/>
          <w:szCs w:val="24"/>
        </w:rPr>
        <w:t>centre</w:t>
      </w:r>
      <w:r w:rsidRPr="00FB6F22">
        <w:rPr>
          <w:rFonts w:ascii="Arial" w:hAnsi="Arial" w:cs="Arial"/>
          <w:sz w:val="24"/>
          <w:szCs w:val="24"/>
        </w:rPr>
        <w:t xml:space="preserve"> to attract both inhabitants and visitors</w:t>
      </w:r>
      <w:r w:rsidR="00167C6C">
        <w:rPr>
          <w:rFonts w:ascii="Arial" w:hAnsi="Arial" w:cs="Arial"/>
          <w:sz w:val="24"/>
          <w:szCs w:val="24"/>
        </w:rPr>
        <w:t xml:space="preserve">.                                                                </w:t>
      </w:r>
      <w:r w:rsidRPr="00FB6F22">
        <w:t xml:space="preserve"> </w:t>
      </w:r>
      <w:r w:rsidRPr="00FB6F22">
        <w:rPr>
          <w:rFonts w:ascii="Arial" w:hAnsi="Arial" w:cs="Arial"/>
          <w:sz w:val="24"/>
          <w:szCs w:val="24"/>
        </w:rPr>
        <w:t>Despite these problems, Carmarthen has not remained a passive observer of its shifting economic scene. The extensive reconstruction of the Old Brewery site has been a significant turning point in the town's fortunes, reviving the local economy and revitalizing the urban core</w:t>
      </w:r>
      <w:r w:rsidR="00167C6C">
        <w:rPr>
          <w:rFonts w:ascii="Arial" w:hAnsi="Arial" w:cs="Arial"/>
          <w:sz w:val="24"/>
          <w:szCs w:val="24"/>
        </w:rPr>
        <w:t xml:space="preserve">.                                                                                                                                              </w:t>
      </w:r>
      <w:r w:rsidRPr="00FB6F22">
        <w:rPr>
          <w:rFonts w:ascii="Arial" w:hAnsi="Arial" w:cs="Arial"/>
          <w:sz w:val="24"/>
          <w:szCs w:val="24"/>
        </w:rPr>
        <w:t xml:space="preserve"> This renovation project restored a historically significant but underutilized area into a thriving shopping attraction, attracting a diverse range of national businesses and, most importantly, reestablishing the town as a regional shopping hub</w:t>
      </w:r>
      <w:r w:rsidR="00167C6C">
        <w:rPr>
          <w:rFonts w:ascii="Arial" w:hAnsi="Arial" w:cs="Arial"/>
          <w:sz w:val="24"/>
          <w:szCs w:val="24"/>
        </w:rPr>
        <w:t xml:space="preserve">.                                                                         </w:t>
      </w:r>
      <w:r w:rsidRPr="00FB6F22">
        <w:rPr>
          <w:rFonts w:ascii="Arial" w:hAnsi="Arial" w:cs="Arial"/>
          <w:sz w:val="24"/>
          <w:szCs w:val="24"/>
        </w:rPr>
        <w:t xml:space="preserve">This discovery has far-reaching positive consequences that go beyond retail. It has </w:t>
      </w:r>
      <w:r>
        <w:rPr>
          <w:rFonts w:ascii="Arial" w:hAnsi="Arial" w:cs="Arial"/>
          <w:sz w:val="24"/>
          <w:szCs w:val="24"/>
        </w:rPr>
        <w:t>catalysed</w:t>
      </w:r>
      <w:r w:rsidRPr="00FB6F22">
        <w:rPr>
          <w:rFonts w:ascii="Arial" w:hAnsi="Arial" w:cs="Arial"/>
          <w:sz w:val="24"/>
          <w:szCs w:val="24"/>
        </w:rPr>
        <w:t xml:space="preserve"> local tourism, attracting people eager to discover new retail choices while also immersing themselves in the town's rich historical and cultural offers</w:t>
      </w:r>
      <w:r w:rsidR="00167C6C" w:rsidRPr="00167C6C">
        <w:t xml:space="preserve"> </w:t>
      </w:r>
      <w:r w:rsidR="00167C6C" w:rsidRPr="00167C6C">
        <w:rPr>
          <w:rFonts w:ascii="Arial" w:hAnsi="Arial" w:cs="Arial"/>
          <w:sz w:val="24"/>
          <w:szCs w:val="24"/>
        </w:rPr>
        <w:t>(Larkham, 1997)</w:t>
      </w:r>
      <w:r w:rsidRPr="00FB6F22">
        <w:rPr>
          <w:rFonts w:ascii="Arial" w:hAnsi="Arial" w:cs="Arial"/>
          <w:sz w:val="24"/>
          <w:szCs w:val="24"/>
        </w:rPr>
        <w:t>.</w:t>
      </w:r>
      <w:r w:rsidR="00167C6C">
        <w:rPr>
          <w:rFonts w:ascii="Arial" w:hAnsi="Arial" w:cs="Arial"/>
          <w:sz w:val="24"/>
          <w:szCs w:val="24"/>
        </w:rPr>
        <w:t xml:space="preserve">                                                                                                                                                                                                                   </w:t>
      </w:r>
      <w:r w:rsidRPr="00FB6F22">
        <w:rPr>
          <w:rFonts w:ascii="Arial" w:hAnsi="Arial" w:cs="Arial"/>
          <w:sz w:val="24"/>
          <w:szCs w:val="24"/>
        </w:rPr>
        <w:t xml:space="preserve"> This combination of modern shops in a historically rich setting has not only boosted the town's economy but has also demonstrated the possibility of reconciling heritage and growth, providing a model for other towns facing similar economic issues.</w:t>
      </w:r>
      <w:r w:rsidRPr="00FB6F22">
        <w:t xml:space="preserve"> </w:t>
      </w:r>
      <w:r w:rsidRPr="00FB6F22">
        <w:rPr>
          <w:rFonts w:ascii="Arial" w:hAnsi="Arial" w:cs="Arial"/>
          <w:sz w:val="24"/>
          <w:szCs w:val="24"/>
        </w:rPr>
        <w:t xml:space="preserve">When these data are combined, it becomes clear that Carmarthen's path through economic misfortune is characterized by resilience and adaptation. </w:t>
      </w:r>
    </w:p>
    <w:p w14:paraId="636F4DB4" w14:textId="45B1269D" w:rsidR="00FB6F22" w:rsidRPr="00FC0008" w:rsidRDefault="00FB6F22">
      <w:pPr>
        <w:rPr>
          <w:rFonts w:ascii="Arial Black" w:hAnsi="Arial Black" w:cs="Arial"/>
          <w:sz w:val="24"/>
          <w:szCs w:val="24"/>
        </w:rPr>
      </w:pPr>
      <w:r w:rsidRPr="00FC0008">
        <w:rPr>
          <w:rFonts w:ascii="Arial Black" w:hAnsi="Arial Black" w:cs="Arial"/>
          <w:sz w:val="24"/>
          <w:szCs w:val="24"/>
        </w:rPr>
        <w:t>Existing Assets, Structures, and Economic Character</w:t>
      </w:r>
    </w:p>
    <w:p w14:paraId="2E21F6AC" w14:textId="25D2A4D0" w:rsidR="00BD4E18" w:rsidRDefault="00BD4E18">
      <w:pPr>
        <w:rPr>
          <w:rFonts w:ascii="Arial" w:hAnsi="Arial" w:cs="Arial"/>
          <w:sz w:val="24"/>
          <w:szCs w:val="24"/>
        </w:rPr>
      </w:pPr>
      <w:r w:rsidRPr="00BD4E18">
        <w:rPr>
          <w:rFonts w:ascii="Arial" w:hAnsi="Arial" w:cs="Arial"/>
          <w:sz w:val="24"/>
          <w:szCs w:val="24"/>
        </w:rPr>
        <w:t xml:space="preserve">Carmarthen, a town rich in history and culture, has a wide mix of assets and structures that contribute considerably to its identity and economic viability. The medieval town </w:t>
      </w:r>
      <w:r w:rsidR="008271E6">
        <w:rPr>
          <w:rFonts w:ascii="Arial" w:hAnsi="Arial" w:cs="Arial"/>
          <w:sz w:val="24"/>
          <w:szCs w:val="24"/>
        </w:rPr>
        <w:t>centre</w:t>
      </w:r>
      <w:r w:rsidRPr="00BD4E18">
        <w:rPr>
          <w:rFonts w:ascii="Arial" w:hAnsi="Arial" w:cs="Arial"/>
          <w:sz w:val="24"/>
          <w:szCs w:val="24"/>
        </w:rPr>
        <w:t xml:space="preserve"> is a thriving hub of activity, combining ancient architecture with modern conveniences to provide inhabitants and visitors </w:t>
      </w:r>
      <w:r w:rsidR="008271E6">
        <w:rPr>
          <w:rFonts w:ascii="Arial" w:hAnsi="Arial" w:cs="Arial"/>
          <w:sz w:val="24"/>
          <w:szCs w:val="24"/>
        </w:rPr>
        <w:t xml:space="preserve">with </w:t>
      </w:r>
      <w:r w:rsidRPr="00BD4E18">
        <w:rPr>
          <w:rFonts w:ascii="Arial" w:hAnsi="Arial" w:cs="Arial"/>
          <w:sz w:val="24"/>
          <w:szCs w:val="24"/>
        </w:rPr>
        <w:t>a one-of-a-kind shopping and leisure experience</w:t>
      </w:r>
      <w:r w:rsidR="00702514" w:rsidRPr="00702514">
        <w:t xml:space="preserve"> </w:t>
      </w:r>
      <w:r w:rsidR="00702514" w:rsidRPr="00702514">
        <w:rPr>
          <w:rFonts w:ascii="Arial" w:hAnsi="Arial" w:cs="Arial"/>
          <w:sz w:val="24"/>
          <w:szCs w:val="24"/>
        </w:rPr>
        <w:t>(Archer, 2021)</w:t>
      </w:r>
      <w:r w:rsidRPr="00BD4E18">
        <w:rPr>
          <w:rFonts w:ascii="Arial" w:hAnsi="Arial" w:cs="Arial"/>
          <w:sz w:val="24"/>
          <w:szCs w:val="24"/>
        </w:rPr>
        <w:t xml:space="preserve">. </w:t>
      </w:r>
      <w:r w:rsidR="00702514">
        <w:rPr>
          <w:rFonts w:ascii="Arial" w:hAnsi="Arial" w:cs="Arial"/>
          <w:sz w:val="24"/>
          <w:szCs w:val="24"/>
        </w:rPr>
        <w:t xml:space="preserve">                                                                       </w:t>
      </w:r>
      <w:r w:rsidRPr="00BD4E18">
        <w:rPr>
          <w:rFonts w:ascii="Arial" w:hAnsi="Arial" w:cs="Arial"/>
          <w:sz w:val="24"/>
          <w:szCs w:val="24"/>
        </w:rPr>
        <w:t xml:space="preserve">Carmarthen Castle, with its medieval beginnings, serves as a reminder of the town's rich history, attracting tourists and history buffs to explore its remains and learn about its past. The Quayside, historically the hub of Carmarthen's economic activity, has </w:t>
      </w:r>
      <w:r w:rsidRPr="00BD4E18">
        <w:rPr>
          <w:rFonts w:ascii="Arial" w:hAnsi="Arial" w:cs="Arial"/>
          <w:sz w:val="24"/>
          <w:szCs w:val="24"/>
        </w:rPr>
        <w:lastRenderedPageBreak/>
        <w:t>been transformed into a lovely location for strolling and recreation, demonstrating the town's ability to adapt and repurpose its historical assets for modern usage</w:t>
      </w:r>
      <w:r w:rsidR="00167C6C">
        <w:t xml:space="preserve"> </w:t>
      </w:r>
      <w:r w:rsidR="00167C6C" w:rsidRPr="00167C6C">
        <w:rPr>
          <w:rFonts w:ascii="Arial" w:hAnsi="Arial" w:cs="Arial"/>
          <w:sz w:val="24"/>
          <w:szCs w:val="24"/>
        </w:rPr>
        <w:t>(Larkham, 1997)</w:t>
      </w:r>
      <w:r w:rsidRPr="00BD4E18">
        <w:rPr>
          <w:rFonts w:ascii="Arial" w:hAnsi="Arial" w:cs="Arial"/>
          <w:sz w:val="24"/>
          <w:szCs w:val="24"/>
        </w:rPr>
        <w:t>.</w:t>
      </w:r>
      <w:r w:rsidR="00167C6C">
        <w:rPr>
          <w:rFonts w:ascii="Arial" w:hAnsi="Arial" w:cs="Arial"/>
          <w:sz w:val="24"/>
          <w:szCs w:val="24"/>
        </w:rPr>
        <w:t xml:space="preserve">                                                                                                                                 </w:t>
      </w:r>
      <w:r w:rsidRPr="00BD4E18">
        <w:rPr>
          <w:rFonts w:ascii="Arial" w:hAnsi="Arial" w:cs="Arial"/>
          <w:sz w:val="24"/>
          <w:szCs w:val="24"/>
        </w:rPr>
        <w:t xml:space="preserve">Another valuable asset of Carmarthen is the University of Wales Trinity Saint David's Carmarthen campus, which not only offers higher education but also serves as a catalyst for economic and communal growth. The university's presence attracts students from all around the region and beyond, infusing the town with youthful </w:t>
      </w:r>
      <w:r>
        <w:rPr>
          <w:rFonts w:ascii="Arial" w:hAnsi="Arial" w:cs="Arial"/>
          <w:sz w:val="24"/>
          <w:szCs w:val="24"/>
        </w:rPr>
        <w:t>vigour</w:t>
      </w:r>
      <w:r w:rsidRPr="00BD4E18">
        <w:rPr>
          <w:rFonts w:ascii="Arial" w:hAnsi="Arial" w:cs="Arial"/>
          <w:sz w:val="24"/>
          <w:szCs w:val="24"/>
        </w:rPr>
        <w:t xml:space="preserve"> and diversity. This flood of students benefits local companies, ranging from retail to hospitality, and fosters an environment of innovation and creativity. Furthermore, the university's emphasis on research and development in areas such as sustainable agriculture and renewable energy distinguishes Carmarthen as a forward-thinking community dedicated to addressing current difficulties.</w:t>
      </w:r>
      <w:r w:rsidRPr="00BD4E18">
        <w:t xml:space="preserve"> </w:t>
      </w:r>
      <w:r w:rsidR="00167C6C">
        <w:t xml:space="preserve">                        </w:t>
      </w:r>
      <w:r w:rsidRPr="00BD4E18">
        <w:rPr>
          <w:rFonts w:ascii="Arial" w:hAnsi="Arial" w:cs="Arial"/>
          <w:sz w:val="24"/>
          <w:szCs w:val="24"/>
        </w:rPr>
        <w:t xml:space="preserve">Carmarthen's strategic location as a gateway to West Wales strengthens its position in the regional economy. Its transportation facilities, including a well-connected train station and closeness to the M4 motorway, make it an appealing site for both </w:t>
      </w:r>
      <w:r>
        <w:rPr>
          <w:rFonts w:ascii="Arial" w:hAnsi="Arial" w:cs="Arial"/>
          <w:sz w:val="24"/>
          <w:szCs w:val="24"/>
        </w:rPr>
        <w:t>businesses</w:t>
      </w:r>
      <w:r w:rsidRPr="00BD4E18">
        <w:rPr>
          <w:rFonts w:ascii="Arial" w:hAnsi="Arial" w:cs="Arial"/>
          <w:sz w:val="24"/>
          <w:szCs w:val="24"/>
        </w:rPr>
        <w:t xml:space="preserve"> and tourists. </w:t>
      </w:r>
      <w:r w:rsidR="00167C6C">
        <w:rPr>
          <w:rFonts w:ascii="Arial" w:hAnsi="Arial" w:cs="Arial"/>
          <w:sz w:val="24"/>
          <w:szCs w:val="24"/>
        </w:rPr>
        <w:t xml:space="preserve">                                                                                                                                  </w:t>
      </w:r>
      <w:r w:rsidRPr="00BD4E18">
        <w:rPr>
          <w:rFonts w:ascii="Arial" w:hAnsi="Arial" w:cs="Arial"/>
          <w:sz w:val="24"/>
          <w:szCs w:val="24"/>
        </w:rPr>
        <w:t>These transportation links not only benefit the local community, but also connect Carmarthen to the larger Welsh and UK economy, allowing the flow of goods, services, and people that is essential for economic growth and sustainability.</w:t>
      </w:r>
      <w:r w:rsidRPr="00BD4E18">
        <w:t xml:space="preserve"> </w:t>
      </w:r>
      <w:r w:rsidRPr="00BD4E18">
        <w:rPr>
          <w:rFonts w:ascii="Arial" w:hAnsi="Arial" w:cs="Arial"/>
          <w:sz w:val="24"/>
          <w:szCs w:val="24"/>
        </w:rPr>
        <w:t xml:space="preserve">Carmarthen's economic character is defined by a combination of retail, education, public services, and agriculture, indicating a well-balanced and diverse economy. Retail, both in the old town </w:t>
      </w:r>
      <w:r>
        <w:rPr>
          <w:rFonts w:ascii="Arial" w:hAnsi="Arial" w:cs="Arial"/>
          <w:sz w:val="24"/>
          <w:szCs w:val="24"/>
        </w:rPr>
        <w:t>centre</w:t>
      </w:r>
      <w:r w:rsidRPr="00BD4E18">
        <w:rPr>
          <w:rFonts w:ascii="Arial" w:hAnsi="Arial" w:cs="Arial"/>
          <w:sz w:val="24"/>
          <w:szCs w:val="24"/>
        </w:rPr>
        <w:t xml:space="preserve"> and in modern retail malls, remains an important sector, providing a variety of services and items that cater to local requirements and tourist preferences. Education and public services, bolstered by a university and a regional hospital, are important job areas that support the town's socioeconomic structure. These institutions not only create jobs but also improve the community's well-being and educational attainment</w:t>
      </w:r>
      <w:r w:rsidR="00FE2DD4" w:rsidRPr="00FE2DD4">
        <w:t xml:space="preserve"> </w:t>
      </w:r>
      <w:r w:rsidR="00FE2DD4" w:rsidRPr="00FE2DD4">
        <w:rPr>
          <w:rFonts w:ascii="Arial" w:hAnsi="Arial" w:cs="Arial"/>
          <w:sz w:val="24"/>
          <w:szCs w:val="24"/>
        </w:rPr>
        <w:t>(Ellis-Robinson &amp; Coles, 2021)</w:t>
      </w:r>
      <w:r w:rsidRPr="00BD4E18">
        <w:rPr>
          <w:rFonts w:ascii="Arial" w:hAnsi="Arial" w:cs="Arial"/>
          <w:sz w:val="24"/>
          <w:szCs w:val="24"/>
        </w:rPr>
        <w:t>.</w:t>
      </w:r>
      <w:r w:rsidRPr="00BD4E18">
        <w:t xml:space="preserve"> </w:t>
      </w:r>
      <w:r w:rsidR="00FE2DD4">
        <w:t xml:space="preserve">                                                                                                                                                   </w:t>
      </w:r>
      <w:r w:rsidRPr="00BD4E18">
        <w:rPr>
          <w:rFonts w:ascii="Arial" w:hAnsi="Arial" w:cs="Arial"/>
          <w:sz w:val="24"/>
          <w:szCs w:val="24"/>
        </w:rPr>
        <w:t>Agriculture, while not as dominating as in the past, remains an important part of Carmarthen's economy. The surrounding countryside supports a variety of farming operations, including dairy, livestock, and arable farming, which contributes to the local food supply and helps to sustain rural populations</w:t>
      </w:r>
      <w:r w:rsidR="00FE2DD4">
        <w:rPr>
          <w:rFonts w:ascii="Arial" w:hAnsi="Arial" w:cs="Arial"/>
          <w:sz w:val="24"/>
          <w:szCs w:val="24"/>
        </w:rPr>
        <w:t xml:space="preserve">.                                                                                               </w:t>
      </w:r>
      <w:r w:rsidRPr="00BD4E18">
        <w:rPr>
          <w:rFonts w:ascii="Arial" w:hAnsi="Arial" w:cs="Arial"/>
          <w:sz w:val="24"/>
          <w:szCs w:val="24"/>
        </w:rPr>
        <w:t xml:space="preserve"> This agricultural background contributes to the town's cultural landscape, with local markets and food festivals showcasing Carmarthenshire produce and culinary traditions.</w:t>
      </w:r>
      <w:r w:rsidRPr="00BD4E18">
        <w:t xml:space="preserve"> </w:t>
      </w:r>
      <w:r w:rsidRPr="00BD4E18">
        <w:rPr>
          <w:rFonts w:ascii="Arial" w:hAnsi="Arial" w:cs="Arial"/>
          <w:sz w:val="24"/>
          <w:szCs w:val="24"/>
        </w:rPr>
        <w:t>Carmarthen's economic nature, as well as its diverse assets and structures, show a society that values the past while looking forward to the future. The synergistic interaction between its historical sites, educational institutions, strategic position, and economic sectors creates a resilient and dynamic community capable of managing the problems and opportunities of the twenty-first century. Carmarthen is evolving via a dedication to sustainable development, innovation, and community participation, guaranteeing its relevance and vibrancy for future generations</w:t>
      </w:r>
      <w:r w:rsidR="00FE2DD4">
        <w:rPr>
          <w:rFonts w:ascii="Arial" w:hAnsi="Arial" w:cs="Arial"/>
          <w:sz w:val="24"/>
          <w:szCs w:val="24"/>
        </w:rPr>
        <w:t>.</w:t>
      </w:r>
    </w:p>
    <w:p w14:paraId="071B7F7F" w14:textId="33799C99" w:rsidR="00BD4E18" w:rsidRPr="00FC0008" w:rsidRDefault="00BD4E18">
      <w:pPr>
        <w:rPr>
          <w:rFonts w:ascii="Arial Black" w:hAnsi="Arial Black" w:cs="Arial"/>
          <w:sz w:val="24"/>
          <w:szCs w:val="24"/>
        </w:rPr>
      </w:pPr>
      <w:r w:rsidRPr="00FC0008">
        <w:rPr>
          <w:rFonts w:ascii="Arial Black" w:hAnsi="Arial Black" w:cs="Arial"/>
          <w:sz w:val="24"/>
          <w:szCs w:val="24"/>
        </w:rPr>
        <w:t>Key Stakeholders and Interest Groups</w:t>
      </w:r>
    </w:p>
    <w:p w14:paraId="71B62CEF" w14:textId="06C9061F" w:rsidR="00F526FB" w:rsidRDefault="00BD4E18">
      <w:pPr>
        <w:rPr>
          <w:rFonts w:ascii="Arial" w:hAnsi="Arial" w:cs="Arial"/>
          <w:sz w:val="24"/>
          <w:szCs w:val="24"/>
        </w:rPr>
      </w:pPr>
      <w:r w:rsidRPr="00BD4E18">
        <w:rPr>
          <w:rFonts w:ascii="Arial" w:hAnsi="Arial" w:cs="Arial"/>
          <w:sz w:val="24"/>
          <w:szCs w:val="24"/>
        </w:rPr>
        <w:t xml:space="preserve">Carmarthen, a town with a rich tapestry of history, culture, and economic activity, relies heavily on the interactions of numerous stakeholders and interest groups to shape its development trajectory. The Carmarthenshire County Council is central to </w:t>
      </w:r>
      <w:r w:rsidRPr="00BD4E18">
        <w:rPr>
          <w:rFonts w:ascii="Arial" w:hAnsi="Arial" w:cs="Arial"/>
          <w:sz w:val="24"/>
          <w:szCs w:val="24"/>
        </w:rPr>
        <w:lastRenderedPageBreak/>
        <w:t xml:space="preserve">this dynamic, orchestrating local development policies and planning activities </w:t>
      </w:r>
      <w:r w:rsidR="00F526FB">
        <w:rPr>
          <w:rFonts w:ascii="Arial" w:hAnsi="Arial" w:cs="Arial"/>
          <w:sz w:val="24"/>
          <w:szCs w:val="24"/>
        </w:rPr>
        <w:t>to balance</w:t>
      </w:r>
      <w:r w:rsidRPr="00BD4E18">
        <w:rPr>
          <w:rFonts w:ascii="Arial" w:hAnsi="Arial" w:cs="Arial"/>
          <w:sz w:val="24"/>
          <w:szCs w:val="24"/>
        </w:rPr>
        <w:t xml:space="preserve"> expansion, sustainability, and community well-being.</w:t>
      </w:r>
      <w:r w:rsidR="00FE2DD4">
        <w:rPr>
          <w:rFonts w:ascii="Arial" w:hAnsi="Arial" w:cs="Arial"/>
          <w:sz w:val="24"/>
          <w:szCs w:val="24"/>
        </w:rPr>
        <w:t xml:space="preserve">                                                                                            </w:t>
      </w:r>
      <w:r w:rsidRPr="00BD4E18">
        <w:rPr>
          <w:rFonts w:ascii="Arial" w:hAnsi="Arial" w:cs="Arial"/>
          <w:sz w:val="24"/>
          <w:szCs w:val="24"/>
        </w:rPr>
        <w:t xml:space="preserve"> The council's responsibilities are numerous, including economic development, infrastructural improvement, and the protection of the town's historic and cultural legacy. By collaborating with the community and other stakeholders, the council hopes to build a unified vision for Carmarthen's future, one that values its history while welcoming innovation and progress.</w:t>
      </w:r>
      <w:r w:rsidRPr="00BD4E18">
        <w:t xml:space="preserve"> </w:t>
      </w:r>
      <w:r w:rsidRPr="00BD4E18">
        <w:rPr>
          <w:rFonts w:ascii="Arial" w:hAnsi="Arial" w:cs="Arial"/>
          <w:sz w:val="24"/>
          <w:szCs w:val="24"/>
        </w:rPr>
        <w:t>Businesses and shops, both local and national, are another important part of Carmarthen's stakeholder ecosystem. These institutions not only fuel economic activity in the town but also contribute to its social fabric by offering job opportunities and services to both inhabitants and visitors. Local companies, in particular, are critical to preserving Carmarthen's distinct character by providing bespoke products and services that reflect the town's tradition and community values. Meanwhile, national chains add a new dimension to the town by offering a greater choice of goods and services and drawing a larger audience. The collaboration of various business sectors promotes a lively retail environment, increasing the town's appeal as a shopping and leisure destination.</w:t>
      </w:r>
      <w:r w:rsidR="00F526FB" w:rsidRPr="00F526FB">
        <w:t xml:space="preserve"> </w:t>
      </w:r>
      <w:r w:rsidR="00F526FB" w:rsidRPr="00F526FB">
        <w:rPr>
          <w:rFonts w:ascii="Arial" w:hAnsi="Arial" w:cs="Arial"/>
          <w:sz w:val="24"/>
          <w:szCs w:val="24"/>
        </w:rPr>
        <w:t>Educational institutions, particularly the University of Wales Trinity Saint David, have had a significant impact on the development of Carmarthen. These institutions not only offer higher education and professional training, but they also support the local economy and community participation through research programs, cultural events, and collaborations with local businesses and groups</w:t>
      </w:r>
      <w:r w:rsidR="00FE2DD4" w:rsidRPr="00FE2DD4">
        <w:t xml:space="preserve"> </w:t>
      </w:r>
      <w:r w:rsidR="00FE2DD4" w:rsidRPr="00FE2DD4">
        <w:rPr>
          <w:rFonts w:ascii="Arial" w:hAnsi="Arial" w:cs="Arial"/>
          <w:sz w:val="24"/>
          <w:szCs w:val="24"/>
        </w:rPr>
        <w:t>(Ellis-Robinson &amp; Coles, 2021)</w:t>
      </w:r>
      <w:r w:rsidR="00F526FB" w:rsidRPr="00F526FB">
        <w:rPr>
          <w:rFonts w:ascii="Arial" w:hAnsi="Arial" w:cs="Arial"/>
          <w:sz w:val="24"/>
          <w:szCs w:val="24"/>
        </w:rPr>
        <w:t xml:space="preserve">. Further education institutions supplement the university's offerings by providing vocational training and lifelong learning opportunities that are relevant to the town's economic needs and </w:t>
      </w:r>
      <w:r w:rsidR="00F526FB">
        <w:rPr>
          <w:rFonts w:ascii="Arial" w:hAnsi="Arial" w:cs="Arial"/>
          <w:sz w:val="24"/>
          <w:szCs w:val="24"/>
        </w:rPr>
        <w:t>people's</w:t>
      </w:r>
      <w:r w:rsidR="00F526FB" w:rsidRPr="00F526FB">
        <w:rPr>
          <w:rFonts w:ascii="Arial" w:hAnsi="Arial" w:cs="Arial"/>
          <w:sz w:val="24"/>
          <w:szCs w:val="24"/>
        </w:rPr>
        <w:t xml:space="preserve"> personal development aspirations.</w:t>
      </w:r>
      <w:r w:rsidR="00F526FB" w:rsidRPr="00F526FB">
        <w:t xml:space="preserve"> </w:t>
      </w:r>
      <w:r w:rsidR="00F526FB" w:rsidRPr="00F526FB">
        <w:rPr>
          <w:rFonts w:ascii="Arial" w:hAnsi="Arial" w:cs="Arial"/>
          <w:sz w:val="24"/>
          <w:szCs w:val="24"/>
        </w:rPr>
        <w:t xml:space="preserve">Community groups, which include local heritage organizations, environmental groups, and residents' associations, play an important part in Carmarthen's stakeholder landscape. These groups lobby for the preservation of the town's historical sites, promote environmental sustainability, and guarantee that development initiatives </w:t>
      </w:r>
      <w:r w:rsidR="00F526FB" w:rsidRPr="00F526FB">
        <w:rPr>
          <w:rFonts w:ascii="Arial" w:hAnsi="Arial" w:cs="Arial"/>
          <w:sz w:val="24"/>
          <w:szCs w:val="24"/>
        </w:rPr>
        <w:t>consider</w:t>
      </w:r>
      <w:r w:rsidR="00F526FB" w:rsidRPr="00F526FB">
        <w:rPr>
          <w:rFonts w:ascii="Arial" w:hAnsi="Arial" w:cs="Arial"/>
          <w:sz w:val="24"/>
          <w:szCs w:val="24"/>
        </w:rPr>
        <w:t xml:space="preserve"> the community's needs and ambitions. These groups' </w:t>
      </w:r>
      <w:r w:rsidR="00F526FB">
        <w:rPr>
          <w:rFonts w:ascii="Arial" w:hAnsi="Arial" w:cs="Arial"/>
          <w:sz w:val="24"/>
          <w:szCs w:val="24"/>
        </w:rPr>
        <w:t>actions</w:t>
      </w:r>
      <w:r w:rsidR="00F526FB" w:rsidRPr="00F526FB">
        <w:rPr>
          <w:rFonts w:ascii="Arial" w:hAnsi="Arial" w:cs="Arial"/>
          <w:sz w:val="24"/>
          <w:szCs w:val="24"/>
        </w:rPr>
        <w:t xml:space="preserve"> and engagement contribute to the maintenance of a conversation between the community and other stakeholders, ensuring that development initiatives are inclusive and reflect the community's values</w:t>
      </w:r>
      <w:r w:rsidR="00FC0008">
        <w:rPr>
          <w:rFonts w:ascii="Arial" w:hAnsi="Arial" w:cs="Arial"/>
          <w:sz w:val="24"/>
          <w:szCs w:val="24"/>
        </w:rPr>
        <w:t>.</w:t>
      </w:r>
    </w:p>
    <w:p w14:paraId="3A070828" w14:textId="0F4C03ED" w:rsidR="00F526FB" w:rsidRPr="00FC0008" w:rsidRDefault="00F526FB">
      <w:pPr>
        <w:rPr>
          <w:rFonts w:ascii="Arial Black" w:hAnsi="Arial Black" w:cs="Arial"/>
          <w:sz w:val="24"/>
          <w:szCs w:val="24"/>
        </w:rPr>
      </w:pPr>
      <w:r w:rsidRPr="00FC0008">
        <w:rPr>
          <w:rFonts w:ascii="Arial Black" w:hAnsi="Arial Black" w:cs="Arial"/>
          <w:sz w:val="24"/>
          <w:szCs w:val="24"/>
        </w:rPr>
        <w:t>Local/Regional Development Strategies</w:t>
      </w:r>
    </w:p>
    <w:p w14:paraId="03A498D6" w14:textId="396A7E03" w:rsidR="00F526FB" w:rsidRDefault="00F526FB" w:rsidP="00BD4DA3">
      <w:pPr>
        <w:rPr>
          <w:rFonts w:ascii="Arial" w:hAnsi="Arial" w:cs="Arial"/>
          <w:sz w:val="24"/>
          <w:szCs w:val="24"/>
        </w:rPr>
      </w:pPr>
      <w:r w:rsidRPr="00F526FB">
        <w:rPr>
          <w:rFonts w:ascii="Arial" w:hAnsi="Arial" w:cs="Arial"/>
          <w:sz w:val="24"/>
          <w:szCs w:val="24"/>
        </w:rPr>
        <w:t xml:space="preserve">Carmarthen's local and regional development policies have been methodically constructed to meet the community's diverse demands while ensuring the town's growth is both sustainable and inclusive. The town </w:t>
      </w:r>
      <w:r>
        <w:rPr>
          <w:rFonts w:ascii="Arial" w:hAnsi="Arial" w:cs="Arial"/>
          <w:sz w:val="24"/>
          <w:szCs w:val="24"/>
        </w:rPr>
        <w:t>centre</w:t>
      </w:r>
      <w:r w:rsidRPr="00F526FB">
        <w:rPr>
          <w:rFonts w:ascii="Arial" w:hAnsi="Arial" w:cs="Arial"/>
          <w:sz w:val="24"/>
          <w:szCs w:val="24"/>
        </w:rPr>
        <w:t xml:space="preserve"> redevelopment project is central to these plans, </w:t>
      </w:r>
      <w:r>
        <w:rPr>
          <w:rFonts w:ascii="Arial" w:hAnsi="Arial" w:cs="Arial"/>
          <w:sz w:val="24"/>
          <w:szCs w:val="24"/>
        </w:rPr>
        <w:t>to revitalize</w:t>
      </w:r>
      <w:r w:rsidRPr="00F526FB">
        <w:rPr>
          <w:rFonts w:ascii="Arial" w:hAnsi="Arial" w:cs="Arial"/>
          <w:sz w:val="24"/>
          <w:szCs w:val="24"/>
        </w:rPr>
        <w:t xml:space="preserve"> Carmarthen's historic heart by increasing its appeal as a retail and recreational destination. This effort aims not just to attract investment and improve foot traffic, but also to protect the town's distinctive architectural legacy by ensuring that development respects the area's character and history</w:t>
      </w:r>
      <w:r w:rsidR="00BD4DA3">
        <w:rPr>
          <w:rFonts w:ascii="Arial" w:hAnsi="Arial" w:cs="Arial"/>
          <w:sz w:val="24"/>
          <w:szCs w:val="24"/>
        </w:rPr>
        <w:t xml:space="preserve">.                                                                                                                                                                         </w:t>
      </w:r>
      <w:r w:rsidRPr="00F526FB">
        <w:t xml:space="preserve"> </w:t>
      </w:r>
      <w:r w:rsidRPr="00F526FB">
        <w:rPr>
          <w:rFonts w:ascii="Arial" w:hAnsi="Arial" w:cs="Arial"/>
          <w:sz w:val="24"/>
          <w:szCs w:val="24"/>
        </w:rPr>
        <w:t xml:space="preserve">Tourism promotion has also been a primary focus, with tactics geared to benefit Carmarthen's rich cultural and historical assets. Efforts to market the town as a tourism destination include the creation of heritage paths, the restoration of historic structures such as Carmarthen Castle, and the production of cultural events that </w:t>
      </w:r>
      <w:r w:rsidRPr="00F526FB">
        <w:rPr>
          <w:rFonts w:ascii="Arial" w:hAnsi="Arial" w:cs="Arial"/>
          <w:sz w:val="24"/>
          <w:szCs w:val="24"/>
        </w:rPr>
        <w:lastRenderedPageBreak/>
        <w:t>highlight the town's history and traditions. These activities not only improve the visitor experience but also benefit the local economy by supporting the hospitality and retail sectors</w:t>
      </w:r>
      <w:r w:rsidR="00702514" w:rsidRPr="00702514">
        <w:t xml:space="preserve"> </w:t>
      </w:r>
      <w:r w:rsidR="00702514" w:rsidRPr="00702514">
        <w:rPr>
          <w:rFonts w:ascii="Arial" w:hAnsi="Arial" w:cs="Arial"/>
          <w:sz w:val="24"/>
          <w:szCs w:val="24"/>
        </w:rPr>
        <w:t>(Archer, 2021)</w:t>
      </w:r>
      <w:r w:rsidRPr="00F526FB">
        <w:rPr>
          <w:rFonts w:ascii="Arial" w:hAnsi="Arial" w:cs="Arial"/>
          <w:sz w:val="24"/>
          <w:szCs w:val="24"/>
        </w:rPr>
        <w:t>.</w:t>
      </w:r>
      <w:r w:rsidRPr="00F526FB">
        <w:t xml:space="preserve"> </w:t>
      </w:r>
      <w:r w:rsidRPr="00F526FB">
        <w:rPr>
          <w:rFonts w:ascii="Arial" w:hAnsi="Arial" w:cs="Arial"/>
          <w:sz w:val="24"/>
          <w:szCs w:val="24"/>
        </w:rPr>
        <w:t xml:space="preserve">Furthermore, utilizing Carmarthen's cultural and historical legacy has been critical in setting the town apart from other visitors. Development policies have emphasized the need </w:t>
      </w:r>
      <w:r w:rsidR="00877859">
        <w:rPr>
          <w:rFonts w:ascii="Arial" w:hAnsi="Arial" w:cs="Arial"/>
          <w:sz w:val="24"/>
          <w:szCs w:val="24"/>
        </w:rPr>
        <w:t>to maintain</w:t>
      </w:r>
      <w:r w:rsidRPr="00F526FB">
        <w:rPr>
          <w:rFonts w:ascii="Arial" w:hAnsi="Arial" w:cs="Arial"/>
          <w:sz w:val="24"/>
          <w:szCs w:val="24"/>
        </w:rPr>
        <w:t xml:space="preserve"> and </w:t>
      </w:r>
      <w:r w:rsidR="00877859">
        <w:rPr>
          <w:rFonts w:ascii="Arial" w:hAnsi="Arial" w:cs="Arial"/>
          <w:sz w:val="24"/>
          <w:szCs w:val="24"/>
        </w:rPr>
        <w:t>promote</w:t>
      </w:r>
      <w:r w:rsidRPr="00F526FB">
        <w:rPr>
          <w:rFonts w:ascii="Arial" w:hAnsi="Arial" w:cs="Arial"/>
          <w:sz w:val="24"/>
          <w:szCs w:val="24"/>
        </w:rPr>
        <w:t xml:space="preserve"> this history, recognizing it as a valuable asset in attracting tourists and improving the community's sense of identity</w:t>
      </w:r>
      <w:r w:rsidR="00BD4DA3">
        <w:rPr>
          <w:rFonts w:ascii="Arial" w:hAnsi="Arial" w:cs="Arial"/>
          <w:sz w:val="24"/>
          <w:szCs w:val="24"/>
        </w:rPr>
        <w:t xml:space="preserve"> </w:t>
      </w:r>
      <w:r w:rsidR="00BD4DA3" w:rsidRPr="00BD4DA3">
        <w:rPr>
          <w:rFonts w:ascii="Arial" w:hAnsi="Arial" w:cs="Arial"/>
          <w:sz w:val="24"/>
          <w:szCs w:val="24"/>
        </w:rPr>
        <w:t>(McArthur, 1993)</w:t>
      </w:r>
      <w:r w:rsidR="00BD4DA3">
        <w:rPr>
          <w:rFonts w:ascii="Arial" w:hAnsi="Arial" w:cs="Arial"/>
          <w:sz w:val="24"/>
          <w:szCs w:val="24"/>
        </w:rPr>
        <w:t>.</w:t>
      </w:r>
      <w:r w:rsidRPr="00F526FB">
        <w:rPr>
          <w:rFonts w:ascii="Arial" w:hAnsi="Arial" w:cs="Arial"/>
          <w:sz w:val="24"/>
          <w:szCs w:val="24"/>
        </w:rPr>
        <w:t xml:space="preserve"> </w:t>
      </w:r>
      <w:r w:rsidR="00BD4DA3">
        <w:rPr>
          <w:rFonts w:ascii="Arial" w:hAnsi="Arial" w:cs="Arial"/>
          <w:sz w:val="24"/>
          <w:szCs w:val="24"/>
        </w:rPr>
        <w:t xml:space="preserve">                                                                                                                                               </w:t>
      </w:r>
      <w:r w:rsidR="00877859" w:rsidRPr="00877859">
        <w:rPr>
          <w:rFonts w:ascii="Arial" w:hAnsi="Arial" w:cs="Arial"/>
          <w:sz w:val="24"/>
          <w:szCs w:val="24"/>
        </w:rPr>
        <w:t>Improvements to education and healthcare facilities have</w:t>
      </w:r>
      <w:r w:rsidR="00BD4DA3">
        <w:rPr>
          <w:rFonts w:ascii="Arial" w:hAnsi="Arial" w:cs="Arial"/>
          <w:sz w:val="24"/>
          <w:szCs w:val="24"/>
        </w:rPr>
        <w:t xml:space="preserve"> </w:t>
      </w:r>
      <w:r w:rsidR="00877859" w:rsidRPr="00877859">
        <w:rPr>
          <w:rFonts w:ascii="Arial" w:hAnsi="Arial" w:cs="Arial"/>
          <w:sz w:val="24"/>
          <w:szCs w:val="24"/>
        </w:rPr>
        <w:t>also been prioritized, indicating a belief that the community's well-being and development are essential for long-term progress. Investments in the University of Wales Trinity Saint David and local healthcare facilities are intended to improve educational opportunities and healthcare delivery, hence helping the town's long-term social and economic development.</w:t>
      </w:r>
      <w:r w:rsidR="00877859" w:rsidRPr="00877859">
        <w:t xml:space="preserve"> </w:t>
      </w:r>
      <w:r w:rsidR="00BD4DA3">
        <w:t xml:space="preserve">                                                                                                                                                                                                                                                  </w:t>
      </w:r>
      <w:r w:rsidR="00877859" w:rsidRPr="00877859">
        <w:rPr>
          <w:rFonts w:ascii="Arial" w:hAnsi="Arial" w:cs="Arial"/>
          <w:sz w:val="24"/>
          <w:szCs w:val="24"/>
        </w:rPr>
        <w:t>All of these policies are based on sustainable development principles, with an increasing emphasis on green spaces and sustainable modes of transportation. Initiatives such as expanding pedestrian zones, upgrading public transportation, and creating green corridors across the town are intended to reduce environmental impact while increasing the quality of life for both inhabitants and visitors</w:t>
      </w:r>
      <w:r w:rsidR="00BD4DA3" w:rsidRPr="00BD4DA3">
        <w:t xml:space="preserve"> </w:t>
      </w:r>
      <w:r w:rsidR="00BD4DA3" w:rsidRPr="00BD4DA3">
        <w:rPr>
          <w:rFonts w:ascii="Arial" w:hAnsi="Arial" w:cs="Arial"/>
          <w:sz w:val="24"/>
          <w:szCs w:val="24"/>
        </w:rPr>
        <w:t>(Milbourne, 2021)</w:t>
      </w:r>
      <w:r w:rsidR="00877859" w:rsidRPr="00877859">
        <w:rPr>
          <w:rFonts w:ascii="Arial" w:hAnsi="Arial" w:cs="Arial"/>
          <w:sz w:val="24"/>
          <w:szCs w:val="24"/>
        </w:rPr>
        <w:t>.</w:t>
      </w:r>
    </w:p>
    <w:p w14:paraId="03B6818E" w14:textId="77777777" w:rsidR="0004086E" w:rsidRDefault="0004086E">
      <w:pPr>
        <w:rPr>
          <w:rFonts w:ascii="Arial" w:hAnsi="Arial" w:cs="Arial"/>
          <w:sz w:val="24"/>
          <w:szCs w:val="24"/>
        </w:rPr>
      </w:pPr>
    </w:p>
    <w:p w14:paraId="65F2C959" w14:textId="51F09EEC" w:rsidR="0004086E" w:rsidRPr="00FC0008" w:rsidRDefault="0004086E">
      <w:pPr>
        <w:rPr>
          <w:rFonts w:ascii="Arial Black" w:hAnsi="Arial Black" w:cs="Arial"/>
          <w:sz w:val="24"/>
          <w:szCs w:val="24"/>
        </w:rPr>
      </w:pPr>
      <w:r w:rsidRPr="00FC0008">
        <w:rPr>
          <w:rFonts w:ascii="Arial Black" w:hAnsi="Arial Black" w:cs="Arial"/>
          <w:sz w:val="24"/>
          <w:szCs w:val="24"/>
        </w:rPr>
        <w:t xml:space="preserve">Part B </w:t>
      </w:r>
    </w:p>
    <w:p w14:paraId="12800703" w14:textId="4F105975" w:rsidR="0004086E" w:rsidRPr="00BD4DA3" w:rsidRDefault="0004086E" w:rsidP="00BD4DA3">
      <w:pPr>
        <w:pStyle w:val="ListParagraph"/>
        <w:numPr>
          <w:ilvl w:val="0"/>
          <w:numId w:val="2"/>
        </w:numPr>
        <w:rPr>
          <w:rFonts w:ascii="Arial" w:hAnsi="Arial" w:cs="Arial"/>
          <w:sz w:val="24"/>
          <w:szCs w:val="24"/>
        </w:rPr>
      </w:pPr>
      <w:r w:rsidRPr="00FC0008">
        <w:rPr>
          <w:rFonts w:ascii="Arial" w:hAnsi="Arial" w:cs="Arial"/>
          <w:sz w:val="24"/>
          <w:szCs w:val="24"/>
        </w:rPr>
        <w:t>Green Infrastructure and Sustainable Mobility</w:t>
      </w:r>
      <w:r w:rsidR="00FC0008" w:rsidRPr="00FC0008">
        <w:rPr>
          <w:rFonts w:ascii="Arial" w:hAnsi="Arial" w:cs="Arial"/>
          <w:sz w:val="24"/>
          <w:szCs w:val="24"/>
        </w:rPr>
        <w:t xml:space="preserve">: </w:t>
      </w:r>
      <w:r w:rsidRPr="00FC0008">
        <w:rPr>
          <w:rFonts w:ascii="Arial" w:hAnsi="Arial" w:cs="Arial"/>
          <w:sz w:val="24"/>
          <w:szCs w:val="24"/>
        </w:rPr>
        <w:t>In the pursuit of sustainable urban development, Carmarthen's approach to exploiting its natural assets through the upgrading of green areas and the creation of green corridors serves as a model of creativity and environmental care. The town's planned measures to increase pedestrian and bicycle trails demonstrate a commitment to sustainable mobility, enabling a shift away from reliance on fossil-fuel-powered vehicles and toward more environmentally friendly forms of transportation</w:t>
      </w:r>
      <w:r w:rsidR="00BD4DA3">
        <w:rPr>
          <w:rFonts w:ascii="Arial" w:hAnsi="Arial" w:cs="Arial"/>
          <w:sz w:val="24"/>
          <w:szCs w:val="24"/>
        </w:rPr>
        <w:t xml:space="preserve"> </w:t>
      </w:r>
      <w:r w:rsidR="00BD4DA3" w:rsidRPr="00BD4DA3">
        <w:rPr>
          <w:rFonts w:ascii="Arial" w:hAnsi="Arial" w:cs="Arial"/>
          <w:sz w:val="24"/>
          <w:szCs w:val="24"/>
        </w:rPr>
        <w:t>(McArthur, 1993)</w:t>
      </w:r>
      <w:r w:rsidRPr="00BD4DA3">
        <w:rPr>
          <w:rFonts w:ascii="Arial" w:hAnsi="Arial" w:cs="Arial"/>
          <w:sz w:val="24"/>
          <w:szCs w:val="24"/>
        </w:rPr>
        <w:t>.</w:t>
      </w:r>
      <w:r w:rsidRPr="0004086E">
        <w:t xml:space="preserve"> </w:t>
      </w:r>
      <w:r w:rsidR="00BD4DA3">
        <w:t xml:space="preserve">                                                                                                                                                     </w:t>
      </w:r>
      <w:r w:rsidRPr="00BD4DA3">
        <w:rPr>
          <w:rFonts w:ascii="Arial" w:hAnsi="Arial" w:cs="Arial"/>
          <w:sz w:val="24"/>
          <w:szCs w:val="24"/>
        </w:rPr>
        <w:t xml:space="preserve">The notion of green corridors, which strives to connect the town </w:t>
      </w:r>
      <w:r w:rsidR="00FC0008" w:rsidRPr="00BD4DA3">
        <w:rPr>
          <w:rFonts w:ascii="Arial" w:hAnsi="Arial" w:cs="Arial"/>
          <w:sz w:val="24"/>
          <w:szCs w:val="24"/>
        </w:rPr>
        <w:t>centre</w:t>
      </w:r>
      <w:r w:rsidRPr="00BD4DA3">
        <w:rPr>
          <w:rFonts w:ascii="Arial" w:hAnsi="Arial" w:cs="Arial"/>
          <w:sz w:val="24"/>
          <w:szCs w:val="24"/>
        </w:rPr>
        <w:t xml:space="preserve"> with its surrounding areas, is more than just an infrastructure development; it is a reinvention of urban spaces that prioritizes residents' well-being and the community's ecological health. These corridors serve various functions, including providing safe, accessible pathways for non-motorized modes of transportation, increasing biodiversity by creating habitats for local flora and wildlife, and improving air quality by lowering car emissions</w:t>
      </w:r>
      <w:r w:rsidR="00702514" w:rsidRPr="00702514">
        <w:t xml:space="preserve"> </w:t>
      </w:r>
      <w:r w:rsidR="00702514" w:rsidRPr="00BD4DA3">
        <w:rPr>
          <w:rFonts w:ascii="Arial" w:hAnsi="Arial" w:cs="Arial"/>
          <w:sz w:val="24"/>
          <w:szCs w:val="24"/>
        </w:rPr>
        <w:t>(Archer, 2021)</w:t>
      </w:r>
      <w:r w:rsidR="00702514" w:rsidRPr="00BD4DA3">
        <w:rPr>
          <w:rFonts w:ascii="Arial" w:hAnsi="Arial" w:cs="Arial"/>
          <w:sz w:val="24"/>
          <w:szCs w:val="24"/>
        </w:rPr>
        <w:t xml:space="preserve">.                                                                                                               </w:t>
      </w:r>
      <w:r w:rsidRPr="00BD4DA3">
        <w:rPr>
          <w:rFonts w:ascii="Arial" w:hAnsi="Arial" w:cs="Arial"/>
          <w:sz w:val="24"/>
          <w:szCs w:val="24"/>
        </w:rPr>
        <w:t>Furthermore, the push for the development of pedestrian and bike paths shows a recognition of the numerous benefits these routes provide. Aside from environmental benefits, they promote physical exercise among the town's residents, supporting a healthy lifestyle and contributing to overall public health. These routes also promote social engagement, establishing community relationships by offering places for individuals to congregate and communicate outside of motorized transportation</w:t>
      </w:r>
      <w:r w:rsidR="00E40339" w:rsidRPr="00E40339">
        <w:t xml:space="preserve"> </w:t>
      </w:r>
      <w:r w:rsidR="00E40339" w:rsidRPr="00E40339">
        <w:rPr>
          <w:rFonts w:ascii="Arial" w:hAnsi="Arial" w:cs="Arial"/>
          <w:sz w:val="24"/>
          <w:szCs w:val="24"/>
        </w:rPr>
        <w:t>(Azarova, Cohen, Kollmann, &amp; Reichl, 2020)</w:t>
      </w:r>
      <w:r w:rsidR="00E40339">
        <w:rPr>
          <w:rFonts w:ascii="Arial" w:hAnsi="Arial" w:cs="Arial"/>
          <w:sz w:val="24"/>
          <w:szCs w:val="24"/>
        </w:rPr>
        <w:t xml:space="preserve">.                                                                                                        </w:t>
      </w:r>
      <w:r w:rsidR="008271E6" w:rsidRPr="00BD4DA3">
        <w:rPr>
          <w:rFonts w:ascii="Arial" w:hAnsi="Arial" w:cs="Arial"/>
          <w:sz w:val="24"/>
          <w:szCs w:val="24"/>
        </w:rPr>
        <w:t xml:space="preserve">Carmarthen's sustainable transportation strategy also includes investments in </w:t>
      </w:r>
      <w:r w:rsidR="008271E6" w:rsidRPr="00BD4DA3">
        <w:rPr>
          <w:rFonts w:ascii="Arial" w:hAnsi="Arial" w:cs="Arial"/>
          <w:sz w:val="24"/>
          <w:szCs w:val="24"/>
        </w:rPr>
        <w:lastRenderedPageBreak/>
        <w:t xml:space="preserve">electric </w:t>
      </w:r>
      <w:r w:rsidR="00E40339">
        <w:rPr>
          <w:rFonts w:ascii="Arial" w:hAnsi="Arial" w:cs="Arial"/>
          <w:sz w:val="24"/>
          <w:szCs w:val="24"/>
        </w:rPr>
        <w:t>vehicles</w:t>
      </w:r>
      <w:r w:rsidR="008271E6" w:rsidRPr="00BD4DA3">
        <w:rPr>
          <w:rFonts w:ascii="Arial" w:hAnsi="Arial" w:cs="Arial"/>
          <w:sz w:val="24"/>
          <w:szCs w:val="24"/>
        </w:rPr>
        <w:t xml:space="preserve"> (EV) charging infrastructure. Recognizing the growing preference for electric vehicles as a cleaner mode of transportation, the municipality </w:t>
      </w:r>
      <w:r w:rsidR="00702514" w:rsidRPr="00BD4DA3">
        <w:rPr>
          <w:rFonts w:ascii="Arial" w:hAnsi="Arial" w:cs="Arial"/>
          <w:sz w:val="24"/>
          <w:szCs w:val="24"/>
        </w:rPr>
        <w:t>has</w:t>
      </w:r>
      <w:r w:rsidR="008271E6" w:rsidRPr="00BD4DA3">
        <w:rPr>
          <w:rFonts w:ascii="Arial" w:hAnsi="Arial" w:cs="Arial"/>
          <w:sz w:val="24"/>
          <w:szCs w:val="24"/>
        </w:rPr>
        <w:t xml:space="preserve"> positioned itself at the forefront of this transformation. Carmarthen is anticipating future EV usage </w:t>
      </w:r>
      <w:r w:rsidR="008271E6" w:rsidRPr="00BD4DA3">
        <w:rPr>
          <w:rFonts w:ascii="Arial" w:hAnsi="Arial" w:cs="Arial"/>
          <w:sz w:val="24"/>
          <w:szCs w:val="24"/>
        </w:rPr>
        <w:t>increases</w:t>
      </w:r>
      <w:r w:rsidR="008271E6" w:rsidRPr="00BD4DA3">
        <w:rPr>
          <w:rFonts w:ascii="Arial" w:hAnsi="Arial" w:cs="Arial"/>
          <w:sz w:val="24"/>
          <w:szCs w:val="24"/>
        </w:rPr>
        <w:t xml:space="preserve"> by increasing the availability of EV charging stations, in addition to meeting existing demand. This forward-thinking approach not only lowers greenhouse gas emissions but also communicates to citizens and companies that the municipality is dedicated to sustainable development methods</w:t>
      </w:r>
      <w:r w:rsidR="00702514" w:rsidRPr="00702514">
        <w:t xml:space="preserve"> </w:t>
      </w:r>
      <w:r w:rsidR="00702514" w:rsidRPr="00BD4DA3">
        <w:rPr>
          <w:rFonts w:ascii="Arial" w:hAnsi="Arial" w:cs="Arial"/>
          <w:sz w:val="24"/>
          <w:szCs w:val="24"/>
        </w:rPr>
        <w:t>(Zaki, 2023)</w:t>
      </w:r>
      <w:r w:rsidR="008271E6" w:rsidRPr="00BD4DA3">
        <w:rPr>
          <w:rFonts w:ascii="Arial" w:hAnsi="Arial" w:cs="Arial"/>
          <w:sz w:val="24"/>
          <w:szCs w:val="24"/>
        </w:rPr>
        <w:t>.</w:t>
      </w:r>
      <w:r w:rsidR="008271E6" w:rsidRPr="008271E6">
        <w:t xml:space="preserve"> </w:t>
      </w:r>
      <w:r w:rsidR="008271E6" w:rsidRPr="00BD4DA3">
        <w:rPr>
          <w:rFonts w:ascii="Arial" w:hAnsi="Arial" w:cs="Arial"/>
          <w:sz w:val="24"/>
          <w:szCs w:val="24"/>
        </w:rPr>
        <w:t>The combination of green infrastructure and sustainable mobility projects in Carmarthen exemplifies a comprehensive approach to urban design. Carmarthen is paving the way for a sustainable future by balancing connection and accessibility with environmental conservation and public health. These efforts are part of a larger trend in urban development, in which towns and cities around the world recognize the importance of integrating growth goals with environmental sustainability principles</w:t>
      </w:r>
      <w:r w:rsidR="00BD4DA3" w:rsidRPr="00BD4DA3">
        <w:t xml:space="preserve"> </w:t>
      </w:r>
      <w:r w:rsidR="00BD4DA3" w:rsidRPr="00BD4DA3">
        <w:rPr>
          <w:rFonts w:ascii="Arial" w:hAnsi="Arial" w:cs="Arial"/>
          <w:sz w:val="24"/>
          <w:szCs w:val="24"/>
        </w:rPr>
        <w:t>(Milbourne, 2021)</w:t>
      </w:r>
      <w:r w:rsidR="008271E6" w:rsidRPr="00BD4DA3">
        <w:rPr>
          <w:rFonts w:ascii="Arial" w:hAnsi="Arial" w:cs="Arial"/>
          <w:sz w:val="24"/>
          <w:szCs w:val="24"/>
        </w:rPr>
        <w:t>.</w:t>
      </w:r>
    </w:p>
    <w:p w14:paraId="12F5C988" w14:textId="682CF837" w:rsidR="008271E6" w:rsidRPr="00FC0008" w:rsidRDefault="008271E6" w:rsidP="00FC0008">
      <w:pPr>
        <w:pStyle w:val="ListParagraph"/>
        <w:numPr>
          <w:ilvl w:val="0"/>
          <w:numId w:val="2"/>
        </w:numPr>
        <w:rPr>
          <w:rFonts w:ascii="Arial" w:hAnsi="Arial" w:cs="Arial"/>
          <w:sz w:val="24"/>
          <w:szCs w:val="24"/>
        </w:rPr>
      </w:pPr>
      <w:r w:rsidRPr="00FC0008">
        <w:rPr>
          <w:rFonts w:ascii="Arial" w:hAnsi="Arial" w:cs="Arial"/>
          <w:sz w:val="24"/>
          <w:szCs w:val="24"/>
        </w:rPr>
        <w:t>Education and Innovation Hub</w:t>
      </w:r>
      <w:r w:rsidR="00FC0008" w:rsidRPr="00FC0008">
        <w:rPr>
          <w:rFonts w:ascii="Arial" w:hAnsi="Arial" w:cs="Arial"/>
          <w:sz w:val="24"/>
          <w:szCs w:val="24"/>
        </w:rPr>
        <w:t xml:space="preserve">: </w:t>
      </w:r>
      <w:r w:rsidRPr="00FC0008">
        <w:rPr>
          <w:rFonts w:ascii="Arial" w:hAnsi="Arial" w:cs="Arial"/>
          <w:sz w:val="24"/>
          <w:szCs w:val="24"/>
        </w:rPr>
        <w:t>The development of an Education and Innovation Hub in Carmarthen, using the academic resources of the University of Wales Trinity Saint David, marks a deliberate shift toward building an ecosystem of innovation and cooperation. This program seeks to leverage the university's intellectual resources, the entrepreneurial spirit of local enterprises, and the vitality of technology startups to generate regional economic development and job creation</w:t>
      </w:r>
      <w:r w:rsidR="00702514" w:rsidRPr="00702514">
        <w:t xml:space="preserve"> </w:t>
      </w:r>
      <w:r w:rsidR="00702514" w:rsidRPr="00702514">
        <w:rPr>
          <w:rFonts w:ascii="Arial" w:hAnsi="Arial" w:cs="Arial"/>
          <w:sz w:val="24"/>
          <w:szCs w:val="24"/>
        </w:rPr>
        <w:t>(Archer, 2021)</w:t>
      </w:r>
      <w:r w:rsidR="00702514">
        <w:rPr>
          <w:rFonts w:ascii="Arial" w:hAnsi="Arial" w:cs="Arial"/>
          <w:sz w:val="24"/>
          <w:szCs w:val="24"/>
        </w:rPr>
        <w:t>.</w:t>
      </w:r>
    </w:p>
    <w:p w14:paraId="4B5111C7" w14:textId="2F9FF1B1" w:rsidR="008271E6" w:rsidRDefault="008271E6" w:rsidP="00FC0008">
      <w:pPr>
        <w:pStyle w:val="ListParagraph"/>
      </w:pPr>
      <w:r w:rsidRPr="00FC0008">
        <w:rPr>
          <w:rFonts w:ascii="Arial" w:hAnsi="Arial" w:cs="Arial"/>
          <w:sz w:val="24"/>
          <w:szCs w:val="24"/>
        </w:rPr>
        <w:t xml:space="preserve">This vision is </w:t>
      </w:r>
      <w:r w:rsidRPr="00FC0008">
        <w:rPr>
          <w:rFonts w:ascii="Arial" w:hAnsi="Arial" w:cs="Arial"/>
          <w:sz w:val="24"/>
          <w:szCs w:val="24"/>
        </w:rPr>
        <w:t>centred</w:t>
      </w:r>
      <w:r w:rsidRPr="00FC0008">
        <w:rPr>
          <w:rFonts w:ascii="Arial" w:hAnsi="Arial" w:cs="Arial"/>
          <w:sz w:val="24"/>
          <w:szCs w:val="24"/>
        </w:rPr>
        <w:t xml:space="preserve"> on sectors such as sustainable agriculture, renewable energy, and digital technologies. These sectors not only represent Carmarthen's regional strengths—given its agricultural past and rising technical interests—but also correspond to broader global tendencies toward sustainability and digital transformation</w:t>
      </w:r>
      <w:r w:rsidR="00FE2DD4" w:rsidRPr="00FE2DD4">
        <w:t xml:space="preserve"> </w:t>
      </w:r>
      <w:r w:rsidR="00FE2DD4" w:rsidRPr="00FE2DD4">
        <w:rPr>
          <w:rFonts w:ascii="Arial" w:hAnsi="Arial" w:cs="Arial"/>
          <w:sz w:val="24"/>
          <w:szCs w:val="24"/>
        </w:rPr>
        <w:t>(Ellis-Robinson &amp; Coles, 2021)</w:t>
      </w:r>
      <w:r w:rsidR="00FE2DD4">
        <w:rPr>
          <w:rFonts w:ascii="Arial" w:hAnsi="Arial" w:cs="Arial"/>
          <w:sz w:val="24"/>
          <w:szCs w:val="24"/>
        </w:rPr>
        <w:t>.</w:t>
      </w:r>
      <w:r w:rsidRPr="00FC0008">
        <w:rPr>
          <w:rFonts w:ascii="Arial" w:hAnsi="Arial" w:cs="Arial"/>
          <w:sz w:val="24"/>
          <w:szCs w:val="24"/>
        </w:rPr>
        <w:t xml:space="preserve"> By focusing on these industries, the hub positions itself at the crossroads of local relevance and global significance, providing solutions to global concerns while using local knowledge and resources.</w:t>
      </w:r>
      <w:r w:rsidRPr="008271E6">
        <w:t xml:space="preserve"> </w:t>
      </w:r>
      <w:r>
        <w:t xml:space="preserve">                                                  </w:t>
      </w:r>
      <w:r w:rsidR="00FC0008">
        <w:t xml:space="preserve">                                                                </w:t>
      </w:r>
      <w:r w:rsidRPr="00FC0008">
        <w:rPr>
          <w:rFonts w:ascii="Arial" w:hAnsi="Arial" w:cs="Arial"/>
          <w:sz w:val="24"/>
          <w:szCs w:val="24"/>
        </w:rPr>
        <w:t>The innovation hub offers a set of support mechanisms aimed at nurturing entrepreneurs and facilitating the conversion of research into marketable products and services. Incubation spaces provide a physical infrastructure for entrepreneurs to function, including office space, laboratories, and conference rooms. Mentorship programs connect new entrepreneurs with seasoned business leaders and academics, offering advice on everything from business planning to technical advancement</w:t>
      </w:r>
      <w:r w:rsidR="00702514" w:rsidRPr="00702514">
        <w:t xml:space="preserve"> </w:t>
      </w:r>
      <w:r w:rsidR="00702514" w:rsidRPr="00702514">
        <w:rPr>
          <w:rFonts w:ascii="Arial" w:hAnsi="Arial" w:cs="Arial"/>
          <w:sz w:val="24"/>
          <w:szCs w:val="24"/>
        </w:rPr>
        <w:t>(Archer, 2021)</w:t>
      </w:r>
      <w:r w:rsidR="00702514">
        <w:rPr>
          <w:rFonts w:ascii="Arial" w:hAnsi="Arial" w:cs="Arial"/>
          <w:sz w:val="24"/>
          <w:szCs w:val="24"/>
        </w:rPr>
        <w:t xml:space="preserve">.                                                                                                                        </w:t>
      </w:r>
      <w:r w:rsidRPr="00FC0008">
        <w:rPr>
          <w:rFonts w:ascii="Arial" w:hAnsi="Arial" w:cs="Arial"/>
          <w:sz w:val="24"/>
          <w:szCs w:val="24"/>
        </w:rPr>
        <w:t xml:space="preserve"> Furthermore, the hub's focus </w:t>
      </w:r>
      <w:r w:rsidR="00FC0008">
        <w:rPr>
          <w:rFonts w:ascii="Arial" w:hAnsi="Arial" w:cs="Arial"/>
          <w:sz w:val="24"/>
          <w:szCs w:val="24"/>
        </w:rPr>
        <w:t>on</w:t>
      </w:r>
      <w:r w:rsidRPr="00FC0008">
        <w:rPr>
          <w:rFonts w:ascii="Arial" w:hAnsi="Arial" w:cs="Arial"/>
          <w:sz w:val="24"/>
          <w:szCs w:val="24"/>
        </w:rPr>
        <w:t xml:space="preserve"> linking with worldwide research networks expands its reach, allowing local startups to engage with foreign markets and collaborate on research projects. This global connectedness not only raises the awareness of Carmarthen's innovation ecosystem but also allows for the interchange of ideas and best practices, improving the local knowledge base</w:t>
      </w:r>
      <w:r w:rsidR="00FE2DD4" w:rsidRPr="00FE2DD4">
        <w:t xml:space="preserve"> </w:t>
      </w:r>
      <w:r w:rsidR="00FE2DD4" w:rsidRPr="00FE2DD4">
        <w:rPr>
          <w:rFonts w:ascii="Arial" w:hAnsi="Arial" w:cs="Arial"/>
          <w:sz w:val="24"/>
          <w:szCs w:val="24"/>
        </w:rPr>
        <w:t>(Ellis-Robinson &amp; Coles, 2021)</w:t>
      </w:r>
      <w:r w:rsidRPr="00FC0008">
        <w:rPr>
          <w:rFonts w:ascii="Arial" w:hAnsi="Arial" w:cs="Arial"/>
          <w:sz w:val="24"/>
          <w:szCs w:val="24"/>
        </w:rPr>
        <w:t>.</w:t>
      </w:r>
      <w:r w:rsidRPr="008271E6">
        <w:t xml:space="preserve"> </w:t>
      </w:r>
    </w:p>
    <w:p w14:paraId="39F25C2D" w14:textId="110EE34B" w:rsidR="008271E6" w:rsidRPr="00702514" w:rsidRDefault="008271E6" w:rsidP="00702514">
      <w:pPr>
        <w:pStyle w:val="ListParagraph"/>
        <w:rPr>
          <w:rFonts w:ascii="Arial" w:hAnsi="Arial" w:cs="Arial"/>
          <w:sz w:val="24"/>
          <w:szCs w:val="24"/>
        </w:rPr>
      </w:pPr>
      <w:r w:rsidRPr="00FC0008">
        <w:rPr>
          <w:rFonts w:ascii="Arial" w:hAnsi="Arial" w:cs="Arial"/>
          <w:sz w:val="24"/>
          <w:szCs w:val="24"/>
        </w:rPr>
        <w:t xml:space="preserve">The Education and Innovation Hub in Carmarthen is more than simply a physical facility; it </w:t>
      </w:r>
      <w:r w:rsidRPr="00FC0008">
        <w:rPr>
          <w:rFonts w:ascii="Arial" w:hAnsi="Arial" w:cs="Arial"/>
          <w:sz w:val="24"/>
          <w:szCs w:val="24"/>
        </w:rPr>
        <w:t>catalyses</w:t>
      </w:r>
      <w:r w:rsidRPr="00FC0008">
        <w:rPr>
          <w:rFonts w:ascii="Arial" w:hAnsi="Arial" w:cs="Arial"/>
          <w:sz w:val="24"/>
          <w:szCs w:val="24"/>
        </w:rPr>
        <w:t xml:space="preserve"> economic and social change. The hub's goal is to boost local economic growth, create high-value jobs, and establish </w:t>
      </w:r>
      <w:r w:rsidRPr="00FC0008">
        <w:rPr>
          <w:rFonts w:ascii="Arial" w:hAnsi="Arial" w:cs="Arial"/>
          <w:sz w:val="24"/>
          <w:szCs w:val="24"/>
        </w:rPr>
        <w:lastRenderedPageBreak/>
        <w:t xml:space="preserve">Carmarthen as a leader in sustainable and technological innovation by cultivating a collaborative environment where education, business, and technology intersect. This project reflects a broader realization of the need for regions to adapt to the </w:t>
      </w:r>
      <w:r w:rsidRPr="00FC0008">
        <w:rPr>
          <w:rFonts w:ascii="Arial" w:hAnsi="Arial" w:cs="Arial"/>
          <w:sz w:val="24"/>
          <w:szCs w:val="24"/>
        </w:rPr>
        <w:t>fast-changing</w:t>
      </w:r>
      <w:r w:rsidRPr="00FC0008">
        <w:rPr>
          <w:rFonts w:ascii="Arial" w:hAnsi="Arial" w:cs="Arial"/>
          <w:sz w:val="24"/>
          <w:szCs w:val="24"/>
        </w:rPr>
        <w:t xml:space="preserve"> global economic landscape, harnessing their distinct assets to ensure a prosperous future</w:t>
      </w:r>
      <w:r w:rsidR="00702514">
        <w:rPr>
          <w:rFonts w:ascii="Arial" w:hAnsi="Arial" w:cs="Arial"/>
          <w:sz w:val="24"/>
          <w:szCs w:val="24"/>
        </w:rPr>
        <w:t xml:space="preserve"> </w:t>
      </w:r>
      <w:r w:rsidR="00702514" w:rsidRPr="00702514">
        <w:rPr>
          <w:rFonts w:ascii="Arial" w:hAnsi="Arial" w:cs="Arial"/>
          <w:sz w:val="24"/>
          <w:szCs w:val="24"/>
        </w:rPr>
        <w:t>(McArthur, 1993)</w:t>
      </w:r>
      <w:r w:rsidR="00702514">
        <w:rPr>
          <w:rFonts w:ascii="Arial" w:hAnsi="Arial" w:cs="Arial"/>
          <w:sz w:val="24"/>
          <w:szCs w:val="24"/>
        </w:rPr>
        <w:t>.</w:t>
      </w:r>
    </w:p>
    <w:p w14:paraId="15E5A27E" w14:textId="77777777" w:rsidR="00FC0008" w:rsidRDefault="00FC0008" w:rsidP="00FC0008">
      <w:pPr>
        <w:rPr>
          <w:rFonts w:ascii="Arial" w:hAnsi="Arial" w:cs="Arial"/>
          <w:sz w:val="24"/>
          <w:szCs w:val="24"/>
        </w:rPr>
      </w:pPr>
    </w:p>
    <w:p w14:paraId="46B14032" w14:textId="77777777" w:rsidR="00FC0008" w:rsidRDefault="00FC0008" w:rsidP="00FC0008">
      <w:pPr>
        <w:rPr>
          <w:rFonts w:ascii="Arial" w:hAnsi="Arial" w:cs="Arial"/>
          <w:sz w:val="24"/>
          <w:szCs w:val="24"/>
        </w:rPr>
      </w:pPr>
    </w:p>
    <w:p w14:paraId="13485769" w14:textId="77777777" w:rsidR="00FC0008" w:rsidRDefault="00FC0008" w:rsidP="00FC0008">
      <w:pPr>
        <w:rPr>
          <w:rFonts w:ascii="Arial" w:hAnsi="Arial" w:cs="Arial"/>
          <w:sz w:val="24"/>
          <w:szCs w:val="24"/>
        </w:rPr>
      </w:pPr>
    </w:p>
    <w:p w14:paraId="229E2010" w14:textId="77777777" w:rsidR="00FC0008" w:rsidRDefault="00FC0008" w:rsidP="00FC0008">
      <w:pPr>
        <w:rPr>
          <w:rFonts w:ascii="Arial" w:hAnsi="Arial" w:cs="Arial"/>
          <w:sz w:val="24"/>
          <w:szCs w:val="24"/>
        </w:rPr>
      </w:pPr>
    </w:p>
    <w:p w14:paraId="7E0A8443" w14:textId="77777777" w:rsidR="00FC0008" w:rsidRDefault="00FC0008" w:rsidP="00FC0008">
      <w:pPr>
        <w:rPr>
          <w:rFonts w:ascii="Arial" w:hAnsi="Arial" w:cs="Arial"/>
          <w:sz w:val="24"/>
          <w:szCs w:val="24"/>
        </w:rPr>
      </w:pPr>
    </w:p>
    <w:p w14:paraId="103F73E0" w14:textId="77777777" w:rsidR="00FC0008" w:rsidRDefault="00FC0008" w:rsidP="00FC0008">
      <w:pPr>
        <w:rPr>
          <w:rFonts w:ascii="Arial" w:hAnsi="Arial" w:cs="Arial"/>
          <w:sz w:val="24"/>
          <w:szCs w:val="24"/>
        </w:rPr>
      </w:pPr>
    </w:p>
    <w:p w14:paraId="3F9E7DF0" w14:textId="77777777" w:rsidR="00FC0008" w:rsidRDefault="00FC0008" w:rsidP="00FC0008">
      <w:pPr>
        <w:rPr>
          <w:rFonts w:ascii="Arial" w:hAnsi="Arial" w:cs="Arial"/>
          <w:sz w:val="24"/>
          <w:szCs w:val="24"/>
        </w:rPr>
      </w:pPr>
    </w:p>
    <w:p w14:paraId="71DF835A" w14:textId="77777777" w:rsidR="00FC0008" w:rsidRDefault="00FC0008" w:rsidP="00FC0008">
      <w:pPr>
        <w:rPr>
          <w:rFonts w:ascii="Arial" w:hAnsi="Arial" w:cs="Arial"/>
          <w:sz w:val="24"/>
          <w:szCs w:val="24"/>
        </w:rPr>
      </w:pPr>
    </w:p>
    <w:p w14:paraId="0AC477CE" w14:textId="77777777" w:rsidR="00FC0008" w:rsidRDefault="00FC0008" w:rsidP="00FC0008">
      <w:pPr>
        <w:rPr>
          <w:rFonts w:ascii="Arial" w:hAnsi="Arial" w:cs="Arial"/>
          <w:sz w:val="24"/>
          <w:szCs w:val="24"/>
        </w:rPr>
      </w:pPr>
    </w:p>
    <w:p w14:paraId="3D028D39" w14:textId="77777777" w:rsidR="00FC0008" w:rsidRDefault="00FC0008" w:rsidP="00FC0008">
      <w:pPr>
        <w:rPr>
          <w:rFonts w:ascii="Arial" w:hAnsi="Arial" w:cs="Arial"/>
          <w:sz w:val="24"/>
          <w:szCs w:val="24"/>
        </w:rPr>
      </w:pPr>
    </w:p>
    <w:p w14:paraId="1AA7F7BB" w14:textId="77777777" w:rsidR="00FC0008" w:rsidRDefault="00FC0008" w:rsidP="00FC0008">
      <w:pPr>
        <w:rPr>
          <w:rFonts w:ascii="Arial" w:hAnsi="Arial" w:cs="Arial"/>
          <w:sz w:val="24"/>
          <w:szCs w:val="24"/>
        </w:rPr>
      </w:pPr>
    </w:p>
    <w:p w14:paraId="41485BE3" w14:textId="77777777" w:rsidR="00FC0008" w:rsidRDefault="00FC0008" w:rsidP="00FC0008">
      <w:pPr>
        <w:rPr>
          <w:rFonts w:ascii="Arial" w:hAnsi="Arial" w:cs="Arial"/>
          <w:sz w:val="24"/>
          <w:szCs w:val="24"/>
        </w:rPr>
      </w:pPr>
    </w:p>
    <w:p w14:paraId="032E2E35" w14:textId="77777777" w:rsidR="00FC0008" w:rsidRDefault="00FC0008" w:rsidP="00FC0008">
      <w:pPr>
        <w:rPr>
          <w:rFonts w:ascii="Arial" w:hAnsi="Arial" w:cs="Arial"/>
          <w:sz w:val="24"/>
          <w:szCs w:val="24"/>
        </w:rPr>
      </w:pPr>
    </w:p>
    <w:p w14:paraId="6D40D233" w14:textId="77777777" w:rsidR="00FC0008" w:rsidRDefault="00FC0008" w:rsidP="00FC0008">
      <w:pPr>
        <w:rPr>
          <w:rFonts w:ascii="Arial" w:hAnsi="Arial" w:cs="Arial"/>
          <w:sz w:val="24"/>
          <w:szCs w:val="24"/>
        </w:rPr>
      </w:pPr>
    </w:p>
    <w:p w14:paraId="4E044653" w14:textId="77777777" w:rsidR="00FC0008" w:rsidRDefault="00FC0008" w:rsidP="00FC0008">
      <w:pPr>
        <w:rPr>
          <w:rFonts w:ascii="Arial" w:hAnsi="Arial" w:cs="Arial"/>
          <w:sz w:val="24"/>
          <w:szCs w:val="24"/>
        </w:rPr>
      </w:pPr>
    </w:p>
    <w:p w14:paraId="58890E33" w14:textId="77777777" w:rsidR="00FC0008" w:rsidRDefault="00FC0008" w:rsidP="00FC0008">
      <w:pPr>
        <w:rPr>
          <w:rFonts w:ascii="Arial" w:hAnsi="Arial" w:cs="Arial"/>
          <w:sz w:val="24"/>
          <w:szCs w:val="24"/>
        </w:rPr>
      </w:pPr>
    </w:p>
    <w:p w14:paraId="2576FAAE" w14:textId="77777777" w:rsidR="00FC0008" w:rsidRDefault="00FC0008" w:rsidP="00FC0008">
      <w:pPr>
        <w:rPr>
          <w:rFonts w:ascii="Arial" w:hAnsi="Arial" w:cs="Arial"/>
          <w:sz w:val="24"/>
          <w:szCs w:val="24"/>
        </w:rPr>
      </w:pPr>
    </w:p>
    <w:p w14:paraId="01949E7E" w14:textId="77777777" w:rsidR="00FC0008" w:rsidRDefault="00FC0008" w:rsidP="00FC0008">
      <w:pPr>
        <w:rPr>
          <w:rFonts w:ascii="Arial" w:hAnsi="Arial" w:cs="Arial"/>
          <w:sz w:val="24"/>
          <w:szCs w:val="24"/>
        </w:rPr>
      </w:pPr>
    </w:p>
    <w:p w14:paraId="7C93A879" w14:textId="77777777" w:rsidR="00FC0008" w:rsidRDefault="00FC0008" w:rsidP="00FC0008">
      <w:pPr>
        <w:rPr>
          <w:rFonts w:ascii="Arial" w:hAnsi="Arial" w:cs="Arial"/>
          <w:sz w:val="24"/>
          <w:szCs w:val="24"/>
        </w:rPr>
      </w:pPr>
    </w:p>
    <w:p w14:paraId="3F9BD642" w14:textId="77777777" w:rsidR="00FC0008" w:rsidRDefault="00FC0008" w:rsidP="00FC0008">
      <w:pPr>
        <w:rPr>
          <w:rFonts w:ascii="Arial" w:hAnsi="Arial" w:cs="Arial"/>
          <w:sz w:val="24"/>
          <w:szCs w:val="24"/>
        </w:rPr>
      </w:pPr>
    </w:p>
    <w:p w14:paraId="7C9EDE08" w14:textId="77777777" w:rsidR="00FC0008" w:rsidRDefault="00FC0008" w:rsidP="00FC0008">
      <w:pPr>
        <w:rPr>
          <w:rFonts w:ascii="Arial" w:hAnsi="Arial" w:cs="Arial"/>
          <w:sz w:val="24"/>
          <w:szCs w:val="24"/>
        </w:rPr>
      </w:pPr>
    </w:p>
    <w:p w14:paraId="4EE6BEEC" w14:textId="77777777" w:rsidR="00FC0008" w:rsidRDefault="00FC0008" w:rsidP="00FC0008">
      <w:pPr>
        <w:rPr>
          <w:rFonts w:ascii="Arial" w:hAnsi="Arial" w:cs="Arial"/>
          <w:sz w:val="24"/>
          <w:szCs w:val="24"/>
        </w:rPr>
      </w:pPr>
    </w:p>
    <w:p w14:paraId="337B7F7D" w14:textId="77777777" w:rsidR="00FC0008" w:rsidRDefault="00FC0008" w:rsidP="00FC0008">
      <w:pPr>
        <w:rPr>
          <w:rFonts w:ascii="Arial" w:hAnsi="Arial" w:cs="Arial"/>
          <w:sz w:val="24"/>
          <w:szCs w:val="24"/>
        </w:rPr>
      </w:pPr>
    </w:p>
    <w:p w14:paraId="7E7B8B86" w14:textId="77777777" w:rsidR="00FC0008" w:rsidRDefault="00FC0008" w:rsidP="00FC0008">
      <w:pPr>
        <w:rPr>
          <w:rFonts w:ascii="Arial" w:hAnsi="Arial" w:cs="Arial"/>
          <w:sz w:val="24"/>
          <w:szCs w:val="24"/>
        </w:rPr>
      </w:pPr>
    </w:p>
    <w:p w14:paraId="179F244D" w14:textId="77777777" w:rsidR="00FC0008" w:rsidRDefault="00FC0008" w:rsidP="00FC0008">
      <w:pPr>
        <w:rPr>
          <w:rFonts w:ascii="Arial" w:hAnsi="Arial" w:cs="Arial"/>
          <w:sz w:val="24"/>
          <w:szCs w:val="24"/>
        </w:rPr>
      </w:pPr>
    </w:p>
    <w:p w14:paraId="737883D0" w14:textId="77777777" w:rsidR="00FC0008" w:rsidRDefault="00FC0008" w:rsidP="00FC0008">
      <w:pPr>
        <w:rPr>
          <w:rFonts w:ascii="Arial" w:hAnsi="Arial" w:cs="Arial"/>
          <w:sz w:val="24"/>
          <w:szCs w:val="24"/>
        </w:rPr>
      </w:pPr>
    </w:p>
    <w:p w14:paraId="69047E54" w14:textId="77777777" w:rsidR="00FC0008" w:rsidRDefault="00FC0008" w:rsidP="00FC0008">
      <w:pPr>
        <w:rPr>
          <w:rFonts w:ascii="Arial" w:hAnsi="Arial" w:cs="Arial"/>
          <w:sz w:val="24"/>
          <w:szCs w:val="24"/>
        </w:rPr>
      </w:pPr>
    </w:p>
    <w:p w14:paraId="43DB0905" w14:textId="286CD033" w:rsidR="00FC0008" w:rsidRPr="005A26C5" w:rsidRDefault="00FC0008" w:rsidP="00FC0008">
      <w:pPr>
        <w:rPr>
          <w:rFonts w:ascii="Arial Black" w:hAnsi="Arial Black" w:cs="Arial"/>
          <w:sz w:val="24"/>
          <w:szCs w:val="24"/>
        </w:rPr>
      </w:pPr>
      <w:r w:rsidRPr="005A26C5">
        <w:rPr>
          <w:rFonts w:ascii="Arial Black" w:hAnsi="Arial Black" w:cs="Arial"/>
          <w:sz w:val="24"/>
          <w:szCs w:val="24"/>
        </w:rPr>
        <w:lastRenderedPageBreak/>
        <w:t xml:space="preserve">References </w:t>
      </w:r>
    </w:p>
    <w:p w14:paraId="1BDF7B04" w14:textId="77777777" w:rsidR="00AF7389" w:rsidRDefault="00AF7389" w:rsidP="00FC0008">
      <w:pPr>
        <w:rPr>
          <w:rFonts w:ascii="Arial" w:hAnsi="Arial" w:cs="Arial"/>
          <w:sz w:val="24"/>
          <w:szCs w:val="24"/>
        </w:rPr>
      </w:pPr>
    </w:p>
    <w:p w14:paraId="4410631F" w14:textId="1046FFA9" w:rsidR="00AF7389" w:rsidRDefault="00AF7389" w:rsidP="00AF7389">
      <w:pPr>
        <w:rPr>
          <w:rFonts w:ascii="Arial" w:hAnsi="Arial" w:cs="Arial"/>
          <w:sz w:val="24"/>
          <w:szCs w:val="24"/>
        </w:rPr>
      </w:pPr>
      <w:r w:rsidRPr="00AF7389">
        <w:rPr>
          <w:rFonts w:ascii="Arial" w:hAnsi="Arial" w:cs="Arial"/>
          <w:sz w:val="24"/>
          <w:szCs w:val="24"/>
        </w:rPr>
        <w:t xml:space="preserve">Azarova, V., Cohen, J. J., Kollmann, A., &amp; Reichl, J. (2020). The potential for community-financed electric vehicle charging infrastructure. Transportation Research Part D: Transport and Environment, 88, 102541. </w:t>
      </w:r>
      <w:hyperlink r:id="rId6" w:history="1">
        <w:r w:rsidRPr="00671EB6">
          <w:rPr>
            <w:rStyle w:val="Hyperlink"/>
            <w:rFonts w:ascii="Arial" w:hAnsi="Arial" w:cs="Arial"/>
            <w:sz w:val="24"/>
            <w:szCs w:val="24"/>
          </w:rPr>
          <w:t>https://doi.org/10.1016/j.trd.2020.102541</w:t>
        </w:r>
      </w:hyperlink>
    </w:p>
    <w:p w14:paraId="24699538" w14:textId="652B4814" w:rsidR="00AF7389" w:rsidRDefault="00AF7389" w:rsidP="00AF7389">
      <w:pPr>
        <w:rPr>
          <w:rFonts w:ascii="Arial" w:hAnsi="Arial" w:cs="Arial"/>
          <w:sz w:val="24"/>
          <w:szCs w:val="24"/>
        </w:rPr>
      </w:pPr>
      <w:r w:rsidRPr="00AF7389">
        <w:rPr>
          <w:rFonts w:ascii="Arial" w:hAnsi="Arial" w:cs="Arial"/>
          <w:sz w:val="24"/>
          <w:szCs w:val="24"/>
        </w:rPr>
        <w:t xml:space="preserve">Archer, B. (2021). Book review: Urban Regeneration in the UK. Urban Studies, 58(9), 1959–1961. </w:t>
      </w:r>
      <w:hyperlink r:id="rId7" w:history="1">
        <w:r w:rsidRPr="00671EB6">
          <w:rPr>
            <w:rStyle w:val="Hyperlink"/>
            <w:rFonts w:ascii="Arial" w:hAnsi="Arial" w:cs="Arial"/>
            <w:sz w:val="24"/>
            <w:szCs w:val="24"/>
          </w:rPr>
          <w:t>https://doi.org/10.1177/00420980211014415</w:t>
        </w:r>
      </w:hyperlink>
    </w:p>
    <w:p w14:paraId="63AC9F0A" w14:textId="2071344E" w:rsidR="00AF7389" w:rsidRDefault="00AF7389" w:rsidP="00AF7389">
      <w:pPr>
        <w:rPr>
          <w:rFonts w:ascii="Arial" w:hAnsi="Arial" w:cs="Arial"/>
          <w:sz w:val="24"/>
          <w:szCs w:val="24"/>
        </w:rPr>
      </w:pPr>
      <w:r w:rsidRPr="00AF7389">
        <w:rPr>
          <w:rFonts w:ascii="Arial" w:hAnsi="Arial" w:cs="Arial"/>
          <w:sz w:val="24"/>
          <w:szCs w:val="24"/>
        </w:rPr>
        <w:t xml:space="preserve">Crisp, R. (2016). After urban regeneration: communities, </w:t>
      </w:r>
      <w:r w:rsidRPr="00AF7389">
        <w:rPr>
          <w:rFonts w:ascii="Arial" w:hAnsi="Arial" w:cs="Arial"/>
          <w:sz w:val="24"/>
          <w:szCs w:val="24"/>
        </w:rPr>
        <w:t>policy,</w:t>
      </w:r>
      <w:r w:rsidRPr="00AF7389">
        <w:rPr>
          <w:rFonts w:ascii="Arial" w:hAnsi="Arial" w:cs="Arial"/>
          <w:sz w:val="24"/>
          <w:szCs w:val="24"/>
        </w:rPr>
        <w:t xml:space="preserve"> and place. Housing Studies, 31(8), 1020–1022. </w:t>
      </w:r>
      <w:hyperlink r:id="rId8" w:history="1">
        <w:r w:rsidRPr="00671EB6">
          <w:rPr>
            <w:rStyle w:val="Hyperlink"/>
            <w:rFonts w:ascii="Arial" w:hAnsi="Arial" w:cs="Arial"/>
            <w:sz w:val="24"/>
            <w:szCs w:val="24"/>
          </w:rPr>
          <w:t>https://doi.org/10.1080/02673037.2016.1225392</w:t>
        </w:r>
      </w:hyperlink>
    </w:p>
    <w:p w14:paraId="3E5B7EA1" w14:textId="6B905F02" w:rsidR="00AF7389" w:rsidRDefault="00AF7389" w:rsidP="00AF7389">
      <w:pPr>
        <w:rPr>
          <w:rFonts w:ascii="Arial" w:hAnsi="Arial" w:cs="Arial"/>
          <w:sz w:val="24"/>
          <w:szCs w:val="24"/>
        </w:rPr>
      </w:pPr>
      <w:r w:rsidRPr="00AF7389">
        <w:rPr>
          <w:rFonts w:ascii="Arial" w:hAnsi="Arial" w:cs="Arial"/>
          <w:sz w:val="24"/>
          <w:szCs w:val="24"/>
        </w:rPr>
        <w:t xml:space="preserve">Ellis-Robinson, T., &amp; Coles, J. W. (2021). School, </w:t>
      </w:r>
      <w:r w:rsidRPr="00AF7389">
        <w:rPr>
          <w:rFonts w:ascii="Arial" w:hAnsi="Arial" w:cs="Arial"/>
          <w:sz w:val="24"/>
          <w:szCs w:val="24"/>
        </w:rPr>
        <w:t>university,</w:t>
      </w:r>
      <w:r w:rsidRPr="00AF7389">
        <w:rPr>
          <w:rFonts w:ascii="Arial" w:hAnsi="Arial" w:cs="Arial"/>
          <w:sz w:val="24"/>
          <w:szCs w:val="24"/>
        </w:rPr>
        <w:t xml:space="preserve"> and community collaboration to promote equity through inclusive cultural competence. Education Policy Analysis Archives, 29(January-July), 44. </w:t>
      </w:r>
      <w:hyperlink r:id="rId9" w:history="1">
        <w:r w:rsidRPr="00671EB6">
          <w:rPr>
            <w:rStyle w:val="Hyperlink"/>
            <w:rFonts w:ascii="Arial" w:hAnsi="Arial" w:cs="Arial"/>
            <w:sz w:val="24"/>
            <w:szCs w:val="24"/>
          </w:rPr>
          <w:t>https://doi.org/10.14507/epaa.29.467</w:t>
        </w:r>
      </w:hyperlink>
    </w:p>
    <w:p w14:paraId="2E62B23B" w14:textId="3492DA03" w:rsidR="00AF7389" w:rsidRDefault="00AF7389" w:rsidP="00AF7389">
      <w:pPr>
        <w:rPr>
          <w:rFonts w:ascii="Arial" w:hAnsi="Arial" w:cs="Arial"/>
          <w:sz w:val="24"/>
          <w:szCs w:val="24"/>
        </w:rPr>
      </w:pPr>
      <w:r w:rsidRPr="00AF7389">
        <w:rPr>
          <w:rFonts w:ascii="Arial" w:hAnsi="Arial" w:cs="Arial"/>
          <w:sz w:val="24"/>
          <w:szCs w:val="24"/>
        </w:rPr>
        <w:t xml:space="preserve">McArthur, A. A. (1993). Community Business and Urban Regeneration. Urban Studies, 30(4–5), 849–873. </w:t>
      </w:r>
      <w:hyperlink r:id="rId10" w:history="1">
        <w:r w:rsidRPr="00671EB6">
          <w:rPr>
            <w:rStyle w:val="Hyperlink"/>
            <w:rFonts w:ascii="Arial" w:hAnsi="Arial" w:cs="Arial"/>
            <w:sz w:val="24"/>
            <w:szCs w:val="24"/>
          </w:rPr>
          <w:t>https://doi.org/10.1080/00420989320081941</w:t>
        </w:r>
      </w:hyperlink>
    </w:p>
    <w:p w14:paraId="009CC39C" w14:textId="7848BD22" w:rsidR="00AF7389" w:rsidRDefault="00AF7389" w:rsidP="00AF7389">
      <w:pPr>
        <w:rPr>
          <w:rFonts w:ascii="Arial" w:hAnsi="Arial" w:cs="Arial"/>
          <w:sz w:val="24"/>
          <w:szCs w:val="24"/>
        </w:rPr>
      </w:pPr>
      <w:r w:rsidRPr="00AF7389">
        <w:rPr>
          <w:rFonts w:ascii="Arial" w:hAnsi="Arial" w:cs="Arial"/>
          <w:sz w:val="24"/>
          <w:szCs w:val="24"/>
        </w:rPr>
        <w:t xml:space="preserve">Milbourne, P. (2021). Growing public spaces in the city: Community gardening and the making of new urban environments of publicness. Urban Studies, 58(14), 2901–2919. </w:t>
      </w:r>
      <w:hyperlink r:id="rId11" w:history="1">
        <w:r w:rsidRPr="00671EB6">
          <w:rPr>
            <w:rStyle w:val="Hyperlink"/>
            <w:rFonts w:ascii="Arial" w:hAnsi="Arial" w:cs="Arial"/>
            <w:sz w:val="24"/>
            <w:szCs w:val="24"/>
          </w:rPr>
          <w:t>https://doi.org/10.1177/0042098020972281</w:t>
        </w:r>
      </w:hyperlink>
    </w:p>
    <w:p w14:paraId="7158664E" w14:textId="241B4B40" w:rsidR="00AF7389" w:rsidRDefault="00AF7389" w:rsidP="00AF7389">
      <w:pPr>
        <w:rPr>
          <w:rFonts w:ascii="Arial" w:hAnsi="Arial" w:cs="Arial"/>
          <w:sz w:val="24"/>
          <w:szCs w:val="24"/>
        </w:rPr>
      </w:pPr>
      <w:r w:rsidRPr="00AF7389">
        <w:rPr>
          <w:rFonts w:ascii="Arial" w:hAnsi="Arial" w:cs="Arial"/>
          <w:sz w:val="24"/>
          <w:szCs w:val="24"/>
        </w:rPr>
        <w:t xml:space="preserve">Pearce, S. (2008). The role of language in regeneration: the case of Communities First in Wales. People, Place and Policy Online, 151–162. </w:t>
      </w:r>
      <w:hyperlink r:id="rId12" w:history="1">
        <w:r w:rsidRPr="00671EB6">
          <w:rPr>
            <w:rStyle w:val="Hyperlink"/>
            <w:rFonts w:ascii="Arial" w:hAnsi="Arial" w:cs="Arial"/>
            <w:sz w:val="24"/>
            <w:szCs w:val="24"/>
          </w:rPr>
          <w:t>https://doi.org/10.3351/ppp.0002.0003.0005</w:t>
        </w:r>
      </w:hyperlink>
    </w:p>
    <w:p w14:paraId="42D5D4AD" w14:textId="716AE577" w:rsidR="00E840AF" w:rsidRDefault="00AF7389" w:rsidP="00AF7389">
      <w:pPr>
        <w:rPr>
          <w:rFonts w:ascii="Arial" w:hAnsi="Arial" w:cs="Arial"/>
          <w:sz w:val="24"/>
          <w:szCs w:val="24"/>
        </w:rPr>
      </w:pPr>
      <w:r w:rsidRPr="00AF7389">
        <w:rPr>
          <w:rFonts w:ascii="Arial" w:hAnsi="Arial" w:cs="Arial"/>
          <w:sz w:val="24"/>
          <w:szCs w:val="24"/>
        </w:rPr>
        <w:t xml:space="preserve">Zaki, A. (2023). COMMUNITY ENGAGEMENT AND PARTICIPATION IN THE IMPLEMENTATION OF SUSTAINABLE URBAN PLANNING AND RENEWABLE ENERGY INTEGRATION: LESSONS FROM TASHKENT. The American Journal of Applied Sciences, 5(7), 25–28. </w:t>
      </w:r>
      <w:hyperlink r:id="rId13" w:history="1">
        <w:r w:rsidRPr="00671EB6">
          <w:rPr>
            <w:rStyle w:val="Hyperlink"/>
            <w:rFonts w:ascii="Arial" w:hAnsi="Arial" w:cs="Arial"/>
            <w:sz w:val="24"/>
            <w:szCs w:val="24"/>
          </w:rPr>
          <w:t>https://doi.org/10.37547/tajas/volume05issue07-07</w:t>
        </w:r>
      </w:hyperlink>
    </w:p>
    <w:p w14:paraId="2CC42131" w14:textId="77777777" w:rsidR="00AF7389" w:rsidRPr="00AF7389" w:rsidRDefault="00AF7389" w:rsidP="00AF7389">
      <w:pPr>
        <w:rPr>
          <w:rFonts w:ascii="Arial" w:hAnsi="Arial" w:cs="Arial"/>
          <w:sz w:val="24"/>
          <w:szCs w:val="24"/>
        </w:rPr>
      </w:pPr>
    </w:p>
    <w:sectPr w:rsidR="00AF7389" w:rsidRPr="00AF7389" w:rsidSect="00167B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F4995"/>
    <w:multiLevelType w:val="hybridMultilevel"/>
    <w:tmpl w:val="DBA62B54"/>
    <w:lvl w:ilvl="0" w:tplc="21668A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ED63A0"/>
    <w:multiLevelType w:val="hybridMultilevel"/>
    <w:tmpl w:val="9EE06B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2298883">
    <w:abstractNumId w:val="0"/>
  </w:num>
  <w:num w:numId="2" w16cid:durableId="184701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59F"/>
    <w:rsid w:val="0004086E"/>
    <w:rsid w:val="00167BA9"/>
    <w:rsid w:val="00167C6C"/>
    <w:rsid w:val="003A2F4E"/>
    <w:rsid w:val="005A26C5"/>
    <w:rsid w:val="00702514"/>
    <w:rsid w:val="007A1C6A"/>
    <w:rsid w:val="008271E6"/>
    <w:rsid w:val="00877859"/>
    <w:rsid w:val="009652AE"/>
    <w:rsid w:val="00A2259F"/>
    <w:rsid w:val="00AF7389"/>
    <w:rsid w:val="00BD4DA3"/>
    <w:rsid w:val="00BD4E18"/>
    <w:rsid w:val="00DA5D03"/>
    <w:rsid w:val="00E40339"/>
    <w:rsid w:val="00E840AF"/>
    <w:rsid w:val="00F526FB"/>
    <w:rsid w:val="00FB6F22"/>
    <w:rsid w:val="00FC0008"/>
    <w:rsid w:val="00FE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A59C49"/>
  <w15:chartTrackingRefBased/>
  <w15:docId w15:val="{A18467D7-FCD6-44EE-BE8C-14E724A9D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5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5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5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5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5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5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59F"/>
    <w:rPr>
      <w:rFonts w:eastAsiaTheme="majorEastAsia" w:cstheme="majorBidi"/>
      <w:color w:val="272727" w:themeColor="text1" w:themeTint="D8"/>
    </w:rPr>
  </w:style>
  <w:style w:type="paragraph" w:styleId="Title">
    <w:name w:val="Title"/>
    <w:basedOn w:val="Normal"/>
    <w:next w:val="Normal"/>
    <w:link w:val="TitleChar"/>
    <w:uiPriority w:val="10"/>
    <w:qFormat/>
    <w:rsid w:val="00A225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59F"/>
    <w:pPr>
      <w:spacing w:before="160"/>
      <w:jc w:val="center"/>
    </w:pPr>
    <w:rPr>
      <w:i/>
      <w:iCs/>
      <w:color w:val="404040" w:themeColor="text1" w:themeTint="BF"/>
    </w:rPr>
  </w:style>
  <w:style w:type="character" w:customStyle="1" w:styleId="QuoteChar">
    <w:name w:val="Quote Char"/>
    <w:basedOn w:val="DefaultParagraphFont"/>
    <w:link w:val="Quote"/>
    <w:uiPriority w:val="29"/>
    <w:rsid w:val="00A2259F"/>
    <w:rPr>
      <w:i/>
      <w:iCs/>
      <w:color w:val="404040" w:themeColor="text1" w:themeTint="BF"/>
    </w:rPr>
  </w:style>
  <w:style w:type="paragraph" w:styleId="ListParagraph">
    <w:name w:val="List Paragraph"/>
    <w:basedOn w:val="Normal"/>
    <w:uiPriority w:val="34"/>
    <w:qFormat/>
    <w:rsid w:val="00A2259F"/>
    <w:pPr>
      <w:ind w:left="720"/>
      <w:contextualSpacing/>
    </w:pPr>
  </w:style>
  <w:style w:type="character" w:styleId="IntenseEmphasis">
    <w:name w:val="Intense Emphasis"/>
    <w:basedOn w:val="DefaultParagraphFont"/>
    <w:uiPriority w:val="21"/>
    <w:qFormat/>
    <w:rsid w:val="00A2259F"/>
    <w:rPr>
      <w:i/>
      <w:iCs/>
      <w:color w:val="0F4761" w:themeColor="accent1" w:themeShade="BF"/>
    </w:rPr>
  </w:style>
  <w:style w:type="paragraph" w:styleId="IntenseQuote">
    <w:name w:val="Intense Quote"/>
    <w:basedOn w:val="Normal"/>
    <w:next w:val="Normal"/>
    <w:link w:val="IntenseQuoteChar"/>
    <w:uiPriority w:val="30"/>
    <w:qFormat/>
    <w:rsid w:val="00A22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59F"/>
    <w:rPr>
      <w:i/>
      <w:iCs/>
      <w:color w:val="0F4761" w:themeColor="accent1" w:themeShade="BF"/>
    </w:rPr>
  </w:style>
  <w:style w:type="character" w:styleId="IntenseReference">
    <w:name w:val="Intense Reference"/>
    <w:basedOn w:val="DefaultParagraphFont"/>
    <w:uiPriority w:val="32"/>
    <w:qFormat/>
    <w:rsid w:val="00A2259F"/>
    <w:rPr>
      <w:b/>
      <w:bCs/>
      <w:smallCaps/>
      <w:color w:val="0F4761" w:themeColor="accent1" w:themeShade="BF"/>
      <w:spacing w:val="5"/>
    </w:rPr>
  </w:style>
  <w:style w:type="character" w:styleId="Hyperlink">
    <w:name w:val="Hyperlink"/>
    <w:basedOn w:val="DefaultParagraphFont"/>
    <w:uiPriority w:val="99"/>
    <w:unhideWhenUsed/>
    <w:rsid w:val="00FE2DD4"/>
    <w:rPr>
      <w:color w:val="467886" w:themeColor="hyperlink"/>
      <w:u w:val="single"/>
    </w:rPr>
  </w:style>
  <w:style w:type="character" w:styleId="UnresolvedMention">
    <w:name w:val="Unresolved Mention"/>
    <w:basedOn w:val="DefaultParagraphFont"/>
    <w:uiPriority w:val="99"/>
    <w:semiHidden/>
    <w:unhideWhenUsed/>
    <w:rsid w:val="00FE2DD4"/>
    <w:rPr>
      <w:color w:val="605E5C"/>
      <w:shd w:val="clear" w:color="auto" w:fill="E1DFDD"/>
    </w:rPr>
  </w:style>
  <w:style w:type="paragraph" w:styleId="NoSpacing">
    <w:name w:val="No Spacing"/>
    <w:link w:val="NoSpacingChar"/>
    <w:uiPriority w:val="1"/>
    <w:qFormat/>
    <w:rsid w:val="00AF738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738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037.2016.1225392" TargetMode="External"/><Relationship Id="rId13" Type="http://schemas.openxmlformats.org/officeDocument/2006/relationships/hyperlink" Target="https://doi.org/10.37547/tajas/volume05issue07-07" TargetMode="External"/><Relationship Id="rId3" Type="http://schemas.openxmlformats.org/officeDocument/2006/relationships/styles" Target="styles.xml"/><Relationship Id="rId7" Type="http://schemas.openxmlformats.org/officeDocument/2006/relationships/hyperlink" Target="https://doi.org/10.1177/00420980211014415" TargetMode="External"/><Relationship Id="rId12" Type="http://schemas.openxmlformats.org/officeDocument/2006/relationships/hyperlink" Target="https://doi.org/10.3351/ppp.0002.0003.000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016/j.trd.2020.102541" TargetMode="External"/><Relationship Id="rId11" Type="http://schemas.openxmlformats.org/officeDocument/2006/relationships/hyperlink" Target="https://doi.org/10.1177/0042098020972281"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doi.org/10.1080/00420989320081941" TargetMode="External"/><Relationship Id="rId4" Type="http://schemas.openxmlformats.org/officeDocument/2006/relationships/settings" Target="settings.xml"/><Relationship Id="rId9" Type="http://schemas.openxmlformats.org/officeDocument/2006/relationships/hyperlink" Target="https://doi.org/10.14507/epaa.29.467"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19EEBE91DC4141B22BB8897C239EA7"/>
        <w:category>
          <w:name w:val="General"/>
          <w:gallery w:val="placeholder"/>
        </w:category>
        <w:types>
          <w:type w:val="bbPlcHdr"/>
        </w:types>
        <w:behaviors>
          <w:behavior w:val="content"/>
        </w:behaviors>
        <w:guid w:val="{598A465E-B344-4342-AD5F-A1CC5B7B4A00}"/>
      </w:docPartPr>
      <w:docPartBody>
        <w:p w:rsidR="00000000" w:rsidRDefault="005B2D2F" w:rsidP="005B2D2F">
          <w:pPr>
            <w:pStyle w:val="6219EEBE91DC4141B22BB8897C239EA7"/>
          </w:pPr>
          <w:r>
            <w:rPr>
              <w:rFonts w:asciiTheme="majorHAnsi" w:eastAsiaTheme="majorEastAsia" w:hAnsiTheme="majorHAnsi" w:cstheme="majorBidi"/>
              <w:color w:val="156082" w:themeColor="accent1"/>
              <w:sz w:val="88"/>
              <w:szCs w:val="88"/>
            </w:rPr>
            <w:t>[Document title]</w:t>
          </w:r>
        </w:p>
      </w:docPartBody>
    </w:docPart>
    <w:docPart>
      <w:docPartPr>
        <w:name w:val="D07FB780FB3245488CF64512C753486C"/>
        <w:category>
          <w:name w:val="General"/>
          <w:gallery w:val="placeholder"/>
        </w:category>
        <w:types>
          <w:type w:val="bbPlcHdr"/>
        </w:types>
        <w:behaviors>
          <w:behavior w:val="content"/>
        </w:behaviors>
        <w:guid w:val="{7D46FBB0-7153-4681-AA67-BF8F4CDFDAAD}"/>
      </w:docPartPr>
      <w:docPartBody>
        <w:p w:rsidR="00000000" w:rsidRDefault="005B2D2F" w:rsidP="005B2D2F">
          <w:pPr>
            <w:pStyle w:val="D07FB780FB3245488CF64512C753486C"/>
          </w:pPr>
          <w:r>
            <w:rPr>
              <w:color w:val="156082" w:themeColor="accent1"/>
              <w:sz w:val="28"/>
              <w:szCs w:val="28"/>
            </w:rPr>
            <w:t>[Author name]</w:t>
          </w:r>
        </w:p>
      </w:docPartBody>
    </w:docPart>
    <w:docPart>
      <w:docPartPr>
        <w:name w:val="A87C5AC33AC14734AE107E5FC4693FB3"/>
        <w:category>
          <w:name w:val="General"/>
          <w:gallery w:val="placeholder"/>
        </w:category>
        <w:types>
          <w:type w:val="bbPlcHdr"/>
        </w:types>
        <w:behaviors>
          <w:behavior w:val="content"/>
        </w:behaviors>
        <w:guid w:val="{5A0A4D81-783E-42E6-90E6-4031C863BC14}"/>
      </w:docPartPr>
      <w:docPartBody>
        <w:p w:rsidR="00000000" w:rsidRDefault="005B2D2F" w:rsidP="005B2D2F">
          <w:pPr>
            <w:pStyle w:val="A87C5AC33AC14734AE107E5FC4693FB3"/>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D2F"/>
    <w:rsid w:val="00482AA9"/>
    <w:rsid w:val="005B2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647C00203B4F06825F92CCFEB835DE">
    <w:name w:val="4B647C00203B4F06825F92CCFEB835DE"/>
    <w:rsid w:val="005B2D2F"/>
  </w:style>
  <w:style w:type="paragraph" w:customStyle="1" w:styleId="6219EEBE91DC4141B22BB8897C239EA7">
    <w:name w:val="6219EEBE91DC4141B22BB8897C239EA7"/>
    <w:rsid w:val="005B2D2F"/>
  </w:style>
  <w:style w:type="paragraph" w:customStyle="1" w:styleId="67E55D2878C5416FA28A00C61BFABCC5">
    <w:name w:val="67E55D2878C5416FA28A00C61BFABCC5"/>
    <w:rsid w:val="005B2D2F"/>
  </w:style>
  <w:style w:type="paragraph" w:customStyle="1" w:styleId="D07FB780FB3245488CF64512C753486C">
    <w:name w:val="D07FB780FB3245488CF64512C753486C"/>
    <w:rsid w:val="005B2D2F"/>
  </w:style>
  <w:style w:type="paragraph" w:customStyle="1" w:styleId="A87C5AC33AC14734AE107E5FC4693FB3">
    <w:name w:val="A87C5AC33AC14734AE107E5FC4693FB3"/>
    <w:rsid w:val="005B2D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2532</Words>
  <Characters>15991</Characters>
  <Application>Microsoft Office Word</Application>
  <DocSecurity>0</DocSecurity>
  <Lines>292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Appraisal</dc:title>
  <dc:subject/>
  <dc:creator>Module: Distinctiveness and Regeneration                     Module code: BMSP4014</dc:creator>
  <cp:keywords/>
  <dc:description/>
  <cp:lastModifiedBy>Mirabela Voican (1907947)</cp:lastModifiedBy>
  <cp:revision>2</cp:revision>
  <dcterms:created xsi:type="dcterms:W3CDTF">2024-02-22T20:44:00Z</dcterms:created>
  <dcterms:modified xsi:type="dcterms:W3CDTF">2024-02-22T20:44:00Z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4873fd51-5236-4479-b84a-7edc41193b2b</vt:lpwstr>
  </property>
</Properties>
</file>