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C916F" w14:textId="77777777" w:rsidR="0043448A" w:rsidRDefault="0043448A" w:rsidP="00451DF1">
      <w:pPr>
        <w:pStyle w:val="NormalWeb"/>
        <w:rPr>
          <w:rFonts w:ascii="Arial" w:hAnsi="Arial" w:cs="Arial"/>
        </w:rPr>
      </w:pPr>
    </w:p>
    <w:p w14:paraId="26C953B9" w14:textId="77777777" w:rsidR="0043448A" w:rsidRDefault="0043448A" w:rsidP="00451DF1">
      <w:pPr>
        <w:pStyle w:val="NormalWeb"/>
        <w:rPr>
          <w:rFonts w:ascii="Arial" w:hAnsi="Arial" w:cs="Arial"/>
        </w:rPr>
      </w:pPr>
    </w:p>
    <w:p w14:paraId="7E343B5A" w14:textId="77777777" w:rsidR="0043448A" w:rsidRDefault="0043448A" w:rsidP="00451DF1">
      <w:pPr>
        <w:pStyle w:val="NormalWeb"/>
        <w:rPr>
          <w:rFonts w:ascii="Arial" w:hAnsi="Arial" w:cs="Arial"/>
        </w:rPr>
      </w:pPr>
    </w:p>
    <w:p w14:paraId="0DA24A10" w14:textId="77777777" w:rsidR="0043448A" w:rsidRDefault="0043448A" w:rsidP="00451DF1">
      <w:pPr>
        <w:pStyle w:val="NormalWeb"/>
        <w:rPr>
          <w:rFonts w:ascii="Arial" w:hAnsi="Arial" w:cs="Arial"/>
        </w:rPr>
      </w:pPr>
    </w:p>
    <w:p w14:paraId="72027748" w14:textId="77777777" w:rsidR="0043448A" w:rsidRDefault="0043448A" w:rsidP="0043448A">
      <w:pPr>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E5483C" w14:textId="77777777" w:rsidR="0043448A" w:rsidRDefault="0043448A" w:rsidP="00451DF1">
      <w:pPr>
        <w:pStyle w:val="NormalWeb"/>
        <w:rPr>
          <w:rFonts w:ascii="Arial" w:hAnsi="Arial" w:cs="Arial"/>
        </w:rPr>
      </w:pPr>
    </w:p>
    <w:p w14:paraId="7D0889E3" w14:textId="77777777" w:rsidR="0043448A" w:rsidRDefault="0043448A" w:rsidP="00451DF1">
      <w:pPr>
        <w:pStyle w:val="NormalWeb"/>
        <w:rPr>
          <w:rFonts w:ascii="Arial" w:hAnsi="Arial" w:cs="Arial"/>
        </w:rPr>
      </w:pPr>
    </w:p>
    <w:p w14:paraId="22A639BC" w14:textId="77777777" w:rsidR="0043448A" w:rsidRDefault="0043448A" w:rsidP="00451DF1">
      <w:pPr>
        <w:pStyle w:val="NormalWeb"/>
        <w:rPr>
          <w:rFonts w:ascii="Arial" w:hAnsi="Arial" w:cs="Arial"/>
        </w:rPr>
      </w:pPr>
    </w:p>
    <w:p w14:paraId="7F22512C" w14:textId="77777777" w:rsidR="0043448A" w:rsidRDefault="0043448A" w:rsidP="00451DF1">
      <w:pPr>
        <w:pStyle w:val="NormalWeb"/>
        <w:rPr>
          <w:rFonts w:ascii="Arial" w:hAnsi="Arial" w:cs="Arial"/>
        </w:rPr>
      </w:pPr>
    </w:p>
    <w:p w14:paraId="727D9D37" w14:textId="77777777" w:rsidR="0043448A" w:rsidRDefault="0043448A" w:rsidP="00451DF1">
      <w:pPr>
        <w:pStyle w:val="NormalWeb"/>
        <w:rPr>
          <w:rFonts w:ascii="Arial" w:hAnsi="Arial" w:cs="Arial"/>
        </w:rPr>
      </w:pPr>
    </w:p>
    <w:p w14:paraId="5D634993" w14:textId="77777777" w:rsidR="0043448A" w:rsidRDefault="0043448A" w:rsidP="00451DF1">
      <w:pPr>
        <w:pStyle w:val="NormalWeb"/>
        <w:rPr>
          <w:rFonts w:ascii="Arial" w:hAnsi="Arial" w:cs="Arial"/>
        </w:rPr>
      </w:pPr>
    </w:p>
    <w:p w14:paraId="3F4E18AA" w14:textId="77777777" w:rsidR="0043448A" w:rsidRDefault="0043448A" w:rsidP="00451DF1">
      <w:pPr>
        <w:pStyle w:val="NormalWeb"/>
        <w:rPr>
          <w:rFonts w:ascii="Arial" w:hAnsi="Arial" w:cs="Arial"/>
        </w:rPr>
      </w:pPr>
    </w:p>
    <w:p w14:paraId="6B87A878" w14:textId="77777777" w:rsidR="0043448A" w:rsidRDefault="0043448A" w:rsidP="00451DF1">
      <w:pPr>
        <w:pStyle w:val="NormalWeb"/>
        <w:rPr>
          <w:rFonts w:ascii="Arial" w:hAnsi="Arial" w:cs="Arial"/>
        </w:rPr>
      </w:pPr>
    </w:p>
    <w:p w14:paraId="78343DB7" w14:textId="77777777" w:rsidR="0043448A" w:rsidRDefault="0043448A" w:rsidP="00451DF1">
      <w:pPr>
        <w:pStyle w:val="NormalWeb"/>
        <w:rPr>
          <w:rFonts w:ascii="Arial" w:hAnsi="Arial" w:cs="Arial"/>
        </w:rPr>
      </w:pPr>
    </w:p>
    <w:p w14:paraId="6F583BF8" w14:textId="77777777" w:rsidR="0043448A" w:rsidRDefault="0043448A" w:rsidP="00451DF1">
      <w:pPr>
        <w:pStyle w:val="NormalWeb"/>
        <w:rPr>
          <w:rFonts w:ascii="Arial" w:hAnsi="Arial" w:cs="Arial"/>
        </w:rPr>
      </w:pPr>
    </w:p>
    <w:p w14:paraId="01B67DB4" w14:textId="77777777" w:rsidR="0043448A" w:rsidRDefault="0043448A" w:rsidP="00451DF1">
      <w:pPr>
        <w:pStyle w:val="NormalWeb"/>
        <w:rPr>
          <w:rFonts w:ascii="Arial" w:hAnsi="Arial" w:cs="Arial"/>
        </w:rPr>
      </w:pPr>
    </w:p>
    <w:p w14:paraId="33BEBFA8" w14:textId="77777777" w:rsidR="0043448A" w:rsidRDefault="0043448A" w:rsidP="00451DF1">
      <w:pPr>
        <w:pStyle w:val="NormalWeb"/>
        <w:rPr>
          <w:rFonts w:ascii="Arial" w:hAnsi="Arial" w:cs="Arial"/>
        </w:rPr>
      </w:pPr>
    </w:p>
    <w:p w14:paraId="1141E658" w14:textId="77777777" w:rsidR="0043448A" w:rsidRDefault="0043448A" w:rsidP="00451DF1">
      <w:pPr>
        <w:pStyle w:val="NormalWeb"/>
        <w:rPr>
          <w:rFonts w:ascii="Arial" w:hAnsi="Arial" w:cs="Arial"/>
        </w:rPr>
      </w:pPr>
    </w:p>
    <w:p w14:paraId="17EE3DA9" w14:textId="77777777" w:rsidR="0043448A" w:rsidRDefault="0043448A" w:rsidP="00451DF1">
      <w:pPr>
        <w:pStyle w:val="NormalWeb"/>
        <w:rPr>
          <w:rFonts w:ascii="Arial" w:hAnsi="Arial" w:cs="Arial"/>
        </w:rPr>
      </w:pPr>
    </w:p>
    <w:p w14:paraId="4C9D53D2" w14:textId="77777777" w:rsidR="0043448A" w:rsidRDefault="0043448A" w:rsidP="00451DF1">
      <w:pPr>
        <w:pStyle w:val="NormalWeb"/>
        <w:rPr>
          <w:rFonts w:ascii="Arial" w:hAnsi="Arial" w:cs="Arial"/>
        </w:rPr>
      </w:pPr>
    </w:p>
    <w:p w14:paraId="4B975C77" w14:textId="77777777" w:rsidR="0043448A" w:rsidRDefault="0043448A" w:rsidP="00451DF1">
      <w:pPr>
        <w:pStyle w:val="NormalWeb"/>
        <w:rPr>
          <w:rFonts w:ascii="Arial" w:hAnsi="Arial" w:cs="Arial"/>
        </w:rPr>
      </w:pPr>
    </w:p>
    <w:p w14:paraId="4339AD73" w14:textId="77777777" w:rsidR="0043448A" w:rsidRDefault="0043448A" w:rsidP="00451DF1">
      <w:pPr>
        <w:pStyle w:val="NormalWeb"/>
        <w:rPr>
          <w:rFonts w:ascii="Arial" w:hAnsi="Arial" w:cs="Arial"/>
        </w:rPr>
      </w:pPr>
    </w:p>
    <w:p w14:paraId="5A044E29" w14:textId="77777777" w:rsidR="0043448A" w:rsidRDefault="0043448A" w:rsidP="00451DF1">
      <w:pPr>
        <w:pStyle w:val="NormalWeb"/>
        <w:rPr>
          <w:rFonts w:ascii="Arial" w:hAnsi="Arial" w:cs="Arial"/>
        </w:rPr>
      </w:pPr>
    </w:p>
    <w:p w14:paraId="30E7C61F" w14:textId="65B9F59D" w:rsidR="00FF5BA5" w:rsidRPr="00234E4F" w:rsidRDefault="00852602" w:rsidP="00234E4F">
      <w:pPr>
        <w:pStyle w:val="NormalWeb"/>
        <w:jc w:val="center"/>
        <w:rPr>
          <w:rFonts w:ascii="Arial" w:hAnsi="Arial" w:cs="Arial"/>
          <w:b/>
          <w:bCs/>
          <w:u w:val="single"/>
        </w:rPr>
      </w:pPr>
      <w:r w:rsidRPr="00234E4F">
        <w:rPr>
          <w:rFonts w:ascii="Arial" w:hAnsi="Arial" w:cs="Arial"/>
          <w:b/>
          <w:bCs/>
          <w:u w:val="single"/>
        </w:rPr>
        <w:lastRenderedPageBreak/>
        <w:t>This essay will examine how trait theory accounts for individual differences by outlining its theoretical foundations, discussing major trait models, exploring biological influences, and evaluating empirical support and limitations.</w:t>
      </w:r>
    </w:p>
    <w:p w14:paraId="493F1E90" w14:textId="77777777" w:rsidR="00852602" w:rsidRPr="00FC1ECC" w:rsidRDefault="00852602" w:rsidP="00451DF1">
      <w:pPr>
        <w:pStyle w:val="NormalWeb"/>
        <w:rPr>
          <w:rFonts w:ascii="Arial" w:hAnsi="Arial" w:cs="Arial"/>
        </w:rPr>
      </w:pPr>
    </w:p>
    <w:p w14:paraId="2DE2E6AA" w14:textId="53F19B20" w:rsidR="00451DF1" w:rsidRPr="00C97F49" w:rsidRDefault="00451DF1" w:rsidP="00234E4F">
      <w:pPr>
        <w:pStyle w:val="NormalWeb"/>
        <w:spacing w:line="480" w:lineRule="auto"/>
        <w:ind w:right="-113" w:firstLine="284"/>
        <w:rPr>
          <w:rFonts w:asciiTheme="minorHAnsi" w:hAnsiTheme="minorHAnsi" w:cs="Arial"/>
        </w:rPr>
      </w:pPr>
      <w:r w:rsidRPr="00C97F49">
        <w:rPr>
          <w:rFonts w:asciiTheme="minorHAnsi" w:hAnsiTheme="minorHAnsi" w:cs="Arial"/>
        </w:rPr>
        <w:t xml:space="preserve">The term </w:t>
      </w:r>
      <w:r w:rsidRPr="00C97F49">
        <w:rPr>
          <w:rStyle w:val="Emphasis"/>
          <w:rFonts w:asciiTheme="minorHAnsi" w:eastAsiaTheme="majorEastAsia" w:hAnsiTheme="minorHAnsi" w:cs="Arial"/>
          <w:i w:val="0"/>
          <w:iCs w:val="0"/>
        </w:rPr>
        <w:t>personality</w:t>
      </w:r>
      <w:r w:rsidRPr="00C97F49">
        <w:rPr>
          <w:rFonts w:asciiTheme="minorHAnsi" w:hAnsiTheme="minorHAnsi" w:cs="Arial"/>
          <w:i/>
          <w:iCs/>
        </w:rPr>
        <w:t xml:space="preserve"> </w:t>
      </w:r>
      <w:r w:rsidRPr="00C97F49">
        <w:rPr>
          <w:rFonts w:asciiTheme="minorHAnsi" w:hAnsiTheme="minorHAnsi" w:cs="Arial"/>
        </w:rPr>
        <w:t>has been defined in many ways. As a psychological concept, two main meanings have evolved. The first pertains to the consistent differences that exist between people; in this sense, the study of personality focuses on classifying and explaining relatively stable psychological characteristics. The second emphasises those qualities that make all people alike and that distinguish humans from other species, directing theorists to identify regularities that define human nature and influence life outcomes. Trait theory primarily aligns with the first meaning, focusing on measurable and enduring individual differences.</w:t>
      </w:r>
    </w:p>
    <w:p w14:paraId="7DA429BA" w14:textId="77777777" w:rsidR="00852602" w:rsidRPr="00C97F49" w:rsidRDefault="00852602" w:rsidP="00234E4F">
      <w:pPr>
        <w:pStyle w:val="NormalWeb"/>
        <w:spacing w:line="480" w:lineRule="auto"/>
        <w:ind w:right="-283" w:firstLine="284"/>
        <w:rPr>
          <w:rFonts w:asciiTheme="minorHAnsi" w:hAnsiTheme="minorHAnsi" w:cs="Arial"/>
        </w:rPr>
      </w:pPr>
    </w:p>
    <w:p w14:paraId="74B7D1A2" w14:textId="2B7D119F"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Although the idea of traits </w:t>
      </w:r>
      <w:r w:rsidR="00424535" w:rsidRPr="00C97F49">
        <w:rPr>
          <w:rFonts w:asciiTheme="minorHAnsi" w:hAnsiTheme="minorHAnsi" w:cs="Arial"/>
        </w:rPr>
        <w:t>dates to</w:t>
      </w:r>
      <w:r w:rsidRPr="00C97F49">
        <w:rPr>
          <w:rFonts w:asciiTheme="minorHAnsi" w:hAnsiTheme="minorHAnsi" w:cs="Arial"/>
        </w:rPr>
        <w:t xml:space="preserve"> ancient Greece, where Hippocrates and Galen proposed that differences in behaviour were due to bodily “humours,” modern trait theory emerged in the twentieth century. It proposed that personality consists of stable, measurable characteristics that vary across individuals and influence behaviour consistently across situations, leading to predictable patterns that can be identified and measured (Allport, 1937; McCrae &amp; Costa, 1997). </w:t>
      </w:r>
    </w:p>
    <w:p w14:paraId="0E498CA5" w14:textId="77777777" w:rsidR="00852602" w:rsidRPr="00C97F49" w:rsidRDefault="00852602" w:rsidP="00234E4F">
      <w:pPr>
        <w:pStyle w:val="NormalWeb"/>
        <w:spacing w:line="480" w:lineRule="auto"/>
        <w:ind w:firstLine="284"/>
        <w:rPr>
          <w:rFonts w:asciiTheme="minorHAnsi" w:hAnsiTheme="minorHAnsi" w:cs="Arial"/>
        </w:rPr>
      </w:pPr>
    </w:p>
    <w:p w14:paraId="4AF237CD"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To understand trait theory, it is important to consider the distinction between the nomothetic and idiographic paradigms. The nomothetic approach assumes that individual differences can be described and predicted using predefined criteria or </w:t>
      </w:r>
      <w:r w:rsidRPr="00C97F49">
        <w:rPr>
          <w:rFonts w:asciiTheme="minorHAnsi" w:hAnsiTheme="minorHAnsi" w:cs="Arial"/>
        </w:rPr>
        <w:lastRenderedPageBreak/>
        <w:t>shared dimensions. It seeks general principles that apply across individuals and is associated with scientific measurement and prediction. In contrast, the idiographic paradigm assumes that individuals are unique and cannot be fully described using the same concepts or terms (Chamorro-</w:t>
      </w:r>
      <w:proofErr w:type="spellStart"/>
      <w:r w:rsidRPr="00C97F49">
        <w:rPr>
          <w:rFonts w:asciiTheme="minorHAnsi" w:hAnsiTheme="minorHAnsi" w:cs="Arial"/>
        </w:rPr>
        <w:t>Premuzic</w:t>
      </w:r>
      <w:proofErr w:type="spellEnd"/>
      <w:r w:rsidRPr="00C97F49">
        <w:rPr>
          <w:rFonts w:asciiTheme="minorHAnsi" w:hAnsiTheme="minorHAnsi" w:cs="Arial"/>
        </w:rPr>
        <w:t>, 2015). Trait theory adopts a largely nomothetic approach, aiming to measure and compare individuals along common personality dimensions.</w:t>
      </w:r>
    </w:p>
    <w:p w14:paraId="7E2C5D78" w14:textId="77777777" w:rsidR="00852602" w:rsidRPr="00C97F49" w:rsidRDefault="00852602" w:rsidP="00234E4F">
      <w:pPr>
        <w:pStyle w:val="NormalWeb"/>
        <w:spacing w:line="480" w:lineRule="auto"/>
        <w:ind w:firstLine="284"/>
        <w:rPr>
          <w:rFonts w:asciiTheme="minorHAnsi" w:hAnsiTheme="minorHAnsi" w:cs="Arial"/>
        </w:rPr>
      </w:pPr>
    </w:p>
    <w:p w14:paraId="4953885E"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A related distinction exists between the dispositional and situational approaches. The dispositional approach views personality as composed of stable internal traits that influence behaviour regardless of context, whereas the situational approach argues that behaviour is shaped primarily by environmental factors. Trait theorists maintain that while situations may influence behaviour, underlying dispositions remain relatively stable and measurable. This emphasis on stability is central to how trait theory explains individual differences.</w:t>
      </w:r>
    </w:p>
    <w:p w14:paraId="44B94602" w14:textId="77777777" w:rsidR="00852602" w:rsidRPr="00C97F49" w:rsidRDefault="00852602" w:rsidP="00234E4F">
      <w:pPr>
        <w:pStyle w:val="NormalWeb"/>
        <w:spacing w:line="480" w:lineRule="auto"/>
        <w:ind w:firstLine="284"/>
        <w:rPr>
          <w:rFonts w:asciiTheme="minorHAnsi" w:hAnsiTheme="minorHAnsi" w:cs="Arial"/>
        </w:rPr>
      </w:pPr>
    </w:p>
    <w:p w14:paraId="24A35046"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One of the earliest influential trait theorists was Gordon Allport. Allport (1937) proposed that personality is composed of traits that determine consistent patterns of thought, feeling and behaviour. His approach was considered revolutionary because it emphasised both measurable traits and individual uniqueness. Allport distinguished between </w:t>
      </w:r>
      <w:r w:rsidRPr="00C97F49">
        <w:rPr>
          <w:rStyle w:val="Emphasis"/>
          <w:rFonts w:asciiTheme="minorHAnsi" w:eastAsiaTheme="majorEastAsia" w:hAnsiTheme="minorHAnsi" w:cs="Arial"/>
        </w:rPr>
        <w:t>common traits</w:t>
      </w:r>
      <w:r w:rsidRPr="00C97F49">
        <w:rPr>
          <w:rFonts w:asciiTheme="minorHAnsi" w:hAnsiTheme="minorHAnsi" w:cs="Arial"/>
        </w:rPr>
        <w:t xml:space="preserve">, which are shared across people and allow comparison, and </w:t>
      </w:r>
      <w:r w:rsidRPr="00C97F49">
        <w:rPr>
          <w:rStyle w:val="Emphasis"/>
          <w:rFonts w:asciiTheme="minorHAnsi" w:eastAsiaTheme="majorEastAsia" w:hAnsiTheme="minorHAnsi" w:cs="Arial"/>
        </w:rPr>
        <w:t>personal traits</w:t>
      </w:r>
      <w:r w:rsidRPr="00C97F49">
        <w:rPr>
          <w:rFonts w:asciiTheme="minorHAnsi" w:hAnsiTheme="minorHAnsi" w:cs="Arial"/>
        </w:rPr>
        <w:t xml:space="preserve">, which are unique to the individual and shaped by life experiences. This </w:t>
      </w:r>
      <w:r w:rsidRPr="00C97F49">
        <w:rPr>
          <w:rFonts w:asciiTheme="minorHAnsi" w:hAnsiTheme="minorHAnsi" w:cs="Arial"/>
        </w:rPr>
        <w:lastRenderedPageBreak/>
        <w:t>distinction allowed trait theory to acknowledge both measurable dimensions and personal individuality.</w:t>
      </w:r>
    </w:p>
    <w:p w14:paraId="5CB01975" w14:textId="77777777" w:rsidR="00852602" w:rsidRPr="00C97F49" w:rsidRDefault="00852602" w:rsidP="00234E4F">
      <w:pPr>
        <w:pStyle w:val="NormalWeb"/>
        <w:spacing w:line="480" w:lineRule="auto"/>
        <w:ind w:firstLine="284"/>
        <w:rPr>
          <w:rFonts w:asciiTheme="minorHAnsi" w:hAnsiTheme="minorHAnsi" w:cs="Arial"/>
        </w:rPr>
      </w:pPr>
    </w:p>
    <w:p w14:paraId="284B43E8" w14:textId="1D77DD09"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Allport (1963) also proposed three hierarchical levels of traits: cardinal, central and secondary. Cardinal traits dominate an individual’s personality and influence most behaviour; central traits describe general characteristics such as honesty or sociability; and secondary traits refer to preferences or attitudes that are less consistent and more </w:t>
      </w:r>
      <w:r w:rsidR="005009DD" w:rsidRPr="00C97F49">
        <w:rPr>
          <w:rFonts w:asciiTheme="minorHAnsi" w:hAnsiTheme="minorHAnsi" w:cs="Arial"/>
        </w:rPr>
        <w:t>context dependent</w:t>
      </w:r>
      <w:r w:rsidRPr="00C97F49">
        <w:rPr>
          <w:rFonts w:asciiTheme="minorHAnsi" w:hAnsiTheme="minorHAnsi" w:cs="Arial"/>
        </w:rPr>
        <w:t>. Through this structure, Allport demonstrated how personality could be organised systematically while recognising variation in influence. However, his theory has been criticised for being difficult to test empirically and challenging to apply in large-scale population research, as the emphasis on uniqueness complicates measurement.</w:t>
      </w:r>
    </w:p>
    <w:p w14:paraId="6742DE52" w14:textId="77777777" w:rsidR="00852602" w:rsidRPr="00C97F49" w:rsidRDefault="00852602" w:rsidP="00234E4F">
      <w:pPr>
        <w:pStyle w:val="NormalWeb"/>
        <w:spacing w:line="480" w:lineRule="auto"/>
        <w:ind w:firstLine="284"/>
        <w:rPr>
          <w:rFonts w:asciiTheme="minorHAnsi" w:hAnsiTheme="minorHAnsi" w:cs="Arial"/>
        </w:rPr>
      </w:pPr>
    </w:p>
    <w:p w14:paraId="6A78D0C7" w14:textId="3AD833B2"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Building on Allport’s work, Raymond Cattell adopted a more statistical approach. Using factor analysis, Cattell identified </w:t>
      </w:r>
      <w:r w:rsidRPr="00C97F49">
        <w:rPr>
          <w:rStyle w:val="Emphasis"/>
          <w:rFonts w:asciiTheme="minorHAnsi" w:eastAsiaTheme="majorEastAsia" w:hAnsiTheme="minorHAnsi" w:cs="Arial"/>
        </w:rPr>
        <w:t>surface traits</w:t>
      </w:r>
      <w:r w:rsidRPr="00C97F49">
        <w:rPr>
          <w:rFonts w:asciiTheme="minorHAnsi" w:hAnsiTheme="minorHAnsi" w:cs="Arial"/>
        </w:rPr>
        <w:t xml:space="preserve">, which are observable clusters of behaviours, and </w:t>
      </w:r>
      <w:r w:rsidRPr="00C97F49">
        <w:rPr>
          <w:rStyle w:val="Emphasis"/>
          <w:rFonts w:asciiTheme="minorHAnsi" w:eastAsiaTheme="majorEastAsia" w:hAnsiTheme="minorHAnsi" w:cs="Arial"/>
        </w:rPr>
        <w:t>source traits</w:t>
      </w:r>
      <w:r w:rsidRPr="00C97F49">
        <w:rPr>
          <w:rFonts w:asciiTheme="minorHAnsi" w:hAnsiTheme="minorHAnsi" w:cs="Arial"/>
        </w:rPr>
        <w:t>, which represent the underlying structures of personality (Hall &amp; Lindzey, 1978). Cattell believed that every aspect of personality could be described using existing language, an assumption known as the lexical hypothesis (Chamorro-</w:t>
      </w:r>
      <w:proofErr w:type="spellStart"/>
      <w:r w:rsidRPr="00C97F49">
        <w:rPr>
          <w:rFonts w:asciiTheme="minorHAnsi" w:hAnsiTheme="minorHAnsi" w:cs="Arial"/>
        </w:rPr>
        <w:t>Premuzic</w:t>
      </w:r>
      <w:proofErr w:type="spellEnd"/>
      <w:r w:rsidRPr="00C97F49">
        <w:rPr>
          <w:rFonts w:asciiTheme="minorHAnsi" w:hAnsiTheme="minorHAnsi" w:cs="Arial"/>
        </w:rPr>
        <w:t>, 2015). From his analys</w:t>
      </w:r>
      <w:r w:rsidR="00B323D8" w:rsidRPr="00C97F49">
        <w:rPr>
          <w:rFonts w:asciiTheme="minorHAnsi" w:hAnsiTheme="minorHAnsi" w:cs="Arial"/>
        </w:rPr>
        <w:t>is</w:t>
      </w:r>
      <w:r w:rsidRPr="00C97F49">
        <w:rPr>
          <w:rFonts w:asciiTheme="minorHAnsi" w:hAnsiTheme="minorHAnsi" w:cs="Arial"/>
        </w:rPr>
        <w:t>, he developed the Sixteen Personality Factor Questionnaire (16PF), designed to measure sixteen source traits.</w:t>
      </w:r>
    </w:p>
    <w:p w14:paraId="44181D8E" w14:textId="77777777" w:rsidR="00852602" w:rsidRPr="00C97F49" w:rsidRDefault="00852602" w:rsidP="00234E4F">
      <w:pPr>
        <w:pStyle w:val="NormalWeb"/>
        <w:spacing w:line="480" w:lineRule="auto"/>
        <w:ind w:firstLine="284"/>
        <w:rPr>
          <w:rFonts w:asciiTheme="minorHAnsi" w:hAnsiTheme="minorHAnsi" w:cs="Arial"/>
        </w:rPr>
      </w:pPr>
    </w:p>
    <w:p w14:paraId="37EE56A8"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lastRenderedPageBreak/>
        <w:t>The 16PF has been widely used in educational, occupational and clinical settings to identify strengths, guide teaching practices and assess personality characteristics. Cattell’s contribution was significant because it provided a systematic and empirical method of measuring individual differences. However, criticism emerged regarding replication difficulties and concerns that sixteen factors were too broad or unstable across studies. Despite these limitations, Cattell’s use of factor analysis influenced later developments in personality research.</w:t>
      </w:r>
    </w:p>
    <w:p w14:paraId="6D22FBE4" w14:textId="77777777" w:rsidR="00852602" w:rsidRPr="00C97F49" w:rsidRDefault="00852602" w:rsidP="00234E4F">
      <w:pPr>
        <w:pStyle w:val="NormalWeb"/>
        <w:spacing w:line="480" w:lineRule="auto"/>
        <w:ind w:firstLine="284"/>
        <w:rPr>
          <w:rFonts w:asciiTheme="minorHAnsi" w:hAnsiTheme="minorHAnsi" w:cs="Arial"/>
        </w:rPr>
      </w:pPr>
    </w:p>
    <w:p w14:paraId="4D7F483E"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Hans Eysenck proposed a more parsimonious model. Initially, he identified two major dimensions: extraversion–introversion and neuroticism–stability (Eysenck, 1967). Later, he added psychoticism as a third dimension. Eysenck argued that these traits have a biological basis, suggesting that differences in cortical arousal and autonomic nervous system reactivity explain variations in behaviour. According to Eysenck, extraverts possess lower baseline cortical arousal and therefore seek stimulation, whereas introverts avoid excessive stimulation. His theory integrated both nature and nurture, proposing that biological predispositions interact with conditioning and socialisation during development.</w:t>
      </w:r>
    </w:p>
    <w:p w14:paraId="156041AB" w14:textId="77777777" w:rsidR="00FC1ECC" w:rsidRPr="00C97F49" w:rsidRDefault="00FC1ECC" w:rsidP="00234E4F">
      <w:pPr>
        <w:pStyle w:val="NormalWeb"/>
        <w:spacing w:line="480" w:lineRule="auto"/>
        <w:ind w:firstLine="284"/>
        <w:rPr>
          <w:rFonts w:asciiTheme="minorHAnsi" w:hAnsiTheme="minorHAnsi" w:cs="Arial"/>
        </w:rPr>
      </w:pPr>
    </w:p>
    <w:p w14:paraId="27034ADE" w14:textId="0605537B"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Eysenck’s model strengthened trait theory by introducing biological explanations for individual differences. However, critics argued that his three-factor model was too narrow to capture the complexity of personality. This debate between broad and narrow trait models contributed to the emergence of a more integrative framework.</w:t>
      </w:r>
    </w:p>
    <w:p w14:paraId="66DDCBC0" w14:textId="77777777" w:rsidR="00FC1ECC" w:rsidRPr="00C97F49" w:rsidRDefault="00FC1ECC" w:rsidP="00234E4F">
      <w:pPr>
        <w:pStyle w:val="NormalWeb"/>
        <w:spacing w:line="480" w:lineRule="auto"/>
        <w:ind w:firstLine="284"/>
        <w:rPr>
          <w:rFonts w:asciiTheme="minorHAnsi" w:hAnsiTheme="minorHAnsi" w:cs="Arial"/>
        </w:rPr>
      </w:pPr>
    </w:p>
    <w:p w14:paraId="445BE00B"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The late twentieth and early twenty-first centuries saw the rise of the Five-Factor Model, commonly known as the Big Five (Costa &amp; McCrae, 1992). This framework proposes five broad dimensions: openness to experience, conscientiousness, extraversion, agreeableness and neuroticism. These traits describe patterns of behaviour, emotion and cognition and are measured along continua. The Big Five model is widely regarded as a robust and empirically supported structure of personality (Funder, 2001).</w:t>
      </w:r>
    </w:p>
    <w:p w14:paraId="6A1833E1" w14:textId="77777777" w:rsidR="00852602" w:rsidRPr="00C97F49" w:rsidRDefault="00852602" w:rsidP="00234E4F">
      <w:pPr>
        <w:pStyle w:val="NormalWeb"/>
        <w:spacing w:line="480" w:lineRule="auto"/>
        <w:ind w:firstLine="284"/>
        <w:rPr>
          <w:rFonts w:asciiTheme="minorHAnsi" w:hAnsiTheme="minorHAnsi" w:cs="Arial"/>
        </w:rPr>
      </w:pPr>
    </w:p>
    <w:p w14:paraId="13AEE515" w14:textId="77777777" w:rsidR="00451DF1"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Research demonstrates that the Big Five traits are relatively stable across the lifespan, although some developmental changes occur. For example, conscientiousness tends to increase from young adulthood into middle age (Donnellan &amp; Lucas, 2008), and agreeableness often increases with age (Terracciano et al., 2005). Studies have also found positive correlations between conscientiousness and academic success (Chamorro-</w:t>
      </w:r>
      <w:proofErr w:type="spellStart"/>
      <w:r w:rsidRPr="00C97F49">
        <w:rPr>
          <w:rFonts w:asciiTheme="minorHAnsi" w:hAnsiTheme="minorHAnsi" w:cs="Arial"/>
        </w:rPr>
        <w:t>Premuzic</w:t>
      </w:r>
      <w:proofErr w:type="spellEnd"/>
      <w:r w:rsidRPr="00C97F49">
        <w:rPr>
          <w:rFonts w:asciiTheme="minorHAnsi" w:hAnsiTheme="minorHAnsi" w:cs="Arial"/>
        </w:rPr>
        <w:t xml:space="preserve"> &amp; Furnham, 2008; Noftle &amp; Robins, 2007). Furthermore, cross-cultural research suggests that the Big Five traits are observable across diverse populations and have substantial genetic components (Jang et al., 1996; McCrae &amp; Costa, 1997; Schmitt et al., 2007).</w:t>
      </w:r>
    </w:p>
    <w:p w14:paraId="1DB9063D" w14:textId="77777777" w:rsidR="00852602" w:rsidRPr="00C97F49" w:rsidRDefault="00852602" w:rsidP="00234E4F">
      <w:pPr>
        <w:pStyle w:val="NormalWeb"/>
        <w:spacing w:line="480" w:lineRule="auto"/>
        <w:ind w:firstLine="284"/>
        <w:rPr>
          <w:rFonts w:asciiTheme="minorHAnsi" w:hAnsiTheme="minorHAnsi" w:cs="Arial"/>
        </w:rPr>
      </w:pPr>
    </w:p>
    <w:p w14:paraId="1E3F488C" w14:textId="21FD4C3E" w:rsidR="00856B6D" w:rsidRP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 xml:space="preserve">The Big Five accounts for individual differences by proposing that all individuals possess these five dimensions but vary in degree. Standardised inventories such as the </w:t>
      </w:r>
      <w:r w:rsidRPr="00C97F49">
        <w:rPr>
          <w:rFonts w:asciiTheme="minorHAnsi" w:hAnsiTheme="minorHAnsi" w:cs="Arial"/>
        </w:rPr>
        <w:lastRenderedPageBreak/>
        <w:t>Big Five Inventory (BFI) allow researchers to quantify these differences, supporting the nomothetic aim of measurement and comparison. The integration of genetic and cross-cultural evidence strengthens the claim that personality traits represent enduring and biologically influenced dimensions of human variation.</w:t>
      </w:r>
      <w:r w:rsidR="00856B6D" w:rsidRPr="00C97F49">
        <w:rPr>
          <w:rFonts w:asciiTheme="minorHAnsi" w:hAnsiTheme="minorHAnsi" w:cs="Arial"/>
        </w:rPr>
        <w:t xml:space="preserve">                         </w:t>
      </w:r>
      <w:r w:rsidR="006862D5" w:rsidRPr="00C97F49">
        <w:rPr>
          <w:rFonts w:asciiTheme="minorHAnsi" w:hAnsiTheme="minorHAnsi" w:cs="Arial"/>
        </w:rPr>
        <w:t xml:space="preserve">                                                                              </w:t>
      </w:r>
      <w:r w:rsidR="00856B6D" w:rsidRPr="00C97F49">
        <w:rPr>
          <w:rFonts w:asciiTheme="minorHAnsi" w:hAnsiTheme="minorHAnsi" w:cs="Arial"/>
        </w:rPr>
        <w:t xml:space="preserve"> This strength demonstrates that trait theory provides a scientifically measurable approach to personality, allowing researchers to compare individuals across populations and predict behavioural tendencies with reasonable reliability. However, although trait models are useful for classification and prediction, they may oversimplify human behaviour by reducing complex psychological processes into numerical dimensions. Therefore, while trait theory offers a structured explanation of individual differences, it may oversimplify the complexity and fluidity of human behaviour.</w:t>
      </w:r>
    </w:p>
    <w:p w14:paraId="1DBA0176" w14:textId="77777777" w:rsidR="00852602" w:rsidRPr="00C97F49" w:rsidRDefault="00852602" w:rsidP="00234E4F">
      <w:pPr>
        <w:pStyle w:val="NormalWeb"/>
        <w:spacing w:line="480" w:lineRule="auto"/>
        <w:ind w:firstLine="284"/>
        <w:rPr>
          <w:rFonts w:asciiTheme="minorHAnsi" w:hAnsiTheme="minorHAnsi" w:cs="Arial"/>
        </w:rPr>
      </w:pPr>
    </w:p>
    <w:p w14:paraId="379D8109" w14:textId="77777777" w:rsidR="00C97F49" w:rsidRDefault="00451DF1" w:rsidP="00234E4F">
      <w:pPr>
        <w:pStyle w:val="NormalWeb"/>
        <w:spacing w:line="480" w:lineRule="auto"/>
        <w:ind w:firstLine="284"/>
        <w:rPr>
          <w:rFonts w:asciiTheme="minorHAnsi" w:hAnsiTheme="minorHAnsi" w:cs="Arial"/>
        </w:rPr>
      </w:pPr>
      <w:r w:rsidRPr="00C97F49">
        <w:rPr>
          <w:rFonts w:asciiTheme="minorHAnsi" w:hAnsiTheme="minorHAnsi" w:cs="Arial"/>
        </w:rPr>
        <w:t>Despite its empirical strength, trait theory faces criticism. Factor analysis reduces complex human behaviour into statistical dimensions, potentially overlooking contextual and situational influences. Critics argue that trait models describe behaviour but do not fully explain why personality develops in ways or how situational factors may override dispositional tendencies. Additionally, debates persist regarding the optimal number of traits and the limitations of self-report measures.</w:t>
      </w:r>
      <w:r w:rsidR="00C97F49">
        <w:rPr>
          <w:rFonts w:asciiTheme="minorHAnsi" w:hAnsiTheme="minorHAnsi" w:cs="Arial"/>
        </w:rPr>
        <w:t xml:space="preserve">                        </w:t>
      </w:r>
      <w:r w:rsidRPr="00C97F49">
        <w:rPr>
          <w:rFonts w:asciiTheme="minorHAnsi" w:hAnsiTheme="minorHAnsi" w:cs="Arial"/>
        </w:rPr>
        <w:t>Nevertheless, trait theory remains one of the most influential approaches in personality psychology. It provides a structured framework for analysing behaviour, predicting life outcomes and measuring psychological characteristics across populations. By conceptualising personality as stable and measurable, trait theory offers a coherent account of how individuals differ from one another.</w:t>
      </w:r>
    </w:p>
    <w:p w14:paraId="3B9C0064" w14:textId="77777777" w:rsidR="00C97F49" w:rsidRDefault="00C97F49" w:rsidP="00234E4F">
      <w:pPr>
        <w:pStyle w:val="NormalWeb"/>
        <w:spacing w:line="480" w:lineRule="auto"/>
        <w:ind w:firstLine="284"/>
        <w:rPr>
          <w:rFonts w:asciiTheme="minorHAnsi" w:hAnsiTheme="minorHAnsi" w:cs="Arial"/>
        </w:rPr>
      </w:pPr>
    </w:p>
    <w:p w14:paraId="0F3DF6A2" w14:textId="306C08D7" w:rsidR="00451DF1" w:rsidRPr="00C97F49" w:rsidRDefault="002B5D14" w:rsidP="00234E4F">
      <w:pPr>
        <w:pStyle w:val="NormalWeb"/>
        <w:spacing w:line="480" w:lineRule="auto"/>
        <w:ind w:firstLine="284"/>
        <w:rPr>
          <w:rFonts w:asciiTheme="minorHAnsi" w:hAnsiTheme="minorHAnsi" w:cs="Arial"/>
        </w:rPr>
      </w:pPr>
      <w:r w:rsidRPr="00C97F49">
        <w:rPr>
          <w:rFonts w:asciiTheme="minorHAnsi" w:hAnsiTheme="minorHAnsi" w:cs="Arial"/>
        </w:rPr>
        <w:t>In conclusion, throughout history there have been many attempts to define personality and individual differences, with most theorists and psychologists agreeing that individuals can be described by their personality traits. Whilst trait theory provides a structured framework which attempts to analyse behaviour and predict outcomes, and has been supported by empirical research, it does not fully take into consideration the uniqueness of individuals, nor is it able to determine why individuals change over the course of their lifetime. From Allport’s emphasis on individual traits, to Cattell’s statistical refinement and Eysenck’s biological explanations, and finally the Big Five’s broad framework, trait theory has developed into an increasingly systematic approach to measuring personality. However, this development also highlights an ongoing tension between measurement and meaning, suggesting that although trait theory is strong in comparing individuals, it is less successful in explaining the complexity and fluidity of personality. Therefore, trait theory accounts for individual differences by identifying stable patterns of traits, but it may oversimplify the deeper processes that shape human behaviour.</w:t>
      </w:r>
    </w:p>
    <w:p w14:paraId="50A27CCA" w14:textId="77777777" w:rsidR="00451DF1" w:rsidRPr="00C97F49" w:rsidRDefault="00451DF1">
      <w:pPr>
        <w:rPr>
          <w:rFonts w:cs="Times New Roman"/>
        </w:rPr>
      </w:pPr>
    </w:p>
    <w:p w14:paraId="2C503AA9" w14:textId="77777777" w:rsidR="00451DF1" w:rsidRPr="00C97F49" w:rsidRDefault="00451DF1">
      <w:pPr>
        <w:rPr>
          <w:rFonts w:cs="Times New Roman"/>
        </w:rPr>
      </w:pPr>
    </w:p>
    <w:p w14:paraId="6D5ADF03" w14:textId="77777777" w:rsidR="00451DF1" w:rsidRPr="00C97F49" w:rsidRDefault="00451DF1">
      <w:pPr>
        <w:rPr>
          <w:rFonts w:cs="Times New Roman"/>
        </w:rPr>
      </w:pPr>
    </w:p>
    <w:p w14:paraId="3EA1F41B" w14:textId="77777777" w:rsidR="00451DF1" w:rsidRPr="00C97F49" w:rsidRDefault="00451DF1">
      <w:pPr>
        <w:rPr>
          <w:rFonts w:cs="Times New Roman"/>
        </w:rPr>
      </w:pPr>
    </w:p>
    <w:p w14:paraId="57E80AFF" w14:textId="77777777" w:rsidR="00852602" w:rsidRPr="00C97F49" w:rsidRDefault="00852602" w:rsidP="00451DF1">
      <w:pPr>
        <w:spacing w:before="100" w:beforeAutospacing="1" w:after="100" w:afterAutospacing="1" w:line="240" w:lineRule="auto"/>
        <w:outlineLvl w:val="0"/>
        <w:rPr>
          <w:rFonts w:eastAsia="Times New Roman" w:cs="Arial"/>
          <w:b/>
          <w:bCs/>
          <w:kern w:val="36"/>
          <w:u w:val="single"/>
          <w:lang w:eastAsia="en-GB"/>
          <w14:ligatures w14:val="none"/>
        </w:rPr>
      </w:pPr>
    </w:p>
    <w:p w14:paraId="092D29E9" w14:textId="77777777" w:rsidR="00C97F49" w:rsidRDefault="00C97F49" w:rsidP="00451DF1">
      <w:pPr>
        <w:spacing w:before="100" w:beforeAutospacing="1" w:after="100" w:afterAutospacing="1" w:line="240" w:lineRule="auto"/>
        <w:outlineLvl w:val="0"/>
        <w:rPr>
          <w:rFonts w:eastAsia="Times New Roman" w:cs="Arial"/>
          <w:b/>
          <w:bCs/>
          <w:kern w:val="36"/>
          <w:u w:val="single"/>
          <w:lang w:eastAsia="en-GB"/>
          <w14:ligatures w14:val="none"/>
        </w:rPr>
      </w:pPr>
    </w:p>
    <w:p w14:paraId="2E2457CE" w14:textId="77777777" w:rsidR="00234E4F" w:rsidRDefault="00234E4F" w:rsidP="00451DF1">
      <w:pPr>
        <w:spacing w:before="100" w:beforeAutospacing="1" w:after="100" w:afterAutospacing="1" w:line="240" w:lineRule="auto"/>
        <w:outlineLvl w:val="0"/>
        <w:rPr>
          <w:rFonts w:ascii="Arial" w:eastAsia="Times New Roman" w:hAnsi="Arial" w:cs="Arial"/>
          <w:b/>
          <w:bCs/>
          <w:kern w:val="36"/>
          <w:u w:val="single"/>
          <w:lang w:eastAsia="en-GB"/>
          <w14:ligatures w14:val="none"/>
        </w:rPr>
      </w:pPr>
    </w:p>
    <w:p w14:paraId="772C2FBD" w14:textId="60D0323E" w:rsidR="00451DF1" w:rsidRPr="00451DF1" w:rsidRDefault="00451DF1" w:rsidP="00451DF1">
      <w:pPr>
        <w:spacing w:before="100" w:beforeAutospacing="1" w:after="100" w:afterAutospacing="1" w:line="240" w:lineRule="auto"/>
        <w:outlineLvl w:val="0"/>
        <w:rPr>
          <w:rFonts w:ascii="Arial" w:eastAsia="Times New Roman" w:hAnsi="Arial" w:cs="Arial"/>
          <w:b/>
          <w:bCs/>
          <w:kern w:val="36"/>
          <w:u w:val="single"/>
          <w:lang w:eastAsia="en-GB"/>
          <w14:ligatures w14:val="none"/>
        </w:rPr>
      </w:pPr>
      <w:r w:rsidRPr="00451DF1">
        <w:rPr>
          <w:rFonts w:ascii="Arial" w:eastAsia="Times New Roman" w:hAnsi="Arial" w:cs="Arial"/>
          <w:b/>
          <w:bCs/>
          <w:kern w:val="36"/>
          <w:u w:val="single"/>
          <w:lang w:eastAsia="en-GB"/>
          <w14:ligatures w14:val="none"/>
        </w:rPr>
        <w:lastRenderedPageBreak/>
        <w:t xml:space="preserve">References </w:t>
      </w:r>
    </w:p>
    <w:p w14:paraId="75306988"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Allport, G. W. (1937). </w:t>
      </w:r>
      <w:r w:rsidRPr="00451DF1">
        <w:rPr>
          <w:rFonts w:ascii="Times New Roman" w:eastAsia="Times New Roman" w:hAnsi="Times New Roman" w:cs="Times New Roman"/>
          <w:i/>
          <w:iCs/>
          <w:kern w:val="0"/>
          <w:lang w:eastAsia="en-GB"/>
          <w14:ligatures w14:val="none"/>
        </w:rPr>
        <w:t>Personality: A psychological interpretation</w:t>
      </w:r>
      <w:r w:rsidRPr="00451DF1">
        <w:rPr>
          <w:rFonts w:ascii="Times New Roman" w:eastAsia="Times New Roman" w:hAnsi="Times New Roman" w:cs="Times New Roman"/>
          <w:kern w:val="0"/>
          <w:lang w:eastAsia="en-GB"/>
          <w14:ligatures w14:val="none"/>
        </w:rPr>
        <w:t>. Holt.</w:t>
      </w:r>
    </w:p>
    <w:p w14:paraId="5D4D7A9E" w14:textId="77777777" w:rsid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Allport, G. W. (1963). </w:t>
      </w:r>
      <w:r w:rsidRPr="00451DF1">
        <w:rPr>
          <w:rFonts w:ascii="Times New Roman" w:eastAsia="Times New Roman" w:hAnsi="Times New Roman" w:cs="Times New Roman"/>
          <w:i/>
          <w:iCs/>
          <w:kern w:val="0"/>
          <w:lang w:eastAsia="en-GB"/>
          <w14:ligatures w14:val="none"/>
        </w:rPr>
        <w:t>Pattern and growth in personality</w:t>
      </w:r>
      <w:r w:rsidRPr="00451DF1">
        <w:rPr>
          <w:rFonts w:ascii="Times New Roman" w:eastAsia="Times New Roman" w:hAnsi="Times New Roman" w:cs="Times New Roman"/>
          <w:kern w:val="0"/>
          <w:lang w:eastAsia="en-GB"/>
          <w14:ligatures w14:val="none"/>
        </w:rPr>
        <w:t>. Holt, Rinehart &amp; Winston.</w:t>
      </w:r>
    </w:p>
    <w:p w14:paraId="7F0BAFAD" w14:textId="79A50B5C" w:rsidR="007D0A2E" w:rsidRDefault="007D0A2E" w:rsidP="00234E4F">
      <w:pPr>
        <w:pStyle w:val="NormalWeb"/>
        <w:spacing w:line="480" w:lineRule="auto"/>
        <w:ind w:left="284" w:hanging="284"/>
      </w:pPr>
      <w:r>
        <w:t xml:space="preserve">Bunnett, E. R. (2020). 16PF, correlates of. In </w:t>
      </w:r>
      <w:r>
        <w:rPr>
          <w:rStyle w:val="Emphasis"/>
          <w:rFonts w:eastAsiaTheme="majorEastAsia"/>
        </w:rPr>
        <w:t xml:space="preserve">Wiley </w:t>
      </w:r>
      <w:r w:rsidR="00AE2D7A">
        <w:rPr>
          <w:rStyle w:val="Emphasis"/>
          <w:rFonts w:eastAsiaTheme="majorEastAsia"/>
        </w:rPr>
        <w:t>encyclopaedia</w:t>
      </w:r>
      <w:r>
        <w:rPr>
          <w:rStyle w:val="Emphasis"/>
          <w:rFonts w:eastAsiaTheme="majorEastAsia"/>
        </w:rPr>
        <w:t xml:space="preserve"> of personality and individual differences</w:t>
      </w:r>
      <w:r>
        <w:t>. https://doi.org/10.1002/9781119547174.ch249</w:t>
      </w:r>
    </w:p>
    <w:p w14:paraId="0065F51D"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Chamorro-</w:t>
      </w:r>
      <w:proofErr w:type="spellStart"/>
      <w:r w:rsidRPr="00451DF1">
        <w:rPr>
          <w:rFonts w:ascii="Times New Roman" w:eastAsia="Times New Roman" w:hAnsi="Times New Roman" w:cs="Times New Roman"/>
          <w:kern w:val="0"/>
          <w:lang w:eastAsia="en-GB"/>
          <w14:ligatures w14:val="none"/>
        </w:rPr>
        <w:t>Premuzic</w:t>
      </w:r>
      <w:proofErr w:type="spellEnd"/>
      <w:r w:rsidRPr="00451DF1">
        <w:rPr>
          <w:rFonts w:ascii="Times New Roman" w:eastAsia="Times New Roman" w:hAnsi="Times New Roman" w:cs="Times New Roman"/>
          <w:kern w:val="0"/>
          <w:lang w:eastAsia="en-GB"/>
          <w14:ligatures w14:val="none"/>
        </w:rPr>
        <w:t xml:space="preserve">, T. (2015). </w:t>
      </w:r>
      <w:r w:rsidRPr="00451DF1">
        <w:rPr>
          <w:rFonts w:ascii="Times New Roman" w:eastAsia="Times New Roman" w:hAnsi="Times New Roman" w:cs="Times New Roman"/>
          <w:i/>
          <w:iCs/>
          <w:kern w:val="0"/>
          <w:lang w:eastAsia="en-GB"/>
          <w14:ligatures w14:val="none"/>
        </w:rPr>
        <w:t>Personality and individual differences</w:t>
      </w:r>
      <w:r w:rsidRPr="00451DF1">
        <w:rPr>
          <w:rFonts w:ascii="Times New Roman" w:eastAsia="Times New Roman" w:hAnsi="Times New Roman" w:cs="Times New Roman"/>
          <w:kern w:val="0"/>
          <w:lang w:eastAsia="en-GB"/>
          <w14:ligatures w14:val="none"/>
        </w:rPr>
        <w:t xml:space="preserve"> (3rd ed.). Wiley-Blackwell.</w:t>
      </w:r>
    </w:p>
    <w:p w14:paraId="62791AB9"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Chamorro-</w:t>
      </w:r>
      <w:proofErr w:type="spellStart"/>
      <w:r w:rsidRPr="00451DF1">
        <w:rPr>
          <w:rFonts w:ascii="Times New Roman" w:eastAsia="Times New Roman" w:hAnsi="Times New Roman" w:cs="Times New Roman"/>
          <w:kern w:val="0"/>
          <w:lang w:eastAsia="en-GB"/>
          <w14:ligatures w14:val="none"/>
        </w:rPr>
        <w:t>Premuzic</w:t>
      </w:r>
      <w:proofErr w:type="spellEnd"/>
      <w:r w:rsidRPr="00451DF1">
        <w:rPr>
          <w:rFonts w:ascii="Times New Roman" w:eastAsia="Times New Roman" w:hAnsi="Times New Roman" w:cs="Times New Roman"/>
          <w:kern w:val="0"/>
          <w:lang w:eastAsia="en-GB"/>
          <w14:ligatures w14:val="none"/>
        </w:rPr>
        <w:t xml:space="preserve">, T., &amp; Furnham, A. (2008). Personality, intelligence and approaches to learning as predictors of academic performance. </w:t>
      </w:r>
      <w:r w:rsidRPr="00451DF1">
        <w:rPr>
          <w:rFonts w:ascii="Times New Roman" w:eastAsia="Times New Roman" w:hAnsi="Times New Roman" w:cs="Times New Roman"/>
          <w:i/>
          <w:iCs/>
          <w:kern w:val="0"/>
          <w:lang w:eastAsia="en-GB"/>
          <w14:ligatures w14:val="none"/>
        </w:rPr>
        <w:t>Personality and Individual Differences, 44</w:t>
      </w:r>
      <w:r w:rsidRPr="00451DF1">
        <w:rPr>
          <w:rFonts w:ascii="Times New Roman" w:eastAsia="Times New Roman" w:hAnsi="Times New Roman" w:cs="Times New Roman"/>
          <w:kern w:val="0"/>
          <w:lang w:eastAsia="en-GB"/>
          <w14:ligatures w14:val="none"/>
        </w:rPr>
        <w:t>(7), 1596–1603.</w:t>
      </w:r>
    </w:p>
    <w:p w14:paraId="5B030618"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Costa, P. T., &amp; McCrae, R. R. (1992). </w:t>
      </w:r>
      <w:r w:rsidRPr="00451DF1">
        <w:rPr>
          <w:rFonts w:ascii="Times New Roman" w:eastAsia="Times New Roman" w:hAnsi="Times New Roman" w:cs="Times New Roman"/>
          <w:i/>
          <w:iCs/>
          <w:kern w:val="0"/>
          <w:lang w:eastAsia="en-GB"/>
          <w14:ligatures w14:val="none"/>
        </w:rPr>
        <w:t>Revised NEO Personality Inventory (NEO PI-R)</w:t>
      </w:r>
      <w:r w:rsidRPr="00451DF1">
        <w:rPr>
          <w:rFonts w:ascii="Times New Roman" w:eastAsia="Times New Roman" w:hAnsi="Times New Roman" w:cs="Times New Roman"/>
          <w:kern w:val="0"/>
          <w:lang w:eastAsia="en-GB"/>
          <w14:ligatures w14:val="none"/>
        </w:rPr>
        <w:t>. Psychological Assessment Resources.</w:t>
      </w:r>
    </w:p>
    <w:p w14:paraId="1E0DBB9C"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Donnellan, M. B., &amp; Lucas, R. E. (2008). Age differences in the Big Five across the lifespan. </w:t>
      </w:r>
      <w:r w:rsidRPr="00451DF1">
        <w:rPr>
          <w:rFonts w:ascii="Times New Roman" w:eastAsia="Times New Roman" w:hAnsi="Times New Roman" w:cs="Times New Roman"/>
          <w:i/>
          <w:iCs/>
          <w:kern w:val="0"/>
          <w:lang w:eastAsia="en-GB"/>
          <w14:ligatures w14:val="none"/>
        </w:rPr>
        <w:t>Psychology and Aging, 23</w:t>
      </w:r>
      <w:r w:rsidRPr="00451DF1">
        <w:rPr>
          <w:rFonts w:ascii="Times New Roman" w:eastAsia="Times New Roman" w:hAnsi="Times New Roman" w:cs="Times New Roman"/>
          <w:kern w:val="0"/>
          <w:lang w:eastAsia="en-GB"/>
          <w14:ligatures w14:val="none"/>
        </w:rPr>
        <w:t>(3), 558–566.</w:t>
      </w:r>
    </w:p>
    <w:p w14:paraId="7CD4D00A" w14:textId="3A2182E1" w:rsidR="00411069"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Eysenck, H. J. (1967). </w:t>
      </w:r>
      <w:r w:rsidRPr="00451DF1">
        <w:rPr>
          <w:rFonts w:ascii="Times New Roman" w:eastAsia="Times New Roman" w:hAnsi="Times New Roman" w:cs="Times New Roman"/>
          <w:i/>
          <w:iCs/>
          <w:kern w:val="0"/>
          <w:lang w:eastAsia="en-GB"/>
          <w14:ligatures w14:val="none"/>
        </w:rPr>
        <w:t>The biological basis of personality</w:t>
      </w:r>
      <w:r w:rsidRPr="00451DF1">
        <w:rPr>
          <w:rFonts w:ascii="Times New Roman" w:eastAsia="Times New Roman" w:hAnsi="Times New Roman" w:cs="Times New Roman"/>
          <w:kern w:val="0"/>
          <w:lang w:eastAsia="en-GB"/>
          <w14:ligatures w14:val="none"/>
        </w:rPr>
        <w:t>. Thomas.</w:t>
      </w:r>
    </w:p>
    <w:p w14:paraId="150D82AF"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Funder, D. C. (2001). Personality. </w:t>
      </w:r>
      <w:r w:rsidRPr="00451DF1">
        <w:rPr>
          <w:rFonts w:ascii="Times New Roman" w:eastAsia="Times New Roman" w:hAnsi="Times New Roman" w:cs="Times New Roman"/>
          <w:i/>
          <w:iCs/>
          <w:kern w:val="0"/>
          <w:lang w:eastAsia="en-GB"/>
          <w14:ligatures w14:val="none"/>
        </w:rPr>
        <w:t>Annual Review of Psychology, 52</w:t>
      </w:r>
      <w:r w:rsidRPr="00451DF1">
        <w:rPr>
          <w:rFonts w:ascii="Times New Roman" w:eastAsia="Times New Roman" w:hAnsi="Times New Roman" w:cs="Times New Roman"/>
          <w:kern w:val="0"/>
          <w:lang w:eastAsia="en-GB"/>
          <w14:ligatures w14:val="none"/>
        </w:rPr>
        <w:t>, 197–221.</w:t>
      </w:r>
    </w:p>
    <w:p w14:paraId="425B2F98"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Hall, C. S., &amp; Lindzey, G. (1978). </w:t>
      </w:r>
      <w:r w:rsidRPr="00451DF1">
        <w:rPr>
          <w:rFonts w:ascii="Times New Roman" w:eastAsia="Times New Roman" w:hAnsi="Times New Roman" w:cs="Times New Roman"/>
          <w:i/>
          <w:iCs/>
          <w:kern w:val="0"/>
          <w:lang w:eastAsia="en-GB"/>
          <w14:ligatures w14:val="none"/>
        </w:rPr>
        <w:t>Theories of personality</w:t>
      </w:r>
      <w:r w:rsidRPr="00451DF1">
        <w:rPr>
          <w:rFonts w:ascii="Times New Roman" w:eastAsia="Times New Roman" w:hAnsi="Times New Roman" w:cs="Times New Roman"/>
          <w:kern w:val="0"/>
          <w:lang w:eastAsia="en-GB"/>
          <w14:ligatures w14:val="none"/>
        </w:rPr>
        <w:t xml:space="preserve"> (3rd ed.). Wiley.</w:t>
      </w:r>
    </w:p>
    <w:p w14:paraId="3F3DA0A7"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Jang, K. L., Livesley, W. J., &amp; Vernon, P. A. (1996). Heritability of the Big Five personality dimensions. </w:t>
      </w:r>
      <w:r w:rsidRPr="00451DF1">
        <w:rPr>
          <w:rFonts w:ascii="Times New Roman" w:eastAsia="Times New Roman" w:hAnsi="Times New Roman" w:cs="Times New Roman"/>
          <w:i/>
          <w:iCs/>
          <w:kern w:val="0"/>
          <w:lang w:eastAsia="en-GB"/>
          <w14:ligatures w14:val="none"/>
        </w:rPr>
        <w:t>Journal of Personality, 64</w:t>
      </w:r>
      <w:r w:rsidRPr="00451DF1">
        <w:rPr>
          <w:rFonts w:ascii="Times New Roman" w:eastAsia="Times New Roman" w:hAnsi="Times New Roman" w:cs="Times New Roman"/>
          <w:kern w:val="0"/>
          <w:lang w:eastAsia="en-GB"/>
          <w14:ligatures w14:val="none"/>
        </w:rPr>
        <w:t>(3), 577–591.</w:t>
      </w:r>
    </w:p>
    <w:p w14:paraId="7E9752B4" w14:textId="7D53EC97" w:rsidR="00E4720F"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lastRenderedPageBreak/>
        <w:t xml:space="preserve">McCrae, R. R., &amp; Costa, P. T. (1997). Personality trait structure as a human universal. </w:t>
      </w:r>
      <w:r w:rsidRPr="00451DF1">
        <w:rPr>
          <w:rFonts w:ascii="Times New Roman" w:eastAsia="Times New Roman" w:hAnsi="Times New Roman" w:cs="Times New Roman"/>
          <w:i/>
          <w:iCs/>
          <w:kern w:val="0"/>
          <w:lang w:eastAsia="en-GB"/>
          <w14:ligatures w14:val="none"/>
        </w:rPr>
        <w:t>American Psychologist, 52</w:t>
      </w:r>
      <w:r w:rsidRPr="00451DF1">
        <w:rPr>
          <w:rFonts w:ascii="Times New Roman" w:eastAsia="Times New Roman" w:hAnsi="Times New Roman" w:cs="Times New Roman"/>
          <w:kern w:val="0"/>
          <w:lang w:eastAsia="en-GB"/>
          <w14:ligatures w14:val="none"/>
        </w:rPr>
        <w:t>(5), 509–516.</w:t>
      </w:r>
    </w:p>
    <w:p w14:paraId="46A213A1" w14:textId="74C93615" w:rsidR="004D1A85" w:rsidRPr="00451DF1" w:rsidRDefault="00E4720F"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73343D">
        <w:rPr>
          <w:rFonts w:ascii="Times New Roman" w:hAnsi="Times New Roman" w:cs="Times New Roman"/>
        </w:rPr>
        <w:t>McLeod, S. (2023, July 31). Nomothetic vs idiographic approaches in psychology. Retrieved from</w:t>
      </w:r>
      <w:r w:rsidRPr="00E4720F">
        <w:t xml:space="preserve"> </w:t>
      </w:r>
      <w:hyperlink r:id="rId6" w:tgtFrame="_new" w:history="1">
        <w:r w:rsidRPr="00E4720F">
          <w:rPr>
            <w:color w:val="0000FF"/>
            <w:u w:val="single"/>
          </w:rPr>
          <w:t>https://www.simplypsychology.org/nomothetic-idiographic.html</w:t>
        </w:r>
      </w:hyperlink>
    </w:p>
    <w:p w14:paraId="1C29DDF9" w14:textId="77777777" w:rsid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Noftle, E. E., &amp; Robins, R. W. (2007). Personality predictors of academic outcomes. </w:t>
      </w:r>
      <w:r w:rsidRPr="00451DF1">
        <w:rPr>
          <w:rFonts w:ascii="Times New Roman" w:eastAsia="Times New Roman" w:hAnsi="Times New Roman" w:cs="Times New Roman"/>
          <w:i/>
          <w:iCs/>
          <w:kern w:val="0"/>
          <w:lang w:eastAsia="en-GB"/>
          <w14:ligatures w14:val="none"/>
        </w:rPr>
        <w:t>Journal of Personality and Social Psychology, 93</w:t>
      </w:r>
      <w:r w:rsidRPr="00451DF1">
        <w:rPr>
          <w:rFonts w:ascii="Times New Roman" w:eastAsia="Times New Roman" w:hAnsi="Times New Roman" w:cs="Times New Roman"/>
          <w:kern w:val="0"/>
          <w:lang w:eastAsia="en-GB"/>
          <w14:ligatures w14:val="none"/>
        </w:rPr>
        <w:t>(1), 116–130.</w:t>
      </w:r>
    </w:p>
    <w:p w14:paraId="0C22E1AF" w14:textId="6B8ADA21" w:rsidR="0032359E" w:rsidRPr="00451DF1" w:rsidRDefault="0032359E"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32359E">
        <w:rPr>
          <w:rFonts w:ascii="Times New Roman" w:hAnsi="Times New Roman" w:cs="Times New Roman"/>
        </w:rPr>
        <w:t xml:space="preserve">Pervin, L. A. (1994). A critical analysis of current trait theory. </w:t>
      </w:r>
      <w:r w:rsidRPr="0032359E">
        <w:rPr>
          <w:rFonts w:ascii="Times New Roman" w:hAnsi="Times New Roman" w:cs="Times New Roman"/>
          <w:i/>
          <w:iCs/>
        </w:rPr>
        <w:t>Psychological Inquiry, 5</w:t>
      </w:r>
      <w:r w:rsidRPr="0032359E">
        <w:rPr>
          <w:rFonts w:ascii="Times New Roman" w:hAnsi="Times New Roman" w:cs="Times New Roman"/>
        </w:rPr>
        <w:t>(2), 103–113</w:t>
      </w:r>
      <w:r w:rsidRPr="0032359E">
        <w:t xml:space="preserve">. </w:t>
      </w:r>
      <w:hyperlink r:id="rId7" w:tgtFrame="_new" w:history="1">
        <w:r w:rsidRPr="0032359E">
          <w:rPr>
            <w:color w:val="0000FF"/>
            <w:u w:val="single"/>
          </w:rPr>
          <w:t>https://doi.org/10.1207/s15327965pli0502_1</w:t>
        </w:r>
      </w:hyperlink>
    </w:p>
    <w:p w14:paraId="0D355361"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Schmitt, D. P., et al. (2007). The geographic distribution of Big Five personality traits. </w:t>
      </w:r>
      <w:r w:rsidRPr="00451DF1">
        <w:rPr>
          <w:rFonts w:ascii="Times New Roman" w:eastAsia="Times New Roman" w:hAnsi="Times New Roman" w:cs="Times New Roman"/>
          <w:i/>
          <w:iCs/>
          <w:kern w:val="0"/>
          <w:lang w:eastAsia="en-GB"/>
          <w14:ligatures w14:val="none"/>
        </w:rPr>
        <w:t>Journal of Cross-Cultural Psychology, 38</w:t>
      </w:r>
      <w:r w:rsidRPr="00451DF1">
        <w:rPr>
          <w:rFonts w:ascii="Times New Roman" w:eastAsia="Times New Roman" w:hAnsi="Times New Roman" w:cs="Times New Roman"/>
          <w:kern w:val="0"/>
          <w:lang w:eastAsia="en-GB"/>
          <w14:ligatures w14:val="none"/>
        </w:rPr>
        <w:t>(2), 173–212.</w:t>
      </w:r>
    </w:p>
    <w:p w14:paraId="51CC7360" w14:textId="77777777" w:rsidR="00451DF1" w:rsidRPr="00451DF1" w:rsidRDefault="00451DF1" w:rsidP="00234E4F">
      <w:pPr>
        <w:spacing w:before="100" w:beforeAutospacing="1" w:after="100" w:afterAutospacing="1" w:line="480" w:lineRule="auto"/>
        <w:ind w:left="284" w:hanging="284"/>
        <w:rPr>
          <w:rFonts w:ascii="Times New Roman" w:eastAsia="Times New Roman" w:hAnsi="Times New Roman" w:cs="Times New Roman"/>
          <w:kern w:val="0"/>
          <w:lang w:eastAsia="en-GB"/>
          <w14:ligatures w14:val="none"/>
        </w:rPr>
      </w:pPr>
      <w:r w:rsidRPr="00451DF1">
        <w:rPr>
          <w:rFonts w:ascii="Times New Roman" w:eastAsia="Times New Roman" w:hAnsi="Times New Roman" w:cs="Times New Roman"/>
          <w:kern w:val="0"/>
          <w:lang w:eastAsia="en-GB"/>
          <w14:ligatures w14:val="none"/>
        </w:rPr>
        <w:t xml:space="preserve">Terracciano, A., McCrae, R. R., Brant, L. J., &amp; Costa, P. T. (2005). Hierarchical linear </w:t>
      </w:r>
      <w:proofErr w:type="spellStart"/>
      <w:r w:rsidRPr="00451DF1">
        <w:rPr>
          <w:rFonts w:ascii="Times New Roman" w:eastAsia="Times New Roman" w:hAnsi="Times New Roman" w:cs="Times New Roman"/>
          <w:kern w:val="0"/>
          <w:lang w:eastAsia="en-GB"/>
          <w14:ligatures w14:val="none"/>
        </w:rPr>
        <w:t>modeling</w:t>
      </w:r>
      <w:proofErr w:type="spellEnd"/>
      <w:r w:rsidRPr="00451DF1">
        <w:rPr>
          <w:rFonts w:ascii="Times New Roman" w:eastAsia="Times New Roman" w:hAnsi="Times New Roman" w:cs="Times New Roman"/>
          <w:kern w:val="0"/>
          <w:lang w:eastAsia="en-GB"/>
          <w14:ligatures w14:val="none"/>
        </w:rPr>
        <w:t xml:space="preserve"> analyses of personality change. </w:t>
      </w:r>
      <w:r w:rsidRPr="00451DF1">
        <w:rPr>
          <w:rFonts w:ascii="Times New Roman" w:eastAsia="Times New Roman" w:hAnsi="Times New Roman" w:cs="Times New Roman"/>
          <w:i/>
          <w:iCs/>
          <w:kern w:val="0"/>
          <w:lang w:eastAsia="en-GB"/>
          <w14:ligatures w14:val="none"/>
        </w:rPr>
        <w:t>Psychology and Aging, 20</w:t>
      </w:r>
      <w:r w:rsidRPr="00451DF1">
        <w:rPr>
          <w:rFonts w:ascii="Times New Roman" w:eastAsia="Times New Roman" w:hAnsi="Times New Roman" w:cs="Times New Roman"/>
          <w:kern w:val="0"/>
          <w:lang w:eastAsia="en-GB"/>
          <w14:ligatures w14:val="none"/>
        </w:rPr>
        <w:t>(1), 31–44.</w:t>
      </w:r>
    </w:p>
    <w:p w14:paraId="68AB3EB7" w14:textId="77777777" w:rsidR="00451DF1" w:rsidRDefault="00451DF1"/>
    <w:sectPr w:rsidR="00451DF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9F265" w14:textId="77777777" w:rsidR="0097079E" w:rsidRDefault="0097079E" w:rsidP="00206CC6">
      <w:pPr>
        <w:spacing w:after="0" w:line="240" w:lineRule="auto"/>
      </w:pPr>
      <w:r>
        <w:separator/>
      </w:r>
    </w:p>
  </w:endnote>
  <w:endnote w:type="continuationSeparator" w:id="0">
    <w:p w14:paraId="240E4285" w14:textId="77777777" w:rsidR="0097079E" w:rsidRDefault="0097079E" w:rsidP="0020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A8314" w14:textId="77777777" w:rsidR="00206CC6" w:rsidRDefault="00206CC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08CC9CE" w14:textId="77777777" w:rsidR="00206CC6" w:rsidRDefault="00206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BA356" w14:textId="77777777" w:rsidR="0097079E" w:rsidRDefault="0097079E" w:rsidP="00206CC6">
      <w:pPr>
        <w:spacing w:after="0" w:line="240" w:lineRule="auto"/>
      </w:pPr>
      <w:r>
        <w:separator/>
      </w:r>
    </w:p>
  </w:footnote>
  <w:footnote w:type="continuationSeparator" w:id="0">
    <w:p w14:paraId="3A66A2C0" w14:textId="77777777" w:rsidR="0097079E" w:rsidRDefault="0097079E" w:rsidP="00206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4E3DC" w14:textId="47D20466" w:rsidR="00E4238D" w:rsidRDefault="00E4238D">
    <w:pPr>
      <w:pStyle w:val="Header"/>
    </w:pPr>
    <w:r>
      <w:t xml:space="preserve">Personality and </w:t>
    </w:r>
    <w:r w:rsidR="000F5F37">
      <w:t>Individual Differences</w:t>
    </w:r>
  </w:p>
  <w:p w14:paraId="18672B2D" w14:textId="77777777" w:rsidR="00206CC6" w:rsidRDefault="00206C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30A"/>
    <w:rsid w:val="000F5F37"/>
    <w:rsid w:val="00206CC6"/>
    <w:rsid w:val="002175C1"/>
    <w:rsid w:val="00234E4F"/>
    <w:rsid w:val="002B5D14"/>
    <w:rsid w:val="003107D9"/>
    <w:rsid w:val="0032359E"/>
    <w:rsid w:val="003C730A"/>
    <w:rsid w:val="004044F6"/>
    <w:rsid w:val="00411069"/>
    <w:rsid w:val="00424535"/>
    <w:rsid w:val="0043448A"/>
    <w:rsid w:val="00451DF1"/>
    <w:rsid w:val="00490610"/>
    <w:rsid w:val="004D1A85"/>
    <w:rsid w:val="005009DD"/>
    <w:rsid w:val="006608D4"/>
    <w:rsid w:val="006862D5"/>
    <w:rsid w:val="0073343D"/>
    <w:rsid w:val="007632F0"/>
    <w:rsid w:val="007775D7"/>
    <w:rsid w:val="007D0A2E"/>
    <w:rsid w:val="007F3AA8"/>
    <w:rsid w:val="00852602"/>
    <w:rsid w:val="00856B6D"/>
    <w:rsid w:val="0087338B"/>
    <w:rsid w:val="00901C90"/>
    <w:rsid w:val="0097079E"/>
    <w:rsid w:val="00AE2D7A"/>
    <w:rsid w:val="00B323D8"/>
    <w:rsid w:val="00B84889"/>
    <w:rsid w:val="00BC245E"/>
    <w:rsid w:val="00C97F49"/>
    <w:rsid w:val="00D90F52"/>
    <w:rsid w:val="00E4238D"/>
    <w:rsid w:val="00E4720F"/>
    <w:rsid w:val="00E661CB"/>
    <w:rsid w:val="00E965C9"/>
    <w:rsid w:val="00EE53B1"/>
    <w:rsid w:val="00EF4AA6"/>
    <w:rsid w:val="00FB00F0"/>
    <w:rsid w:val="00FC1ECC"/>
    <w:rsid w:val="00FF5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4106"/>
  <w15:chartTrackingRefBased/>
  <w15:docId w15:val="{92789764-BE2C-4E58-B37B-1C1FA6C3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30A"/>
  </w:style>
  <w:style w:type="paragraph" w:styleId="Heading1">
    <w:name w:val="heading 1"/>
    <w:basedOn w:val="Normal"/>
    <w:next w:val="Normal"/>
    <w:link w:val="Heading1Char"/>
    <w:uiPriority w:val="9"/>
    <w:qFormat/>
    <w:rsid w:val="003C73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3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3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3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3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3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3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3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3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3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3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3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3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3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3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3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3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30A"/>
    <w:rPr>
      <w:rFonts w:eastAsiaTheme="majorEastAsia" w:cstheme="majorBidi"/>
      <w:color w:val="272727" w:themeColor="text1" w:themeTint="D8"/>
    </w:rPr>
  </w:style>
  <w:style w:type="paragraph" w:styleId="Title">
    <w:name w:val="Title"/>
    <w:basedOn w:val="Normal"/>
    <w:next w:val="Normal"/>
    <w:link w:val="TitleChar"/>
    <w:uiPriority w:val="10"/>
    <w:qFormat/>
    <w:rsid w:val="003C73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3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3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3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30A"/>
    <w:pPr>
      <w:spacing w:before="160"/>
      <w:jc w:val="center"/>
    </w:pPr>
    <w:rPr>
      <w:i/>
      <w:iCs/>
      <w:color w:val="404040" w:themeColor="text1" w:themeTint="BF"/>
    </w:rPr>
  </w:style>
  <w:style w:type="character" w:customStyle="1" w:styleId="QuoteChar">
    <w:name w:val="Quote Char"/>
    <w:basedOn w:val="DefaultParagraphFont"/>
    <w:link w:val="Quote"/>
    <w:uiPriority w:val="29"/>
    <w:rsid w:val="003C730A"/>
    <w:rPr>
      <w:i/>
      <w:iCs/>
      <w:color w:val="404040" w:themeColor="text1" w:themeTint="BF"/>
    </w:rPr>
  </w:style>
  <w:style w:type="paragraph" w:styleId="ListParagraph">
    <w:name w:val="List Paragraph"/>
    <w:basedOn w:val="Normal"/>
    <w:uiPriority w:val="34"/>
    <w:qFormat/>
    <w:rsid w:val="003C730A"/>
    <w:pPr>
      <w:ind w:left="720"/>
      <w:contextualSpacing/>
    </w:pPr>
  </w:style>
  <w:style w:type="character" w:styleId="IntenseEmphasis">
    <w:name w:val="Intense Emphasis"/>
    <w:basedOn w:val="DefaultParagraphFont"/>
    <w:uiPriority w:val="21"/>
    <w:qFormat/>
    <w:rsid w:val="003C730A"/>
    <w:rPr>
      <w:i/>
      <w:iCs/>
      <w:color w:val="0F4761" w:themeColor="accent1" w:themeShade="BF"/>
    </w:rPr>
  </w:style>
  <w:style w:type="paragraph" w:styleId="IntenseQuote">
    <w:name w:val="Intense Quote"/>
    <w:basedOn w:val="Normal"/>
    <w:next w:val="Normal"/>
    <w:link w:val="IntenseQuoteChar"/>
    <w:uiPriority w:val="30"/>
    <w:qFormat/>
    <w:rsid w:val="003C73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30A"/>
    <w:rPr>
      <w:i/>
      <w:iCs/>
      <w:color w:val="0F4761" w:themeColor="accent1" w:themeShade="BF"/>
    </w:rPr>
  </w:style>
  <w:style w:type="character" w:styleId="IntenseReference">
    <w:name w:val="Intense Reference"/>
    <w:basedOn w:val="DefaultParagraphFont"/>
    <w:uiPriority w:val="32"/>
    <w:qFormat/>
    <w:rsid w:val="003C730A"/>
    <w:rPr>
      <w:b/>
      <w:bCs/>
      <w:smallCaps/>
      <w:color w:val="0F4761" w:themeColor="accent1" w:themeShade="BF"/>
      <w:spacing w:val="5"/>
    </w:rPr>
  </w:style>
  <w:style w:type="paragraph" w:styleId="NormalWeb">
    <w:name w:val="Normal (Web)"/>
    <w:basedOn w:val="Normal"/>
    <w:uiPriority w:val="99"/>
    <w:unhideWhenUsed/>
    <w:rsid w:val="00451D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51DF1"/>
    <w:rPr>
      <w:i/>
      <w:iCs/>
    </w:rPr>
  </w:style>
  <w:style w:type="character" w:styleId="Hyperlink">
    <w:name w:val="Hyperlink"/>
    <w:basedOn w:val="DefaultParagraphFont"/>
    <w:uiPriority w:val="99"/>
    <w:unhideWhenUsed/>
    <w:rsid w:val="00411069"/>
    <w:rPr>
      <w:color w:val="467886" w:themeColor="hyperlink"/>
      <w:u w:val="single"/>
    </w:rPr>
  </w:style>
  <w:style w:type="character" w:styleId="UnresolvedMention">
    <w:name w:val="Unresolved Mention"/>
    <w:basedOn w:val="DefaultParagraphFont"/>
    <w:uiPriority w:val="99"/>
    <w:semiHidden/>
    <w:unhideWhenUsed/>
    <w:rsid w:val="00411069"/>
    <w:rPr>
      <w:color w:val="605E5C"/>
      <w:shd w:val="clear" w:color="auto" w:fill="E1DFDD"/>
    </w:rPr>
  </w:style>
  <w:style w:type="paragraph" w:styleId="Header">
    <w:name w:val="header"/>
    <w:basedOn w:val="Normal"/>
    <w:link w:val="HeaderChar"/>
    <w:uiPriority w:val="99"/>
    <w:unhideWhenUsed/>
    <w:rsid w:val="00206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CC6"/>
  </w:style>
  <w:style w:type="paragraph" w:styleId="Footer">
    <w:name w:val="footer"/>
    <w:basedOn w:val="Normal"/>
    <w:link w:val="FooterChar"/>
    <w:uiPriority w:val="99"/>
    <w:unhideWhenUsed/>
    <w:rsid w:val="00206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207/s15327965pli0502_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nomothetic-idiographic.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Dicks</dc:creator>
  <cp:keywords/>
  <dc:description/>
  <cp:lastModifiedBy>Alison Dicks</cp:lastModifiedBy>
  <cp:revision>6</cp:revision>
  <dcterms:created xsi:type="dcterms:W3CDTF">2026-03-03T19:07:00Z</dcterms:created>
  <dcterms:modified xsi:type="dcterms:W3CDTF">2026-03-05T08:45:00Z</dcterms:modified>
</cp:coreProperties>
</file>