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A0334" w14:textId="3166278B" w:rsidR="009F70FE" w:rsidRPr="007E42F9" w:rsidRDefault="007E42F9" w:rsidP="00114969">
      <w:pPr>
        <w:pStyle w:val="ListParagraph"/>
        <w:spacing w:before="480"/>
        <w:rPr>
          <w:rFonts w:ascii="Arial" w:hAnsi="Arial" w:cs="Arial"/>
          <w:b/>
          <w:bCs/>
        </w:rPr>
      </w:pPr>
      <w:r>
        <w:rPr>
          <w:noProof/>
        </w:rPr>
        <w:drawing>
          <wp:anchor distT="0" distB="0" distL="114300" distR="114300" simplePos="0" relativeHeight="251658240" behindDoc="0" locked="0" layoutInCell="1" allowOverlap="1" wp14:anchorId="76CF16E3" wp14:editId="67B8A386">
            <wp:simplePos x="1371600" y="1219200"/>
            <wp:positionH relativeFrom="column">
              <wp:align>left</wp:align>
            </wp:positionH>
            <wp:positionV relativeFrom="paragraph">
              <wp:align>top</wp:align>
            </wp:positionV>
            <wp:extent cx="4798060" cy="1168400"/>
            <wp:effectExtent l="0" t="0" r="2540" b="0"/>
            <wp:wrapSquare wrapText="bothSides"/>
            <wp:docPr id="977807436" name="Picture 5" descr="Deo Ded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07436" name="Picture 5" descr="Deo Dedi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798060" cy="1168400"/>
                    </a:xfrm>
                    <a:prstGeom prst="rect">
                      <a:avLst/>
                    </a:prstGeom>
                  </pic:spPr>
                </pic:pic>
              </a:graphicData>
            </a:graphic>
          </wp:anchor>
        </w:drawing>
      </w:r>
      <w:r w:rsidR="002C7B30">
        <w:rPr>
          <w:rFonts w:ascii="Arial" w:hAnsi="Arial" w:cs="Arial"/>
          <w:b/>
          <w:bCs/>
        </w:rPr>
        <w:br w:type="textWrapping" w:clear="all"/>
      </w:r>
    </w:p>
    <w:p w14:paraId="6A5709C8" w14:textId="707D822E" w:rsidR="009F70FE" w:rsidRDefault="00114969" w:rsidP="00114969">
      <w:pPr>
        <w:spacing w:before="480"/>
        <w:rPr>
          <w:rFonts w:ascii="Arial" w:hAnsi="Arial" w:cs="Arial"/>
          <w:b/>
          <w:bCs/>
        </w:rPr>
      </w:pPr>
      <w:r>
        <w:rPr>
          <w:rFonts w:ascii="Arial" w:hAnsi="Arial" w:cs="Arial"/>
          <w:b/>
          <w:bCs/>
        </w:rPr>
        <w:t xml:space="preserve">Student </w:t>
      </w:r>
      <w:r w:rsidR="00E96BDA">
        <w:rPr>
          <w:rFonts w:ascii="Arial" w:hAnsi="Arial" w:cs="Arial"/>
          <w:b/>
          <w:bCs/>
        </w:rPr>
        <w:t>Name:</w:t>
      </w:r>
      <w:r>
        <w:rPr>
          <w:rFonts w:ascii="Arial" w:hAnsi="Arial" w:cs="Arial"/>
          <w:b/>
          <w:bCs/>
        </w:rPr>
        <w:t xml:space="preserve"> Sumitgar bharatgar Gauswami</w:t>
      </w:r>
      <w:r w:rsidR="002C7B30">
        <w:rPr>
          <w:rFonts w:ascii="Arial" w:hAnsi="Arial" w:cs="Arial"/>
          <w:b/>
          <w:bCs/>
        </w:rPr>
        <w:t xml:space="preserve">                </w:t>
      </w:r>
      <w:r>
        <w:rPr>
          <w:rFonts w:ascii="Arial" w:hAnsi="Arial" w:cs="Arial"/>
          <w:b/>
          <w:bCs/>
        </w:rPr>
        <w:t>Student ID:2541367</w:t>
      </w:r>
    </w:p>
    <w:p w14:paraId="1590D74D" w14:textId="30DF34A5" w:rsidR="00114969" w:rsidRPr="00114969" w:rsidRDefault="00114969" w:rsidP="00114969">
      <w:pPr>
        <w:spacing w:before="480"/>
        <w:rPr>
          <w:rFonts w:ascii="Arial" w:hAnsi="Arial" w:cs="Arial"/>
          <w:b/>
          <w:bCs/>
        </w:rPr>
      </w:pPr>
      <w:r>
        <w:rPr>
          <w:rFonts w:ascii="Arial" w:hAnsi="Arial" w:cs="Arial"/>
          <w:b/>
          <w:bCs/>
        </w:rPr>
        <w:t>Programme: Master of business Administration</w:t>
      </w:r>
    </w:p>
    <w:p w14:paraId="281F3E4F" w14:textId="11183BB6" w:rsidR="009F70FE" w:rsidRPr="00114969" w:rsidRDefault="00114969" w:rsidP="00114969">
      <w:pPr>
        <w:spacing w:before="480"/>
        <w:rPr>
          <w:rFonts w:ascii="Arial" w:hAnsi="Arial" w:cs="Arial"/>
          <w:b/>
          <w:bCs/>
        </w:rPr>
      </w:pPr>
      <w:r>
        <w:rPr>
          <w:rFonts w:ascii="Arial" w:hAnsi="Arial" w:cs="Arial"/>
          <w:b/>
          <w:bCs/>
        </w:rPr>
        <w:t>Module: Marketing management</w:t>
      </w:r>
    </w:p>
    <w:p w14:paraId="51A631D1" w14:textId="53E9688E" w:rsidR="009F70FE" w:rsidRPr="00114969" w:rsidRDefault="00114969" w:rsidP="00114969">
      <w:pPr>
        <w:spacing w:before="480"/>
        <w:rPr>
          <w:rFonts w:ascii="Arial" w:hAnsi="Arial" w:cs="Arial"/>
          <w:b/>
          <w:bCs/>
        </w:rPr>
      </w:pPr>
      <w:r>
        <w:rPr>
          <w:rFonts w:ascii="Arial" w:hAnsi="Arial" w:cs="Arial"/>
          <w:b/>
          <w:bCs/>
        </w:rPr>
        <w:t>Module code: LCMB7024</w:t>
      </w:r>
      <w:r w:rsidR="002C7B30">
        <w:rPr>
          <w:rFonts w:ascii="Arial" w:hAnsi="Arial" w:cs="Arial"/>
          <w:b/>
          <w:bCs/>
        </w:rPr>
        <w:t xml:space="preserve">                     Submission Deadline: 22</w:t>
      </w:r>
      <w:r w:rsidR="002C7B30" w:rsidRPr="002C7B30">
        <w:rPr>
          <w:rFonts w:ascii="Arial" w:hAnsi="Arial" w:cs="Arial"/>
          <w:b/>
          <w:bCs/>
          <w:vertAlign w:val="superscript"/>
        </w:rPr>
        <w:t>nd</w:t>
      </w:r>
      <w:r w:rsidR="002C7B30">
        <w:rPr>
          <w:rFonts w:ascii="Arial" w:hAnsi="Arial" w:cs="Arial"/>
          <w:b/>
          <w:bCs/>
        </w:rPr>
        <w:t xml:space="preserve"> October                                                                         </w:t>
      </w:r>
    </w:p>
    <w:p w14:paraId="5F6E7A63" w14:textId="51270AA9" w:rsidR="00C859C4" w:rsidRPr="00114969" w:rsidRDefault="00114969" w:rsidP="00114969">
      <w:pPr>
        <w:spacing w:before="480"/>
        <w:rPr>
          <w:rFonts w:ascii="Arial" w:hAnsi="Arial" w:cs="Arial"/>
          <w:b/>
          <w:bCs/>
        </w:rPr>
      </w:pPr>
      <w:r>
        <w:rPr>
          <w:rFonts w:ascii="Arial" w:hAnsi="Arial" w:cs="Arial"/>
          <w:b/>
          <w:bCs/>
        </w:rPr>
        <w:t>Assignment Title</w:t>
      </w:r>
      <w:r w:rsidR="00E96BDA">
        <w:rPr>
          <w:rFonts w:ascii="Arial" w:hAnsi="Arial" w:cs="Arial"/>
          <w:b/>
          <w:bCs/>
        </w:rPr>
        <w:t xml:space="preserve">: Assessment component 1: marketing environment analysis                     </w:t>
      </w:r>
    </w:p>
    <w:p w14:paraId="1FCCA9CF" w14:textId="1DAFC4CD" w:rsidR="00E96BDA" w:rsidRPr="00E96BDA" w:rsidRDefault="00C859C4" w:rsidP="00E96BDA">
      <w:pPr>
        <w:rPr>
          <w:rFonts w:ascii="Arial" w:hAnsi="Arial" w:cs="Arial"/>
          <w:b/>
          <w:bCs/>
        </w:rPr>
      </w:pPr>
      <w:r w:rsidRPr="0072664D">
        <w:rPr>
          <w:rFonts w:ascii="Arial" w:hAnsi="Arial" w:cs="Arial"/>
          <w:b/>
          <w:bCs/>
          <w:sz w:val="36"/>
          <w:szCs w:val="36"/>
        </w:rPr>
        <w:br w:type="page"/>
      </w:r>
    </w:p>
    <w:p w14:paraId="3C9DF54C" w14:textId="5649DDBD" w:rsidR="00E96BDA" w:rsidRDefault="00E96BDA" w:rsidP="00E96BDA">
      <w:pPr>
        <w:rPr>
          <w:rFonts w:ascii="Arial" w:hAnsi="Arial" w:cs="Arial"/>
        </w:rPr>
      </w:pPr>
    </w:p>
    <w:sdt>
      <w:sdtPr>
        <w:rPr>
          <w:rFonts w:ascii="Arial" w:hAnsi="Arial" w:cs="Arial"/>
        </w:rPr>
        <w:id w:val="594758338"/>
        <w:docPartObj>
          <w:docPartGallery w:val="Table of Contents"/>
          <w:docPartUnique/>
        </w:docPartObj>
      </w:sdtPr>
      <w:sdtEndPr>
        <w:rPr>
          <w:b/>
          <w:bCs/>
          <w:noProof/>
        </w:rPr>
      </w:sdtEndPr>
      <w:sdtContent>
        <w:p w14:paraId="28EAD385" w14:textId="2EFD0B0E" w:rsidR="00C859C4" w:rsidRPr="00E96BDA" w:rsidRDefault="00C859C4" w:rsidP="00E96BDA">
          <w:pPr>
            <w:rPr>
              <w:rFonts w:ascii="Arial" w:hAnsi="Arial" w:cs="Arial"/>
              <w:b/>
              <w:bCs/>
              <w:sz w:val="36"/>
              <w:szCs w:val="36"/>
            </w:rPr>
          </w:pPr>
          <w:r w:rsidRPr="0072664D">
            <w:rPr>
              <w:rFonts w:ascii="Arial" w:hAnsi="Arial" w:cs="Arial"/>
              <w:b/>
              <w:bCs/>
            </w:rPr>
            <w:t>Table of Contents</w:t>
          </w:r>
        </w:p>
        <w:p w14:paraId="7C06AB5D" w14:textId="1CDC06C8" w:rsidR="00780290" w:rsidRPr="0072664D" w:rsidRDefault="00C859C4">
          <w:pPr>
            <w:pStyle w:val="TOC1"/>
            <w:tabs>
              <w:tab w:val="right" w:leader="dot" w:pos="9350"/>
            </w:tabs>
            <w:rPr>
              <w:rFonts w:ascii="Arial" w:eastAsiaTheme="minorEastAsia" w:hAnsi="Arial" w:cs="Arial"/>
              <w:noProof/>
              <w:kern w:val="2"/>
              <w:lang w:val="en-IN"/>
              <w14:ligatures w14:val="standardContextual"/>
            </w:rPr>
          </w:pPr>
          <w:r w:rsidRPr="0072664D">
            <w:rPr>
              <w:rFonts w:ascii="Arial" w:hAnsi="Arial" w:cs="Arial"/>
            </w:rPr>
            <w:fldChar w:fldCharType="begin"/>
          </w:r>
          <w:r w:rsidRPr="0072664D">
            <w:rPr>
              <w:rFonts w:ascii="Arial" w:hAnsi="Arial" w:cs="Arial"/>
            </w:rPr>
            <w:instrText xml:space="preserve"> TOC \o "1-3" \h \z \u </w:instrText>
          </w:r>
          <w:r w:rsidRPr="0072664D">
            <w:rPr>
              <w:rFonts w:ascii="Arial" w:hAnsi="Arial" w:cs="Arial"/>
            </w:rPr>
            <w:fldChar w:fldCharType="separate"/>
          </w:r>
          <w:hyperlink w:anchor="_Toc242450040" w:history="1">
            <w:r w:rsidR="00780290" w:rsidRPr="0072664D">
              <w:rPr>
                <w:rStyle w:val="Hyperlink"/>
                <w:rFonts w:ascii="Arial" w:hAnsi="Arial" w:cs="Arial"/>
                <w:noProof/>
              </w:rPr>
              <w:t>Task 1: Marketing Environment Analysis</w:t>
            </w:r>
            <w:r w:rsidR="00780290" w:rsidRPr="0072664D">
              <w:rPr>
                <w:rFonts w:ascii="Arial" w:hAnsi="Arial" w:cs="Arial"/>
                <w:noProof/>
                <w:webHidden/>
              </w:rPr>
              <w:tab/>
            </w:r>
            <w:r w:rsidR="00780290" w:rsidRPr="0072664D">
              <w:rPr>
                <w:rFonts w:ascii="Arial" w:hAnsi="Arial" w:cs="Arial"/>
                <w:noProof/>
                <w:webHidden/>
              </w:rPr>
              <w:fldChar w:fldCharType="begin"/>
            </w:r>
            <w:r w:rsidR="00780290" w:rsidRPr="0072664D">
              <w:rPr>
                <w:rFonts w:ascii="Arial" w:hAnsi="Arial" w:cs="Arial"/>
                <w:noProof/>
                <w:webHidden/>
              </w:rPr>
              <w:instrText xml:space="preserve"> PAGEREF _Toc242450040 \h </w:instrText>
            </w:r>
            <w:r w:rsidR="00780290" w:rsidRPr="0072664D">
              <w:rPr>
                <w:rFonts w:ascii="Arial" w:hAnsi="Arial" w:cs="Arial"/>
                <w:noProof/>
                <w:webHidden/>
              </w:rPr>
            </w:r>
            <w:r w:rsidR="00780290" w:rsidRPr="0072664D">
              <w:rPr>
                <w:rFonts w:ascii="Arial" w:hAnsi="Arial" w:cs="Arial"/>
                <w:noProof/>
                <w:webHidden/>
              </w:rPr>
              <w:fldChar w:fldCharType="separate"/>
            </w:r>
            <w:r w:rsidR="00780290" w:rsidRPr="0072664D">
              <w:rPr>
                <w:rFonts w:ascii="Arial" w:hAnsi="Arial" w:cs="Arial"/>
                <w:noProof/>
                <w:webHidden/>
              </w:rPr>
              <w:t>4</w:t>
            </w:r>
            <w:r w:rsidR="00780290" w:rsidRPr="0072664D">
              <w:rPr>
                <w:rFonts w:ascii="Arial" w:hAnsi="Arial" w:cs="Arial"/>
                <w:noProof/>
                <w:webHidden/>
              </w:rPr>
              <w:fldChar w:fldCharType="end"/>
            </w:r>
          </w:hyperlink>
        </w:p>
        <w:p w14:paraId="26E91642" w14:textId="664B4DDA"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1" w:history="1">
            <w:r w:rsidRPr="0072664D">
              <w:rPr>
                <w:rStyle w:val="Hyperlink"/>
                <w:rFonts w:ascii="Arial" w:hAnsi="Arial" w:cs="Arial"/>
                <w:noProof/>
              </w:rPr>
              <w:t>1.1 Tata Steel and the Marketing Environment</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_Toc242450041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4</w:t>
            </w:r>
            <w:r w:rsidRPr="0072664D">
              <w:rPr>
                <w:rFonts w:ascii="Arial" w:hAnsi="Arial" w:cs="Arial"/>
                <w:noProof/>
                <w:webHidden/>
              </w:rPr>
              <w:fldChar w:fldCharType="end"/>
            </w:r>
          </w:hyperlink>
        </w:p>
        <w:p w14:paraId="5707A509" w14:textId="1BF9E6A8"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2" w:history="1">
            <w:r w:rsidRPr="0072664D">
              <w:rPr>
                <w:rStyle w:val="Hyperlink"/>
                <w:rFonts w:ascii="Arial" w:hAnsi="Arial" w:cs="Arial"/>
                <w:noProof/>
              </w:rPr>
              <w:t>1.2 Actor 1: Environmental Factors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_Toc242450042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4</w:t>
            </w:r>
            <w:r w:rsidRPr="0072664D">
              <w:rPr>
                <w:rFonts w:ascii="Arial" w:hAnsi="Arial" w:cs="Arial"/>
                <w:noProof/>
                <w:webHidden/>
              </w:rPr>
              <w:fldChar w:fldCharType="end"/>
            </w:r>
          </w:hyperlink>
        </w:p>
        <w:p w14:paraId="5B5339E9" w14:textId="265D0BF4"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3" w:history="1">
            <w:r w:rsidRPr="0072664D">
              <w:rPr>
                <w:rStyle w:val="Hyperlink"/>
                <w:rFonts w:ascii="Arial" w:hAnsi="Arial" w:cs="Arial"/>
                <w:noProof/>
              </w:rPr>
              <w:t>1.3 Actor 2: Legal Environment factors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_Toc242450043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5</w:t>
            </w:r>
            <w:r w:rsidRPr="0072664D">
              <w:rPr>
                <w:rFonts w:ascii="Arial" w:hAnsi="Arial" w:cs="Arial"/>
                <w:noProof/>
                <w:webHidden/>
              </w:rPr>
              <w:fldChar w:fldCharType="end"/>
            </w:r>
          </w:hyperlink>
        </w:p>
        <w:p w14:paraId="22E19236" w14:textId="542705F2"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4" w:history="1">
            <w:r w:rsidRPr="0072664D">
              <w:rPr>
                <w:rStyle w:val="Hyperlink"/>
                <w:rFonts w:ascii="Arial" w:hAnsi="Arial" w:cs="Arial"/>
                <w:noProof/>
              </w:rPr>
              <w:t>1.4 Actor 3: Social Factors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_Toc242450044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6</w:t>
            </w:r>
            <w:r w:rsidRPr="0072664D">
              <w:rPr>
                <w:rFonts w:ascii="Arial" w:hAnsi="Arial" w:cs="Arial"/>
                <w:noProof/>
                <w:webHidden/>
              </w:rPr>
              <w:fldChar w:fldCharType="end"/>
            </w:r>
          </w:hyperlink>
        </w:p>
        <w:p w14:paraId="42B2F10B" w14:textId="62F96FE7"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5" w:history="1">
            <w:r w:rsidRPr="0072664D">
              <w:rPr>
                <w:rStyle w:val="Hyperlink"/>
                <w:rFonts w:ascii="Arial" w:hAnsi="Arial" w:cs="Arial"/>
                <w:noProof/>
              </w:rPr>
              <w:t>1.5 Integrated Critical Analysis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_Toc242450045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7</w:t>
            </w:r>
            <w:r w:rsidRPr="0072664D">
              <w:rPr>
                <w:rFonts w:ascii="Arial" w:hAnsi="Arial" w:cs="Arial"/>
                <w:noProof/>
                <w:webHidden/>
              </w:rPr>
              <w:fldChar w:fldCharType="end"/>
            </w:r>
          </w:hyperlink>
        </w:p>
        <w:p w14:paraId="65D5FB26" w14:textId="39441374"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6" w:history="1">
            <w:r w:rsidRPr="0072664D">
              <w:rPr>
                <w:rStyle w:val="Hyperlink"/>
                <w:rFonts w:ascii="Arial" w:hAnsi="Arial" w:cs="Arial"/>
                <w:noProof/>
              </w:rPr>
              <w:t>1.6 Key Opportunities and Challenges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_Toc242450046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7</w:t>
            </w:r>
            <w:r w:rsidRPr="0072664D">
              <w:rPr>
                <w:rFonts w:ascii="Arial" w:hAnsi="Arial" w:cs="Arial"/>
                <w:noProof/>
                <w:webHidden/>
              </w:rPr>
              <w:fldChar w:fldCharType="end"/>
            </w:r>
          </w:hyperlink>
        </w:p>
        <w:p w14:paraId="5D10DDEF" w14:textId="56B790DF" w:rsidR="00780290" w:rsidRPr="0072664D" w:rsidRDefault="00780290">
          <w:pPr>
            <w:pStyle w:val="TOC1"/>
            <w:tabs>
              <w:tab w:val="right" w:leader="dot" w:pos="9350"/>
            </w:tabs>
            <w:rPr>
              <w:rFonts w:ascii="Arial" w:eastAsiaTheme="minorEastAsia" w:hAnsi="Arial" w:cs="Arial"/>
              <w:noProof/>
              <w:kern w:val="2"/>
              <w:lang w:val="en-IN"/>
              <w14:ligatures w14:val="standardContextual"/>
            </w:rPr>
          </w:pPr>
          <w:hyperlink w:anchor="_Toc242450047" w:history="1">
            <w:r w:rsidRPr="0072664D">
              <w:rPr>
                <w:rStyle w:val="Hyperlink"/>
                <w:rFonts w:ascii="Arial" w:hAnsi="Arial" w:cs="Arial"/>
                <w:noProof/>
              </w:rPr>
              <w:t>Task 2: Strategic Growth and Competitive Positioning</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_Toc242450047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8</w:t>
            </w:r>
            <w:r w:rsidRPr="0072664D">
              <w:rPr>
                <w:rFonts w:ascii="Arial" w:hAnsi="Arial" w:cs="Arial"/>
                <w:noProof/>
                <w:webHidden/>
              </w:rPr>
              <w:fldChar w:fldCharType="end"/>
            </w:r>
          </w:hyperlink>
        </w:p>
        <w:p w14:paraId="6B1F00B3" w14:textId="683E95EE"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8" w:history="1">
            <w:r w:rsidRPr="0072664D">
              <w:rPr>
                <w:rStyle w:val="Hyperlink"/>
                <w:rFonts w:ascii="Arial" w:hAnsi="Arial" w:cs="Arial"/>
                <w:noProof/>
              </w:rPr>
              <w:t>2.1 Introduction to Strategic Growth</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_Toc242450048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8</w:t>
            </w:r>
            <w:r w:rsidRPr="0072664D">
              <w:rPr>
                <w:rFonts w:ascii="Arial" w:hAnsi="Arial" w:cs="Arial"/>
                <w:noProof/>
                <w:webHidden/>
              </w:rPr>
              <w:fldChar w:fldCharType="end"/>
            </w:r>
          </w:hyperlink>
        </w:p>
        <w:p w14:paraId="1F6ABBEE" w14:textId="6951772D"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49" w:history="1">
            <w:r w:rsidRPr="0072664D">
              <w:rPr>
                <w:rStyle w:val="Hyperlink"/>
                <w:rFonts w:ascii="Arial" w:hAnsi="Arial" w:cs="Arial"/>
                <w:noProof/>
              </w:rPr>
              <w:t>2.2 Ansoff Matrix Analysis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_Toc242450049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8</w:t>
            </w:r>
            <w:r w:rsidRPr="0072664D">
              <w:rPr>
                <w:rFonts w:ascii="Arial" w:hAnsi="Arial" w:cs="Arial"/>
                <w:noProof/>
                <w:webHidden/>
              </w:rPr>
              <w:fldChar w:fldCharType="end"/>
            </w:r>
          </w:hyperlink>
        </w:p>
        <w:p w14:paraId="5CB85853" w14:textId="79799FC3" w:rsidR="00780290" w:rsidRPr="0072664D" w:rsidRDefault="00780290">
          <w:pPr>
            <w:pStyle w:val="TOC3"/>
            <w:tabs>
              <w:tab w:val="right" w:leader="dot" w:pos="9350"/>
            </w:tabs>
            <w:rPr>
              <w:rFonts w:ascii="Arial" w:eastAsiaTheme="minorEastAsia" w:hAnsi="Arial" w:cs="Arial"/>
              <w:noProof/>
              <w:kern w:val="2"/>
              <w:lang w:val="en-IN"/>
              <w14:ligatures w14:val="standardContextual"/>
            </w:rPr>
          </w:pPr>
          <w:hyperlink w:anchor="_Toc242450050" w:history="1">
            <w:r w:rsidRPr="0072664D">
              <w:rPr>
                <w:rStyle w:val="Hyperlink"/>
                <w:rFonts w:ascii="Arial" w:hAnsi="Arial" w:cs="Arial"/>
                <w:noProof/>
              </w:rPr>
              <w:t>2.2.1 Market Penetration</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_Toc242450050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8</w:t>
            </w:r>
            <w:r w:rsidRPr="0072664D">
              <w:rPr>
                <w:rFonts w:ascii="Arial" w:hAnsi="Arial" w:cs="Arial"/>
                <w:noProof/>
                <w:webHidden/>
              </w:rPr>
              <w:fldChar w:fldCharType="end"/>
            </w:r>
          </w:hyperlink>
        </w:p>
        <w:p w14:paraId="27215134" w14:textId="0646AB94" w:rsidR="00780290" w:rsidRPr="0072664D" w:rsidRDefault="00780290">
          <w:pPr>
            <w:pStyle w:val="TOC3"/>
            <w:tabs>
              <w:tab w:val="right" w:leader="dot" w:pos="9350"/>
            </w:tabs>
            <w:rPr>
              <w:rFonts w:ascii="Arial" w:eastAsiaTheme="minorEastAsia" w:hAnsi="Arial" w:cs="Arial"/>
              <w:noProof/>
              <w:kern w:val="2"/>
              <w:lang w:val="en-IN"/>
              <w14:ligatures w14:val="standardContextual"/>
            </w:rPr>
          </w:pPr>
          <w:hyperlink w:anchor="_Toc242450051" w:history="1">
            <w:r w:rsidRPr="0072664D">
              <w:rPr>
                <w:rStyle w:val="Hyperlink"/>
                <w:rFonts w:ascii="Arial" w:hAnsi="Arial" w:cs="Arial"/>
                <w:noProof/>
              </w:rPr>
              <w:t>2.2.2 Product Development: Recommended Priority</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_Toc242450051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8</w:t>
            </w:r>
            <w:r w:rsidRPr="0072664D">
              <w:rPr>
                <w:rFonts w:ascii="Arial" w:hAnsi="Arial" w:cs="Arial"/>
                <w:noProof/>
                <w:webHidden/>
              </w:rPr>
              <w:fldChar w:fldCharType="end"/>
            </w:r>
          </w:hyperlink>
        </w:p>
        <w:p w14:paraId="443504B1" w14:textId="545BAB41" w:rsidR="00780290" w:rsidRPr="0072664D" w:rsidRDefault="00780290">
          <w:pPr>
            <w:pStyle w:val="TOC3"/>
            <w:tabs>
              <w:tab w:val="right" w:leader="dot" w:pos="9350"/>
            </w:tabs>
            <w:rPr>
              <w:rFonts w:ascii="Arial" w:eastAsiaTheme="minorEastAsia" w:hAnsi="Arial" w:cs="Arial"/>
              <w:noProof/>
              <w:kern w:val="2"/>
              <w:lang w:val="en-IN"/>
              <w14:ligatures w14:val="standardContextual"/>
            </w:rPr>
          </w:pPr>
          <w:hyperlink w:anchor="_Toc242450052" w:history="1">
            <w:r w:rsidRPr="0072664D">
              <w:rPr>
                <w:rStyle w:val="Hyperlink"/>
                <w:rFonts w:ascii="Arial" w:hAnsi="Arial" w:cs="Arial"/>
                <w:noProof/>
              </w:rPr>
              <w:t>2.2.3 Market Development</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_Toc242450052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9</w:t>
            </w:r>
            <w:r w:rsidRPr="0072664D">
              <w:rPr>
                <w:rFonts w:ascii="Arial" w:hAnsi="Arial" w:cs="Arial"/>
                <w:noProof/>
                <w:webHidden/>
              </w:rPr>
              <w:fldChar w:fldCharType="end"/>
            </w:r>
          </w:hyperlink>
        </w:p>
        <w:p w14:paraId="4101DB1C" w14:textId="4A79B760" w:rsidR="00780290" w:rsidRPr="0072664D" w:rsidRDefault="00780290">
          <w:pPr>
            <w:pStyle w:val="TOC3"/>
            <w:tabs>
              <w:tab w:val="right" w:leader="dot" w:pos="9350"/>
            </w:tabs>
            <w:rPr>
              <w:rFonts w:ascii="Arial" w:eastAsiaTheme="minorEastAsia" w:hAnsi="Arial" w:cs="Arial"/>
              <w:noProof/>
              <w:kern w:val="2"/>
              <w:lang w:val="en-IN"/>
              <w14:ligatures w14:val="standardContextual"/>
            </w:rPr>
          </w:pPr>
          <w:hyperlink w:anchor="_Toc242450053" w:history="1">
            <w:r w:rsidRPr="0072664D">
              <w:rPr>
                <w:rStyle w:val="Hyperlink"/>
                <w:rFonts w:ascii="Arial" w:hAnsi="Arial" w:cs="Arial"/>
                <w:noProof/>
              </w:rPr>
              <w:t>2.2.4 Diversification</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_Toc242450053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9</w:t>
            </w:r>
            <w:r w:rsidRPr="0072664D">
              <w:rPr>
                <w:rFonts w:ascii="Arial" w:hAnsi="Arial" w:cs="Arial"/>
                <w:noProof/>
                <w:webHidden/>
              </w:rPr>
              <w:fldChar w:fldCharType="end"/>
            </w:r>
          </w:hyperlink>
        </w:p>
        <w:p w14:paraId="7F3F8EB8" w14:textId="5B5EF325"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54" w:history="1">
            <w:r w:rsidRPr="0072664D">
              <w:rPr>
                <w:rStyle w:val="Hyperlink"/>
                <w:rFonts w:ascii="Arial" w:hAnsi="Arial" w:cs="Arial"/>
                <w:noProof/>
              </w:rPr>
              <w:t>2.3 Recommended Growth Strategy</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_Toc242450054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9</w:t>
            </w:r>
            <w:r w:rsidRPr="0072664D">
              <w:rPr>
                <w:rFonts w:ascii="Arial" w:hAnsi="Arial" w:cs="Arial"/>
                <w:noProof/>
                <w:webHidden/>
              </w:rPr>
              <w:fldChar w:fldCharType="end"/>
            </w:r>
          </w:hyperlink>
        </w:p>
        <w:p w14:paraId="445328F9" w14:textId="679B1A06"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55" w:history="1">
            <w:r w:rsidRPr="0072664D">
              <w:rPr>
                <w:rStyle w:val="Hyperlink"/>
                <w:rFonts w:ascii="Arial" w:hAnsi="Arial" w:cs="Arial"/>
                <w:noProof/>
              </w:rPr>
              <w:t>2.4 Achieving Competie Advantage</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_Toc242450055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10</w:t>
            </w:r>
            <w:r w:rsidRPr="0072664D">
              <w:rPr>
                <w:rFonts w:ascii="Arial" w:hAnsi="Arial" w:cs="Arial"/>
                <w:noProof/>
                <w:webHidden/>
              </w:rPr>
              <w:fldChar w:fldCharType="end"/>
            </w:r>
          </w:hyperlink>
        </w:p>
        <w:p w14:paraId="4557A34F" w14:textId="16D3E53B"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56" w:history="1">
            <w:r w:rsidRPr="0072664D">
              <w:rPr>
                <w:rStyle w:val="Hyperlink"/>
                <w:rFonts w:ascii="Arial" w:hAnsi="Arial" w:cs="Arial"/>
                <w:noProof/>
              </w:rPr>
              <w:t>2.5 Risks and Implementation Considerations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_Toc242450056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11</w:t>
            </w:r>
            <w:r w:rsidRPr="0072664D">
              <w:rPr>
                <w:rFonts w:ascii="Arial" w:hAnsi="Arial" w:cs="Arial"/>
                <w:noProof/>
                <w:webHidden/>
              </w:rPr>
              <w:fldChar w:fldCharType="end"/>
            </w:r>
          </w:hyperlink>
        </w:p>
        <w:p w14:paraId="4E20F925" w14:textId="5E0DF2DF" w:rsidR="00780290" w:rsidRPr="0072664D" w:rsidRDefault="00780290">
          <w:pPr>
            <w:pStyle w:val="TOC1"/>
            <w:tabs>
              <w:tab w:val="right" w:leader="dot" w:pos="9350"/>
            </w:tabs>
            <w:rPr>
              <w:rFonts w:ascii="Arial" w:eastAsiaTheme="minorEastAsia" w:hAnsi="Arial" w:cs="Arial"/>
              <w:noProof/>
              <w:kern w:val="2"/>
              <w:lang w:val="en-IN"/>
              <w14:ligatures w14:val="standardContextual"/>
            </w:rPr>
          </w:pPr>
          <w:hyperlink w:anchor="_Toc242450057" w:history="1">
            <w:r w:rsidRPr="0072664D">
              <w:rPr>
                <w:rStyle w:val="Hyperlink"/>
                <w:rFonts w:ascii="Arial" w:hAnsi="Arial" w:cs="Arial"/>
                <w:noProof/>
              </w:rPr>
              <w:t>Task 3: Managerial and Professional Reflection</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_Toc242450057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11</w:t>
            </w:r>
            <w:r w:rsidRPr="0072664D">
              <w:rPr>
                <w:rFonts w:ascii="Arial" w:hAnsi="Arial" w:cs="Arial"/>
                <w:noProof/>
                <w:webHidden/>
              </w:rPr>
              <w:fldChar w:fldCharType="end"/>
            </w:r>
          </w:hyperlink>
        </w:p>
        <w:p w14:paraId="6202EC69" w14:textId="0FA2257A"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58" w:history="1">
            <w:r w:rsidRPr="0072664D">
              <w:rPr>
                <w:rStyle w:val="Hyperlink"/>
                <w:rFonts w:ascii="Arial" w:hAnsi="Arial" w:cs="Arial"/>
                <w:noProof/>
              </w:rPr>
              <w:t>3.1 Rationale for Selecting Tata Steel</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_Toc242450058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11</w:t>
            </w:r>
            <w:r w:rsidRPr="0072664D">
              <w:rPr>
                <w:rFonts w:ascii="Arial" w:hAnsi="Arial" w:cs="Arial"/>
                <w:noProof/>
                <w:webHidden/>
              </w:rPr>
              <w:fldChar w:fldCharType="end"/>
            </w:r>
          </w:hyperlink>
        </w:p>
        <w:p w14:paraId="25346E88" w14:textId="26EF6D08"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59" w:history="1">
            <w:r w:rsidRPr="0072664D">
              <w:rPr>
                <w:rStyle w:val="Hyperlink"/>
                <w:rFonts w:ascii="Arial" w:hAnsi="Arial" w:cs="Arial"/>
                <w:noProof/>
              </w:rPr>
              <w:t>3.2 Reflection on Selection of Environmental Actors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_Toc242450059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11</w:t>
            </w:r>
            <w:r w:rsidRPr="0072664D">
              <w:rPr>
                <w:rFonts w:ascii="Arial" w:hAnsi="Arial" w:cs="Arial"/>
                <w:noProof/>
                <w:webHidden/>
              </w:rPr>
              <w:fldChar w:fldCharType="end"/>
            </w:r>
          </w:hyperlink>
        </w:p>
        <w:p w14:paraId="678130F2" w14:textId="2A2028FD"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60" w:history="1">
            <w:r w:rsidRPr="0072664D">
              <w:rPr>
                <w:rStyle w:val="Hyperlink"/>
                <w:rFonts w:ascii="Arial" w:hAnsi="Arial" w:cs="Arial"/>
                <w:noProof/>
              </w:rPr>
              <w:t>3.3 Reflection on the Strategic Recommendation</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_Toc242450060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12</w:t>
            </w:r>
            <w:r w:rsidRPr="0072664D">
              <w:rPr>
                <w:rFonts w:ascii="Arial" w:hAnsi="Arial" w:cs="Arial"/>
                <w:noProof/>
                <w:webHidden/>
              </w:rPr>
              <w:fldChar w:fldCharType="end"/>
            </w:r>
          </w:hyperlink>
        </w:p>
        <w:p w14:paraId="623F9013" w14:textId="2A6E634D"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61" w:history="1">
            <w:r w:rsidRPr="0072664D">
              <w:rPr>
                <w:rStyle w:val="Hyperlink"/>
                <w:rFonts w:ascii="Arial" w:hAnsi="Arial" w:cs="Arial"/>
                <w:noProof/>
              </w:rPr>
              <w:t>3.4 Limitations of the Analysis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_Toc242450061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12</w:t>
            </w:r>
            <w:r w:rsidRPr="0072664D">
              <w:rPr>
                <w:rFonts w:ascii="Arial" w:hAnsi="Arial" w:cs="Arial"/>
                <w:noProof/>
                <w:webHidden/>
              </w:rPr>
              <w:fldChar w:fldCharType="end"/>
            </w:r>
          </w:hyperlink>
        </w:p>
        <w:p w14:paraId="3B8712C7" w14:textId="3A40FFFE" w:rsidR="00780290" w:rsidRPr="0072664D" w:rsidRDefault="00780290">
          <w:pPr>
            <w:pStyle w:val="TOC2"/>
            <w:tabs>
              <w:tab w:val="right" w:leader="dot" w:pos="9350"/>
            </w:tabs>
            <w:rPr>
              <w:rFonts w:ascii="Arial" w:eastAsiaTheme="minorEastAsia" w:hAnsi="Arial" w:cs="Arial"/>
              <w:noProof/>
              <w:kern w:val="2"/>
              <w:lang w:val="en-IN"/>
              <w14:ligatures w14:val="standardContextual"/>
            </w:rPr>
          </w:pPr>
          <w:hyperlink w:anchor="_Toc242450062" w:history="1">
            <w:r w:rsidRPr="0072664D">
              <w:rPr>
                <w:rStyle w:val="Hyperlink"/>
                <w:rFonts w:ascii="Arial" w:hAnsi="Arial" w:cs="Arial"/>
                <w:noProof/>
              </w:rPr>
              <w:t>3.5 Information a Real Consultant Would Require</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_Toc242450062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12</w:t>
            </w:r>
            <w:r w:rsidRPr="0072664D">
              <w:rPr>
                <w:rFonts w:ascii="Arial" w:hAnsi="Arial" w:cs="Arial"/>
                <w:noProof/>
                <w:webHidden/>
              </w:rPr>
              <w:fldChar w:fldCharType="end"/>
            </w:r>
          </w:hyperlink>
        </w:p>
        <w:p w14:paraId="47E82905" w14:textId="02A36539" w:rsidR="00780290" w:rsidRPr="0072664D" w:rsidRDefault="00780290">
          <w:pPr>
            <w:pStyle w:val="TOC1"/>
            <w:tabs>
              <w:tab w:val="right" w:leader="dot" w:pos="9350"/>
            </w:tabs>
            <w:rPr>
              <w:rFonts w:ascii="Arial" w:eastAsiaTheme="minorEastAsia" w:hAnsi="Arial" w:cs="Arial"/>
              <w:noProof/>
              <w:kern w:val="2"/>
              <w:lang w:val="en-IN"/>
              <w14:ligatures w14:val="standardContextual"/>
            </w:rPr>
          </w:pPr>
          <w:hyperlink w:anchor="_Toc242450063" w:history="1">
            <w:r w:rsidRPr="0072664D">
              <w:rPr>
                <w:rStyle w:val="Hyperlink"/>
                <w:rFonts w:ascii="Arial" w:hAnsi="Arial" w:cs="Arial"/>
                <w:noProof/>
              </w:rPr>
              <w:t>References</w:t>
            </w:r>
            <w:r w:rsidRPr="0072664D">
              <w:rPr>
                <w:rFonts w:ascii="Arial" w:hAnsi="Arial" w:cs="Arial"/>
                <w:noProof/>
                <w:webHidden/>
              </w:rPr>
              <w:tab/>
            </w:r>
            <w:r w:rsidRPr="0072664D">
              <w:rPr>
                <w:rFonts w:ascii="Arial" w:hAnsi="Arial" w:cs="Arial"/>
                <w:noProof/>
                <w:webHidden/>
              </w:rPr>
              <w:fldChar w:fldCharType="begin"/>
            </w:r>
            <w:r w:rsidRPr="0072664D">
              <w:rPr>
                <w:rFonts w:ascii="Arial" w:hAnsi="Arial" w:cs="Arial"/>
                <w:noProof/>
                <w:webHidden/>
              </w:rPr>
              <w:instrText xml:space="preserve"> PAGEREF _Toc242450063 \h </w:instrText>
            </w:r>
            <w:r w:rsidRPr="0072664D">
              <w:rPr>
                <w:rFonts w:ascii="Arial" w:hAnsi="Arial" w:cs="Arial"/>
                <w:noProof/>
                <w:webHidden/>
              </w:rPr>
            </w:r>
            <w:r w:rsidRPr="0072664D">
              <w:rPr>
                <w:rFonts w:ascii="Arial" w:hAnsi="Arial" w:cs="Arial"/>
                <w:noProof/>
                <w:webHidden/>
              </w:rPr>
              <w:fldChar w:fldCharType="separate"/>
            </w:r>
            <w:r w:rsidRPr="0072664D">
              <w:rPr>
                <w:rFonts w:ascii="Arial" w:hAnsi="Arial" w:cs="Arial"/>
                <w:noProof/>
                <w:webHidden/>
              </w:rPr>
              <w:t>14</w:t>
            </w:r>
            <w:r w:rsidRPr="0072664D">
              <w:rPr>
                <w:rFonts w:ascii="Arial" w:hAnsi="Arial" w:cs="Arial"/>
                <w:noProof/>
                <w:webHidden/>
              </w:rPr>
              <w:fldChar w:fldCharType="end"/>
            </w:r>
          </w:hyperlink>
        </w:p>
        <w:p w14:paraId="53C15A66" w14:textId="307A7EA8" w:rsidR="00C859C4" w:rsidRPr="0072664D" w:rsidRDefault="00C859C4">
          <w:pPr>
            <w:rPr>
              <w:rFonts w:ascii="Arial" w:hAnsi="Arial" w:cs="Arial"/>
            </w:rPr>
          </w:pPr>
          <w:r w:rsidRPr="0072664D">
            <w:rPr>
              <w:rFonts w:ascii="Arial" w:hAnsi="Arial" w:cs="Arial"/>
              <w:b/>
              <w:bCs/>
              <w:noProof/>
            </w:rPr>
            <w:fldChar w:fldCharType="end"/>
          </w:r>
        </w:p>
      </w:sdtContent>
    </w:sdt>
    <w:p w14:paraId="6FD205F3" w14:textId="2C5A1C7B" w:rsidR="009F70FE" w:rsidRPr="0072664D" w:rsidRDefault="00000000" w:rsidP="00C859C4">
      <w:pPr>
        <w:spacing w:before="480"/>
        <w:rPr>
          <w:rFonts w:ascii="Arial" w:hAnsi="Arial" w:cs="Arial"/>
          <w:b/>
          <w:bCs/>
        </w:rPr>
      </w:pPr>
      <w:r w:rsidRPr="0072664D">
        <w:rPr>
          <w:rFonts w:ascii="Arial" w:hAnsi="Arial" w:cs="Arial"/>
        </w:rPr>
        <w:br w:type="page"/>
      </w:r>
    </w:p>
    <w:p w14:paraId="673B321D" w14:textId="77777777" w:rsidR="009F70FE" w:rsidRPr="00114969" w:rsidRDefault="00000000">
      <w:pPr>
        <w:pStyle w:val="Heading1"/>
        <w:keepNext w:val="0"/>
        <w:keepLines w:val="0"/>
        <w:spacing w:before="480"/>
        <w:rPr>
          <w:rFonts w:ascii="Arial" w:hAnsi="Arial" w:cs="Arial"/>
        </w:rPr>
      </w:pPr>
      <w:bookmarkStart w:id="0" w:name="_q0yb5kgp2prj" w:colFirst="0" w:colLast="0"/>
      <w:bookmarkStart w:id="1" w:name="_Toc242450040"/>
      <w:bookmarkEnd w:id="0"/>
      <w:r w:rsidRPr="0072664D">
        <w:rPr>
          <w:rFonts w:ascii="Arial" w:hAnsi="Arial" w:cs="Arial"/>
        </w:rPr>
        <w:lastRenderedPageBreak/>
        <w:t>Task 1: Marketing Environment Analysis</w:t>
      </w:r>
      <w:bookmarkEnd w:id="1"/>
    </w:p>
    <w:p w14:paraId="64FE5FAB" w14:textId="77777777" w:rsidR="009F70FE" w:rsidRPr="0072664D" w:rsidRDefault="00000000">
      <w:pPr>
        <w:pStyle w:val="Heading2"/>
        <w:keepNext w:val="0"/>
        <w:keepLines w:val="0"/>
        <w:rPr>
          <w:rFonts w:ascii="Arial" w:hAnsi="Arial" w:cs="Arial"/>
        </w:rPr>
      </w:pPr>
      <w:bookmarkStart w:id="2" w:name="_i3o9yf3lhko8" w:colFirst="0" w:colLast="0"/>
      <w:bookmarkStart w:id="3" w:name="_Toc242450041"/>
      <w:bookmarkEnd w:id="2"/>
      <w:r w:rsidRPr="0072664D">
        <w:rPr>
          <w:rFonts w:ascii="Arial" w:hAnsi="Arial" w:cs="Arial"/>
        </w:rPr>
        <w:t>1.1 Tata Steel and the Marketing Environment</w:t>
      </w:r>
      <w:bookmarkEnd w:id="3"/>
    </w:p>
    <w:p w14:paraId="0DA91ADC" w14:textId="77777777" w:rsidR="009F70FE" w:rsidRPr="0072664D" w:rsidRDefault="00000000">
      <w:pPr>
        <w:rPr>
          <w:rFonts w:ascii="Arial" w:hAnsi="Arial" w:cs="Arial"/>
        </w:rPr>
      </w:pPr>
      <w:r w:rsidRPr="0072664D">
        <w:rPr>
          <w:rFonts w:ascii="Arial" w:hAnsi="Arial" w:cs="Arial"/>
        </w:rPr>
        <w:t>Tata Steel is in a carbon-intensive business with growing pressure from the environment, regulators, and stakeholders. The decarbonisation of the steel sector is of great strategic importance, being responsible for 7-9% of global energy-related CO</w:t>
      </w:r>
      <w:r w:rsidRPr="0072664D">
        <w:rPr>
          <w:rFonts w:ascii="Cambria Math" w:hAnsi="Cambria Math" w:cs="Cambria Math"/>
        </w:rPr>
        <w:t>₂</w:t>
      </w:r>
      <w:r w:rsidRPr="0072664D">
        <w:rPr>
          <w:rFonts w:ascii="Arial" w:hAnsi="Arial" w:cs="Arial"/>
        </w:rPr>
        <w:t xml:space="preserve"> emissions (Globalenergymonitor, 2025). According to Nilashi et al. (2023) organisations need to be alert to external forces as changes in the environment present opportunities and threats. Tata Steel plans to achieve CO2 emission intensity of less than 2 tCO2 /tcs (ton CO2 per tonne of crude steel) by 2025 and less than 1.8 tCO2 /tcs by 2030 (Tata, 2025). It is estimated to be about 2.32 tCO</w:t>
      </w:r>
      <w:r w:rsidRPr="0072664D">
        <w:rPr>
          <w:rFonts w:ascii="Cambria Math" w:hAnsi="Cambria Math" w:cs="Cambria Math"/>
        </w:rPr>
        <w:t>₂</w:t>
      </w:r>
      <w:r w:rsidRPr="0072664D">
        <w:rPr>
          <w:rFonts w:ascii="Arial" w:hAnsi="Arial" w:cs="Arial"/>
        </w:rPr>
        <w:t>/tcs, which suggests a significant reduction. The analysis is focussed on three actors: the natural environment, government and regulation, and customers and stakeholders.</w:t>
      </w:r>
    </w:p>
    <w:p w14:paraId="2B782771" w14:textId="77777777" w:rsidR="009F70FE" w:rsidRPr="0072664D" w:rsidRDefault="00000000">
      <w:pPr>
        <w:pStyle w:val="Heading2"/>
        <w:keepNext w:val="0"/>
        <w:keepLines w:val="0"/>
        <w:rPr>
          <w:rFonts w:ascii="Arial" w:hAnsi="Arial" w:cs="Arial"/>
        </w:rPr>
      </w:pPr>
      <w:bookmarkStart w:id="4" w:name="_clr7id2skl8k" w:colFirst="0" w:colLast="0"/>
      <w:bookmarkStart w:id="5" w:name="_Toc242450042"/>
      <w:bookmarkEnd w:id="4"/>
      <w:r w:rsidRPr="0072664D">
        <w:rPr>
          <w:rFonts w:ascii="Arial" w:hAnsi="Arial" w:cs="Arial"/>
        </w:rPr>
        <w:t>1.2 Actor 1: Environmental Factors</w:t>
      </w:r>
      <w:bookmarkEnd w:id="5"/>
    </w:p>
    <w:p w14:paraId="3B8DD266" w14:textId="77777777" w:rsidR="009F70FE" w:rsidRPr="0072664D" w:rsidRDefault="00000000">
      <w:pPr>
        <w:rPr>
          <w:rFonts w:ascii="Arial" w:hAnsi="Arial" w:cs="Arial"/>
        </w:rPr>
      </w:pPr>
      <w:r w:rsidRPr="0072664D">
        <w:rPr>
          <w:rFonts w:ascii="Arial" w:hAnsi="Arial" w:cs="Arial"/>
        </w:rPr>
        <w:t>The natural environment is the most influential actor as it's the climate change that has created the need for Tata Steel's transition. Conventional steelmaking is coal-intensive and has significant emissions, which makes it hard to decarbonize the sector (Meng et al. 2025). Around 4.6 MT of scrap was recycled by Tata Steel, Total Scope 1 and Scope 2 emission intensity per rupee of turnover (Tatasteel, 2025). Tata Steel has targeted emission intensity &lt;2 tCO2/tcs by the year 2025. Moreover, it was meant to reduce CO2 emission intensity of Tata Steel India to less than 1.8 tCO2/tcs by 2030 (Tatasteel, 2025). Environmental pressure has thus gained status as a strategic need or requirement and not just a reputation issue.</w:t>
      </w:r>
    </w:p>
    <w:p w14:paraId="4ACD5D4F" w14:textId="77777777" w:rsidR="009F70FE" w:rsidRPr="0072664D" w:rsidRDefault="00000000">
      <w:pPr>
        <w:rPr>
          <w:rFonts w:ascii="Arial" w:hAnsi="Arial" w:cs="Arial"/>
        </w:rPr>
      </w:pPr>
      <w:r w:rsidRPr="0072664D">
        <w:rPr>
          <w:rFonts w:ascii="Arial" w:hAnsi="Arial" w:cs="Arial"/>
        </w:rPr>
        <w:t>This is reinforced by pressures on resources. There is a greater demand for scrap, renewable electricity, EAF and hydrogen to produce lower carbon steel. This shift is exemplified in Tata Steel's 0.75 million tonnes per annum electric arc furnace in Ludhiana that has a capital cost of around ₹3,200 crore (Tata Steel, 2025). The facility is committed to using approximately 50% renewable energy and emissions less than 0.3 tCO</w:t>
      </w:r>
      <w:r w:rsidRPr="0072664D">
        <w:rPr>
          <w:rFonts w:ascii="Cambria Math" w:hAnsi="Cambria Math" w:cs="Cambria Math"/>
        </w:rPr>
        <w:t>₂</w:t>
      </w:r>
      <w:r w:rsidRPr="0072664D">
        <w:rPr>
          <w:rFonts w:ascii="Arial" w:hAnsi="Arial" w:cs="Arial"/>
        </w:rPr>
        <w:t xml:space="preserve">/tcs by </w:t>
      </w:r>
      <w:r w:rsidRPr="0072664D">
        <w:rPr>
          <w:rFonts w:ascii="Arial" w:hAnsi="Arial" w:cs="Arial"/>
        </w:rPr>
        <w:lastRenderedPageBreak/>
        <w:t>Wealsomaketomorrow (2025). This is lower-carbon production than the 2.32 tCO</w:t>
      </w:r>
      <w:r w:rsidRPr="0072664D">
        <w:rPr>
          <w:rFonts w:ascii="Cambria Math" w:hAnsi="Cambria Math" w:cs="Cambria Math"/>
        </w:rPr>
        <w:t>₂</w:t>
      </w:r>
      <w:r w:rsidRPr="0072664D">
        <w:rPr>
          <w:rFonts w:ascii="Arial" w:hAnsi="Arial" w:cs="Arial"/>
        </w:rPr>
        <w:t>/tcs seen in the average of all other electricity grid sources.</w:t>
      </w:r>
    </w:p>
    <w:p w14:paraId="438179C3" w14:textId="77777777" w:rsidR="009F70FE" w:rsidRPr="0072664D" w:rsidRDefault="00000000">
      <w:pPr>
        <w:rPr>
          <w:rFonts w:ascii="Arial" w:hAnsi="Arial" w:cs="Arial"/>
        </w:rPr>
      </w:pPr>
      <w:r w:rsidRPr="0072664D">
        <w:rPr>
          <w:rFonts w:ascii="Arial" w:hAnsi="Arial" w:cs="Arial"/>
        </w:rPr>
        <w:t>Transition also poses costs, however. Capital, infrastructure and reliable low-carbon energy are needed for decarbonisation technologies (Wang, et al., 2025). Technological development, policy support and adequate customers' appetite are needed for green-steel markets. As a result, Tata Steel is not taking the ‘environmental investment equals competitive advantage' route.</w:t>
      </w:r>
    </w:p>
    <w:p w14:paraId="5929146A" w14:textId="77777777" w:rsidR="009F70FE" w:rsidRPr="0072664D" w:rsidRDefault="00000000">
      <w:pPr>
        <w:rPr>
          <w:rFonts w:ascii="Arial" w:hAnsi="Arial" w:cs="Arial"/>
        </w:rPr>
      </w:pPr>
      <w:r w:rsidRPr="0072664D">
        <w:rPr>
          <w:rFonts w:ascii="Arial" w:hAnsi="Arial" w:cs="Arial"/>
        </w:rPr>
        <w:t xml:space="preserve">Despite this, there is a marketing opportunity available in terms of product differentiation: Environmental pressure. Tata Steel now has products with lower carbon content such as Zeremis® Carbon Lite and Optemis® Carbon Lite (Tatasteel, 2025). Consumer pressure is more strongly related to green product innovation, while regulatory pressure is more strongly associated with green process innovation (Mady et al. 2026). This separation is significant because an environmental pressure can create incentive to use "cleaner" production methods; a customer demand may be the key that changes a capability into a marketable product. </w:t>
      </w:r>
    </w:p>
    <w:p w14:paraId="180119E6" w14:textId="77777777" w:rsidR="009F70FE" w:rsidRPr="0072664D" w:rsidRDefault="00000000">
      <w:pPr>
        <w:rPr>
          <w:rFonts w:ascii="Arial" w:hAnsi="Arial" w:cs="Arial"/>
        </w:rPr>
      </w:pPr>
      <w:r w:rsidRPr="0072664D">
        <w:rPr>
          <w:rFonts w:ascii="Arial" w:hAnsi="Arial" w:cs="Arial"/>
        </w:rPr>
        <w:t>Credibility remains essential. Reliable measurement and transparency are important for environmental claims because there can be greenwashing risks with weak claims. This can help build trust as Tata Steel increasingly adopts lifecycle assessment and environmental-product disclosure.</w:t>
      </w:r>
    </w:p>
    <w:p w14:paraId="7D4B5BE6" w14:textId="77777777" w:rsidR="009F70FE" w:rsidRPr="0072664D" w:rsidRDefault="00000000">
      <w:pPr>
        <w:pStyle w:val="Heading2"/>
        <w:keepNext w:val="0"/>
        <w:keepLines w:val="0"/>
        <w:rPr>
          <w:rFonts w:ascii="Arial" w:hAnsi="Arial" w:cs="Arial"/>
        </w:rPr>
      </w:pPr>
      <w:bookmarkStart w:id="6" w:name="_3axuh12yfesi" w:colFirst="0" w:colLast="0"/>
      <w:bookmarkStart w:id="7" w:name="_Toc242450043"/>
      <w:bookmarkEnd w:id="6"/>
      <w:r w:rsidRPr="0072664D">
        <w:rPr>
          <w:rFonts w:ascii="Arial" w:hAnsi="Arial" w:cs="Arial"/>
        </w:rPr>
        <w:t>1.3 Actor 2: Legal Environment factors</w:t>
      </w:r>
      <w:bookmarkEnd w:id="7"/>
    </w:p>
    <w:p w14:paraId="4F119478" w14:textId="77777777" w:rsidR="009F70FE" w:rsidRPr="0072664D" w:rsidRDefault="00000000">
      <w:pPr>
        <w:rPr>
          <w:rFonts w:ascii="Arial" w:hAnsi="Arial" w:cs="Arial"/>
        </w:rPr>
      </w:pPr>
      <w:r w:rsidRPr="0072664D">
        <w:rPr>
          <w:rFonts w:ascii="Arial" w:hAnsi="Arial" w:cs="Arial"/>
        </w:rPr>
        <w:t>The second external actor is the government and regulatory institutions, since “environmental” issues are becoming formal market demands. India's Green Steel Taxonomy 2024 classifies steel with lower emissions of less than 2.2 tCO</w:t>
      </w:r>
      <w:r w:rsidRPr="0072664D">
        <w:rPr>
          <w:rFonts w:ascii="Cambria Math" w:hAnsi="Cambria Math" w:cs="Cambria Math"/>
        </w:rPr>
        <w:t>₂</w:t>
      </w:r>
      <w:r w:rsidRPr="0072664D">
        <w:rPr>
          <w:rFonts w:ascii="Arial" w:hAnsi="Arial" w:cs="Arial"/>
        </w:rPr>
        <w:t>e per tonne of finished steel as "green" steel and those with lower emissions of less than 1.6 tCO</w:t>
      </w:r>
      <w:r w:rsidRPr="0072664D">
        <w:rPr>
          <w:rFonts w:ascii="Cambria Math" w:hAnsi="Cambria Math" w:cs="Cambria Math"/>
        </w:rPr>
        <w:t>₂</w:t>
      </w:r>
      <w:r w:rsidRPr="0072664D">
        <w:rPr>
          <w:rFonts w:ascii="Arial" w:hAnsi="Arial" w:cs="Arial"/>
        </w:rPr>
        <w:t>e per tonne as "five-star steel" (Gov, 2025). These thresholds can incentivize the adoption of cleaner technology and provide the customers with a clear basis for the purchase of lower carbon steel.</w:t>
      </w:r>
    </w:p>
    <w:p w14:paraId="70799AA1" w14:textId="77777777" w:rsidR="009F70FE" w:rsidRPr="0072664D" w:rsidRDefault="00000000">
      <w:pPr>
        <w:rPr>
          <w:rFonts w:ascii="Arial" w:hAnsi="Arial" w:cs="Arial"/>
        </w:rPr>
      </w:pPr>
      <w:r w:rsidRPr="0072664D">
        <w:rPr>
          <w:rFonts w:ascii="Arial" w:hAnsi="Arial" w:cs="Arial"/>
        </w:rPr>
        <w:lastRenderedPageBreak/>
        <w:t>Regulation is a challenge and an opportunity for Tata Steel. Adopting stricter standards could mean higher capital and compliance costs, but early adapters may reap technological benefits. According to Zhang et al. (2025), it is possible to foster innovation and enhance competitiveness by designing environmental regulation in an appropriate way. The authors of Tyler et al. (2024) demonstrate, however, that regulatory pressure does not necessarily yield sustainability results, affecting responses through organisational capabilities.</w:t>
      </w:r>
    </w:p>
    <w:p w14:paraId="042E06EE" w14:textId="77777777" w:rsidR="009F70FE" w:rsidRPr="0072664D" w:rsidRDefault="00000000">
      <w:pPr>
        <w:rPr>
          <w:rFonts w:ascii="Arial" w:hAnsi="Arial" w:cs="Arial"/>
        </w:rPr>
      </w:pPr>
      <w:r w:rsidRPr="0072664D">
        <w:rPr>
          <w:rFonts w:ascii="Arial" w:hAnsi="Arial" w:cs="Arial"/>
        </w:rPr>
        <w:t>The pressure is increased by international regulation. The EU's Carbon Border Adjustment Mechanism will be in its definitive phase from 2026 and will apply to iron and steel (Taxation-customs, 2025). Increasing carbon intensity can begin to impact market access and competitiveness. The financial impacts are seen in Tata Steel's transformation in Port Talbot, where around £1.25 billion is being invested, with £500m of the money coming from the UK Government, and the electric arc furnace will cut down on the site's emissions at around 5 million tonnes per year (Tatasteel, 2025). Regulation thus changes the nature of investment, production and product positioning.</w:t>
      </w:r>
    </w:p>
    <w:p w14:paraId="74CC966C" w14:textId="77777777" w:rsidR="009F70FE" w:rsidRPr="0072664D" w:rsidRDefault="00000000">
      <w:pPr>
        <w:pStyle w:val="Heading2"/>
        <w:keepNext w:val="0"/>
        <w:keepLines w:val="0"/>
        <w:rPr>
          <w:rFonts w:ascii="Arial" w:hAnsi="Arial" w:cs="Arial"/>
        </w:rPr>
      </w:pPr>
      <w:bookmarkStart w:id="8" w:name="_ngmptirm4928" w:colFirst="0" w:colLast="0"/>
      <w:bookmarkStart w:id="9" w:name="_Toc242450044"/>
      <w:bookmarkEnd w:id="8"/>
      <w:r w:rsidRPr="0072664D">
        <w:rPr>
          <w:rFonts w:ascii="Arial" w:hAnsi="Arial" w:cs="Arial"/>
        </w:rPr>
        <w:t>1.4 Actor 3: Social Factors</w:t>
      </w:r>
      <w:bookmarkEnd w:id="9"/>
    </w:p>
    <w:p w14:paraId="67B3B5C0" w14:textId="77777777" w:rsidR="009F70FE" w:rsidRPr="0072664D" w:rsidRDefault="00000000">
      <w:pPr>
        <w:rPr>
          <w:rFonts w:ascii="Arial" w:hAnsi="Arial" w:cs="Arial"/>
        </w:rPr>
      </w:pPr>
      <w:r w:rsidRPr="0072664D">
        <w:rPr>
          <w:rFonts w:ascii="Arial" w:hAnsi="Arial" w:cs="Arial"/>
        </w:rPr>
        <w:t xml:space="preserve">The social expectations impact Tata Steel's transition as decarbonisation impacts on staff, local communities and Tata's social licence to operate. The workforce was an important consideration with the transition of cleaner technologies to their production processes and skills requirements, as Tata Steel had 77,000 people on its payroll as of FY2024–25 (Tatasteel, 2025). During the same year, the company engaged in CSR activities worth of ₹584.61 crore, reaching 5.77 million lives, showcasing its extensive community outreach (Tatasteel, 2025). </w:t>
      </w:r>
    </w:p>
    <w:p w14:paraId="74508527" w14:textId="77777777" w:rsidR="009F70FE" w:rsidRPr="0072664D" w:rsidRDefault="00000000">
      <w:pPr>
        <w:rPr>
          <w:rFonts w:ascii="Arial" w:hAnsi="Arial" w:cs="Arial"/>
        </w:rPr>
      </w:pPr>
      <w:r w:rsidRPr="0072664D">
        <w:rPr>
          <w:rFonts w:ascii="Arial" w:hAnsi="Arial" w:cs="Arial"/>
        </w:rPr>
        <w:t>Therefore, the community's expectations can impact the way the environmental transition is realized by Tata Steel, especially in terms of employment and livelihood impacts of industrial restructuring. Additionally, Tata Steel's environmental efforts extended to 59,620 beneficiaries, highlighting the growing intertwining of environmental and social concerns in its CSR activities (Tatasteel, 2025). Therefore, to achieve legitimacy and facilitate long-term decarbonisation, trust is crucial for the stakeholders.</w:t>
      </w:r>
    </w:p>
    <w:p w14:paraId="5011136A" w14:textId="77777777" w:rsidR="009F70FE" w:rsidRPr="0072664D" w:rsidRDefault="00000000">
      <w:pPr>
        <w:jc w:val="center"/>
        <w:rPr>
          <w:rFonts w:ascii="Arial" w:hAnsi="Arial" w:cs="Arial"/>
        </w:rPr>
      </w:pPr>
      <w:r w:rsidRPr="0072664D">
        <w:rPr>
          <w:rFonts w:ascii="Arial" w:hAnsi="Arial" w:cs="Arial"/>
          <w:noProof/>
        </w:rPr>
        <w:lastRenderedPageBreak/>
        <w:drawing>
          <wp:inline distT="114300" distB="114300" distL="114300" distR="114300" wp14:anchorId="6C7C1216" wp14:editId="6ECEC1BD">
            <wp:extent cx="2505274" cy="35671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505274" cy="3567113"/>
                    </a:xfrm>
                    <a:prstGeom prst="rect">
                      <a:avLst/>
                    </a:prstGeom>
                    <a:ln/>
                  </pic:spPr>
                </pic:pic>
              </a:graphicData>
            </a:graphic>
          </wp:inline>
        </w:drawing>
      </w:r>
    </w:p>
    <w:p w14:paraId="3A22B93A" w14:textId="77777777" w:rsidR="009F70FE" w:rsidRPr="0072664D" w:rsidRDefault="00000000">
      <w:pPr>
        <w:jc w:val="center"/>
        <w:rPr>
          <w:rFonts w:ascii="Arial" w:hAnsi="Arial" w:cs="Arial"/>
          <w:b/>
          <w:bCs/>
        </w:rPr>
      </w:pPr>
      <w:r w:rsidRPr="0072664D">
        <w:rPr>
          <w:rFonts w:ascii="Arial" w:hAnsi="Arial" w:cs="Arial"/>
          <w:b/>
          <w:bCs/>
        </w:rPr>
        <w:t>Figure 1: “Tata Steel Employees”</w:t>
      </w:r>
    </w:p>
    <w:p w14:paraId="6128B93D" w14:textId="77777777" w:rsidR="009F70FE" w:rsidRPr="0072664D" w:rsidRDefault="00000000">
      <w:pPr>
        <w:jc w:val="center"/>
        <w:rPr>
          <w:rFonts w:ascii="Arial" w:hAnsi="Arial" w:cs="Arial"/>
        </w:rPr>
      </w:pPr>
      <w:r w:rsidRPr="0072664D">
        <w:rPr>
          <w:rFonts w:ascii="Arial" w:hAnsi="Arial" w:cs="Arial"/>
        </w:rPr>
        <w:t>(Source: Tatasteel, 2025)</w:t>
      </w:r>
    </w:p>
    <w:p w14:paraId="72574AD3" w14:textId="77777777" w:rsidR="009F70FE" w:rsidRPr="0072664D" w:rsidRDefault="00000000">
      <w:pPr>
        <w:pStyle w:val="Heading2"/>
        <w:keepNext w:val="0"/>
        <w:keepLines w:val="0"/>
        <w:rPr>
          <w:rFonts w:ascii="Arial" w:hAnsi="Arial" w:cs="Arial"/>
        </w:rPr>
      </w:pPr>
      <w:bookmarkStart w:id="10" w:name="_xyf6dn3ig9cn" w:colFirst="0" w:colLast="0"/>
      <w:bookmarkStart w:id="11" w:name="_Toc242450045"/>
      <w:bookmarkEnd w:id="10"/>
      <w:r w:rsidRPr="0072664D">
        <w:rPr>
          <w:rFonts w:ascii="Arial" w:hAnsi="Arial" w:cs="Arial"/>
        </w:rPr>
        <w:t>1.5 Integrated Critical Analysis</w:t>
      </w:r>
      <w:bookmarkEnd w:id="11"/>
    </w:p>
    <w:p w14:paraId="19DE6F8D" w14:textId="77777777" w:rsidR="009F70FE" w:rsidRPr="0072664D" w:rsidRDefault="00000000">
      <w:pPr>
        <w:rPr>
          <w:rFonts w:ascii="Arial" w:hAnsi="Arial" w:cs="Arial"/>
        </w:rPr>
      </w:pPr>
      <w:r w:rsidRPr="0072664D">
        <w:rPr>
          <w:rFonts w:ascii="Arial" w:hAnsi="Arial" w:cs="Arial"/>
        </w:rPr>
        <w:t>The three actors are linked together. The underlying environmental pressure comes from climate change; it becomes regulation in the hands of the government and market expectations in the hands of customers and stakeholders. Thus, Tata Steel requires “cleaner production” and “genuine product differentiation.”</w:t>
      </w:r>
    </w:p>
    <w:p w14:paraId="056A211C" w14:textId="77777777" w:rsidR="009F70FE" w:rsidRPr="0072664D" w:rsidRDefault="00000000">
      <w:pPr>
        <w:pStyle w:val="Heading2"/>
        <w:keepNext w:val="0"/>
        <w:keepLines w:val="0"/>
        <w:rPr>
          <w:rFonts w:ascii="Arial" w:hAnsi="Arial" w:cs="Arial"/>
        </w:rPr>
      </w:pPr>
      <w:bookmarkStart w:id="12" w:name="_6xgb6q6v3ohe" w:colFirst="0" w:colLast="0"/>
      <w:bookmarkStart w:id="13" w:name="_Toc242450046"/>
      <w:bookmarkEnd w:id="12"/>
      <w:r w:rsidRPr="0072664D">
        <w:rPr>
          <w:rFonts w:ascii="Arial" w:hAnsi="Arial" w:cs="Arial"/>
        </w:rPr>
        <w:t>1.6 Key Opportunities and Challenges</w:t>
      </w:r>
      <w:bookmarkEnd w:id="13"/>
    </w:p>
    <w:p w14:paraId="5384DB14" w14:textId="77777777" w:rsidR="009F70FE" w:rsidRPr="0072664D" w:rsidRDefault="00000000">
      <w:pPr>
        <w:rPr>
          <w:rFonts w:ascii="Arial" w:hAnsi="Arial" w:cs="Arial"/>
        </w:rPr>
      </w:pPr>
      <w:r w:rsidRPr="0072664D">
        <w:rPr>
          <w:rFonts w:ascii="Arial" w:hAnsi="Arial" w:cs="Arial"/>
        </w:rPr>
        <w:t xml:space="preserve">Four big prospects present themselves. Tata Steel can leverage environmental changes by means of lower-carbon differentiation, regulatory readiness, and customer partnerships. It has invested in electric arc furnaces and environmental measurement, which form the basis of this opportunity. There are still challenges, though, in capital requirements, technology uncertainty, availability of clean energy and uncertain </w:t>
      </w:r>
      <w:r w:rsidRPr="0072664D">
        <w:rPr>
          <w:rFonts w:ascii="Arial" w:hAnsi="Arial" w:cs="Arial"/>
        </w:rPr>
        <w:lastRenderedPageBreak/>
        <w:t>willingness to pay from customers. Just because environmental pressure produces a competitive advantage does not mean it is an advantage for the individual. Tata Steel needs to transform environmental capabilities into products that can be valued by its customers, verified and accepted as products to be bought.</w:t>
      </w:r>
    </w:p>
    <w:p w14:paraId="2AD5790A" w14:textId="77777777" w:rsidR="009F70FE" w:rsidRPr="0072664D" w:rsidRDefault="00000000">
      <w:pPr>
        <w:pStyle w:val="Heading1"/>
        <w:rPr>
          <w:rFonts w:ascii="Arial" w:hAnsi="Arial" w:cs="Arial"/>
        </w:rPr>
      </w:pPr>
      <w:bookmarkStart w:id="14" w:name="_rpyjz8f5417q" w:colFirst="0" w:colLast="0"/>
      <w:bookmarkStart w:id="15" w:name="_Toc242450047"/>
      <w:bookmarkEnd w:id="14"/>
      <w:r w:rsidRPr="0072664D">
        <w:rPr>
          <w:rFonts w:ascii="Arial" w:hAnsi="Arial" w:cs="Arial"/>
        </w:rPr>
        <w:t>Task 2: Strategic Growth and Competitive Positioning</w:t>
      </w:r>
      <w:bookmarkEnd w:id="15"/>
    </w:p>
    <w:p w14:paraId="5A914840" w14:textId="33F13612" w:rsidR="009F70FE" w:rsidRPr="0072664D" w:rsidRDefault="00C859C4">
      <w:pPr>
        <w:pStyle w:val="Heading2"/>
        <w:keepNext w:val="0"/>
        <w:keepLines w:val="0"/>
        <w:rPr>
          <w:rFonts w:ascii="Arial" w:hAnsi="Arial" w:cs="Arial"/>
        </w:rPr>
      </w:pPr>
      <w:bookmarkStart w:id="16" w:name="_vtwxf8vu7ze3" w:colFirst="0" w:colLast="0"/>
      <w:bookmarkStart w:id="17" w:name="_Toc242450048"/>
      <w:bookmarkEnd w:id="16"/>
      <w:r w:rsidRPr="0072664D">
        <w:rPr>
          <w:rFonts w:ascii="Arial" w:hAnsi="Arial" w:cs="Arial"/>
        </w:rPr>
        <w:t>2.1 Introduction to Strategic Growth</w:t>
      </w:r>
      <w:bookmarkEnd w:id="17"/>
    </w:p>
    <w:p w14:paraId="128DB45E" w14:textId="77777777" w:rsidR="009F70FE" w:rsidRPr="0072664D" w:rsidRDefault="00000000">
      <w:pPr>
        <w:rPr>
          <w:rFonts w:ascii="Arial" w:hAnsi="Arial" w:cs="Arial"/>
        </w:rPr>
      </w:pPr>
      <w:r w:rsidRPr="0072664D">
        <w:rPr>
          <w:rFonts w:ascii="Arial" w:hAnsi="Arial" w:cs="Arial"/>
        </w:rPr>
        <w:t>A shift towards lower carbon products for Tata Steel needs to happen without compromising profitability and competitive advantage. In Section 1, we explored the various factors that influence this transition, including climate change and regulatory requirements, as well as social expectations. The Ansoff Matrix is a tool used to assess the growth opportunities based on the existing and new products and markets (Ansoff, 1957).</w:t>
      </w:r>
    </w:p>
    <w:p w14:paraId="614D29F3" w14:textId="6412D0B2" w:rsidR="009F70FE" w:rsidRPr="0072664D" w:rsidRDefault="00C859C4">
      <w:pPr>
        <w:pStyle w:val="Heading2"/>
        <w:keepNext w:val="0"/>
        <w:keepLines w:val="0"/>
        <w:rPr>
          <w:rFonts w:ascii="Arial" w:hAnsi="Arial" w:cs="Arial"/>
        </w:rPr>
      </w:pPr>
      <w:bookmarkStart w:id="18" w:name="_8pq56vdbdav0" w:colFirst="0" w:colLast="0"/>
      <w:bookmarkStart w:id="19" w:name="_Toc242450049"/>
      <w:bookmarkEnd w:id="18"/>
      <w:r w:rsidRPr="0072664D">
        <w:rPr>
          <w:rFonts w:ascii="Arial" w:hAnsi="Arial" w:cs="Arial"/>
        </w:rPr>
        <w:t>2.2 Ansoff Matrix Analysis</w:t>
      </w:r>
      <w:bookmarkEnd w:id="19"/>
    </w:p>
    <w:p w14:paraId="684F4B22" w14:textId="7F24E878" w:rsidR="009F70FE" w:rsidRPr="0072664D" w:rsidRDefault="00C859C4">
      <w:pPr>
        <w:pStyle w:val="Heading3"/>
        <w:keepNext w:val="0"/>
        <w:keepLines w:val="0"/>
        <w:spacing w:before="280"/>
        <w:rPr>
          <w:rFonts w:ascii="Arial" w:hAnsi="Arial" w:cs="Arial"/>
          <w:b/>
          <w:bCs/>
          <w:color w:val="000000"/>
          <w:sz w:val="24"/>
          <w:szCs w:val="24"/>
        </w:rPr>
      </w:pPr>
      <w:bookmarkStart w:id="20" w:name="_cg678sp2wshz" w:colFirst="0" w:colLast="0"/>
      <w:bookmarkStart w:id="21" w:name="_Toc242450050"/>
      <w:bookmarkEnd w:id="20"/>
      <w:r w:rsidRPr="0072664D">
        <w:rPr>
          <w:rFonts w:ascii="Arial" w:hAnsi="Arial" w:cs="Arial"/>
          <w:b/>
          <w:bCs/>
          <w:color w:val="000000"/>
          <w:sz w:val="24"/>
          <w:szCs w:val="24"/>
        </w:rPr>
        <w:t>2.2.1 Market Penetration</w:t>
      </w:r>
      <w:bookmarkEnd w:id="21"/>
    </w:p>
    <w:p w14:paraId="45023ADB" w14:textId="77777777" w:rsidR="009F70FE" w:rsidRPr="0072664D" w:rsidRDefault="00000000">
      <w:pPr>
        <w:rPr>
          <w:rFonts w:ascii="Arial" w:hAnsi="Arial" w:cs="Arial"/>
        </w:rPr>
      </w:pPr>
      <w:r w:rsidRPr="0072664D">
        <w:rPr>
          <w:rFonts w:ascii="Arial" w:hAnsi="Arial" w:cs="Arial"/>
        </w:rPr>
        <w:t>Market penetration involves increasing sales of existing products in existing markets (Ferreira, and de Sá, 2024). Tata Steel could further consolidate its interactions with existing construction, vehicle and engineering clients with better service, timely delivery and eco-friendly data. Sustainability accreditation could be useful in holding on to customers who are under pressure to cut emissions in their supply chains. However, if any differentiation is to be achieved, promotion of conventional steel with minimal emission reduction may be limited. So market penetration should be used to complement Tata Steel's move but not as the main engine of growth.</w:t>
      </w:r>
    </w:p>
    <w:p w14:paraId="0198C5CB" w14:textId="38167045" w:rsidR="009F70FE" w:rsidRPr="0072664D" w:rsidRDefault="00C859C4">
      <w:pPr>
        <w:pStyle w:val="Heading3"/>
        <w:keepNext w:val="0"/>
        <w:keepLines w:val="0"/>
        <w:spacing w:before="280"/>
        <w:rPr>
          <w:rFonts w:ascii="Arial" w:hAnsi="Arial" w:cs="Arial"/>
          <w:b/>
          <w:bCs/>
          <w:color w:val="000000"/>
          <w:sz w:val="24"/>
          <w:szCs w:val="24"/>
        </w:rPr>
      </w:pPr>
      <w:bookmarkStart w:id="22" w:name="_d01qjrqih8ga" w:colFirst="0" w:colLast="0"/>
      <w:bookmarkStart w:id="23" w:name="_Toc242450051"/>
      <w:bookmarkEnd w:id="22"/>
      <w:r w:rsidRPr="0072664D">
        <w:rPr>
          <w:rFonts w:ascii="Arial" w:hAnsi="Arial" w:cs="Arial"/>
          <w:b/>
          <w:bCs/>
          <w:color w:val="000000"/>
          <w:sz w:val="24"/>
          <w:szCs w:val="24"/>
        </w:rPr>
        <w:t>2.2.2 Product Development: Recommended Priority</w:t>
      </w:r>
      <w:bookmarkEnd w:id="23"/>
    </w:p>
    <w:p w14:paraId="5CE8B53E" w14:textId="77777777" w:rsidR="009F70FE" w:rsidRPr="0072664D" w:rsidRDefault="00000000">
      <w:pPr>
        <w:rPr>
          <w:rFonts w:ascii="Arial" w:hAnsi="Arial" w:cs="Arial"/>
        </w:rPr>
      </w:pPr>
      <w:r w:rsidRPr="0072664D">
        <w:rPr>
          <w:rFonts w:ascii="Arial" w:hAnsi="Arial" w:cs="Arial"/>
        </w:rPr>
        <w:t xml:space="preserve">Product development is the process of creating new or improved products in an already established product market. It is especially suited, as Tata Steel has the capacity to expand its production, and its customers, to create lower-carbon steel products and </w:t>
      </w:r>
      <w:r w:rsidRPr="0072664D">
        <w:rPr>
          <w:rFonts w:ascii="Arial" w:hAnsi="Arial" w:cs="Arial"/>
        </w:rPr>
        <w:lastRenderedPageBreak/>
        <w:t>materials for environmentally conscious customers. It has two products to meet requests for lower carbon steel: Zeremis® Carbon Lite and Optemis® Carbon Lite.</w:t>
      </w:r>
    </w:p>
    <w:p w14:paraId="667DE3B7" w14:textId="77777777" w:rsidR="009F70FE" w:rsidRPr="0072664D" w:rsidRDefault="00000000">
      <w:pPr>
        <w:rPr>
          <w:rFonts w:ascii="Arial" w:hAnsi="Arial" w:cs="Arial"/>
        </w:rPr>
      </w:pPr>
      <w:r w:rsidRPr="0072664D">
        <w:rPr>
          <w:rFonts w:ascii="Arial" w:hAnsi="Arial" w:cs="Arial"/>
        </w:rPr>
        <w:t>There is also a demonstration of investment in alternative production technology at Tata Steel in Ludhiana (0.75 million tonnes per year electric arc furnace). The plant is built to meet emissions intensity lower than 0.3 tonnes of CO</w:t>
      </w:r>
      <w:r w:rsidRPr="0072664D">
        <w:rPr>
          <w:rFonts w:ascii="Cambria Math" w:hAnsi="Cambria Math" w:cs="Cambria Math"/>
        </w:rPr>
        <w:t>₂</w:t>
      </w:r>
      <w:r w:rsidRPr="0072664D">
        <w:rPr>
          <w:rFonts w:ascii="Arial" w:hAnsi="Arial" w:cs="Arial"/>
        </w:rPr>
        <w:t xml:space="preserve"> per tonne of steel (Tatasteel 2025). Teixeira, (2025) point to technological advances and adequate customer demand being essential for the development of green-steel markets. Product development provides growth potential, but claims need to be substantiated with regard to the environment and production costs need to be controlled.</w:t>
      </w:r>
    </w:p>
    <w:p w14:paraId="0695C0C5" w14:textId="0E7A10EA" w:rsidR="009F70FE" w:rsidRPr="0072664D" w:rsidRDefault="00C859C4">
      <w:pPr>
        <w:pStyle w:val="Heading3"/>
        <w:keepNext w:val="0"/>
        <w:keepLines w:val="0"/>
        <w:spacing w:before="280"/>
        <w:rPr>
          <w:rFonts w:ascii="Arial" w:hAnsi="Arial" w:cs="Arial"/>
          <w:b/>
          <w:bCs/>
          <w:color w:val="000000"/>
          <w:sz w:val="24"/>
          <w:szCs w:val="24"/>
        </w:rPr>
      </w:pPr>
      <w:bookmarkStart w:id="24" w:name="_h62u0gwfizjm" w:colFirst="0" w:colLast="0"/>
      <w:bookmarkStart w:id="25" w:name="_Toc242450052"/>
      <w:bookmarkEnd w:id="24"/>
      <w:r w:rsidRPr="0072664D">
        <w:rPr>
          <w:rFonts w:ascii="Arial" w:hAnsi="Arial" w:cs="Arial"/>
          <w:b/>
          <w:bCs/>
          <w:color w:val="000000"/>
          <w:sz w:val="24"/>
          <w:szCs w:val="24"/>
        </w:rPr>
        <w:t>2.2.3 Market Development</w:t>
      </w:r>
      <w:bookmarkEnd w:id="25"/>
    </w:p>
    <w:p w14:paraId="3A10FE83" w14:textId="77777777" w:rsidR="009F70FE" w:rsidRPr="0072664D" w:rsidRDefault="00000000">
      <w:pPr>
        <w:rPr>
          <w:rFonts w:ascii="Arial" w:hAnsi="Arial" w:cs="Arial"/>
        </w:rPr>
      </w:pPr>
      <w:r w:rsidRPr="0072664D">
        <w:rPr>
          <w:rFonts w:ascii="Arial" w:hAnsi="Arial" w:cs="Arial"/>
        </w:rPr>
        <w:t>Market development is concerned with the development of the sales of products to new markets, either in terms of customer segments or in terms of geographical markets (Keramidas et al. 2024). Tata Steel might reach out to manufacturers who have science-based emissions targets, to infrastructure developers who have green procurement requirements and international buyers. These customers could appreciate emissions transparency and reduction of carbon. But for expansion, it is essential to have the appropriate production capacity, distribution and meet diverse market standards. The strategy of market development should therefore concentrate on expanding into segments where the market demand and commercial returns are sufficient.</w:t>
      </w:r>
    </w:p>
    <w:p w14:paraId="3900C33A" w14:textId="7D101809" w:rsidR="009F70FE" w:rsidRPr="0072664D" w:rsidRDefault="00C859C4">
      <w:pPr>
        <w:pStyle w:val="Heading3"/>
        <w:keepNext w:val="0"/>
        <w:keepLines w:val="0"/>
        <w:spacing w:before="280"/>
        <w:rPr>
          <w:rFonts w:ascii="Arial" w:hAnsi="Arial" w:cs="Arial"/>
          <w:b/>
          <w:bCs/>
          <w:color w:val="000000"/>
          <w:sz w:val="24"/>
          <w:szCs w:val="24"/>
        </w:rPr>
      </w:pPr>
      <w:bookmarkStart w:id="26" w:name="_u23xbvd5v7p0" w:colFirst="0" w:colLast="0"/>
      <w:bookmarkStart w:id="27" w:name="_Toc242450053"/>
      <w:bookmarkEnd w:id="26"/>
      <w:r w:rsidRPr="0072664D">
        <w:rPr>
          <w:rFonts w:ascii="Arial" w:hAnsi="Arial" w:cs="Arial"/>
          <w:b/>
          <w:bCs/>
          <w:color w:val="000000"/>
          <w:sz w:val="24"/>
          <w:szCs w:val="24"/>
        </w:rPr>
        <w:t>2.2.4 Diversification</w:t>
      </w:r>
      <w:bookmarkEnd w:id="27"/>
    </w:p>
    <w:p w14:paraId="6D4E6787" w14:textId="77777777" w:rsidR="009F70FE" w:rsidRPr="0072664D" w:rsidRDefault="00000000">
      <w:pPr>
        <w:rPr>
          <w:rFonts w:ascii="Arial" w:hAnsi="Arial" w:cs="Arial"/>
        </w:rPr>
      </w:pPr>
      <w:r w:rsidRPr="0072664D">
        <w:rPr>
          <w:rFonts w:ascii="Arial" w:hAnsi="Arial" w:cs="Arial"/>
        </w:rPr>
        <w:t>Diversification involves the introduction of new products to new markets, and typically is a more uncertain process. Tata Steel might consider services that use circular-steel, recycling arrangements and other low-carbon industrial opportunities that are next door. These opportunities can help to enhance resource efficiency and generate extra income. However, diversification might take investment funds away from the pressing need of decarbonising the core steel production process (Keramidas et al. 2024). It should continue to be a long-term possibility after lower-carbon products become commercially viable.</w:t>
      </w:r>
    </w:p>
    <w:p w14:paraId="73E68F9D" w14:textId="0C369D16" w:rsidR="009F70FE" w:rsidRPr="0072664D" w:rsidRDefault="00C859C4">
      <w:pPr>
        <w:pStyle w:val="Heading2"/>
        <w:keepNext w:val="0"/>
        <w:keepLines w:val="0"/>
        <w:rPr>
          <w:rFonts w:ascii="Arial" w:hAnsi="Arial" w:cs="Arial"/>
        </w:rPr>
      </w:pPr>
      <w:bookmarkStart w:id="28" w:name="_t1kciwowkye6" w:colFirst="0" w:colLast="0"/>
      <w:bookmarkStart w:id="29" w:name="_Toc242450054"/>
      <w:bookmarkEnd w:id="28"/>
      <w:r w:rsidRPr="0072664D">
        <w:rPr>
          <w:rFonts w:ascii="Arial" w:hAnsi="Arial" w:cs="Arial"/>
        </w:rPr>
        <w:lastRenderedPageBreak/>
        <w:t>2.3 Recommended Growth Strategy</w:t>
      </w:r>
      <w:bookmarkEnd w:id="29"/>
    </w:p>
    <w:p w14:paraId="6F2077B0" w14:textId="77777777" w:rsidR="009F70FE" w:rsidRPr="0072664D" w:rsidRDefault="00000000">
      <w:pPr>
        <w:rPr>
          <w:rFonts w:ascii="Arial" w:hAnsi="Arial" w:cs="Arial"/>
        </w:rPr>
      </w:pPr>
      <w:r w:rsidRPr="0072664D">
        <w:rPr>
          <w:rFonts w:ascii="Arial" w:hAnsi="Arial" w:cs="Arial"/>
        </w:rPr>
        <w:t>Tata Steel needs to focus on product development coupled with selective market development. This is the direct consequence of the environmental analysis, which revealed that the climate pressure makes decarbonisation necessary; regulation makes emissions performance more important; and stakeholder expectations have an impact on corporate legitimacy.</w:t>
      </w:r>
    </w:p>
    <w:p w14:paraId="4B9C8C4E" w14:textId="77777777" w:rsidR="009F70FE" w:rsidRPr="0072664D" w:rsidRDefault="00000000">
      <w:pPr>
        <w:rPr>
          <w:rFonts w:ascii="Arial" w:hAnsi="Arial" w:cs="Arial"/>
        </w:rPr>
      </w:pPr>
      <w:r w:rsidRPr="0072664D">
        <w:rPr>
          <w:rFonts w:ascii="Arial" w:hAnsi="Arial" w:cs="Arial"/>
        </w:rPr>
        <w:t>First, lower carbon production capacity must be increased in Tata Steel and products must be produced that have proven environmental advantages. Second, it should focus on customers that consider supply-chain emissions in procurement, and this would involve establishing partnerships with automotive, construction and engineering companies. Third, it should deliver credible product level emissions information by consistent measurement and independent verification. The actions might help build customer confidence and help it stand out from products backed by less transparent environmental claims.</w:t>
      </w:r>
    </w:p>
    <w:p w14:paraId="4FBF5F6E" w14:textId="77777777" w:rsidR="009F70FE" w:rsidRPr="0072664D" w:rsidRDefault="00000000">
      <w:pPr>
        <w:rPr>
          <w:rFonts w:ascii="Arial" w:hAnsi="Arial" w:cs="Arial"/>
        </w:rPr>
      </w:pPr>
      <w:r w:rsidRPr="0072664D">
        <w:rPr>
          <w:rFonts w:ascii="Arial" w:hAnsi="Arial" w:cs="Arial"/>
        </w:rPr>
        <w:t>But one shouldn't take it for granted that lower-carbon products will always sell at a premium price. According to Lundmark et. al. (2024), market development and customer demand are pertinent factors for commercial green steel. Tata Steel should therefore conduct a test to see if the customers are willing to pay and should evaluate the cost of production and scale of investment based on the market evidence. It's a strategy that aims to combine the environment with the economy, and that leverages current strengths to achieve growth.</w:t>
      </w:r>
    </w:p>
    <w:p w14:paraId="7BBCE9A8" w14:textId="5C842A67" w:rsidR="009F70FE" w:rsidRPr="0072664D" w:rsidRDefault="00C859C4">
      <w:pPr>
        <w:pStyle w:val="Heading2"/>
        <w:keepNext w:val="0"/>
        <w:keepLines w:val="0"/>
        <w:rPr>
          <w:rFonts w:ascii="Arial" w:hAnsi="Arial" w:cs="Arial"/>
        </w:rPr>
      </w:pPr>
      <w:bookmarkStart w:id="30" w:name="_504qjgo7u7ts" w:colFirst="0" w:colLast="0"/>
      <w:bookmarkStart w:id="31" w:name="_Toc242450055"/>
      <w:bookmarkEnd w:id="30"/>
      <w:r w:rsidRPr="0072664D">
        <w:rPr>
          <w:rFonts w:ascii="Arial" w:hAnsi="Arial" w:cs="Arial"/>
        </w:rPr>
        <w:t>2.4 Achieving Competitive Advantage</w:t>
      </w:r>
      <w:bookmarkEnd w:id="31"/>
    </w:p>
    <w:p w14:paraId="195CC50D" w14:textId="77777777" w:rsidR="009F70FE" w:rsidRPr="0072664D" w:rsidRDefault="00000000">
      <w:pPr>
        <w:rPr>
          <w:rFonts w:ascii="Arial" w:hAnsi="Arial" w:cs="Arial"/>
        </w:rPr>
      </w:pPr>
      <w:r w:rsidRPr="0072664D">
        <w:rPr>
          <w:rFonts w:ascii="Arial" w:hAnsi="Arial" w:cs="Arial"/>
        </w:rPr>
        <w:t>Porter's Generic Strategies also highlights differentiation as a form of competition that involves providing customers with a distinctive value different from price (Imbwaga, 2023). Tata Steel can differentiate itself through verified emissions reductions, quality, reliable delivery and technical co-operation. Support investment in electric arc furnace technology and recycled materials, and energy efficiency and renewable electricity can also help minimize environmental impacts as practical.</w:t>
      </w:r>
    </w:p>
    <w:p w14:paraId="1700304F" w14:textId="77777777" w:rsidR="009F70FE" w:rsidRPr="0072664D" w:rsidRDefault="00000000">
      <w:pPr>
        <w:rPr>
          <w:rFonts w:ascii="Arial" w:hAnsi="Arial" w:cs="Arial"/>
        </w:rPr>
      </w:pPr>
      <w:r w:rsidRPr="0072664D">
        <w:rPr>
          <w:rFonts w:ascii="Arial" w:hAnsi="Arial" w:cs="Arial"/>
        </w:rPr>
        <w:lastRenderedPageBreak/>
        <w:t>According to Le, and Ikram, (2022) environmental improvement can drive innovation and even enhance competitiveness. However, sustainability branding is not enough to differentiate. Tata Steel has to prove measurable environmental gains and make them transparent to minimise the potential for greenwashing. Providing services to customers to design product specifications and evaluate lifecycle emissions may enhance customer relationships and add value beyond the steel product. Environmental credibility along with being affordable and reliable in terms of quality and operation will be its competitive advantage.</w:t>
      </w:r>
    </w:p>
    <w:p w14:paraId="7D49FD18" w14:textId="33C676FA" w:rsidR="009F70FE" w:rsidRPr="0072664D" w:rsidRDefault="00C859C4">
      <w:pPr>
        <w:pStyle w:val="Heading2"/>
        <w:keepNext w:val="0"/>
        <w:keepLines w:val="0"/>
        <w:rPr>
          <w:rFonts w:ascii="Arial" w:hAnsi="Arial" w:cs="Arial"/>
        </w:rPr>
      </w:pPr>
      <w:bookmarkStart w:id="32" w:name="_yi6gkaf1ffg" w:colFirst="0" w:colLast="0"/>
      <w:bookmarkStart w:id="33" w:name="_Toc242450056"/>
      <w:bookmarkEnd w:id="32"/>
      <w:r w:rsidRPr="0072664D">
        <w:rPr>
          <w:rFonts w:ascii="Arial" w:hAnsi="Arial" w:cs="Arial"/>
        </w:rPr>
        <w:t>2.5 Risks and Implementation Considerations</w:t>
      </w:r>
      <w:bookmarkEnd w:id="33"/>
    </w:p>
    <w:p w14:paraId="1A7F7CFA" w14:textId="77777777" w:rsidR="009F70FE" w:rsidRPr="0072664D" w:rsidRDefault="00000000">
      <w:pPr>
        <w:rPr>
          <w:rFonts w:ascii="Arial" w:hAnsi="Arial" w:cs="Arial"/>
        </w:rPr>
      </w:pPr>
      <w:r w:rsidRPr="0072664D">
        <w:rPr>
          <w:rFonts w:ascii="Arial" w:hAnsi="Arial" w:cs="Arial"/>
        </w:rPr>
        <w:t>Implementation is challenging because of the high capital costs, uncertainty about technology, limited energy supply, and customer willingness to pay. The competitors can also create similar products. Measurable targets, targets of emissions intensity, targets of lower-carbon sales, targets of customer retention, targets of operating costs, and targets of investment returns should be set by Tata Steel. A standard assessment would aid management to set a balance between environmental progress and commercial performance.</w:t>
      </w:r>
    </w:p>
    <w:p w14:paraId="27EA5505" w14:textId="77777777" w:rsidR="009F70FE" w:rsidRPr="0072664D" w:rsidRDefault="00000000">
      <w:pPr>
        <w:pStyle w:val="Heading1"/>
        <w:keepNext w:val="0"/>
        <w:keepLines w:val="0"/>
        <w:spacing w:before="480" w:after="120"/>
        <w:rPr>
          <w:rFonts w:ascii="Arial" w:hAnsi="Arial" w:cs="Arial"/>
        </w:rPr>
      </w:pPr>
      <w:bookmarkStart w:id="34" w:name="_u5l0pwz1lwl6" w:colFirst="0" w:colLast="0"/>
      <w:bookmarkStart w:id="35" w:name="_Toc242450057"/>
      <w:bookmarkEnd w:id="34"/>
      <w:r w:rsidRPr="0072664D">
        <w:rPr>
          <w:rFonts w:ascii="Arial" w:hAnsi="Arial" w:cs="Arial"/>
        </w:rPr>
        <w:t>Task 3: Managerial and Professional Reflection</w:t>
      </w:r>
      <w:bookmarkEnd w:id="35"/>
    </w:p>
    <w:p w14:paraId="63CC5E41" w14:textId="29CAE03E" w:rsidR="009F70FE" w:rsidRPr="0072664D" w:rsidRDefault="00C859C4">
      <w:pPr>
        <w:pStyle w:val="Heading2"/>
        <w:keepNext w:val="0"/>
        <w:keepLines w:val="0"/>
        <w:rPr>
          <w:rFonts w:ascii="Arial" w:hAnsi="Arial" w:cs="Arial"/>
        </w:rPr>
      </w:pPr>
      <w:bookmarkStart w:id="36" w:name="_ss4zf74aze38" w:colFirst="0" w:colLast="0"/>
      <w:bookmarkStart w:id="37" w:name="_Toc242450058"/>
      <w:bookmarkEnd w:id="36"/>
      <w:r w:rsidRPr="0072664D">
        <w:rPr>
          <w:rFonts w:ascii="Arial" w:hAnsi="Arial" w:cs="Arial"/>
        </w:rPr>
        <w:t>3.1 Rationale for Selecting Tata Steel</w:t>
      </w:r>
      <w:bookmarkEnd w:id="37"/>
    </w:p>
    <w:p w14:paraId="3248E1B8" w14:textId="77777777" w:rsidR="009F70FE" w:rsidRPr="0072664D" w:rsidRDefault="00000000">
      <w:pPr>
        <w:rPr>
          <w:rFonts w:ascii="Arial" w:hAnsi="Arial" w:cs="Arial"/>
        </w:rPr>
      </w:pPr>
      <w:r w:rsidRPr="0072664D">
        <w:rPr>
          <w:rFonts w:ascii="Arial" w:hAnsi="Arial" w:cs="Arial"/>
        </w:rPr>
        <w:t>I chose Tata Steel as it is a relevant organisation to explore the link of environmental responsibility and business expansion in a carbon-intensive organisation. The steel industry is a major decarbonisation challenge and Tata Steel has set out public climate goals and investments in alternative steel production technologies. This allows for linking marketing-environment analysis with strategic decisions as opposed to regarding sustainability as a corporate responsibility issue. Analysis is also aided by the availability of company reports and articles from academic studies. The information publicly available is however not complete with respect to the internal decision making process, investment returns and customer response.</w:t>
      </w:r>
    </w:p>
    <w:p w14:paraId="31081E38" w14:textId="6F0BA4CA" w:rsidR="009F70FE" w:rsidRPr="0072664D" w:rsidRDefault="00C859C4">
      <w:pPr>
        <w:pStyle w:val="Heading2"/>
        <w:keepNext w:val="0"/>
        <w:keepLines w:val="0"/>
        <w:rPr>
          <w:rFonts w:ascii="Arial" w:hAnsi="Arial" w:cs="Arial"/>
        </w:rPr>
      </w:pPr>
      <w:bookmarkStart w:id="38" w:name="_zad77bv0e33p" w:colFirst="0" w:colLast="0"/>
      <w:bookmarkStart w:id="39" w:name="_Toc242450059"/>
      <w:bookmarkEnd w:id="38"/>
      <w:r w:rsidRPr="0072664D">
        <w:rPr>
          <w:rFonts w:ascii="Arial" w:hAnsi="Arial" w:cs="Arial"/>
        </w:rPr>
        <w:lastRenderedPageBreak/>
        <w:t>3.2 Reflection on Selection of Environmental Actors</w:t>
      </w:r>
      <w:bookmarkEnd w:id="39"/>
    </w:p>
    <w:p w14:paraId="1F7C2409" w14:textId="77777777" w:rsidR="009F70FE" w:rsidRPr="0072664D" w:rsidRDefault="00000000">
      <w:pPr>
        <w:rPr>
          <w:rFonts w:ascii="Arial" w:hAnsi="Arial" w:cs="Arial"/>
        </w:rPr>
      </w:pPr>
      <w:r w:rsidRPr="0072664D">
        <w:rPr>
          <w:rFonts w:ascii="Arial" w:hAnsi="Arial" w:cs="Arial"/>
        </w:rPr>
        <w:t>Because the influences of the natural environment, government and regulation, and customers and stakeholders are related to each other. Decarbonisation is the need that has been driven by climate change and resource constraints. The government translates environmental issues into standards and consequences, impacting on investment decisions. Whether the transition is accepted commercially and socially is determined by the customer, employees, and the community. A combination of this offers a wider view than just regulation or customer demand. But I am aware that many other actors such as suppliers, competitors and technology providers, have an impact on the outcome as well. These actors could be analysed in isolation in a more detailed analysis to grasp constraints related to supply of scrap, renewable electricity, technological partnership and competitive response.</w:t>
      </w:r>
    </w:p>
    <w:p w14:paraId="787F3100" w14:textId="0651CF48" w:rsidR="009F70FE" w:rsidRPr="0072664D" w:rsidRDefault="00C859C4">
      <w:pPr>
        <w:pStyle w:val="Heading2"/>
        <w:keepNext w:val="0"/>
        <w:keepLines w:val="0"/>
        <w:rPr>
          <w:rFonts w:ascii="Arial" w:hAnsi="Arial" w:cs="Arial"/>
        </w:rPr>
      </w:pPr>
      <w:bookmarkStart w:id="40" w:name="_60lqc0bcowmy" w:colFirst="0" w:colLast="0"/>
      <w:bookmarkStart w:id="41" w:name="_Toc242450060"/>
      <w:bookmarkEnd w:id="40"/>
      <w:r w:rsidRPr="0072664D">
        <w:rPr>
          <w:rFonts w:ascii="Arial" w:hAnsi="Arial" w:cs="Arial"/>
        </w:rPr>
        <w:t>3.3 Reflection on the Strategic Recommendation</w:t>
      </w:r>
      <w:bookmarkEnd w:id="41"/>
    </w:p>
    <w:p w14:paraId="4287D4FF" w14:textId="77777777" w:rsidR="009F70FE" w:rsidRPr="0072664D" w:rsidRDefault="00000000">
      <w:pPr>
        <w:rPr>
          <w:rFonts w:ascii="Arial" w:hAnsi="Arial" w:cs="Arial"/>
        </w:rPr>
      </w:pPr>
      <w:r w:rsidRPr="0072664D">
        <w:rPr>
          <w:rFonts w:ascii="Arial" w:hAnsi="Arial" w:cs="Arial"/>
        </w:rPr>
        <w:t>As a manager, I think product development with selective market development is a good compromise between growth potential and risk. This helps Tata Steel to develop new skills without starting in an unknown field of business. Value added can be added through differentiation if customers appreciate and trust the environmental benefits. However, the recommendation is based on assumptions regarding future demand, production cost and technological performance. I wouldn't even be talking about a large-scale investment based on environmental trends as a future manager or consultant. I'd start by examining customer needs, testing market demand and then comparing investment possibilities. This would enable sustainability targets to be met without compromising financial stewardship and competitiveness.</w:t>
      </w:r>
    </w:p>
    <w:p w14:paraId="7003082F" w14:textId="3EA88D3C" w:rsidR="009F70FE" w:rsidRPr="0072664D" w:rsidRDefault="00C859C4">
      <w:pPr>
        <w:pStyle w:val="Heading2"/>
        <w:keepNext w:val="0"/>
        <w:keepLines w:val="0"/>
        <w:rPr>
          <w:rFonts w:ascii="Arial" w:hAnsi="Arial" w:cs="Arial"/>
        </w:rPr>
      </w:pPr>
      <w:bookmarkStart w:id="42" w:name="_tc2z9fflc7dh" w:colFirst="0" w:colLast="0"/>
      <w:bookmarkStart w:id="43" w:name="_Toc242450061"/>
      <w:bookmarkEnd w:id="42"/>
      <w:r w:rsidRPr="0072664D">
        <w:rPr>
          <w:rFonts w:ascii="Arial" w:hAnsi="Arial" w:cs="Arial"/>
        </w:rPr>
        <w:t>3.4 Limitations of the Analysis</w:t>
      </w:r>
      <w:bookmarkEnd w:id="43"/>
    </w:p>
    <w:p w14:paraId="3F5DF334" w14:textId="77777777" w:rsidR="009F70FE" w:rsidRPr="0072664D" w:rsidRDefault="00000000">
      <w:pPr>
        <w:rPr>
          <w:rFonts w:ascii="Arial" w:hAnsi="Arial" w:cs="Arial"/>
        </w:rPr>
      </w:pPr>
      <w:r w:rsidRPr="0072664D">
        <w:rPr>
          <w:rFonts w:ascii="Arial" w:hAnsi="Arial" w:cs="Arial"/>
        </w:rPr>
        <w:t xml:space="preserve">This analysis uses the main publicly available corporate reporting, academic research and policy information. It thus cannot have access to Tata Steel's internal cost data, an in-depth understanding of its customer contracts or its confidential investment appraisals. Customers are not yet as anxious to pay for lower carbon steel, and anticipated future </w:t>
      </w:r>
      <w:r w:rsidRPr="0072664D">
        <w:rPr>
          <w:rFonts w:ascii="Arial" w:hAnsi="Arial" w:cs="Arial"/>
        </w:rPr>
        <w:lastRenderedPageBreak/>
        <w:t>carbon prices, regulations, and technologies may differ. The analysis also does not comprehensively benchmark competitors or give a detailed financial evaluation of alternative technologies. Moreover, it is not appropriate to assume that the results that have been announced or designed are equal to the results that have been achieved. These restrictions do not mean that the recommendations are tied to a definite investment decision.</w:t>
      </w:r>
    </w:p>
    <w:p w14:paraId="1247DCBF" w14:textId="0748598D" w:rsidR="009F70FE" w:rsidRPr="0072664D" w:rsidRDefault="00C859C4">
      <w:pPr>
        <w:pStyle w:val="Heading2"/>
        <w:keepNext w:val="0"/>
        <w:keepLines w:val="0"/>
        <w:rPr>
          <w:rFonts w:ascii="Arial" w:hAnsi="Arial" w:cs="Arial"/>
        </w:rPr>
      </w:pPr>
      <w:bookmarkStart w:id="44" w:name="_gs7ftitg0obt" w:colFirst="0" w:colLast="0"/>
      <w:bookmarkStart w:id="45" w:name="_Toc242450062"/>
      <w:bookmarkEnd w:id="44"/>
      <w:r w:rsidRPr="0072664D">
        <w:rPr>
          <w:rFonts w:ascii="Arial" w:hAnsi="Arial" w:cs="Arial"/>
        </w:rPr>
        <w:t>3.5 Information a Real Consultant Would Require</w:t>
      </w:r>
      <w:bookmarkEnd w:id="45"/>
    </w:p>
    <w:p w14:paraId="69EC5078" w14:textId="77777777" w:rsidR="009F70FE" w:rsidRPr="0072664D" w:rsidRDefault="00000000">
      <w:pPr>
        <w:rPr>
          <w:rFonts w:ascii="Arial" w:hAnsi="Arial" w:cs="Arial"/>
        </w:rPr>
      </w:pPr>
      <w:r w:rsidRPr="0072664D">
        <w:rPr>
          <w:rFonts w:ascii="Arial" w:hAnsi="Arial" w:cs="Arial"/>
        </w:rPr>
        <w:t>I would ask for the emissions data confirmed, cost of production at product level, estimates/future projections of investments in this technology, and lower demand for carbon steel. For customers, I would explore the willingness to pay for decarbonisation; competitors decarbonisation plans; future regulatory scenarios; and the expected return on investment. Customer, employee and community interviews would help address implementation risks.</w:t>
      </w:r>
    </w:p>
    <w:p w14:paraId="29D7F791" w14:textId="77777777" w:rsidR="009F70FE" w:rsidRPr="0072664D" w:rsidRDefault="00000000">
      <w:pPr>
        <w:pStyle w:val="Heading1"/>
        <w:rPr>
          <w:rFonts w:ascii="Arial" w:hAnsi="Arial" w:cs="Arial"/>
        </w:rPr>
      </w:pPr>
      <w:bookmarkStart w:id="46" w:name="_2g8qwznqwl0t" w:colFirst="0" w:colLast="0"/>
      <w:bookmarkEnd w:id="46"/>
      <w:r w:rsidRPr="0072664D">
        <w:rPr>
          <w:rFonts w:ascii="Arial" w:hAnsi="Arial" w:cs="Arial"/>
        </w:rPr>
        <w:br w:type="page"/>
      </w:r>
    </w:p>
    <w:p w14:paraId="2726B64B" w14:textId="6E14EC9B" w:rsidR="0026227E" w:rsidRPr="0072664D" w:rsidRDefault="00000000" w:rsidP="0026227E">
      <w:pPr>
        <w:pStyle w:val="Heading1"/>
        <w:rPr>
          <w:rFonts w:ascii="Arial" w:hAnsi="Arial" w:cs="Arial"/>
        </w:rPr>
      </w:pPr>
      <w:bookmarkStart w:id="47" w:name="_k0yad4j5m589" w:colFirst="0" w:colLast="0"/>
      <w:bookmarkStart w:id="48" w:name="_Toc242450063"/>
      <w:bookmarkEnd w:id="47"/>
      <w:r w:rsidRPr="0072664D">
        <w:rPr>
          <w:rFonts w:ascii="Arial" w:hAnsi="Arial" w:cs="Arial"/>
        </w:rPr>
        <w:lastRenderedPageBreak/>
        <w:t>References</w:t>
      </w:r>
      <w:bookmarkEnd w:id="48"/>
      <w:r w:rsidRPr="0072664D">
        <w:rPr>
          <w:rFonts w:ascii="Arial" w:hAnsi="Arial" w:cs="Arial"/>
        </w:rPr>
        <w:t xml:space="preserve"> </w:t>
      </w:r>
    </w:p>
    <w:p w14:paraId="132C2B46" w14:textId="77777777" w:rsidR="0026227E" w:rsidRPr="0072664D" w:rsidRDefault="0026227E">
      <w:pPr>
        <w:spacing w:before="0" w:after="0"/>
        <w:rPr>
          <w:rFonts w:ascii="Arial" w:hAnsi="Arial" w:cs="Arial"/>
        </w:rPr>
      </w:pPr>
      <w:r w:rsidRPr="0072664D">
        <w:rPr>
          <w:rFonts w:ascii="Arial" w:hAnsi="Arial" w:cs="Arial"/>
          <w:color w:val="222222"/>
        </w:rPr>
        <w:t xml:space="preserve">Ferreira, A.P.P.F.S. and de Sá, M.M.B.P., (2024). The importance of the Ansoff matrix for the study of the information services market. </w:t>
      </w:r>
      <w:r w:rsidRPr="0072664D">
        <w:rPr>
          <w:rFonts w:ascii="Arial" w:hAnsi="Arial" w:cs="Arial"/>
          <w:i/>
          <w:iCs/>
          <w:color w:val="222222"/>
        </w:rPr>
        <w:t>The Canadian Journal of Information and Library Science</w:t>
      </w:r>
      <w:r w:rsidRPr="0072664D">
        <w:rPr>
          <w:rFonts w:ascii="Arial" w:hAnsi="Arial" w:cs="Arial"/>
          <w:color w:val="222222"/>
        </w:rPr>
        <w:t xml:space="preserve">, </w:t>
      </w:r>
      <w:r w:rsidRPr="0072664D">
        <w:rPr>
          <w:rFonts w:ascii="Arial" w:hAnsi="Arial" w:cs="Arial"/>
          <w:i/>
          <w:iCs/>
          <w:color w:val="222222"/>
        </w:rPr>
        <w:t>47</w:t>
      </w:r>
      <w:r w:rsidRPr="0072664D">
        <w:rPr>
          <w:rFonts w:ascii="Arial" w:hAnsi="Arial" w:cs="Arial"/>
          <w:color w:val="222222"/>
        </w:rPr>
        <w:t>(2), pp.78-84.</w:t>
      </w:r>
      <w:r w:rsidRPr="0072664D">
        <w:rPr>
          <w:rFonts w:ascii="Arial" w:hAnsi="Arial" w:cs="Arial"/>
        </w:rPr>
        <w:t xml:space="preserve"> </w:t>
      </w:r>
    </w:p>
    <w:p w14:paraId="2084CF9C" w14:textId="77777777" w:rsidR="0026227E" w:rsidRPr="0072664D" w:rsidRDefault="0026227E">
      <w:pPr>
        <w:spacing w:before="0" w:after="0"/>
        <w:rPr>
          <w:rFonts w:ascii="Arial" w:hAnsi="Arial" w:cs="Arial"/>
        </w:rPr>
      </w:pPr>
      <w:r w:rsidRPr="0072664D">
        <w:rPr>
          <w:rFonts w:ascii="Arial" w:hAnsi="Arial" w:cs="Arial"/>
          <w:color w:val="222222"/>
        </w:rPr>
        <w:t xml:space="preserve">Ferreira, A.P.P.F.S. and de Sá, M.M.B.P., (2024). The importance of the Ansoff matrix for the study of the information services market. </w:t>
      </w:r>
      <w:r w:rsidRPr="0072664D">
        <w:rPr>
          <w:rFonts w:ascii="Arial" w:hAnsi="Arial" w:cs="Arial"/>
          <w:i/>
          <w:iCs/>
          <w:color w:val="222222"/>
        </w:rPr>
        <w:t>The Canadian Journal of Information and Library Science</w:t>
      </w:r>
      <w:r w:rsidRPr="0072664D">
        <w:rPr>
          <w:rFonts w:ascii="Arial" w:hAnsi="Arial" w:cs="Arial"/>
          <w:color w:val="222222"/>
        </w:rPr>
        <w:t xml:space="preserve">, </w:t>
      </w:r>
      <w:r w:rsidRPr="0072664D">
        <w:rPr>
          <w:rFonts w:ascii="Arial" w:hAnsi="Arial" w:cs="Arial"/>
          <w:i/>
          <w:iCs/>
          <w:color w:val="222222"/>
        </w:rPr>
        <w:t>47</w:t>
      </w:r>
      <w:r w:rsidRPr="0072664D">
        <w:rPr>
          <w:rFonts w:ascii="Arial" w:hAnsi="Arial" w:cs="Arial"/>
          <w:color w:val="222222"/>
        </w:rPr>
        <w:t>(2), pp.78-84.</w:t>
      </w:r>
      <w:r w:rsidRPr="0072664D">
        <w:rPr>
          <w:rFonts w:ascii="Arial" w:hAnsi="Arial" w:cs="Arial"/>
        </w:rPr>
        <w:t xml:space="preserve"> </w:t>
      </w:r>
    </w:p>
    <w:p w14:paraId="221D4979" w14:textId="77777777" w:rsidR="0026227E" w:rsidRPr="0072664D" w:rsidRDefault="0026227E">
      <w:pPr>
        <w:rPr>
          <w:rFonts w:ascii="Arial" w:hAnsi="Arial" w:cs="Arial"/>
        </w:rPr>
      </w:pPr>
      <w:r w:rsidRPr="0072664D">
        <w:rPr>
          <w:rFonts w:ascii="Arial" w:hAnsi="Arial" w:cs="Arial"/>
        </w:rPr>
        <w:t xml:space="preserve">Globalenergymonitor (2025) </w:t>
      </w:r>
      <w:r w:rsidRPr="0072664D">
        <w:rPr>
          <w:rFonts w:ascii="Arial" w:hAnsi="Arial" w:cs="Arial"/>
          <w:i/>
          <w:iCs/>
        </w:rPr>
        <w:t>Steel production accounts,</w:t>
      </w:r>
      <w:r w:rsidRPr="0072664D">
        <w:rPr>
          <w:rFonts w:ascii="Arial" w:hAnsi="Arial" w:cs="Arial"/>
        </w:rPr>
        <w:t xml:space="preserve"> Available at: </w:t>
      </w:r>
      <w:hyperlink r:id="rId10">
        <w:r w:rsidRPr="0072664D">
          <w:rPr>
            <w:rFonts w:ascii="Arial" w:hAnsi="Arial" w:cs="Arial"/>
            <w:color w:val="1155CC"/>
            <w:u w:val="single"/>
          </w:rPr>
          <w:t>https://globalenergymonitor.org/research/matter-ambition-examining-steel-industrys-commitment-net-zero-2050</w:t>
        </w:r>
      </w:hyperlink>
      <w:r w:rsidRPr="0072664D">
        <w:rPr>
          <w:rFonts w:ascii="Arial" w:hAnsi="Arial" w:cs="Arial"/>
        </w:rPr>
        <w:t xml:space="preserve"> (Accessed on 07/10/2026)</w:t>
      </w:r>
    </w:p>
    <w:p w14:paraId="58986A77" w14:textId="77777777" w:rsidR="0026227E" w:rsidRPr="0072664D" w:rsidRDefault="0026227E">
      <w:pPr>
        <w:rPr>
          <w:rFonts w:ascii="Arial" w:hAnsi="Arial" w:cs="Arial"/>
        </w:rPr>
      </w:pPr>
      <w:r w:rsidRPr="0072664D">
        <w:rPr>
          <w:rFonts w:ascii="Arial" w:hAnsi="Arial" w:cs="Arial"/>
        </w:rPr>
        <w:t xml:space="preserve">Gov (2025) </w:t>
      </w:r>
      <w:r w:rsidRPr="0072664D">
        <w:rPr>
          <w:rFonts w:ascii="Arial" w:hAnsi="Arial" w:cs="Arial"/>
          <w:i/>
          <w:iCs/>
        </w:rPr>
        <w:t>Green Steel Taxonomy,</w:t>
      </w:r>
      <w:r w:rsidRPr="0072664D">
        <w:rPr>
          <w:rFonts w:ascii="Arial" w:hAnsi="Arial" w:cs="Arial"/>
        </w:rPr>
        <w:t xml:space="preserve"> Available at: </w:t>
      </w:r>
      <w:hyperlink r:id="rId11">
        <w:r w:rsidRPr="0072664D">
          <w:rPr>
            <w:rFonts w:ascii="Arial" w:hAnsi="Arial" w:cs="Arial"/>
            <w:color w:val="1155CC"/>
            <w:u w:val="single"/>
          </w:rPr>
          <w:t>https://steel.gov.in/sites/default/files/2025-03/Taxonomy%20Brochure.pdf</w:t>
        </w:r>
      </w:hyperlink>
      <w:r w:rsidRPr="0072664D">
        <w:rPr>
          <w:rFonts w:ascii="Arial" w:hAnsi="Arial" w:cs="Arial"/>
        </w:rPr>
        <w:t xml:space="preserve"> (Accessed on 07/10/2026)</w:t>
      </w:r>
    </w:p>
    <w:p w14:paraId="6A394A51" w14:textId="77777777" w:rsidR="0026227E" w:rsidRPr="0072664D" w:rsidRDefault="0026227E">
      <w:pPr>
        <w:spacing w:before="0" w:after="0"/>
        <w:rPr>
          <w:rFonts w:ascii="Arial" w:hAnsi="Arial" w:cs="Arial"/>
        </w:rPr>
      </w:pPr>
      <w:r w:rsidRPr="0072664D">
        <w:rPr>
          <w:rFonts w:ascii="Arial" w:hAnsi="Arial" w:cs="Arial"/>
          <w:color w:val="222222"/>
        </w:rPr>
        <w:t xml:space="preserve">Imbwaga, E., (2023). Effect of Porters Generic Strategies on Firm Performance of Tyre Dealers in Nairobi County, Kenya. </w:t>
      </w:r>
      <w:r w:rsidRPr="0072664D">
        <w:rPr>
          <w:rFonts w:ascii="Arial" w:hAnsi="Arial" w:cs="Arial"/>
          <w:i/>
          <w:iCs/>
          <w:color w:val="222222"/>
        </w:rPr>
        <w:t>Kabarak Journal of Research &amp; Innovation</w:t>
      </w:r>
      <w:r w:rsidRPr="0072664D">
        <w:rPr>
          <w:rFonts w:ascii="Arial" w:hAnsi="Arial" w:cs="Arial"/>
          <w:color w:val="222222"/>
        </w:rPr>
        <w:t xml:space="preserve">, </w:t>
      </w:r>
      <w:r w:rsidRPr="0072664D">
        <w:rPr>
          <w:rFonts w:ascii="Arial" w:hAnsi="Arial" w:cs="Arial"/>
          <w:i/>
          <w:iCs/>
          <w:color w:val="222222"/>
        </w:rPr>
        <w:t>13</w:t>
      </w:r>
      <w:r w:rsidRPr="0072664D">
        <w:rPr>
          <w:rFonts w:ascii="Arial" w:hAnsi="Arial" w:cs="Arial"/>
          <w:color w:val="222222"/>
        </w:rPr>
        <w:t>(4), pp.1-14.</w:t>
      </w:r>
      <w:r w:rsidRPr="0072664D">
        <w:rPr>
          <w:rFonts w:ascii="Arial" w:hAnsi="Arial" w:cs="Arial"/>
        </w:rPr>
        <w:t xml:space="preserve"> </w:t>
      </w:r>
    </w:p>
    <w:p w14:paraId="32E505A1" w14:textId="77777777" w:rsidR="0026227E" w:rsidRPr="0072664D" w:rsidRDefault="0026227E">
      <w:pPr>
        <w:spacing w:before="0" w:after="0"/>
        <w:rPr>
          <w:rFonts w:ascii="Arial" w:hAnsi="Arial" w:cs="Arial"/>
        </w:rPr>
      </w:pPr>
      <w:r w:rsidRPr="0072664D">
        <w:rPr>
          <w:rFonts w:ascii="Arial" w:hAnsi="Arial" w:cs="Arial"/>
          <w:color w:val="222222"/>
        </w:rPr>
        <w:t xml:space="preserve">Imbwaga, E., (2023). Effect of Porters Generic Strategies on Firm Performance of Tyre Dealers in Nairobi County, Kenya. </w:t>
      </w:r>
      <w:r w:rsidRPr="0072664D">
        <w:rPr>
          <w:rFonts w:ascii="Arial" w:hAnsi="Arial" w:cs="Arial"/>
          <w:i/>
          <w:iCs/>
          <w:color w:val="222222"/>
        </w:rPr>
        <w:t>Kabarak Journal of Research &amp; Innovation</w:t>
      </w:r>
      <w:r w:rsidRPr="0072664D">
        <w:rPr>
          <w:rFonts w:ascii="Arial" w:hAnsi="Arial" w:cs="Arial"/>
          <w:color w:val="222222"/>
        </w:rPr>
        <w:t xml:space="preserve">, </w:t>
      </w:r>
      <w:r w:rsidRPr="0072664D">
        <w:rPr>
          <w:rFonts w:ascii="Arial" w:hAnsi="Arial" w:cs="Arial"/>
          <w:i/>
          <w:iCs/>
          <w:color w:val="222222"/>
        </w:rPr>
        <w:t>13</w:t>
      </w:r>
      <w:r w:rsidRPr="0072664D">
        <w:rPr>
          <w:rFonts w:ascii="Arial" w:hAnsi="Arial" w:cs="Arial"/>
          <w:color w:val="222222"/>
        </w:rPr>
        <w:t>(4), pp.1-14.</w:t>
      </w:r>
      <w:r w:rsidRPr="0072664D">
        <w:rPr>
          <w:rFonts w:ascii="Arial" w:hAnsi="Arial" w:cs="Arial"/>
        </w:rPr>
        <w:t xml:space="preserve"> </w:t>
      </w:r>
    </w:p>
    <w:p w14:paraId="1715C32A" w14:textId="77777777" w:rsidR="0026227E" w:rsidRPr="0072664D" w:rsidRDefault="0026227E">
      <w:pPr>
        <w:spacing w:before="0" w:after="0"/>
        <w:rPr>
          <w:rFonts w:ascii="Arial" w:hAnsi="Arial" w:cs="Arial"/>
        </w:rPr>
      </w:pPr>
      <w:r w:rsidRPr="0072664D">
        <w:rPr>
          <w:rFonts w:ascii="Arial" w:hAnsi="Arial" w:cs="Arial"/>
          <w:color w:val="222222"/>
        </w:rPr>
        <w:t xml:space="preserve">Keramidas, K., Mima, S. and Bidaud, A., (2024). Opportunities and roadblocks in the decarbonisation of the global steel sector: A demand and production modelling approach. </w:t>
      </w:r>
      <w:r w:rsidRPr="0072664D">
        <w:rPr>
          <w:rFonts w:ascii="Arial" w:hAnsi="Arial" w:cs="Arial"/>
          <w:i/>
          <w:iCs/>
          <w:color w:val="222222"/>
        </w:rPr>
        <w:t>Energy and Climate Change</w:t>
      </w:r>
      <w:r w:rsidRPr="0072664D">
        <w:rPr>
          <w:rFonts w:ascii="Arial" w:hAnsi="Arial" w:cs="Arial"/>
          <w:color w:val="222222"/>
        </w:rPr>
        <w:t xml:space="preserve">, </w:t>
      </w:r>
      <w:r w:rsidRPr="0072664D">
        <w:rPr>
          <w:rFonts w:ascii="Arial" w:hAnsi="Arial" w:cs="Arial"/>
          <w:i/>
          <w:iCs/>
          <w:color w:val="222222"/>
        </w:rPr>
        <w:t>5</w:t>
      </w:r>
      <w:r w:rsidRPr="0072664D">
        <w:rPr>
          <w:rFonts w:ascii="Arial" w:hAnsi="Arial" w:cs="Arial"/>
          <w:color w:val="222222"/>
        </w:rPr>
        <w:t>, p.100121.</w:t>
      </w:r>
      <w:r w:rsidRPr="0072664D">
        <w:rPr>
          <w:rFonts w:ascii="Arial" w:hAnsi="Arial" w:cs="Arial"/>
        </w:rPr>
        <w:t xml:space="preserve"> </w:t>
      </w:r>
    </w:p>
    <w:p w14:paraId="38ECD549" w14:textId="77777777" w:rsidR="0026227E" w:rsidRPr="0072664D" w:rsidRDefault="0026227E">
      <w:pPr>
        <w:spacing w:before="0" w:after="0"/>
        <w:rPr>
          <w:rFonts w:ascii="Arial" w:hAnsi="Arial" w:cs="Arial"/>
        </w:rPr>
      </w:pPr>
      <w:r w:rsidRPr="0072664D">
        <w:rPr>
          <w:rFonts w:ascii="Arial" w:hAnsi="Arial" w:cs="Arial"/>
          <w:color w:val="222222"/>
        </w:rPr>
        <w:t xml:space="preserve">Keramidas, K., Mima, S. and Bidaud, A., (2024). Opportunities and roadblocks in the decarbonisation of the global steel sector: A demand and production modelling approach. </w:t>
      </w:r>
      <w:r w:rsidRPr="0072664D">
        <w:rPr>
          <w:rFonts w:ascii="Arial" w:hAnsi="Arial" w:cs="Arial"/>
          <w:i/>
          <w:iCs/>
          <w:color w:val="222222"/>
        </w:rPr>
        <w:t>Energy and Climate Change</w:t>
      </w:r>
      <w:r w:rsidRPr="0072664D">
        <w:rPr>
          <w:rFonts w:ascii="Arial" w:hAnsi="Arial" w:cs="Arial"/>
          <w:color w:val="222222"/>
        </w:rPr>
        <w:t xml:space="preserve">, </w:t>
      </w:r>
      <w:r w:rsidRPr="0072664D">
        <w:rPr>
          <w:rFonts w:ascii="Arial" w:hAnsi="Arial" w:cs="Arial"/>
          <w:i/>
          <w:iCs/>
          <w:color w:val="222222"/>
        </w:rPr>
        <w:t>5</w:t>
      </w:r>
      <w:r w:rsidRPr="0072664D">
        <w:rPr>
          <w:rFonts w:ascii="Arial" w:hAnsi="Arial" w:cs="Arial"/>
          <w:color w:val="222222"/>
        </w:rPr>
        <w:t>, p.100121.</w:t>
      </w:r>
      <w:r w:rsidRPr="0072664D">
        <w:rPr>
          <w:rFonts w:ascii="Arial" w:hAnsi="Arial" w:cs="Arial"/>
        </w:rPr>
        <w:t xml:space="preserve"> </w:t>
      </w:r>
    </w:p>
    <w:p w14:paraId="70BF1FBE" w14:textId="77777777" w:rsidR="0026227E" w:rsidRPr="0072664D" w:rsidRDefault="0026227E">
      <w:pPr>
        <w:spacing w:before="0" w:after="0"/>
        <w:rPr>
          <w:rFonts w:ascii="Arial" w:hAnsi="Arial" w:cs="Arial"/>
        </w:rPr>
      </w:pPr>
      <w:r w:rsidRPr="0072664D">
        <w:rPr>
          <w:rFonts w:ascii="Arial" w:hAnsi="Arial" w:cs="Arial"/>
          <w:color w:val="222222"/>
        </w:rPr>
        <w:t xml:space="preserve">Le, T.T. and Ikram, M., (2022). Do sustainability innovation and firm competitiveness help improve firm performance? Evidence from the SME sector in Vietnam. </w:t>
      </w:r>
      <w:r w:rsidRPr="0072664D">
        <w:rPr>
          <w:rFonts w:ascii="Arial" w:hAnsi="Arial" w:cs="Arial"/>
          <w:i/>
          <w:iCs/>
          <w:color w:val="222222"/>
        </w:rPr>
        <w:t>Sustainable Production and Consumption</w:t>
      </w:r>
      <w:r w:rsidRPr="0072664D">
        <w:rPr>
          <w:rFonts w:ascii="Arial" w:hAnsi="Arial" w:cs="Arial"/>
          <w:color w:val="222222"/>
        </w:rPr>
        <w:t xml:space="preserve">, </w:t>
      </w:r>
      <w:r w:rsidRPr="0072664D">
        <w:rPr>
          <w:rFonts w:ascii="Arial" w:hAnsi="Arial" w:cs="Arial"/>
          <w:i/>
          <w:iCs/>
          <w:color w:val="222222"/>
        </w:rPr>
        <w:t>29</w:t>
      </w:r>
      <w:r w:rsidRPr="0072664D">
        <w:rPr>
          <w:rFonts w:ascii="Arial" w:hAnsi="Arial" w:cs="Arial"/>
          <w:color w:val="222222"/>
        </w:rPr>
        <w:t>, pp.588-599.</w:t>
      </w:r>
      <w:r w:rsidRPr="0072664D">
        <w:rPr>
          <w:rFonts w:ascii="Arial" w:hAnsi="Arial" w:cs="Arial"/>
        </w:rPr>
        <w:t xml:space="preserve"> </w:t>
      </w:r>
    </w:p>
    <w:p w14:paraId="6F31AE23" w14:textId="77777777" w:rsidR="0026227E" w:rsidRPr="0072664D" w:rsidRDefault="0026227E">
      <w:pPr>
        <w:spacing w:before="0" w:after="0"/>
        <w:rPr>
          <w:rFonts w:ascii="Arial" w:hAnsi="Arial" w:cs="Arial"/>
        </w:rPr>
      </w:pPr>
      <w:r w:rsidRPr="0072664D">
        <w:rPr>
          <w:rFonts w:ascii="Arial" w:hAnsi="Arial" w:cs="Arial"/>
          <w:color w:val="222222"/>
        </w:rPr>
        <w:lastRenderedPageBreak/>
        <w:t xml:space="preserve">Le, T.T. and Ikram, M., (2022). Do sustainability innovation and firm competitiveness help improve firm performance? Evidence from the SME sector in Vietnam. </w:t>
      </w:r>
      <w:r w:rsidRPr="0072664D">
        <w:rPr>
          <w:rFonts w:ascii="Arial" w:hAnsi="Arial" w:cs="Arial"/>
          <w:i/>
          <w:iCs/>
          <w:color w:val="222222"/>
        </w:rPr>
        <w:t>Sustainable Production and Consumption</w:t>
      </w:r>
      <w:r w:rsidRPr="0072664D">
        <w:rPr>
          <w:rFonts w:ascii="Arial" w:hAnsi="Arial" w:cs="Arial"/>
          <w:color w:val="222222"/>
        </w:rPr>
        <w:t xml:space="preserve">, </w:t>
      </w:r>
      <w:r w:rsidRPr="0072664D">
        <w:rPr>
          <w:rFonts w:ascii="Arial" w:hAnsi="Arial" w:cs="Arial"/>
          <w:i/>
          <w:iCs/>
          <w:color w:val="222222"/>
        </w:rPr>
        <w:t>29</w:t>
      </w:r>
      <w:r w:rsidRPr="0072664D">
        <w:rPr>
          <w:rFonts w:ascii="Arial" w:hAnsi="Arial" w:cs="Arial"/>
          <w:color w:val="222222"/>
        </w:rPr>
        <w:t>, pp.588-599.</w:t>
      </w:r>
      <w:r w:rsidRPr="0072664D">
        <w:rPr>
          <w:rFonts w:ascii="Arial" w:hAnsi="Arial" w:cs="Arial"/>
        </w:rPr>
        <w:t xml:space="preserve"> </w:t>
      </w:r>
    </w:p>
    <w:p w14:paraId="5FF26721" w14:textId="77777777" w:rsidR="0026227E" w:rsidRPr="0072664D" w:rsidRDefault="0026227E">
      <w:pPr>
        <w:spacing w:before="0" w:after="0"/>
        <w:rPr>
          <w:rFonts w:ascii="Arial" w:hAnsi="Arial" w:cs="Arial"/>
        </w:rPr>
      </w:pPr>
      <w:r w:rsidRPr="0072664D">
        <w:rPr>
          <w:rFonts w:ascii="Arial" w:hAnsi="Arial" w:cs="Arial"/>
          <w:color w:val="222222"/>
        </w:rPr>
        <w:t xml:space="preserve">Lundmark, R., Wetterlund, E. and Olofsson, E., (2024). On the green transformation of the iron and steel industry: Market and competition aspects of hydrogen and biomass options. </w:t>
      </w:r>
      <w:r w:rsidRPr="0072664D">
        <w:rPr>
          <w:rFonts w:ascii="Arial" w:hAnsi="Arial" w:cs="Arial"/>
          <w:i/>
          <w:iCs/>
          <w:color w:val="222222"/>
        </w:rPr>
        <w:t>Biomass and Bioenergy</w:t>
      </w:r>
      <w:r w:rsidRPr="0072664D">
        <w:rPr>
          <w:rFonts w:ascii="Arial" w:hAnsi="Arial" w:cs="Arial"/>
          <w:color w:val="222222"/>
        </w:rPr>
        <w:t xml:space="preserve">, </w:t>
      </w:r>
      <w:r w:rsidRPr="0072664D">
        <w:rPr>
          <w:rFonts w:ascii="Arial" w:hAnsi="Arial" w:cs="Arial"/>
          <w:i/>
          <w:iCs/>
          <w:color w:val="222222"/>
        </w:rPr>
        <w:t>182</w:t>
      </w:r>
      <w:r w:rsidRPr="0072664D">
        <w:rPr>
          <w:rFonts w:ascii="Arial" w:hAnsi="Arial" w:cs="Arial"/>
          <w:color w:val="222222"/>
        </w:rPr>
        <w:t>, p.107100.</w:t>
      </w:r>
      <w:r w:rsidRPr="0072664D">
        <w:rPr>
          <w:rFonts w:ascii="Arial" w:hAnsi="Arial" w:cs="Arial"/>
        </w:rPr>
        <w:t xml:space="preserve"> </w:t>
      </w:r>
    </w:p>
    <w:p w14:paraId="716B44E9" w14:textId="77777777" w:rsidR="0026227E" w:rsidRPr="0072664D" w:rsidRDefault="0026227E">
      <w:pPr>
        <w:spacing w:before="0" w:after="0"/>
        <w:rPr>
          <w:rFonts w:ascii="Arial" w:hAnsi="Arial" w:cs="Arial"/>
        </w:rPr>
      </w:pPr>
      <w:r w:rsidRPr="0072664D">
        <w:rPr>
          <w:rFonts w:ascii="Arial" w:hAnsi="Arial" w:cs="Arial"/>
          <w:color w:val="222222"/>
        </w:rPr>
        <w:t xml:space="preserve">Lundmark, R., Wetterlund, E. and Olofsson, E., (2024). On the green transformation of the iron and steel industry: Market and competition aspects of hydrogen and biomass options. </w:t>
      </w:r>
      <w:r w:rsidRPr="0072664D">
        <w:rPr>
          <w:rFonts w:ascii="Arial" w:hAnsi="Arial" w:cs="Arial"/>
          <w:i/>
          <w:iCs/>
          <w:color w:val="222222"/>
        </w:rPr>
        <w:t>Biomass and Bioenergy</w:t>
      </w:r>
      <w:r w:rsidRPr="0072664D">
        <w:rPr>
          <w:rFonts w:ascii="Arial" w:hAnsi="Arial" w:cs="Arial"/>
          <w:color w:val="222222"/>
        </w:rPr>
        <w:t xml:space="preserve">, </w:t>
      </w:r>
      <w:r w:rsidRPr="0072664D">
        <w:rPr>
          <w:rFonts w:ascii="Arial" w:hAnsi="Arial" w:cs="Arial"/>
          <w:i/>
          <w:iCs/>
          <w:color w:val="222222"/>
        </w:rPr>
        <w:t>182</w:t>
      </w:r>
      <w:r w:rsidRPr="0072664D">
        <w:rPr>
          <w:rFonts w:ascii="Arial" w:hAnsi="Arial" w:cs="Arial"/>
          <w:color w:val="222222"/>
        </w:rPr>
        <w:t>, p.107100.</w:t>
      </w:r>
      <w:r w:rsidRPr="0072664D">
        <w:rPr>
          <w:rFonts w:ascii="Arial" w:hAnsi="Arial" w:cs="Arial"/>
        </w:rPr>
        <w:t xml:space="preserve"> </w:t>
      </w:r>
    </w:p>
    <w:p w14:paraId="3B3F9C60" w14:textId="77777777" w:rsidR="0026227E" w:rsidRPr="0072664D" w:rsidRDefault="0026227E">
      <w:pPr>
        <w:rPr>
          <w:rFonts w:ascii="Arial" w:hAnsi="Arial" w:cs="Arial"/>
        </w:rPr>
      </w:pPr>
      <w:r w:rsidRPr="0072664D">
        <w:rPr>
          <w:rFonts w:ascii="Arial" w:hAnsi="Arial" w:cs="Arial"/>
          <w:color w:val="222222"/>
        </w:rPr>
        <w:t xml:space="preserve">Mady, K., Anwar, I. and Abdelkareem, R.S., (2026). ‘Nexus between regulatory pressure, eco-friendly product demand and sustainable competitive advantage of manufacturing small and medium-sized enterprises: The mediating role of eco-innovation’. </w:t>
      </w:r>
      <w:r w:rsidRPr="0072664D">
        <w:rPr>
          <w:rFonts w:ascii="Arial" w:hAnsi="Arial" w:cs="Arial"/>
          <w:i/>
          <w:iCs/>
          <w:color w:val="222222"/>
        </w:rPr>
        <w:t>Environment, Development and Sustainability</w:t>
      </w:r>
      <w:r w:rsidRPr="0072664D">
        <w:rPr>
          <w:rFonts w:ascii="Arial" w:hAnsi="Arial" w:cs="Arial"/>
          <w:color w:val="222222"/>
        </w:rPr>
        <w:t xml:space="preserve">, </w:t>
      </w:r>
      <w:r w:rsidRPr="0072664D">
        <w:rPr>
          <w:rFonts w:ascii="Arial" w:hAnsi="Arial" w:cs="Arial"/>
          <w:i/>
          <w:iCs/>
          <w:color w:val="222222"/>
        </w:rPr>
        <w:t>28</w:t>
      </w:r>
      <w:r w:rsidRPr="0072664D">
        <w:rPr>
          <w:rFonts w:ascii="Arial" w:hAnsi="Arial" w:cs="Arial"/>
          <w:color w:val="222222"/>
        </w:rPr>
        <w:t>(2), pp.3399-3421.</w:t>
      </w:r>
      <w:r w:rsidRPr="0072664D">
        <w:rPr>
          <w:rFonts w:ascii="Arial" w:hAnsi="Arial" w:cs="Arial"/>
        </w:rPr>
        <w:t xml:space="preserve"> </w:t>
      </w:r>
    </w:p>
    <w:p w14:paraId="125EE0ED" w14:textId="77777777" w:rsidR="0026227E" w:rsidRPr="0072664D" w:rsidRDefault="0026227E">
      <w:pPr>
        <w:rPr>
          <w:rFonts w:ascii="Arial" w:hAnsi="Arial" w:cs="Arial"/>
        </w:rPr>
      </w:pPr>
      <w:r w:rsidRPr="0072664D">
        <w:rPr>
          <w:rFonts w:ascii="Arial" w:hAnsi="Arial" w:cs="Arial"/>
          <w:color w:val="222222"/>
        </w:rPr>
        <w:t xml:space="preserve">Meng, J., Zhao, W., Li, J., Ma, S., Wu, X., Guo, S. and Zhang, X., (2025). ‘Technologies and gaps in deep decarbonization of hard-to-abate industrial sectors’. </w:t>
      </w:r>
      <w:r w:rsidRPr="0072664D">
        <w:rPr>
          <w:rFonts w:ascii="Arial" w:hAnsi="Arial" w:cs="Arial"/>
          <w:i/>
          <w:iCs/>
          <w:color w:val="222222"/>
        </w:rPr>
        <w:t>Nature Reviews Clean Technology</w:t>
      </w:r>
      <w:r w:rsidRPr="0072664D">
        <w:rPr>
          <w:rFonts w:ascii="Arial" w:hAnsi="Arial" w:cs="Arial"/>
          <w:color w:val="222222"/>
        </w:rPr>
        <w:t xml:space="preserve">, </w:t>
      </w:r>
      <w:r w:rsidRPr="0072664D">
        <w:rPr>
          <w:rFonts w:ascii="Arial" w:hAnsi="Arial" w:cs="Arial"/>
          <w:i/>
          <w:iCs/>
          <w:color w:val="222222"/>
        </w:rPr>
        <w:t>1</w:t>
      </w:r>
      <w:r w:rsidRPr="0072664D">
        <w:rPr>
          <w:rFonts w:ascii="Arial" w:hAnsi="Arial" w:cs="Arial"/>
          <w:color w:val="222222"/>
        </w:rPr>
        <w:t>(8), pp.578-595.</w:t>
      </w:r>
      <w:r w:rsidRPr="0072664D">
        <w:rPr>
          <w:rFonts w:ascii="Arial" w:hAnsi="Arial" w:cs="Arial"/>
        </w:rPr>
        <w:t xml:space="preserve"> </w:t>
      </w:r>
    </w:p>
    <w:p w14:paraId="5CE7939A" w14:textId="77777777" w:rsidR="0026227E" w:rsidRPr="0072664D" w:rsidRDefault="0026227E">
      <w:pPr>
        <w:rPr>
          <w:rFonts w:ascii="Arial" w:hAnsi="Arial" w:cs="Arial"/>
        </w:rPr>
      </w:pPr>
      <w:r w:rsidRPr="0072664D">
        <w:rPr>
          <w:rFonts w:ascii="Arial" w:hAnsi="Arial" w:cs="Arial"/>
          <w:color w:val="222222"/>
        </w:rPr>
        <w:t xml:space="preserve">Nilashi, M., Boon, O.K., Tan, G., Lin, B. and Abumalloh, R., (2023). ‘Critical data challenges in measuring the performance of sustainable development goals: Solutions and the role of big-data analytics’. </w:t>
      </w:r>
      <w:r w:rsidRPr="0072664D">
        <w:rPr>
          <w:rFonts w:ascii="Arial" w:hAnsi="Arial" w:cs="Arial"/>
          <w:i/>
          <w:iCs/>
          <w:color w:val="222222"/>
        </w:rPr>
        <w:t>Harvard Data Science Review</w:t>
      </w:r>
      <w:r w:rsidRPr="0072664D">
        <w:rPr>
          <w:rFonts w:ascii="Arial" w:hAnsi="Arial" w:cs="Arial"/>
          <w:color w:val="222222"/>
        </w:rPr>
        <w:t xml:space="preserve">, </w:t>
      </w:r>
      <w:r w:rsidRPr="0072664D">
        <w:rPr>
          <w:rFonts w:ascii="Arial" w:hAnsi="Arial" w:cs="Arial"/>
          <w:i/>
          <w:iCs/>
          <w:color w:val="222222"/>
        </w:rPr>
        <w:t>5</w:t>
      </w:r>
      <w:r w:rsidRPr="0072664D">
        <w:rPr>
          <w:rFonts w:ascii="Arial" w:hAnsi="Arial" w:cs="Arial"/>
          <w:color w:val="222222"/>
        </w:rPr>
        <w:t>(3).</w:t>
      </w:r>
      <w:r w:rsidRPr="0072664D">
        <w:rPr>
          <w:rFonts w:ascii="Arial" w:hAnsi="Arial" w:cs="Arial"/>
        </w:rPr>
        <w:t xml:space="preserve"> </w:t>
      </w:r>
    </w:p>
    <w:p w14:paraId="3B165AEE" w14:textId="77777777" w:rsidR="0026227E" w:rsidRPr="0072664D" w:rsidRDefault="0026227E">
      <w:pPr>
        <w:rPr>
          <w:rFonts w:ascii="Arial" w:hAnsi="Arial" w:cs="Arial"/>
        </w:rPr>
      </w:pPr>
      <w:r w:rsidRPr="0072664D">
        <w:rPr>
          <w:rFonts w:ascii="Arial" w:hAnsi="Arial" w:cs="Arial"/>
        </w:rPr>
        <w:t xml:space="preserve">Tata (2025) </w:t>
      </w:r>
      <w:r w:rsidRPr="0072664D">
        <w:rPr>
          <w:rFonts w:ascii="Arial" w:hAnsi="Arial" w:cs="Arial"/>
          <w:i/>
          <w:iCs/>
        </w:rPr>
        <w:t>Tata Steel plans to achieve CO2 emission intensity,</w:t>
      </w:r>
      <w:r w:rsidRPr="0072664D">
        <w:rPr>
          <w:rFonts w:ascii="Arial" w:hAnsi="Arial" w:cs="Arial"/>
        </w:rPr>
        <w:t xml:space="preserve"> Available at: </w:t>
      </w:r>
      <w:hyperlink r:id="rId12">
        <w:r w:rsidRPr="0072664D">
          <w:rPr>
            <w:rFonts w:ascii="Arial" w:hAnsi="Arial" w:cs="Arial"/>
            <w:color w:val="1155CC"/>
            <w:u w:val="single"/>
          </w:rPr>
          <w:t>https://www.tata.com/newsroom/business/tata-steel-sustainable-aalingana</w:t>
        </w:r>
      </w:hyperlink>
      <w:r w:rsidRPr="0072664D">
        <w:rPr>
          <w:rFonts w:ascii="Arial" w:hAnsi="Arial" w:cs="Arial"/>
        </w:rPr>
        <w:t xml:space="preserve"> (Accessed on 07/10/2026)</w:t>
      </w:r>
    </w:p>
    <w:p w14:paraId="63AB2A16"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₹584.61 crore on CSR activities,</w:t>
      </w:r>
      <w:r w:rsidRPr="0072664D">
        <w:rPr>
          <w:rFonts w:ascii="Arial" w:hAnsi="Arial" w:cs="Arial"/>
        </w:rPr>
        <w:t xml:space="preserve"> Available at: </w:t>
      </w:r>
      <w:hyperlink r:id="rId13">
        <w:r w:rsidRPr="0072664D">
          <w:rPr>
            <w:rFonts w:ascii="Arial" w:hAnsi="Arial" w:cs="Arial"/>
            <w:color w:val="1155CC"/>
            <w:u w:val="single"/>
          </w:rPr>
          <w:t>https://www.tatasteel.com/investors/integrated-report-2024-25/social-relationship-capital.html</w:t>
        </w:r>
      </w:hyperlink>
      <w:r w:rsidRPr="0072664D">
        <w:rPr>
          <w:rFonts w:ascii="Arial" w:hAnsi="Arial" w:cs="Arial"/>
        </w:rPr>
        <w:t xml:space="preserve"> (Accessed on 07/10/2026)</w:t>
      </w:r>
    </w:p>
    <w:p w14:paraId="387A6EBA"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CO2 emission intensity,</w:t>
      </w:r>
      <w:r w:rsidRPr="0072664D">
        <w:rPr>
          <w:rFonts w:ascii="Arial" w:hAnsi="Arial" w:cs="Arial"/>
        </w:rPr>
        <w:t xml:space="preserve"> Available at: </w:t>
      </w:r>
      <w:hyperlink r:id="rId14">
        <w:r w:rsidRPr="0072664D">
          <w:rPr>
            <w:rFonts w:ascii="Arial" w:hAnsi="Arial" w:cs="Arial"/>
            <w:color w:val="1155CC"/>
            <w:u w:val="single"/>
          </w:rPr>
          <w:t>https://www.tatasteel.com/tata-steel-brochure-2020-21/sustainability.html</w:t>
        </w:r>
      </w:hyperlink>
      <w:r w:rsidRPr="0072664D">
        <w:rPr>
          <w:rFonts w:ascii="Arial" w:hAnsi="Arial" w:cs="Arial"/>
        </w:rPr>
        <w:t xml:space="preserve"> (Accessed on 07/10/2026)</w:t>
      </w:r>
    </w:p>
    <w:p w14:paraId="4BF69C27" w14:textId="77777777" w:rsidR="0026227E" w:rsidRPr="0072664D" w:rsidRDefault="0026227E">
      <w:pPr>
        <w:rPr>
          <w:rFonts w:ascii="Arial" w:hAnsi="Arial" w:cs="Arial"/>
        </w:rPr>
      </w:pPr>
      <w:r w:rsidRPr="0072664D">
        <w:rPr>
          <w:rFonts w:ascii="Arial" w:hAnsi="Arial" w:cs="Arial"/>
        </w:rPr>
        <w:lastRenderedPageBreak/>
        <w:t xml:space="preserve">Tatasteel (2025) </w:t>
      </w:r>
      <w:r w:rsidRPr="0072664D">
        <w:rPr>
          <w:rFonts w:ascii="Arial" w:hAnsi="Arial" w:cs="Arial"/>
          <w:i/>
          <w:iCs/>
        </w:rPr>
        <w:t>Electric arc furnace at Ludhiana,</w:t>
      </w:r>
      <w:r w:rsidRPr="0072664D">
        <w:rPr>
          <w:rFonts w:ascii="Arial" w:hAnsi="Arial" w:cs="Arial"/>
        </w:rPr>
        <w:t xml:space="preserve"> Available at: </w:t>
      </w:r>
      <w:hyperlink r:id="rId15">
        <w:r w:rsidRPr="0072664D">
          <w:rPr>
            <w:rFonts w:ascii="Arial" w:hAnsi="Arial" w:cs="Arial"/>
            <w:color w:val="1155CC"/>
            <w:u w:val="single"/>
          </w:rPr>
          <w:t>https://www.tatasteel.com/newsroom/press-releases/india/2026/tata-steel-inaugurates-its-first-scrap-based-electric-arc-furnace-in-india/</w:t>
        </w:r>
      </w:hyperlink>
      <w:r w:rsidRPr="0072664D">
        <w:rPr>
          <w:rFonts w:ascii="Arial" w:hAnsi="Arial" w:cs="Arial"/>
        </w:rPr>
        <w:t xml:space="preserve"> (Accessed on 07/10/2026)</w:t>
      </w:r>
    </w:p>
    <w:p w14:paraId="4ED1620D" w14:textId="77777777" w:rsidR="0026227E" w:rsidRPr="0072664D" w:rsidRDefault="0026227E">
      <w:pPr>
        <w:spacing w:before="0" w:after="0"/>
        <w:rPr>
          <w:rFonts w:ascii="Arial" w:hAnsi="Arial" w:cs="Arial"/>
        </w:rPr>
      </w:pPr>
      <w:r w:rsidRPr="0072664D">
        <w:rPr>
          <w:rFonts w:ascii="Arial" w:hAnsi="Arial" w:cs="Arial"/>
        </w:rPr>
        <w:t xml:space="preserve">Tatasteel (2025) Electric based arc furnace Available at: </w:t>
      </w:r>
      <w:hyperlink r:id="rId16">
        <w:r w:rsidRPr="0072664D">
          <w:rPr>
            <w:rFonts w:ascii="Arial" w:hAnsi="Arial" w:cs="Arial"/>
            <w:color w:val="1155CC"/>
            <w:u w:val="single"/>
          </w:rPr>
          <w:t>https://www.tatasteel.com/newsroom/press-releases/india/2026/tata-steel-inaugurates-its-first-scrap-based-electric-arc-furnace-in-india/</w:t>
        </w:r>
      </w:hyperlink>
      <w:r w:rsidRPr="0072664D">
        <w:rPr>
          <w:rFonts w:ascii="Arial" w:hAnsi="Arial" w:cs="Arial"/>
        </w:rPr>
        <w:t xml:space="preserve"> (Accessed on: 09/10/2026)</w:t>
      </w:r>
    </w:p>
    <w:p w14:paraId="51AB7D6A" w14:textId="77777777" w:rsidR="0026227E" w:rsidRPr="0072664D" w:rsidRDefault="0026227E">
      <w:pPr>
        <w:spacing w:before="0" w:after="0"/>
        <w:rPr>
          <w:rFonts w:ascii="Arial" w:hAnsi="Arial" w:cs="Arial"/>
        </w:rPr>
      </w:pPr>
      <w:r w:rsidRPr="0072664D">
        <w:rPr>
          <w:rFonts w:ascii="Arial" w:hAnsi="Arial" w:cs="Arial"/>
        </w:rPr>
        <w:t xml:space="preserve">Tatasteel (2025) Electric based arc furnace Available at: </w:t>
      </w:r>
      <w:hyperlink r:id="rId17">
        <w:r w:rsidRPr="0072664D">
          <w:rPr>
            <w:rFonts w:ascii="Arial" w:hAnsi="Arial" w:cs="Arial"/>
            <w:color w:val="1155CC"/>
            <w:u w:val="single"/>
          </w:rPr>
          <w:t>https://www.tatasteel.com/newsroom/press-releases/india/2026/tata-steel-inaugurates-its-first-scrap-based-electric-arc-furnace-in-india/</w:t>
        </w:r>
      </w:hyperlink>
      <w:r w:rsidRPr="0072664D">
        <w:rPr>
          <w:rFonts w:ascii="Arial" w:hAnsi="Arial" w:cs="Arial"/>
        </w:rPr>
        <w:t xml:space="preserve"> (Accessed on: 09/10/2026)</w:t>
      </w:r>
    </w:p>
    <w:p w14:paraId="3AF72C8A"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Tata Steel employed 77,000,</w:t>
      </w:r>
      <w:r w:rsidRPr="0072664D">
        <w:rPr>
          <w:rFonts w:ascii="Arial" w:hAnsi="Arial" w:cs="Arial"/>
        </w:rPr>
        <w:t xml:space="preserve"> Available at: </w:t>
      </w:r>
      <w:hyperlink r:id="rId18">
        <w:r w:rsidRPr="0072664D">
          <w:rPr>
            <w:rFonts w:ascii="Arial" w:hAnsi="Arial" w:cs="Arial"/>
            <w:color w:val="1155CC"/>
            <w:u w:val="single"/>
          </w:rPr>
          <w:t>https://www.tatasteel.com/media/25904/tatasteel-iar-2025-26.pdf</w:t>
        </w:r>
      </w:hyperlink>
      <w:r w:rsidRPr="0072664D">
        <w:rPr>
          <w:rFonts w:ascii="Arial" w:hAnsi="Arial" w:cs="Arial"/>
        </w:rPr>
        <w:t xml:space="preserve"> (Accessed on 07/10/2026)</w:t>
      </w:r>
    </w:p>
    <w:p w14:paraId="37748C97"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Tata Steel recycled,</w:t>
      </w:r>
      <w:r w:rsidRPr="0072664D">
        <w:rPr>
          <w:rFonts w:ascii="Arial" w:hAnsi="Arial" w:cs="Arial"/>
        </w:rPr>
        <w:t xml:space="preserve"> Available at: </w:t>
      </w:r>
      <w:hyperlink r:id="rId19">
        <w:r w:rsidRPr="0072664D">
          <w:rPr>
            <w:rFonts w:ascii="Arial" w:hAnsi="Arial" w:cs="Arial"/>
            <w:color w:val="1155CC"/>
            <w:u w:val="single"/>
          </w:rPr>
          <w:t>https://www.tatasteel.com/investors/integrated-report-2025-26/pdf/Business%20Responsibility%20and%20Sustainability%20Report.pdf</w:t>
        </w:r>
      </w:hyperlink>
      <w:r w:rsidRPr="0072664D">
        <w:rPr>
          <w:rFonts w:ascii="Arial" w:hAnsi="Arial" w:cs="Arial"/>
        </w:rPr>
        <w:t xml:space="preserve"> (Accessed on 07/10/2026)</w:t>
      </w:r>
    </w:p>
    <w:p w14:paraId="0D424A43"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Tata Steel’s environmental initiatives,</w:t>
      </w:r>
      <w:r w:rsidRPr="0072664D">
        <w:rPr>
          <w:rFonts w:ascii="Arial" w:hAnsi="Arial" w:cs="Arial"/>
        </w:rPr>
        <w:t xml:space="preserve"> Available at: </w:t>
      </w:r>
      <w:hyperlink r:id="rId20">
        <w:r w:rsidRPr="0072664D">
          <w:rPr>
            <w:rFonts w:ascii="Arial" w:hAnsi="Arial" w:cs="Arial"/>
            <w:color w:val="1155CC"/>
            <w:u w:val="single"/>
          </w:rPr>
          <w:t>https://www.tatasteel.com/corporate/our-organisation/csr/</w:t>
        </w:r>
      </w:hyperlink>
      <w:r w:rsidRPr="0072664D">
        <w:rPr>
          <w:rFonts w:ascii="Arial" w:hAnsi="Arial" w:cs="Arial"/>
        </w:rPr>
        <w:t xml:space="preserve"> (Accessed on 07/10/2026)</w:t>
      </w:r>
    </w:p>
    <w:p w14:paraId="432791CE"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Tata Steel’s Port Talbot,</w:t>
      </w:r>
      <w:r w:rsidRPr="0072664D">
        <w:rPr>
          <w:rFonts w:ascii="Arial" w:hAnsi="Arial" w:cs="Arial"/>
        </w:rPr>
        <w:t xml:space="preserve"> Available at: </w:t>
      </w:r>
      <w:hyperlink r:id="rId21">
        <w:r w:rsidRPr="0072664D">
          <w:rPr>
            <w:rFonts w:ascii="Arial" w:hAnsi="Arial" w:cs="Arial"/>
            <w:color w:val="1155CC"/>
            <w:u w:val="single"/>
          </w:rPr>
          <w:t>https://www.tatasteel.com/newsroom/press-releases/india/2024/tata-steel-signs-500-million-grant-funding-agreement-with-uk-government-for-125-billion-green-steel-project-in-port-talbot/</w:t>
        </w:r>
      </w:hyperlink>
      <w:r w:rsidRPr="0072664D">
        <w:rPr>
          <w:rFonts w:ascii="Arial" w:hAnsi="Arial" w:cs="Arial"/>
        </w:rPr>
        <w:t xml:space="preserve"> (Accessed on 07/10/2026)</w:t>
      </w:r>
    </w:p>
    <w:p w14:paraId="60115EC8" w14:textId="77777777" w:rsidR="0026227E" w:rsidRPr="0072664D" w:rsidRDefault="0026227E">
      <w:pPr>
        <w:rPr>
          <w:rFonts w:ascii="Arial" w:hAnsi="Arial" w:cs="Arial"/>
        </w:rPr>
      </w:pPr>
      <w:r w:rsidRPr="0072664D">
        <w:rPr>
          <w:rFonts w:ascii="Arial" w:hAnsi="Arial" w:cs="Arial"/>
        </w:rPr>
        <w:t xml:space="preserve">Tatasteel (2025) </w:t>
      </w:r>
      <w:r w:rsidRPr="0072664D">
        <w:rPr>
          <w:rFonts w:ascii="Arial" w:hAnsi="Arial" w:cs="Arial"/>
          <w:i/>
          <w:iCs/>
        </w:rPr>
        <w:t>Zeremis® Carbon Lite and Optemis® Carbon Lite,</w:t>
      </w:r>
      <w:r w:rsidRPr="0072664D">
        <w:rPr>
          <w:rFonts w:ascii="Arial" w:hAnsi="Arial" w:cs="Arial"/>
        </w:rPr>
        <w:t xml:space="preserve"> Available at: </w:t>
      </w:r>
      <w:hyperlink r:id="rId22">
        <w:r w:rsidRPr="0072664D">
          <w:rPr>
            <w:rFonts w:ascii="Arial" w:hAnsi="Arial" w:cs="Arial"/>
            <w:color w:val="1155CC"/>
            <w:u w:val="single"/>
          </w:rPr>
          <w:t>https://www.tatasteel.com/investors/integrated-report-2024-25/pdf/fy25-integratedreport.pdf</w:t>
        </w:r>
      </w:hyperlink>
      <w:r w:rsidRPr="0072664D">
        <w:rPr>
          <w:rFonts w:ascii="Arial" w:hAnsi="Arial" w:cs="Arial"/>
        </w:rPr>
        <w:t xml:space="preserve"> (Accessed on 07/10/2026)</w:t>
      </w:r>
    </w:p>
    <w:p w14:paraId="156DFB6C" w14:textId="77777777" w:rsidR="0026227E" w:rsidRPr="0072664D" w:rsidRDefault="0026227E">
      <w:pPr>
        <w:rPr>
          <w:rFonts w:ascii="Arial" w:hAnsi="Arial" w:cs="Arial"/>
        </w:rPr>
      </w:pPr>
      <w:r w:rsidRPr="0072664D">
        <w:rPr>
          <w:rFonts w:ascii="Arial" w:hAnsi="Arial" w:cs="Arial"/>
        </w:rPr>
        <w:lastRenderedPageBreak/>
        <w:t xml:space="preserve">Taxation-customs (2025) </w:t>
      </w:r>
      <w:r w:rsidRPr="0072664D">
        <w:rPr>
          <w:rFonts w:ascii="Arial" w:hAnsi="Arial" w:cs="Arial"/>
          <w:i/>
          <w:iCs/>
        </w:rPr>
        <w:t>Carbon Border Adjustment Mechanism,</w:t>
      </w:r>
      <w:r w:rsidRPr="0072664D">
        <w:rPr>
          <w:rFonts w:ascii="Arial" w:hAnsi="Arial" w:cs="Arial"/>
        </w:rPr>
        <w:t xml:space="preserve"> Available at: </w:t>
      </w:r>
      <w:hyperlink r:id="rId23">
        <w:r w:rsidRPr="0072664D">
          <w:rPr>
            <w:rFonts w:ascii="Arial" w:hAnsi="Arial" w:cs="Arial"/>
            <w:color w:val="1155CC"/>
            <w:u w:val="single"/>
          </w:rPr>
          <w:t>https://taxation-customs.ec.europa.eu/carbon-border-adjustment-mechanism/cbam-definitive-regime_en</w:t>
        </w:r>
      </w:hyperlink>
      <w:r w:rsidRPr="0072664D">
        <w:rPr>
          <w:rFonts w:ascii="Arial" w:hAnsi="Arial" w:cs="Arial"/>
        </w:rPr>
        <w:t xml:space="preserve"> (Accessed on 07/10/2026)</w:t>
      </w:r>
    </w:p>
    <w:p w14:paraId="37530CC4" w14:textId="77777777" w:rsidR="0026227E" w:rsidRPr="0072664D" w:rsidRDefault="0026227E">
      <w:pPr>
        <w:spacing w:before="0" w:after="0"/>
        <w:rPr>
          <w:rFonts w:ascii="Arial" w:hAnsi="Arial" w:cs="Arial"/>
        </w:rPr>
      </w:pPr>
      <w:r w:rsidRPr="0072664D">
        <w:rPr>
          <w:rFonts w:ascii="Arial" w:hAnsi="Arial" w:cs="Arial"/>
          <w:color w:val="222222"/>
        </w:rPr>
        <w:t xml:space="preserve">Teixeira, R.L.P., (2025). Advancing green steel technologies for sustainable and low-carbon steel production. </w:t>
      </w:r>
      <w:r w:rsidRPr="0072664D">
        <w:rPr>
          <w:rFonts w:ascii="Arial" w:hAnsi="Arial" w:cs="Arial"/>
          <w:i/>
          <w:iCs/>
          <w:color w:val="222222"/>
        </w:rPr>
        <w:t>International Journal of Professional Business Review: Int. J. Prof. Bus. Rev.</w:t>
      </w:r>
      <w:r w:rsidRPr="0072664D">
        <w:rPr>
          <w:rFonts w:ascii="Arial" w:hAnsi="Arial" w:cs="Arial"/>
          <w:color w:val="222222"/>
        </w:rPr>
        <w:t xml:space="preserve">, </w:t>
      </w:r>
      <w:r w:rsidRPr="0072664D">
        <w:rPr>
          <w:rFonts w:ascii="Arial" w:hAnsi="Arial" w:cs="Arial"/>
          <w:i/>
          <w:iCs/>
          <w:color w:val="222222"/>
        </w:rPr>
        <w:t>10</w:t>
      </w:r>
      <w:r w:rsidRPr="0072664D">
        <w:rPr>
          <w:rFonts w:ascii="Arial" w:hAnsi="Arial" w:cs="Arial"/>
          <w:color w:val="222222"/>
        </w:rPr>
        <w:t>(10), p.3.</w:t>
      </w:r>
      <w:r w:rsidRPr="0072664D">
        <w:rPr>
          <w:rFonts w:ascii="Arial" w:hAnsi="Arial" w:cs="Arial"/>
        </w:rPr>
        <w:t xml:space="preserve"> </w:t>
      </w:r>
    </w:p>
    <w:p w14:paraId="081D8D54" w14:textId="77777777" w:rsidR="0026227E" w:rsidRPr="0072664D" w:rsidRDefault="0026227E">
      <w:pPr>
        <w:spacing w:before="0" w:after="0"/>
        <w:rPr>
          <w:rFonts w:ascii="Arial" w:hAnsi="Arial" w:cs="Arial"/>
        </w:rPr>
      </w:pPr>
      <w:r w:rsidRPr="0072664D">
        <w:rPr>
          <w:rFonts w:ascii="Arial" w:hAnsi="Arial" w:cs="Arial"/>
          <w:color w:val="222222"/>
        </w:rPr>
        <w:t xml:space="preserve">Teixeira, R.L.P., (2025). Advancing green steel technologies for sustainable and low-carbon steel production. </w:t>
      </w:r>
      <w:r w:rsidRPr="0072664D">
        <w:rPr>
          <w:rFonts w:ascii="Arial" w:hAnsi="Arial" w:cs="Arial"/>
          <w:i/>
          <w:iCs/>
          <w:color w:val="222222"/>
        </w:rPr>
        <w:t>International Journal of Professional Business Review: Int. J. Prof. Bus. Rev.</w:t>
      </w:r>
      <w:r w:rsidRPr="0072664D">
        <w:rPr>
          <w:rFonts w:ascii="Arial" w:hAnsi="Arial" w:cs="Arial"/>
          <w:color w:val="222222"/>
        </w:rPr>
        <w:t xml:space="preserve">, </w:t>
      </w:r>
      <w:r w:rsidRPr="0072664D">
        <w:rPr>
          <w:rFonts w:ascii="Arial" w:hAnsi="Arial" w:cs="Arial"/>
          <w:i/>
          <w:iCs/>
          <w:color w:val="222222"/>
        </w:rPr>
        <w:t>10</w:t>
      </w:r>
      <w:r w:rsidRPr="0072664D">
        <w:rPr>
          <w:rFonts w:ascii="Arial" w:hAnsi="Arial" w:cs="Arial"/>
          <w:color w:val="222222"/>
        </w:rPr>
        <w:t>(10), p.3.</w:t>
      </w:r>
      <w:r w:rsidRPr="0072664D">
        <w:rPr>
          <w:rFonts w:ascii="Arial" w:hAnsi="Arial" w:cs="Arial"/>
        </w:rPr>
        <w:t xml:space="preserve"> </w:t>
      </w:r>
    </w:p>
    <w:p w14:paraId="70C385FC" w14:textId="77777777" w:rsidR="0026227E" w:rsidRPr="0072664D" w:rsidRDefault="0026227E">
      <w:pPr>
        <w:rPr>
          <w:rFonts w:ascii="Arial" w:hAnsi="Arial" w:cs="Arial"/>
        </w:rPr>
      </w:pPr>
      <w:r w:rsidRPr="0072664D">
        <w:rPr>
          <w:rFonts w:ascii="Arial" w:hAnsi="Arial" w:cs="Arial"/>
          <w:color w:val="222222"/>
        </w:rPr>
        <w:t xml:space="preserve">Tyler, B.B., Lahneman, B., Cerrato, D., Cruz, A.D., Beukel, K., Spielmann, N. and Minciullo, M., (2024). ‘Environmental practice adoption in SMEs: The effects of firm proactive orientation and regulatory pressure’. </w:t>
      </w:r>
      <w:r w:rsidRPr="0072664D">
        <w:rPr>
          <w:rFonts w:ascii="Arial" w:hAnsi="Arial" w:cs="Arial"/>
          <w:i/>
          <w:iCs/>
          <w:color w:val="222222"/>
        </w:rPr>
        <w:t>Journal of Small Business Management</w:t>
      </w:r>
      <w:r w:rsidRPr="0072664D">
        <w:rPr>
          <w:rFonts w:ascii="Arial" w:hAnsi="Arial" w:cs="Arial"/>
          <w:color w:val="222222"/>
        </w:rPr>
        <w:t xml:space="preserve">, </w:t>
      </w:r>
      <w:r w:rsidRPr="0072664D">
        <w:rPr>
          <w:rFonts w:ascii="Arial" w:hAnsi="Arial" w:cs="Arial"/>
          <w:i/>
          <w:iCs/>
          <w:color w:val="222222"/>
        </w:rPr>
        <w:t>62</w:t>
      </w:r>
      <w:r w:rsidRPr="0072664D">
        <w:rPr>
          <w:rFonts w:ascii="Arial" w:hAnsi="Arial" w:cs="Arial"/>
          <w:color w:val="222222"/>
        </w:rPr>
        <w:t>(5), pp.2211-2246.</w:t>
      </w:r>
      <w:r w:rsidRPr="0072664D">
        <w:rPr>
          <w:rFonts w:ascii="Arial" w:hAnsi="Arial" w:cs="Arial"/>
        </w:rPr>
        <w:t xml:space="preserve"> </w:t>
      </w:r>
    </w:p>
    <w:p w14:paraId="17F816C6" w14:textId="77777777" w:rsidR="0026227E" w:rsidRPr="0072664D" w:rsidRDefault="0026227E">
      <w:pPr>
        <w:rPr>
          <w:rFonts w:ascii="Arial" w:hAnsi="Arial" w:cs="Arial"/>
        </w:rPr>
      </w:pPr>
      <w:r w:rsidRPr="0072664D">
        <w:rPr>
          <w:rFonts w:ascii="Arial" w:hAnsi="Arial" w:cs="Arial"/>
          <w:color w:val="222222"/>
        </w:rPr>
        <w:t xml:space="preserve">Wang, Z., Sun, Y., Kong, H. and Xia-Bauer, C., (2025). ‘An in-depth review of key technologies and pathways to carbon neutrality: classification and assessment of decarbonization technologies’. </w:t>
      </w:r>
      <w:r w:rsidRPr="0072664D">
        <w:rPr>
          <w:rFonts w:ascii="Arial" w:hAnsi="Arial" w:cs="Arial"/>
          <w:i/>
          <w:iCs/>
          <w:color w:val="222222"/>
        </w:rPr>
        <w:t>Carbon Neutrality</w:t>
      </w:r>
      <w:r w:rsidRPr="0072664D">
        <w:rPr>
          <w:rFonts w:ascii="Arial" w:hAnsi="Arial" w:cs="Arial"/>
          <w:color w:val="222222"/>
        </w:rPr>
        <w:t xml:space="preserve">, </w:t>
      </w:r>
      <w:r w:rsidRPr="0072664D">
        <w:rPr>
          <w:rFonts w:ascii="Arial" w:hAnsi="Arial" w:cs="Arial"/>
          <w:i/>
          <w:iCs/>
          <w:color w:val="222222"/>
        </w:rPr>
        <w:t>4</w:t>
      </w:r>
      <w:r w:rsidRPr="0072664D">
        <w:rPr>
          <w:rFonts w:ascii="Arial" w:hAnsi="Arial" w:cs="Arial"/>
          <w:color w:val="222222"/>
        </w:rPr>
        <w:t>(1), p.15.</w:t>
      </w:r>
      <w:r w:rsidRPr="0072664D">
        <w:rPr>
          <w:rFonts w:ascii="Arial" w:hAnsi="Arial" w:cs="Arial"/>
        </w:rPr>
        <w:t xml:space="preserve"> </w:t>
      </w:r>
    </w:p>
    <w:p w14:paraId="238E7815" w14:textId="77777777" w:rsidR="0026227E" w:rsidRPr="0072664D" w:rsidRDefault="0026227E">
      <w:pPr>
        <w:rPr>
          <w:rFonts w:ascii="Arial" w:hAnsi="Arial" w:cs="Arial"/>
        </w:rPr>
      </w:pPr>
      <w:r w:rsidRPr="0072664D">
        <w:rPr>
          <w:rFonts w:ascii="Arial" w:hAnsi="Arial" w:cs="Arial"/>
        </w:rPr>
        <w:t xml:space="preserve">Wealsomaketomorrow (2025) </w:t>
      </w:r>
      <w:r w:rsidRPr="0072664D">
        <w:rPr>
          <w:rFonts w:ascii="Arial" w:hAnsi="Arial" w:cs="Arial"/>
          <w:i/>
          <w:iCs/>
        </w:rPr>
        <w:t>50% renewable energy,</w:t>
      </w:r>
      <w:r w:rsidRPr="0072664D">
        <w:rPr>
          <w:rFonts w:ascii="Arial" w:hAnsi="Arial" w:cs="Arial"/>
        </w:rPr>
        <w:t xml:space="preserve"> Available at: </w:t>
      </w:r>
      <w:hyperlink r:id="rId24">
        <w:r w:rsidRPr="0072664D">
          <w:rPr>
            <w:rFonts w:ascii="Arial" w:hAnsi="Arial" w:cs="Arial"/>
            <w:color w:val="1155CC"/>
            <w:u w:val="single"/>
          </w:rPr>
          <w:t>https://wealsomaketomorrow.tatasteel.com/low-emission-steel</w:t>
        </w:r>
      </w:hyperlink>
      <w:r w:rsidRPr="0072664D">
        <w:rPr>
          <w:rFonts w:ascii="Arial" w:hAnsi="Arial" w:cs="Arial"/>
        </w:rPr>
        <w:t xml:space="preserve"> (Accessed on 07/10/2026)</w:t>
      </w:r>
    </w:p>
    <w:p w14:paraId="2BA1826A" w14:textId="77777777" w:rsidR="0026227E" w:rsidRDefault="0026227E">
      <w:r w:rsidRPr="0072664D">
        <w:rPr>
          <w:rFonts w:ascii="Arial" w:hAnsi="Arial" w:cs="Arial"/>
          <w:color w:val="222222"/>
        </w:rPr>
        <w:t xml:space="preserve">Zhang, Z., Shi, K., Gao, Y. and Feng, Y., (2025). ‘How does environmental regulation promote green technology innovation in enterprises? A policy simulation approach with an evolutionary game’. </w:t>
      </w:r>
      <w:r w:rsidRPr="0072664D">
        <w:rPr>
          <w:rFonts w:ascii="Arial" w:hAnsi="Arial" w:cs="Arial"/>
          <w:i/>
          <w:iCs/>
          <w:color w:val="222222"/>
        </w:rPr>
        <w:t>Journal of Environmental Planning and M</w:t>
      </w:r>
      <w:r>
        <w:rPr>
          <w:i/>
          <w:iCs/>
          <w:color w:val="222222"/>
        </w:rPr>
        <w:t>anagement</w:t>
      </w:r>
      <w:r>
        <w:rPr>
          <w:color w:val="222222"/>
        </w:rPr>
        <w:t xml:space="preserve">, </w:t>
      </w:r>
      <w:r>
        <w:rPr>
          <w:i/>
          <w:iCs/>
          <w:color w:val="222222"/>
        </w:rPr>
        <w:t>68</w:t>
      </w:r>
      <w:r>
        <w:rPr>
          <w:color w:val="222222"/>
        </w:rPr>
        <w:t>(5), pp.979-1008.</w:t>
      </w:r>
      <w:r>
        <w:t xml:space="preserve"> </w:t>
      </w:r>
    </w:p>
    <w:sectPr w:rsidR="0026227E" w:rsidSect="00C859C4">
      <w:footerReference w:type="default" r:id="rId2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262CF" w14:textId="77777777" w:rsidR="00C24B8E" w:rsidRDefault="00C24B8E" w:rsidP="00C859C4">
      <w:pPr>
        <w:spacing w:before="0" w:after="0" w:line="240" w:lineRule="auto"/>
      </w:pPr>
      <w:r>
        <w:separator/>
      </w:r>
    </w:p>
  </w:endnote>
  <w:endnote w:type="continuationSeparator" w:id="0">
    <w:p w14:paraId="43FB8250" w14:textId="77777777" w:rsidR="00C24B8E" w:rsidRDefault="00C24B8E" w:rsidP="00C859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4DD595D-B47F-476B-9BCD-17D5115313A0}"/>
  </w:font>
  <w:font w:name="Cambria Math">
    <w:panose1 w:val="02040503050406030204"/>
    <w:charset w:val="00"/>
    <w:family w:val="roman"/>
    <w:pitch w:val="variable"/>
    <w:sig w:usb0="E00006FF" w:usb1="420024FF" w:usb2="02000000" w:usb3="00000000" w:csb0="0000019F" w:csb1="00000000"/>
    <w:embedRegular r:id="rId2" w:fontKey="{BA926C01-7864-4445-B4BA-517B345AA098}"/>
  </w:font>
  <w:font w:name="Cambria">
    <w:panose1 w:val="02040503050406030204"/>
    <w:charset w:val="00"/>
    <w:family w:val="roman"/>
    <w:pitch w:val="variable"/>
    <w:sig w:usb0="E00006FF" w:usb1="420024FF" w:usb2="02000000" w:usb3="00000000" w:csb0="0000019F" w:csb1="00000000"/>
    <w:embedRegular r:id="rId3" w:fontKey="{004CC0B3-C29D-40FF-AF3B-07DDEEA1E0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0487030"/>
      <w:docPartObj>
        <w:docPartGallery w:val="Page Numbers (Bottom of Page)"/>
        <w:docPartUnique/>
      </w:docPartObj>
    </w:sdtPr>
    <w:sdtEndPr>
      <w:rPr>
        <w:noProof/>
      </w:rPr>
    </w:sdtEndPr>
    <w:sdtContent>
      <w:p w14:paraId="232F52A9" w14:textId="5A770DFA" w:rsidR="00C859C4" w:rsidRDefault="00C859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A9144" w14:textId="77777777" w:rsidR="00C859C4" w:rsidRDefault="00C85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1D927" w14:textId="77777777" w:rsidR="00C24B8E" w:rsidRDefault="00C24B8E" w:rsidP="00C859C4">
      <w:pPr>
        <w:spacing w:before="0" w:after="0" w:line="240" w:lineRule="auto"/>
      </w:pPr>
      <w:r>
        <w:separator/>
      </w:r>
    </w:p>
  </w:footnote>
  <w:footnote w:type="continuationSeparator" w:id="0">
    <w:p w14:paraId="67DEB23F" w14:textId="77777777" w:rsidR="00C24B8E" w:rsidRDefault="00C24B8E" w:rsidP="00C859C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4652"/>
    <w:multiLevelType w:val="hybridMultilevel"/>
    <w:tmpl w:val="01AA4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A2BC4"/>
    <w:multiLevelType w:val="hybridMultilevel"/>
    <w:tmpl w:val="92C4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E38B3"/>
    <w:multiLevelType w:val="hybridMultilevel"/>
    <w:tmpl w:val="B628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988051">
    <w:abstractNumId w:val="0"/>
  </w:num>
  <w:num w:numId="2" w16cid:durableId="274598779">
    <w:abstractNumId w:val="1"/>
  </w:num>
  <w:num w:numId="3" w16cid:durableId="6801600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0FE"/>
    <w:rsid w:val="00002822"/>
    <w:rsid w:val="00114969"/>
    <w:rsid w:val="001A0144"/>
    <w:rsid w:val="001D4169"/>
    <w:rsid w:val="0026227E"/>
    <w:rsid w:val="00264C62"/>
    <w:rsid w:val="002C7B30"/>
    <w:rsid w:val="0037077D"/>
    <w:rsid w:val="00432677"/>
    <w:rsid w:val="005845D9"/>
    <w:rsid w:val="00586A02"/>
    <w:rsid w:val="007206D4"/>
    <w:rsid w:val="0072664D"/>
    <w:rsid w:val="007358E3"/>
    <w:rsid w:val="00764EA0"/>
    <w:rsid w:val="00780290"/>
    <w:rsid w:val="007B1F70"/>
    <w:rsid w:val="007E42F9"/>
    <w:rsid w:val="008E3D8F"/>
    <w:rsid w:val="009F70FE"/>
    <w:rsid w:val="00A31B93"/>
    <w:rsid w:val="00B51E28"/>
    <w:rsid w:val="00C10134"/>
    <w:rsid w:val="00C17C6B"/>
    <w:rsid w:val="00C24B8E"/>
    <w:rsid w:val="00C859C4"/>
    <w:rsid w:val="00DC204C"/>
    <w:rsid w:val="00DE2EEC"/>
    <w:rsid w:val="00E726D0"/>
    <w:rsid w:val="00E96BDA"/>
    <w:rsid w:val="00EC1E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50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spacing w:before="360" w:after="80"/>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C859C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859C4"/>
  </w:style>
  <w:style w:type="paragraph" w:styleId="Footer">
    <w:name w:val="footer"/>
    <w:basedOn w:val="Normal"/>
    <w:link w:val="FooterChar"/>
    <w:uiPriority w:val="99"/>
    <w:unhideWhenUsed/>
    <w:rsid w:val="00C859C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859C4"/>
  </w:style>
  <w:style w:type="paragraph" w:styleId="TOCHeading">
    <w:name w:val="TOC Heading"/>
    <w:basedOn w:val="Heading1"/>
    <w:next w:val="Normal"/>
    <w:uiPriority w:val="39"/>
    <w:unhideWhenUsed/>
    <w:qFormat/>
    <w:rsid w:val="00C859C4"/>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859C4"/>
    <w:pPr>
      <w:spacing w:after="100"/>
    </w:pPr>
  </w:style>
  <w:style w:type="paragraph" w:styleId="TOC2">
    <w:name w:val="toc 2"/>
    <w:basedOn w:val="Normal"/>
    <w:next w:val="Normal"/>
    <w:autoRedefine/>
    <w:uiPriority w:val="39"/>
    <w:unhideWhenUsed/>
    <w:rsid w:val="00C859C4"/>
    <w:pPr>
      <w:spacing w:after="100"/>
      <w:ind w:left="240"/>
    </w:pPr>
  </w:style>
  <w:style w:type="paragraph" w:styleId="TOC3">
    <w:name w:val="toc 3"/>
    <w:basedOn w:val="Normal"/>
    <w:next w:val="Normal"/>
    <w:autoRedefine/>
    <w:uiPriority w:val="39"/>
    <w:unhideWhenUsed/>
    <w:rsid w:val="00C859C4"/>
    <w:pPr>
      <w:spacing w:after="100"/>
      <w:ind w:left="480"/>
    </w:pPr>
  </w:style>
  <w:style w:type="character" w:styleId="Hyperlink">
    <w:name w:val="Hyperlink"/>
    <w:basedOn w:val="DefaultParagraphFont"/>
    <w:uiPriority w:val="99"/>
    <w:unhideWhenUsed/>
    <w:rsid w:val="00C859C4"/>
    <w:rPr>
      <w:color w:val="0000FF" w:themeColor="hyperlink"/>
      <w:u w:val="single"/>
    </w:rPr>
  </w:style>
  <w:style w:type="character" w:styleId="UnresolvedMention">
    <w:name w:val="Unresolved Mention"/>
    <w:basedOn w:val="DefaultParagraphFont"/>
    <w:uiPriority w:val="99"/>
    <w:semiHidden/>
    <w:unhideWhenUsed/>
    <w:rsid w:val="007E42F9"/>
    <w:rPr>
      <w:color w:val="605E5C"/>
      <w:shd w:val="clear" w:color="auto" w:fill="E1DFDD"/>
    </w:rPr>
  </w:style>
  <w:style w:type="paragraph" w:styleId="ListParagraph">
    <w:name w:val="List Paragraph"/>
    <w:basedOn w:val="Normal"/>
    <w:uiPriority w:val="34"/>
    <w:qFormat/>
    <w:rsid w:val="007E42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tasteel.com/investors/integrated-report-2024-25/social-relationship-capital.html" TargetMode="External"/><Relationship Id="rId18" Type="http://schemas.openxmlformats.org/officeDocument/2006/relationships/hyperlink" Target="https://www.tatasteel.com/media/25904/tatasteel-iar-2025-26.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atasteel.com/newsroom/press-releases/india/2024/tata-steel-signs-500-million-grant-funding-agreement-with-uk-government-for-125-billion-green-steel-project-in-port-talbot/" TargetMode="External"/><Relationship Id="rId7" Type="http://schemas.openxmlformats.org/officeDocument/2006/relationships/endnotes" Target="endnotes.xml"/><Relationship Id="rId12" Type="http://schemas.openxmlformats.org/officeDocument/2006/relationships/hyperlink" Target="https://www.tata.com/newsroom/business/tata-steel-sustainable-aalingana" TargetMode="External"/><Relationship Id="rId17" Type="http://schemas.openxmlformats.org/officeDocument/2006/relationships/hyperlink" Target="https://www.tatasteel.com/newsroom/press-releases/india/2026/tata-steel-inaugurates-its-first-scrap-based-electric-arc-furnace-in-india/"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tasteel.com/newsroom/press-releases/india/2026/tata-steel-inaugurates-its-first-scrap-based-electric-arc-furnace-in-india/" TargetMode="External"/><Relationship Id="rId20" Type="http://schemas.openxmlformats.org/officeDocument/2006/relationships/hyperlink" Target="https://www.tatasteel.com/corporate/our-organisation/cs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eel.gov.in/sites/default/files/2025-03/Taxonomy%20Brochure.pdf" TargetMode="External"/><Relationship Id="rId24" Type="http://schemas.openxmlformats.org/officeDocument/2006/relationships/hyperlink" Target="https://wealsomaketomorrow.tatasteel.com/low-emission-steel" TargetMode="External"/><Relationship Id="rId5" Type="http://schemas.openxmlformats.org/officeDocument/2006/relationships/webSettings" Target="webSettings.xml"/><Relationship Id="rId15" Type="http://schemas.openxmlformats.org/officeDocument/2006/relationships/hyperlink" Target="https://www.tatasteel.com/newsroom/press-releases/india/2026/tata-steel-inaugurates-its-first-scrap-based-electric-arc-furnace-in-india/" TargetMode="External"/><Relationship Id="rId23" Type="http://schemas.openxmlformats.org/officeDocument/2006/relationships/hyperlink" Target="https://taxation-customs.ec.europa.eu/carbon-border-adjustment-mechanism/cbam-definitive-regime_en" TargetMode="External"/><Relationship Id="rId10" Type="http://schemas.openxmlformats.org/officeDocument/2006/relationships/hyperlink" Target="https://globalenergymonitor.org/research/matter-ambition-examining-steel-industrys-commitment-net-zero-2050" TargetMode="External"/><Relationship Id="rId19" Type="http://schemas.openxmlformats.org/officeDocument/2006/relationships/hyperlink" Target="https://www.tatasteel.com/investors/integrated-report-2025-26/pdf/Business%20Responsibility%20and%20Sustainability%20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tasteel.com/tata-steel-brochure-2020-21/sustainability.html" TargetMode="External"/><Relationship Id="rId22" Type="http://schemas.openxmlformats.org/officeDocument/2006/relationships/hyperlink" Target="https://www.tatasteel.com/investors/integrated-report-2024-25/pdf/fy25-integratedreport.pdf"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B57D7F-3554-4A34-A4AB-4D30A8FF5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4467</Words>
  <Characters>25464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2026-10-09T09:23:00Z</dcterms:created>
  <dcterms:modified xsi:type="dcterms:W3CDTF">2026-10-21T22:06:00Z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b45316740a84ad062e239175cf9db72dde2fff008c4a60361d55416f4839028b</vt:lpwstr>
  </property>
</Properties>
</file>