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31215622"/>
        <w:docPartObj>
          <w:docPartGallery w:val="Cover Pages"/>
          <w:docPartUnique/>
        </w:docPartObj>
      </w:sdtPr>
      <w:sdtEndPr>
        <w:rPr>
          <w:rFonts w:ascii="Arial" w:hAnsi="Arial" w:cs="Arial"/>
        </w:rPr>
      </w:sdtEndPr>
      <w:sdtContent>
        <w:p w14:paraId="6EDF545C" w14:textId="1F7F6A67" w:rsidR="00C60E7E" w:rsidRDefault="00C60E7E">
          <w:r>
            <w:rPr>
              <w:noProof/>
            </w:rPr>
            <mc:AlternateContent>
              <mc:Choice Requires="wpg">
                <w:drawing>
                  <wp:anchor distT="0" distB="0" distL="114300" distR="114300" simplePos="0" relativeHeight="251659264" behindDoc="1" locked="0" layoutInCell="1" allowOverlap="1" wp14:anchorId="08B45160" wp14:editId="08A27E69">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E62DE56" w14:textId="37298D4A" w:rsidR="00C60E7E" w:rsidRDefault="00C60E7E">
                                      <w:pPr>
                                        <w:pStyle w:val="NoSpacing"/>
                                        <w:spacing w:before="120"/>
                                        <w:jc w:val="center"/>
                                        <w:rPr>
                                          <w:color w:val="FFFFFF" w:themeColor="background1"/>
                                        </w:rPr>
                                      </w:pPr>
                                      <w:r>
                                        <w:rPr>
                                          <w:color w:val="FFFFFF" w:themeColor="background1"/>
                                        </w:rPr>
                                        <w:t>Ffion Jones</w:t>
                                      </w:r>
                                    </w:p>
                                  </w:sdtContent>
                                </w:sdt>
                                <w:p w14:paraId="41F857D8" w14:textId="0E465F2D" w:rsidR="00C60E7E" w:rsidRDefault="00C60E7E" w:rsidP="003F511A">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3F511A">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3F511A">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B69CDC3" w14:textId="533E623B" w:rsidR="00C60E7E" w:rsidRDefault="00F20D18">
                                      <w:pPr>
                                        <w:pStyle w:val="NoSpacing"/>
                                        <w:jc w:val="center"/>
                                        <w:rPr>
                                          <w:rFonts w:asciiTheme="majorHAnsi" w:eastAsiaTheme="majorEastAsia" w:hAnsiTheme="majorHAnsi" w:cstheme="majorBidi"/>
                                          <w:caps/>
                                          <w:color w:val="156082" w:themeColor="accent1"/>
                                          <w:sz w:val="72"/>
                                          <w:szCs w:val="72"/>
                                        </w:rPr>
                                      </w:pPr>
                                      <w:r w:rsidRPr="00F20D18">
                                        <w:rPr>
                                          <w:rFonts w:asciiTheme="majorHAnsi" w:eastAsiaTheme="majorEastAsia" w:hAnsiTheme="majorHAnsi" w:cstheme="majorBidi"/>
                                          <w:caps/>
                                          <w:color w:val="156082" w:themeColor="accent1"/>
                                          <w:sz w:val="72"/>
                                          <w:szCs w:val="72"/>
                                        </w:rPr>
                                        <w:t>The Civil Justice system</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8B45160"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E62DE56" w14:textId="37298D4A" w:rsidR="00C60E7E" w:rsidRDefault="00C60E7E">
                                <w:pPr>
                                  <w:pStyle w:val="NoSpacing"/>
                                  <w:spacing w:before="120"/>
                                  <w:jc w:val="center"/>
                                  <w:rPr>
                                    <w:color w:val="FFFFFF" w:themeColor="background1"/>
                                  </w:rPr>
                                </w:pPr>
                                <w:r>
                                  <w:rPr>
                                    <w:color w:val="FFFFFF" w:themeColor="background1"/>
                                  </w:rPr>
                                  <w:t>Ffion Jones</w:t>
                                </w:r>
                              </w:p>
                            </w:sdtContent>
                          </w:sdt>
                          <w:p w14:paraId="41F857D8" w14:textId="0E465F2D" w:rsidR="00C60E7E" w:rsidRDefault="00C60E7E" w:rsidP="003F511A">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3F511A">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3F511A">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B69CDC3" w14:textId="533E623B" w:rsidR="00C60E7E" w:rsidRDefault="00F20D18">
                                <w:pPr>
                                  <w:pStyle w:val="NoSpacing"/>
                                  <w:jc w:val="center"/>
                                  <w:rPr>
                                    <w:rFonts w:asciiTheme="majorHAnsi" w:eastAsiaTheme="majorEastAsia" w:hAnsiTheme="majorHAnsi" w:cstheme="majorBidi"/>
                                    <w:caps/>
                                    <w:color w:val="156082" w:themeColor="accent1"/>
                                    <w:sz w:val="72"/>
                                    <w:szCs w:val="72"/>
                                  </w:rPr>
                                </w:pPr>
                                <w:r w:rsidRPr="00F20D18">
                                  <w:rPr>
                                    <w:rFonts w:asciiTheme="majorHAnsi" w:eastAsiaTheme="majorEastAsia" w:hAnsiTheme="majorHAnsi" w:cstheme="majorBidi"/>
                                    <w:caps/>
                                    <w:color w:val="156082" w:themeColor="accent1"/>
                                    <w:sz w:val="72"/>
                                    <w:szCs w:val="72"/>
                                  </w:rPr>
                                  <w:t>The Civil Justice system</w:t>
                                </w:r>
                              </w:p>
                            </w:sdtContent>
                          </w:sdt>
                        </w:txbxContent>
                      </v:textbox>
                    </v:shape>
                    <w10:wrap anchorx="page" anchory="page"/>
                  </v:group>
                </w:pict>
              </mc:Fallback>
            </mc:AlternateContent>
          </w:r>
        </w:p>
        <w:p w14:paraId="284B0C15" w14:textId="19796EFA" w:rsidR="00C60E7E" w:rsidRDefault="00C60E7E">
          <w:pPr>
            <w:rPr>
              <w:rFonts w:ascii="Arial" w:hAnsi="Arial" w:cs="Arial"/>
            </w:rPr>
          </w:pPr>
          <w:r>
            <w:rPr>
              <w:rFonts w:ascii="Arial" w:hAnsi="Arial" w:cs="Arial"/>
            </w:rPr>
            <w:br w:type="page"/>
          </w:r>
        </w:p>
      </w:sdtContent>
    </w:sdt>
    <w:p w14:paraId="0BA4BF1C" w14:textId="66A02226" w:rsidR="00BE6A25" w:rsidRDefault="00BE6A25" w:rsidP="00C60E7E">
      <w:pPr>
        <w:spacing w:line="480" w:lineRule="auto"/>
        <w:rPr>
          <w:rFonts w:ascii="Arial" w:hAnsi="Arial" w:cs="Arial"/>
        </w:rPr>
      </w:pPr>
      <w:r w:rsidRPr="00BE6A25">
        <w:rPr>
          <w:rFonts w:ascii="Arial" w:hAnsi="Arial" w:cs="Arial"/>
        </w:rPr>
        <w:lastRenderedPageBreak/>
        <w:t>Legal aid refers to the arrangement of government assistance aimed at covering expenses related to legal counsel, court representation, or mediation in family matters. In England and Wales, this assistance is overseen by the Legal Aid Agency. Notably, civil legal aid and criminal legal aid are distinct services, each with its own eligibility criteria.</w:t>
      </w:r>
      <w:r w:rsidR="00BC16DF" w:rsidRPr="00BC16DF">
        <w:t xml:space="preserve"> </w:t>
      </w:r>
      <w:r w:rsidR="00BC16DF" w:rsidRPr="00BC16DF">
        <w:rPr>
          <w:rFonts w:ascii="Arial" w:hAnsi="Arial" w:cs="Arial"/>
        </w:rPr>
        <w:t xml:space="preserve">Civil legal aid in England and Wales covers a range of matters, including issues related to child welfare, special educational needs, abuse of children or vulnerable adults, mental health and capacity, welfare benefits </w:t>
      </w:r>
      <w:r w:rsidR="006C4C45" w:rsidRPr="00BC16DF">
        <w:rPr>
          <w:rFonts w:ascii="Arial" w:hAnsi="Arial" w:cs="Arial"/>
        </w:rPr>
        <w:t>appeal</w:t>
      </w:r>
      <w:r w:rsidR="00BC16DF" w:rsidRPr="00BC16DF">
        <w:rPr>
          <w:rFonts w:ascii="Arial" w:hAnsi="Arial" w:cs="Arial"/>
        </w:rPr>
        <w:t xml:space="preserve">, domestic violence (including non-molestation orders), mediation in family disputes, certain immigration issues, and housing concerns such as homelessness or risk of losing </w:t>
      </w:r>
      <w:r w:rsidR="00D50074">
        <w:rPr>
          <w:rFonts w:ascii="Arial" w:hAnsi="Arial" w:cs="Arial"/>
        </w:rPr>
        <w:t>their</w:t>
      </w:r>
      <w:r w:rsidR="00BC16DF" w:rsidRPr="00BC16DF">
        <w:rPr>
          <w:rFonts w:ascii="Arial" w:hAnsi="Arial" w:cs="Arial"/>
        </w:rPr>
        <w:t xml:space="preserve"> home</w:t>
      </w:r>
      <w:r w:rsidR="00D50074">
        <w:rPr>
          <w:rFonts w:ascii="Arial" w:hAnsi="Arial" w:cs="Arial"/>
        </w:rPr>
        <w:t xml:space="preserve"> (UK Government, 2024)</w:t>
      </w:r>
      <w:r w:rsidR="00BC16DF" w:rsidRPr="00BC16DF">
        <w:rPr>
          <w:rFonts w:ascii="Arial" w:hAnsi="Arial" w:cs="Arial"/>
        </w:rPr>
        <w:t>. Additionally, under exceptional circumstances outlined in section 10(3) of the Legal Aid, Sentencing and Punishment of Offenders Act (LASPO), funding may be provided even if a case falls outside the typical scope of legal aid. This could occur when denying funding would violate an individual's rights under the Human Rights Act 1998</w:t>
      </w:r>
      <w:r w:rsidR="00BC16DF">
        <w:rPr>
          <w:rFonts w:ascii="Arial" w:hAnsi="Arial" w:cs="Arial"/>
        </w:rPr>
        <w:t xml:space="preserve"> (</w:t>
      </w:r>
      <w:r w:rsidR="008F617E">
        <w:rPr>
          <w:rFonts w:ascii="Arial" w:hAnsi="Arial" w:cs="Arial"/>
        </w:rPr>
        <w:t>UK Parliament,2024)</w:t>
      </w:r>
      <w:r w:rsidR="00BC16DF" w:rsidRPr="00BC16DF">
        <w:rPr>
          <w:rFonts w:ascii="Arial" w:hAnsi="Arial" w:cs="Arial"/>
        </w:rPr>
        <w:t>.</w:t>
      </w:r>
    </w:p>
    <w:p w14:paraId="62C27674" w14:textId="77777777" w:rsidR="00FD3A00" w:rsidRDefault="00FD3A00" w:rsidP="00C60E7E">
      <w:pPr>
        <w:spacing w:line="480" w:lineRule="auto"/>
        <w:rPr>
          <w:rFonts w:ascii="Arial" w:hAnsi="Arial" w:cs="Arial"/>
        </w:rPr>
      </w:pPr>
    </w:p>
    <w:p w14:paraId="21C01923" w14:textId="77777777" w:rsidR="00FD3A00" w:rsidRDefault="00FD3A00" w:rsidP="00C60E7E">
      <w:pPr>
        <w:spacing w:line="480" w:lineRule="auto"/>
        <w:rPr>
          <w:rFonts w:ascii="Arial" w:hAnsi="Arial" w:cs="Arial"/>
        </w:rPr>
      </w:pPr>
      <w:r w:rsidRPr="003237C2">
        <w:rPr>
          <w:rFonts w:ascii="Arial" w:hAnsi="Arial" w:cs="Arial"/>
        </w:rPr>
        <w:t>The 1999 Access to Justice Act, which imposed expenditure limits on civil legal aid, was an important milestone. By the year 2000, more than 800,000 new legal aid cases had been initiated, providing individuals with free legal counsel on a variety of difficulties. Notably, approximately four out of every five people were qualified for civil legal aid at this time. However, austerity measures enacted in response to the 2010 banking crisis resulted in anticipated spending cuts, including a 10% drop in all civil legal aid payments, limiting many people's accesses to legal services</w:t>
      </w:r>
      <w:r>
        <w:rPr>
          <w:rFonts w:ascii="Arial" w:hAnsi="Arial" w:cs="Arial"/>
        </w:rPr>
        <w:t xml:space="preserve"> (Law Society, 2024). </w:t>
      </w:r>
    </w:p>
    <w:p w14:paraId="1BB8F5F3" w14:textId="77777777" w:rsidR="00FD3A00" w:rsidRPr="00BE6A25" w:rsidRDefault="00FD3A00" w:rsidP="00C60E7E">
      <w:pPr>
        <w:spacing w:line="480" w:lineRule="auto"/>
        <w:rPr>
          <w:rFonts w:ascii="Arial" w:hAnsi="Arial" w:cs="Arial"/>
        </w:rPr>
      </w:pPr>
    </w:p>
    <w:p w14:paraId="338CEFA6" w14:textId="595670D7" w:rsidR="00E80459" w:rsidRDefault="00DF47EB" w:rsidP="00C60E7E">
      <w:pPr>
        <w:spacing w:line="480" w:lineRule="auto"/>
        <w:rPr>
          <w:rFonts w:ascii="Arial" w:hAnsi="Arial" w:cs="Arial"/>
        </w:rPr>
      </w:pPr>
      <w:r w:rsidRPr="00C52F7B">
        <w:rPr>
          <w:rFonts w:ascii="Arial" w:hAnsi="Arial" w:cs="Arial"/>
        </w:rPr>
        <w:t xml:space="preserve">The current method of financing legal guidance and support is grounded in the Access to Justice Act 1999 and related laws, such as the Legal Aid, Sentencing and Punishment of Offenders Act (LASPO) 2012, enacted in April 2013. While the 1999 Act brought significant changes to legal aid delivery, many were overridden by the 2012 Act. Now, the Legal Aid </w:t>
      </w:r>
      <w:r w:rsidRPr="00C52F7B">
        <w:rPr>
          <w:rFonts w:ascii="Arial" w:hAnsi="Arial" w:cs="Arial"/>
        </w:rPr>
        <w:lastRenderedPageBreak/>
        <w:t xml:space="preserve">Agency (LAA), established in April 2013, oversees legal aid distribution. The LAA's strategic goals include ensuring straightforward, timely, and reliable legal aid, fostering strong connections across government and the justice system, optimising taxpayer value, and promoting fairness, pride, and support. Within the LAA, </w:t>
      </w:r>
      <w:r w:rsidR="00C52F7B" w:rsidRPr="00C52F7B">
        <w:rPr>
          <w:rFonts w:ascii="Arial" w:hAnsi="Arial" w:cs="Arial"/>
        </w:rPr>
        <w:t>there is</w:t>
      </w:r>
      <w:r w:rsidRPr="00C52F7B">
        <w:rPr>
          <w:rFonts w:ascii="Arial" w:hAnsi="Arial" w:cs="Arial"/>
        </w:rPr>
        <w:t xml:space="preserve"> the Public Defender Service (PDS) offering private counsel on criminal matters, along with the Civil Legal Advice Service </w:t>
      </w:r>
      <w:r w:rsidR="00F9130D" w:rsidRPr="00C52F7B">
        <w:rPr>
          <w:rFonts w:ascii="Arial" w:hAnsi="Arial" w:cs="Arial"/>
        </w:rPr>
        <w:t>(Wilson et al, 2020).</w:t>
      </w:r>
    </w:p>
    <w:p w14:paraId="7990F857" w14:textId="77777777" w:rsidR="003237C2" w:rsidRDefault="003237C2" w:rsidP="00C60E7E">
      <w:pPr>
        <w:spacing w:line="480" w:lineRule="auto"/>
        <w:rPr>
          <w:rFonts w:ascii="Arial" w:hAnsi="Arial" w:cs="Arial"/>
        </w:rPr>
      </w:pPr>
    </w:p>
    <w:p w14:paraId="4EC339E7" w14:textId="77777777" w:rsidR="003F49CB" w:rsidRDefault="004F0236" w:rsidP="00C60E7E">
      <w:pPr>
        <w:spacing w:line="480" w:lineRule="auto"/>
        <w:rPr>
          <w:rFonts w:ascii="Arial" w:hAnsi="Arial" w:cs="Arial"/>
        </w:rPr>
      </w:pPr>
      <w:r w:rsidRPr="00C52F7B">
        <w:rPr>
          <w:rFonts w:ascii="Arial" w:hAnsi="Arial" w:cs="Arial"/>
        </w:rPr>
        <w:t>According to Albon (2020) LASPO, significantly slashed the accessibility of civil legal aid, while also steadily reducing support for criminal legal aid. The Act aimed to save £570 million annually in legal aid fees but resulted in the most extreme cutbacks to the legal aid method since its establishment in 1949.</w:t>
      </w:r>
      <w:r w:rsidR="003F49CB" w:rsidRPr="00C52F7B">
        <w:rPr>
          <w:rFonts w:ascii="Arial" w:hAnsi="Arial" w:cs="Arial"/>
        </w:rPr>
        <w:t xml:space="preserve"> </w:t>
      </w:r>
    </w:p>
    <w:p w14:paraId="559FCC06" w14:textId="77777777" w:rsidR="003725B1" w:rsidRDefault="003725B1" w:rsidP="00C60E7E">
      <w:pPr>
        <w:spacing w:line="480" w:lineRule="auto"/>
        <w:rPr>
          <w:rFonts w:ascii="Arial" w:hAnsi="Arial" w:cs="Arial"/>
        </w:rPr>
      </w:pPr>
    </w:p>
    <w:p w14:paraId="43FAAD9E" w14:textId="60E76711" w:rsidR="002C75AD" w:rsidRDefault="002C75AD" w:rsidP="00C60E7E">
      <w:pPr>
        <w:spacing w:line="480" w:lineRule="auto"/>
        <w:rPr>
          <w:rFonts w:ascii="Arial" w:hAnsi="Arial" w:cs="Arial"/>
        </w:rPr>
      </w:pPr>
      <w:r w:rsidRPr="002C75AD">
        <w:rPr>
          <w:rFonts w:ascii="Arial" w:hAnsi="Arial" w:cs="Arial"/>
        </w:rPr>
        <w:t>In addition to financial standards, availability for legal assistance is determined by fulfilling the Merits Regulations' requirements, which assess the possibility of a favourable outcome in a case, the possible benefits versus expenses, and the overall reason for going to court. To establish merit, many standards are used, including the likelihood of success, reasonable private paying individual, and proportionality tests, depending on the kind and circumstances of the case</w:t>
      </w:r>
      <w:r>
        <w:rPr>
          <w:rFonts w:ascii="Arial" w:hAnsi="Arial" w:cs="Arial"/>
        </w:rPr>
        <w:t xml:space="preserve"> (</w:t>
      </w:r>
      <w:r w:rsidR="00D2432A">
        <w:rPr>
          <w:rFonts w:ascii="Arial" w:hAnsi="Arial" w:cs="Arial"/>
        </w:rPr>
        <w:t xml:space="preserve">The House of Commons Library, </w:t>
      </w:r>
      <w:r w:rsidR="000C0BB5">
        <w:rPr>
          <w:rFonts w:ascii="Arial" w:hAnsi="Arial" w:cs="Arial"/>
        </w:rPr>
        <w:t xml:space="preserve">2024) </w:t>
      </w:r>
    </w:p>
    <w:p w14:paraId="342E8D3E" w14:textId="3AC1DF69" w:rsidR="00C719EC" w:rsidRPr="002C75AD" w:rsidRDefault="00C719EC" w:rsidP="00C60E7E">
      <w:pPr>
        <w:spacing w:line="480" w:lineRule="auto"/>
        <w:rPr>
          <w:rFonts w:ascii="Arial" w:hAnsi="Arial" w:cs="Arial"/>
        </w:rPr>
      </w:pPr>
      <w:r w:rsidRPr="00C719EC">
        <w:rPr>
          <w:rFonts w:ascii="Arial" w:hAnsi="Arial" w:cs="Arial"/>
        </w:rPr>
        <w:t>The means test assesses the applicant's income and assets, usually including the spouse's resources in the financial evaluation, unless the partner has competing interests in the relevant dispute. To get civil legal assistance, you must meet both the income and capital qualifying conditions</w:t>
      </w:r>
      <w:r w:rsidR="0060260A">
        <w:rPr>
          <w:rFonts w:ascii="Arial" w:hAnsi="Arial" w:cs="Arial"/>
        </w:rPr>
        <w:t xml:space="preserve"> </w:t>
      </w:r>
      <w:r>
        <w:rPr>
          <w:rFonts w:ascii="Arial" w:hAnsi="Arial" w:cs="Arial"/>
        </w:rPr>
        <w:t>(Ministry of Justice, 20</w:t>
      </w:r>
      <w:r w:rsidR="0060260A">
        <w:rPr>
          <w:rFonts w:ascii="Arial" w:hAnsi="Arial" w:cs="Arial"/>
        </w:rPr>
        <w:t>1</w:t>
      </w:r>
      <w:r>
        <w:rPr>
          <w:rFonts w:ascii="Arial" w:hAnsi="Arial" w:cs="Arial"/>
        </w:rPr>
        <w:t>4</w:t>
      </w:r>
      <w:r w:rsidR="0060260A">
        <w:rPr>
          <w:rFonts w:ascii="Arial" w:hAnsi="Arial" w:cs="Arial"/>
        </w:rPr>
        <w:t>)</w:t>
      </w:r>
    </w:p>
    <w:p w14:paraId="5F566BEE" w14:textId="77777777" w:rsidR="00D159BB" w:rsidRDefault="00EB4A3E" w:rsidP="00C60E7E">
      <w:pPr>
        <w:spacing w:line="480" w:lineRule="auto"/>
        <w:rPr>
          <w:rFonts w:ascii="Arial" w:hAnsi="Arial" w:cs="Arial"/>
        </w:rPr>
      </w:pPr>
      <w:r>
        <w:rPr>
          <w:rFonts w:ascii="Arial" w:hAnsi="Arial" w:cs="Arial"/>
        </w:rPr>
        <w:t xml:space="preserve"> </w:t>
      </w:r>
      <w:r w:rsidR="00D0650C">
        <w:rPr>
          <w:rFonts w:ascii="Arial" w:hAnsi="Arial" w:cs="Arial"/>
        </w:rPr>
        <w:t xml:space="preserve"> </w:t>
      </w:r>
    </w:p>
    <w:p w14:paraId="61D00EAC" w14:textId="32E55FEF" w:rsidR="005F16BB" w:rsidRDefault="00D159BB" w:rsidP="00C60E7E">
      <w:pPr>
        <w:spacing w:line="480" w:lineRule="auto"/>
        <w:rPr>
          <w:rFonts w:ascii="Arial" w:hAnsi="Arial" w:cs="Arial"/>
        </w:rPr>
      </w:pPr>
      <w:r>
        <w:rPr>
          <w:rFonts w:ascii="Arial" w:hAnsi="Arial" w:cs="Arial"/>
        </w:rPr>
        <w:t xml:space="preserve">One of the biggest </w:t>
      </w:r>
      <w:r w:rsidR="00522A5C">
        <w:rPr>
          <w:rFonts w:ascii="Arial" w:hAnsi="Arial" w:cs="Arial"/>
        </w:rPr>
        <w:t>i</w:t>
      </w:r>
      <w:r w:rsidR="00522A5C" w:rsidRPr="00D159BB">
        <w:rPr>
          <w:rFonts w:ascii="Arial" w:hAnsi="Arial" w:cs="Arial"/>
        </w:rPr>
        <w:t>mpac</w:t>
      </w:r>
      <w:r w:rsidR="00522A5C">
        <w:rPr>
          <w:rFonts w:ascii="Arial" w:hAnsi="Arial" w:cs="Arial"/>
        </w:rPr>
        <w:t>t</w:t>
      </w:r>
      <w:r w:rsidR="00522A5C" w:rsidRPr="00D159BB">
        <w:rPr>
          <w:rFonts w:ascii="Arial" w:hAnsi="Arial" w:cs="Arial"/>
        </w:rPr>
        <w:t>s</w:t>
      </w:r>
      <w:r w:rsidRPr="00D159BB">
        <w:rPr>
          <w:rFonts w:ascii="Arial" w:hAnsi="Arial" w:cs="Arial"/>
        </w:rPr>
        <w:t xml:space="preserve"> of the changes made by the Legal Aid Sentencing and Punishment of Offenders Act 2012 on Civil legal aid</w:t>
      </w:r>
      <w:r>
        <w:rPr>
          <w:rFonts w:ascii="Arial" w:hAnsi="Arial" w:cs="Arial"/>
        </w:rPr>
        <w:t xml:space="preserve"> </w:t>
      </w:r>
      <w:r w:rsidR="00522A5C">
        <w:rPr>
          <w:rFonts w:ascii="Arial" w:hAnsi="Arial" w:cs="Arial"/>
        </w:rPr>
        <w:t xml:space="preserve">are the cost that have risen since the </w:t>
      </w:r>
      <w:r w:rsidR="00522A5C">
        <w:rPr>
          <w:rFonts w:ascii="Arial" w:hAnsi="Arial" w:cs="Arial"/>
        </w:rPr>
        <w:lastRenderedPageBreak/>
        <w:t>reform</w:t>
      </w:r>
      <w:r w:rsidR="002D09C9">
        <w:rPr>
          <w:rFonts w:ascii="Arial" w:hAnsi="Arial" w:cs="Arial"/>
        </w:rPr>
        <w:t xml:space="preserve">. According to </w:t>
      </w:r>
      <w:r w:rsidR="00E0302A">
        <w:rPr>
          <w:rFonts w:ascii="Arial" w:hAnsi="Arial" w:cs="Arial"/>
        </w:rPr>
        <w:t>the National Audit Office (</w:t>
      </w:r>
      <w:r w:rsidR="00B068DB">
        <w:rPr>
          <w:rFonts w:ascii="Arial" w:hAnsi="Arial" w:cs="Arial"/>
        </w:rPr>
        <w:t>2014)</w:t>
      </w:r>
      <w:r w:rsidR="00EF4F5C">
        <w:rPr>
          <w:rFonts w:ascii="Arial" w:hAnsi="Arial" w:cs="Arial"/>
        </w:rPr>
        <w:t xml:space="preserve">, </w:t>
      </w:r>
      <w:r w:rsidR="00B068DB" w:rsidRPr="00B068DB">
        <w:rPr>
          <w:rFonts w:ascii="Arial" w:hAnsi="Arial" w:cs="Arial"/>
        </w:rPr>
        <w:t>Limiting the scope of legal aid has resulted in decreased spending for the Agency, yet it poses the risk of escalating costs for the Ministry and the wider public sector. Although the Ministry foresaw potential cost increases in its assessment, it failed to quantify them. These expenses could involve the Ministry having to deal with more individuals representing themselves in court, known as litigants in person, as well as broader governmental costs stemming from individuals being unable to access assistance in resolving civil legal matters.</w:t>
      </w:r>
    </w:p>
    <w:p w14:paraId="07F4ACC4" w14:textId="77777777" w:rsidR="007E68E8" w:rsidRDefault="007E68E8" w:rsidP="00C60E7E">
      <w:pPr>
        <w:spacing w:line="480" w:lineRule="auto"/>
        <w:rPr>
          <w:rFonts w:ascii="Arial" w:hAnsi="Arial" w:cs="Arial"/>
        </w:rPr>
      </w:pPr>
    </w:p>
    <w:p w14:paraId="6D638431" w14:textId="5CF0CECF" w:rsidR="007E68E8" w:rsidRDefault="007E68E8" w:rsidP="00C60E7E">
      <w:pPr>
        <w:spacing w:line="480" w:lineRule="auto"/>
        <w:rPr>
          <w:rFonts w:ascii="Arial" w:hAnsi="Arial" w:cs="Arial"/>
        </w:rPr>
      </w:pPr>
      <w:r w:rsidRPr="007E68E8">
        <w:rPr>
          <w:rFonts w:ascii="Arial" w:hAnsi="Arial" w:cs="Arial"/>
        </w:rPr>
        <w:t>In summary, the landscape of legal aid in England and Wales has undergone significant changes over the years, influenced by legislation such as the Access to Justice Act 1999 and the Legal Aid, Sentencing, and Punishment of Offenders Act 2012. While these reforms aimed to streamline legal aid distribution and reduce costs, they also sparked disputes about access to justice and the potential consequences of reduced funding. The shift towards means-tested qualifying standards and the narrowing scope of legal aid have raised concerns about marginalised people facing difficulties in accessing the judicial system. Furthermore, the impact of these changes extends beyond financial concerns, affecting both the Ministry's workload and the broader social expenses associated with unresolved legal matters.</w:t>
      </w:r>
    </w:p>
    <w:p w14:paraId="3487387E" w14:textId="77777777" w:rsidR="00563B2A" w:rsidRDefault="00563B2A" w:rsidP="007E68E8">
      <w:pPr>
        <w:spacing w:line="360" w:lineRule="auto"/>
        <w:rPr>
          <w:rFonts w:ascii="Arial" w:hAnsi="Arial" w:cs="Arial"/>
        </w:rPr>
      </w:pPr>
    </w:p>
    <w:p w14:paraId="053E07BB" w14:textId="77777777" w:rsidR="00563B2A" w:rsidRDefault="00563B2A" w:rsidP="007E68E8">
      <w:pPr>
        <w:spacing w:line="360" w:lineRule="auto"/>
        <w:rPr>
          <w:rFonts w:ascii="Arial" w:hAnsi="Arial" w:cs="Arial"/>
        </w:rPr>
      </w:pPr>
    </w:p>
    <w:p w14:paraId="2436D919" w14:textId="77777777" w:rsidR="00563B2A" w:rsidRDefault="00563B2A" w:rsidP="007E68E8">
      <w:pPr>
        <w:spacing w:line="360" w:lineRule="auto"/>
        <w:rPr>
          <w:rFonts w:ascii="Arial" w:hAnsi="Arial" w:cs="Arial"/>
        </w:rPr>
      </w:pPr>
    </w:p>
    <w:p w14:paraId="372A3527" w14:textId="77777777" w:rsidR="00563B2A" w:rsidRDefault="00563B2A" w:rsidP="007E68E8">
      <w:pPr>
        <w:spacing w:line="360" w:lineRule="auto"/>
        <w:rPr>
          <w:rFonts w:ascii="Arial" w:hAnsi="Arial" w:cs="Arial"/>
        </w:rPr>
      </w:pPr>
    </w:p>
    <w:p w14:paraId="3C6E5B0E" w14:textId="77777777" w:rsidR="00563B2A" w:rsidRDefault="00563B2A" w:rsidP="007E68E8">
      <w:pPr>
        <w:spacing w:line="360" w:lineRule="auto"/>
        <w:rPr>
          <w:rFonts w:ascii="Arial" w:hAnsi="Arial" w:cs="Arial"/>
        </w:rPr>
      </w:pPr>
    </w:p>
    <w:p w14:paraId="74E39ADC" w14:textId="77777777" w:rsidR="00563B2A" w:rsidRDefault="00563B2A" w:rsidP="007E68E8">
      <w:pPr>
        <w:spacing w:line="360" w:lineRule="auto"/>
        <w:rPr>
          <w:rFonts w:ascii="Arial" w:hAnsi="Arial" w:cs="Arial"/>
        </w:rPr>
      </w:pPr>
    </w:p>
    <w:p w14:paraId="7EE44E71" w14:textId="77777777" w:rsidR="00563B2A" w:rsidRDefault="00563B2A" w:rsidP="007E68E8">
      <w:pPr>
        <w:spacing w:line="360" w:lineRule="auto"/>
        <w:rPr>
          <w:rFonts w:ascii="Arial" w:hAnsi="Arial" w:cs="Arial"/>
        </w:rPr>
      </w:pPr>
    </w:p>
    <w:p w14:paraId="1F9A4225" w14:textId="77777777" w:rsidR="003F511A" w:rsidRDefault="003F511A">
      <w:pPr>
        <w:rPr>
          <w:rFonts w:ascii="Arial" w:hAnsi="Arial" w:cs="Arial"/>
        </w:rPr>
      </w:pPr>
    </w:p>
    <w:p w14:paraId="1E52A4E5" w14:textId="6EC8921D" w:rsidR="00F9130D" w:rsidRPr="006E7E6A" w:rsidRDefault="00F9130D">
      <w:pPr>
        <w:rPr>
          <w:rFonts w:ascii="Arial" w:hAnsi="Arial" w:cs="Arial"/>
        </w:rPr>
      </w:pPr>
      <w:r w:rsidRPr="00C52F7B">
        <w:rPr>
          <w:rFonts w:ascii="Arial" w:hAnsi="Arial" w:cs="Arial"/>
          <w:b/>
          <w:bCs/>
          <w:sz w:val="24"/>
          <w:szCs w:val="24"/>
          <w:u w:val="single"/>
        </w:rPr>
        <w:lastRenderedPageBreak/>
        <w:t xml:space="preserve">Reference List </w:t>
      </w:r>
    </w:p>
    <w:p w14:paraId="6075B0A1" w14:textId="77777777" w:rsidR="006E7E6A" w:rsidRPr="00C52F7B" w:rsidRDefault="006E7E6A">
      <w:pPr>
        <w:rPr>
          <w:rFonts w:ascii="Arial" w:hAnsi="Arial" w:cs="Arial"/>
          <w:b/>
          <w:bCs/>
          <w:sz w:val="24"/>
          <w:szCs w:val="24"/>
          <w:u w:val="single"/>
        </w:rPr>
      </w:pPr>
    </w:p>
    <w:p w14:paraId="3843DEB1" w14:textId="27A70B1F" w:rsidR="004F0236" w:rsidRDefault="004F0236" w:rsidP="00C60E7E">
      <w:pPr>
        <w:spacing w:line="360" w:lineRule="auto"/>
        <w:rPr>
          <w:rFonts w:ascii="Arial" w:hAnsi="Arial" w:cs="Arial"/>
        </w:rPr>
      </w:pPr>
      <w:r w:rsidRPr="008A4925">
        <w:rPr>
          <w:rFonts w:ascii="Arial" w:hAnsi="Arial" w:cs="Arial"/>
        </w:rPr>
        <w:t>Allbon, E. (2020). English Legal System. Pearson Education.</w:t>
      </w:r>
    </w:p>
    <w:p w14:paraId="3424AF91" w14:textId="77777777" w:rsidR="00563B2A" w:rsidRDefault="00563B2A" w:rsidP="00C60E7E">
      <w:pPr>
        <w:spacing w:line="360" w:lineRule="auto"/>
        <w:rPr>
          <w:rFonts w:ascii="Arial" w:hAnsi="Arial" w:cs="Arial"/>
        </w:rPr>
      </w:pPr>
    </w:p>
    <w:p w14:paraId="25DEFF73" w14:textId="77777777" w:rsidR="00563B2A" w:rsidRDefault="00563B2A" w:rsidP="00C60E7E">
      <w:pPr>
        <w:spacing w:line="360" w:lineRule="auto"/>
        <w:rPr>
          <w:rFonts w:ascii="Arial" w:hAnsi="Arial" w:cs="Arial"/>
        </w:rPr>
      </w:pPr>
      <w:r>
        <w:rPr>
          <w:rFonts w:ascii="Arial" w:hAnsi="Arial" w:cs="Arial"/>
        </w:rPr>
        <w:t xml:space="preserve">House of Commons Library (2024). </w:t>
      </w:r>
      <w:r w:rsidRPr="00D406CB">
        <w:rPr>
          <w:rFonts w:ascii="Arial" w:hAnsi="Arial" w:cs="Arial"/>
          <w:i/>
          <w:iCs/>
        </w:rPr>
        <w:t>‘Civil Legal Aid’</w:t>
      </w:r>
      <w:r>
        <w:rPr>
          <w:rFonts w:ascii="Arial" w:hAnsi="Arial" w:cs="Arial"/>
        </w:rPr>
        <w:t xml:space="preserve">. Available at: </w:t>
      </w:r>
      <w:hyperlink r:id="rId6" w:history="1">
        <w:r w:rsidRPr="00142A97">
          <w:rPr>
            <w:rStyle w:val="Hyperlink"/>
            <w:rFonts w:ascii="Arial" w:hAnsi="Arial" w:cs="Arial"/>
          </w:rPr>
          <w:t>https://commonslibrary.parliament.uk/civil-legal-aid/</w:t>
        </w:r>
      </w:hyperlink>
      <w:r>
        <w:rPr>
          <w:rFonts w:ascii="Arial" w:hAnsi="Arial" w:cs="Arial"/>
        </w:rPr>
        <w:t xml:space="preserve">. (Accessed on: 4 April 2024). </w:t>
      </w:r>
    </w:p>
    <w:p w14:paraId="2D04CC3C" w14:textId="77777777" w:rsidR="00563B2A" w:rsidRDefault="00563B2A" w:rsidP="00C60E7E">
      <w:pPr>
        <w:spacing w:line="360" w:lineRule="auto"/>
        <w:rPr>
          <w:rFonts w:ascii="Arial" w:hAnsi="Arial" w:cs="Arial"/>
        </w:rPr>
      </w:pPr>
    </w:p>
    <w:p w14:paraId="1C28FBAB" w14:textId="77777777" w:rsidR="00563B2A" w:rsidRDefault="00563B2A" w:rsidP="00C60E7E">
      <w:pPr>
        <w:spacing w:line="360" w:lineRule="auto"/>
        <w:rPr>
          <w:rFonts w:ascii="Arial" w:hAnsi="Arial" w:cs="Arial"/>
          <w:i/>
          <w:iCs/>
        </w:rPr>
      </w:pPr>
      <w:r w:rsidRPr="008A4925">
        <w:rPr>
          <w:rFonts w:ascii="Arial" w:hAnsi="Arial" w:cs="Arial"/>
        </w:rPr>
        <w:t xml:space="preserve">Law Society (2024) </w:t>
      </w:r>
      <w:r w:rsidRPr="008A4925">
        <w:rPr>
          <w:rFonts w:ascii="Arial" w:hAnsi="Arial" w:cs="Arial"/>
          <w:i/>
          <w:iCs/>
        </w:rPr>
        <w:t>‘LASPO Act’</w:t>
      </w:r>
      <w:r>
        <w:rPr>
          <w:rFonts w:ascii="Arial" w:hAnsi="Arial" w:cs="Arial"/>
          <w:i/>
          <w:iCs/>
        </w:rPr>
        <w:t xml:space="preserve">. </w:t>
      </w:r>
      <w:r w:rsidRPr="00BA39A8">
        <w:rPr>
          <w:rFonts w:ascii="Arial" w:hAnsi="Arial" w:cs="Arial"/>
        </w:rPr>
        <w:t>Available at:</w:t>
      </w:r>
      <w:r>
        <w:rPr>
          <w:rFonts w:ascii="Arial" w:hAnsi="Arial" w:cs="Arial"/>
        </w:rPr>
        <w:t xml:space="preserve"> </w:t>
      </w:r>
      <w:hyperlink r:id="rId7" w:history="1">
        <w:r>
          <w:rPr>
            <w:rStyle w:val="Hyperlink"/>
          </w:rPr>
          <w:t>LASPO Act | The Law Society</w:t>
        </w:r>
      </w:hyperlink>
      <w:r>
        <w:t>.</w:t>
      </w:r>
      <w:r w:rsidRPr="00BA39A8">
        <w:rPr>
          <w:rFonts w:ascii="Arial" w:hAnsi="Arial" w:cs="Arial"/>
        </w:rPr>
        <w:t xml:space="preserve"> (Accessed: 3 April 2024).</w:t>
      </w:r>
      <w:r>
        <w:rPr>
          <w:rFonts w:ascii="Arial" w:hAnsi="Arial" w:cs="Arial"/>
          <w:i/>
          <w:iCs/>
        </w:rPr>
        <w:t xml:space="preserve"> </w:t>
      </w:r>
    </w:p>
    <w:p w14:paraId="65F075B4" w14:textId="77777777" w:rsidR="0050443B" w:rsidRPr="008A4925" w:rsidRDefault="0050443B" w:rsidP="00C60E7E">
      <w:pPr>
        <w:spacing w:line="360" w:lineRule="auto"/>
        <w:rPr>
          <w:rFonts w:ascii="Arial" w:hAnsi="Arial" w:cs="Arial"/>
        </w:rPr>
      </w:pPr>
    </w:p>
    <w:p w14:paraId="41141EAD" w14:textId="2E09325A" w:rsidR="0050443B" w:rsidRDefault="0050443B" w:rsidP="00C60E7E">
      <w:pPr>
        <w:spacing w:line="360" w:lineRule="auto"/>
        <w:rPr>
          <w:rFonts w:ascii="Arial" w:hAnsi="Arial" w:cs="Arial"/>
          <w:i/>
          <w:iCs/>
        </w:rPr>
      </w:pPr>
      <w:r w:rsidRPr="008A4925">
        <w:rPr>
          <w:rFonts w:ascii="Arial" w:hAnsi="Arial" w:cs="Arial"/>
        </w:rPr>
        <w:t xml:space="preserve">Law Society (2024) </w:t>
      </w:r>
      <w:r w:rsidRPr="008A4925">
        <w:rPr>
          <w:rFonts w:ascii="Arial" w:hAnsi="Arial" w:cs="Arial"/>
          <w:i/>
          <w:iCs/>
        </w:rPr>
        <w:t>‘</w:t>
      </w:r>
      <w:r w:rsidR="008A4925" w:rsidRPr="008A4925">
        <w:rPr>
          <w:rFonts w:ascii="Arial" w:hAnsi="Arial" w:cs="Arial"/>
          <w:i/>
          <w:iCs/>
        </w:rPr>
        <w:t>LASPO Act’</w:t>
      </w:r>
      <w:r w:rsidR="008A4925">
        <w:rPr>
          <w:rFonts w:ascii="Arial" w:hAnsi="Arial" w:cs="Arial"/>
          <w:i/>
          <w:iCs/>
        </w:rPr>
        <w:t xml:space="preserve">. </w:t>
      </w:r>
      <w:r w:rsidR="008A4925" w:rsidRPr="00BA39A8">
        <w:rPr>
          <w:rFonts w:ascii="Arial" w:hAnsi="Arial" w:cs="Arial"/>
        </w:rPr>
        <w:t>Available at:</w:t>
      </w:r>
      <w:r w:rsidR="00BA39A8">
        <w:rPr>
          <w:rFonts w:ascii="Arial" w:hAnsi="Arial" w:cs="Arial"/>
        </w:rPr>
        <w:t xml:space="preserve"> </w:t>
      </w:r>
      <w:hyperlink r:id="rId8" w:history="1">
        <w:r w:rsidR="00BA39A8">
          <w:rPr>
            <w:rStyle w:val="Hyperlink"/>
          </w:rPr>
          <w:t>LASPO Act | The Law Society</w:t>
        </w:r>
      </w:hyperlink>
      <w:r w:rsidR="00BA39A8">
        <w:t>.</w:t>
      </w:r>
      <w:r w:rsidR="008A4925" w:rsidRPr="00BA39A8">
        <w:rPr>
          <w:rFonts w:ascii="Arial" w:hAnsi="Arial" w:cs="Arial"/>
        </w:rPr>
        <w:t xml:space="preserve"> (Accessed:</w:t>
      </w:r>
      <w:r w:rsidR="00BA39A8" w:rsidRPr="00BA39A8">
        <w:rPr>
          <w:rFonts w:ascii="Arial" w:hAnsi="Arial" w:cs="Arial"/>
        </w:rPr>
        <w:t xml:space="preserve"> 3 April 2024).</w:t>
      </w:r>
      <w:r w:rsidR="00BA39A8">
        <w:rPr>
          <w:rFonts w:ascii="Arial" w:hAnsi="Arial" w:cs="Arial"/>
          <w:i/>
          <w:iCs/>
        </w:rPr>
        <w:t xml:space="preserve"> </w:t>
      </w:r>
    </w:p>
    <w:p w14:paraId="0530570A" w14:textId="77777777" w:rsidR="00563B2A" w:rsidRDefault="00563B2A" w:rsidP="00C60E7E">
      <w:pPr>
        <w:spacing w:line="360" w:lineRule="auto"/>
        <w:rPr>
          <w:rFonts w:ascii="Arial" w:hAnsi="Arial" w:cs="Arial"/>
          <w:i/>
          <w:iCs/>
        </w:rPr>
      </w:pPr>
    </w:p>
    <w:p w14:paraId="30EE3752" w14:textId="77777777" w:rsidR="00563B2A" w:rsidRDefault="00563B2A" w:rsidP="00C60E7E">
      <w:pPr>
        <w:spacing w:line="360" w:lineRule="auto"/>
        <w:rPr>
          <w:rFonts w:ascii="Arial" w:hAnsi="Arial" w:cs="Arial"/>
        </w:rPr>
      </w:pPr>
      <w:r w:rsidRPr="00880250">
        <w:rPr>
          <w:rFonts w:ascii="Arial" w:hAnsi="Arial" w:cs="Arial"/>
        </w:rPr>
        <w:t>Ministry of Justice (2014). ‘</w:t>
      </w:r>
      <w:r w:rsidRPr="00880250">
        <w:rPr>
          <w:rFonts w:ascii="Arial" w:hAnsi="Arial" w:cs="Arial"/>
          <w:i/>
          <w:iCs/>
        </w:rPr>
        <w:t xml:space="preserve">The Current Legal Aid Financial Eligibility Rules’. </w:t>
      </w:r>
      <w:r w:rsidRPr="00880250">
        <w:rPr>
          <w:rFonts w:ascii="Arial" w:hAnsi="Arial" w:cs="Arial"/>
        </w:rPr>
        <w:t xml:space="preserve">Available at: </w:t>
      </w:r>
      <w:hyperlink r:id="rId9" w:history="1">
        <w:r w:rsidRPr="00880250">
          <w:rPr>
            <w:rStyle w:val="Hyperlink"/>
            <w:rFonts w:ascii="Arial" w:hAnsi="Arial" w:cs="Arial"/>
          </w:rPr>
          <w:t>Annex C: The Current Legal Aid Financial Eligibility Rules – Summary (justice.gov.uk)</w:t>
        </w:r>
      </w:hyperlink>
      <w:r w:rsidRPr="00880250">
        <w:rPr>
          <w:rFonts w:ascii="Arial" w:hAnsi="Arial" w:cs="Arial"/>
        </w:rPr>
        <w:t>. (Accessed on: 4 April 2024)</w:t>
      </w:r>
    </w:p>
    <w:p w14:paraId="3772247A" w14:textId="77777777" w:rsidR="00563B2A" w:rsidRDefault="00563B2A" w:rsidP="00C60E7E">
      <w:pPr>
        <w:spacing w:line="360" w:lineRule="auto"/>
        <w:rPr>
          <w:rFonts w:ascii="Arial" w:hAnsi="Arial" w:cs="Arial"/>
          <w:i/>
          <w:iCs/>
        </w:rPr>
      </w:pPr>
    </w:p>
    <w:p w14:paraId="08143041" w14:textId="019E9A39" w:rsidR="007E68E8" w:rsidRDefault="007E68E8" w:rsidP="00C60E7E">
      <w:pPr>
        <w:spacing w:line="360" w:lineRule="auto"/>
      </w:pPr>
      <w:r>
        <w:rPr>
          <w:rFonts w:ascii="Arial" w:hAnsi="Arial" w:cs="Arial"/>
        </w:rPr>
        <w:t>National Audit Office (2014),</w:t>
      </w:r>
      <w:r w:rsidR="001A5417">
        <w:rPr>
          <w:rFonts w:ascii="Arial" w:hAnsi="Arial" w:cs="Arial"/>
        </w:rPr>
        <w:t xml:space="preserve"> ‘</w:t>
      </w:r>
      <w:r w:rsidR="001A5417" w:rsidRPr="001A5417">
        <w:rPr>
          <w:rFonts w:ascii="Arial" w:hAnsi="Arial" w:cs="Arial"/>
        </w:rPr>
        <w:t>Implementing reforms to civil legal aid</w:t>
      </w:r>
      <w:r w:rsidR="001A5417">
        <w:rPr>
          <w:rFonts w:ascii="Arial" w:hAnsi="Arial" w:cs="Arial"/>
        </w:rPr>
        <w:t xml:space="preserve">’. Available at: </w:t>
      </w:r>
      <w:hyperlink r:id="rId10" w:history="1">
        <w:r w:rsidR="00F05F0A">
          <w:rPr>
            <w:rStyle w:val="Hyperlink"/>
          </w:rPr>
          <w:t>Implementing-reforms-to-civil-legal-aid1.pdf (nao.org.uk)</w:t>
        </w:r>
      </w:hyperlink>
      <w:r w:rsidR="00F05F0A">
        <w:t>. (Accessed on: 4 April 2024)</w:t>
      </w:r>
    </w:p>
    <w:p w14:paraId="6B84D3A1" w14:textId="77777777" w:rsidR="00563B2A" w:rsidRDefault="00563B2A" w:rsidP="00C60E7E">
      <w:pPr>
        <w:spacing w:line="360" w:lineRule="auto"/>
      </w:pPr>
    </w:p>
    <w:p w14:paraId="3795EB6C" w14:textId="77777777" w:rsidR="00563B2A" w:rsidRDefault="00563B2A" w:rsidP="00C60E7E">
      <w:pPr>
        <w:spacing w:line="360" w:lineRule="auto"/>
        <w:rPr>
          <w:rFonts w:ascii="Arial" w:hAnsi="Arial" w:cs="Arial"/>
        </w:rPr>
      </w:pPr>
      <w:r w:rsidRPr="008A4925">
        <w:rPr>
          <w:rFonts w:ascii="Arial" w:hAnsi="Arial" w:cs="Arial"/>
        </w:rPr>
        <w:t>UK Government (2024</w:t>
      </w:r>
      <w:r w:rsidRPr="008A4925">
        <w:rPr>
          <w:rFonts w:ascii="Arial" w:hAnsi="Arial" w:cs="Arial"/>
          <w:i/>
          <w:iCs/>
        </w:rPr>
        <w:t>) ‘Legal aid’</w:t>
      </w:r>
      <w:r w:rsidRPr="008A4925">
        <w:rPr>
          <w:rFonts w:ascii="Arial" w:hAnsi="Arial" w:cs="Arial"/>
        </w:rPr>
        <w:t xml:space="preserve">. Available at: </w:t>
      </w:r>
      <w:hyperlink r:id="rId11" w:history="1">
        <w:r w:rsidRPr="008A4925">
          <w:rPr>
            <w:rStyle w:val="Hyperlink"/>
            <w:rFonts w:ascii="Arial" w:hAnsi="Arial" w:cs="Arial"/>
          </w:rPr>
          <w:t>Legal aid: Overview - GOV.UK (www.gov.uk)</w:t>
        </w:r>
      </w:hyperlink>
      <w:r w:rsidRPr="008A4925">
        <w:rPr>
          <w:rFonts w:ascii="Arial" w:hAnsi="Arial" w:cs="Arial"/>
        </w:rPr>
        <w:t xml:space="preserve">. (Accessed: 2 April 2024). </w:t>
      </w:r>
    </w:p>
    <w:p w14:paraId="10E2315B" w14:textId="77777777" w:rsidR="00563B2A" w:rsidRDefault="00563B2A" w:rsidP="00C60E7E">
      <w:pPr>
        <w:spacing w:line="360" w:lineRule="auto"/>
        <w:rPr>
          <w:rFonts w:ascii="Arial" w:hAnsi="Arial" w:cs="Arial"/>
        </w:rPr>
      </w:pPr>
    </w:p>
    <w:p w14:paraId="4462D999" w14:textId="77777777" w:rsidR="00563B2A" w:rsidRDefault="00563B2A" w:rsidP="00C60E7E">
      <w:pPr>
        <w:spacing w:line="360" w:lineRule="auto"/>
        <w:rPr>
          <w:rFonts w:ascii="Arial" w:hAnsi="Arial" w:cs="Arial"/>
        </w:rPr>
      </w:pPr>
      <w:r w:rsidRPr="008A4925">
        <w:rPr>
          <w:rFonts w:ascii="Arial" w:hAnsi="Arial" w:cs="Arial"/>
        </w:rPr>
        <w:t>UK Parliament (2024) ‘</w:t>
      </w:r>
      <w:r w:rsidRPr="008A4925">
        <w:rPr>
          <w:rFonts w:ascii="Arial" w:hAnsi="Arial" w:cs="Arial"/>
          <w:i/>
          <w:iCs/>
        </w:rPr>
        <w:t>Legal aid in England and Wales’</w:t>
      </w:r>
      <w:r w:rsidRPr="008A4925">
        <w:rPr>
          <w:rFonts w:ascii="Arial" w:hAnsi="Arial" w:cs="Arial"/>
        </w:rPr>
        <w:t xml:space="preserve">. Available at: </w:t>
      </w:r>
      <w:hyperlink r:id="rId12" w:history="1">
        <w:r w:rsidRPr="008A4925">
          <w:rPr>
            <w:rStyle w:val="Hyperlink"/>
            <w:rFonts w:ascii="Arial" w:hAnsi="Arial" w:cs="Arial"/>
          </w:rPr>
          <w:t>Civil Legal Aid (parliament.uk)</w:t>
        </w:r>
      </w:hyperlink>
      <w:r w:rsidRPr="008A4925">
        <w:rPr>
          <w:rFonts w:ascii="Arial" w:hAnsi="Arial" w:cs="Arial"/>
        </w:rPr>
        <w:t xml:space="preserve">. (Accessed: 2 April 2024). </w:t>
      </w:r>
    </w:p>
    <w:p w14:paraId="5C09EF4A" w14:textId="77777777" w:rsidR="00563B2A" w:rsidRDefault="00563B2A" w:rsidP="00C60E7E">
      <w:pPr>
        <w:spacing w:line="360" w:lineRule="auto"/>
        <w:rPr>
          <w:rFonts w:ascii="Arial" w:hAnsi="Arial" w:cs="Arial"/>
        </w:rPr>
      </w:pPr>
    </w:p>
    <w:p w14:paraId="5E17E9E9" w14:textId="1F42AD95" w:rsidR="00563B2A" w:rsidRPr="008A4925" w:rsidRDefault="00563B2A" w:rsidP="00C60E7E">
      <w:pPr>
        <w:spacing w:line="360" w:lineRule="auto"/>
        <w:rPr>
          <w:rFonts w:ascii="Arial" w:hAnsi="Arial" w:cs="Arial"/>
        </w:rPr>
      </w:pPr>
      <w:r w:rsidRPr="008A4925">
        <w:rPr>
          <w:rFonts w:ascii="Arial" w:hAnsi="Arial" w:cs="Arial"/>
        </w:rPr>
        <w:t xml:space="preserve">Wilson, S. et al., </w:t>
      </w:r>
      <w:r>
        <w:rPr>
          <w:rFonts w:ascii="Arial" w:hAnsi="Arial" w:cs="Arial"/>
        </w:rPr>
        <w:t>(</w:t>
      </w:r>
      <w:r w:rsidRPr="008A4925">
        <w:rPr>
          <w:rFonts w:ascii="Arial" w:hAnsi="Arial" w:cs="Arial"/>
        </w:rPr>
        <w:t>2020</w:t>
      </w:r>
      <w:r>
        <w:rPr>
          <w:rFonts w:ascii="Arial" w:hAnsi="Arial" w:cs="Arial"/>
        </w:rPr>
        <w:t>)</w:t>
      </w:r>
      <w:r w:rsidRPr="008A4925">
        <w:rPr>
          <w:rFonts w:ascii="Arial" w:hAnsi="Arial" w:cs="Arial"/>
        </w:rPr>
        <w:t>. English Legal System. 4th ed. Oxford: Oxford University Press.</w:t>
      </w:r>
    </w:p>
    <w:p w14:paraId="6452F899" w14:textId="77777777" w:rsidR="00563B2A" w:rsidRPr="00880250" w:rsidRDefault="00563B2A" w:rsidP="001A5417">
      <w:pPr>
        <w:rPr>
          <w:rFonts w:ascii="Arial" w:hAnsi="Arial" w:cs="Arial"/>
        </w:rPr>
      </w:pPr>
    </w:p>
    <w:sectPr w:rsidR="00563B2A" w:rsidRPr="00880250" w:rsidSect="00C60E7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B04207"/>
    <w:multiLevelType w:val="hybridMultilevel"/>
    <w:tmpl w:val="4FAE1A5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247032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7EB"/>
    <w:rsid w:val="00052F05"/>
    <w:rsid w:val="000921B2"/>
    <w:rsid w:val="000C0BB5"/>
    <w:rsid w:val="000C1F79"/>
    <w:rsid w:val="00176DD2"/>
    <w:rsid w:val="001A5417"/>
    <w:rsid w:val="00217FE7"/>
    <w:rsid w:val="00283BFF"/>
    <w:rsid w:val="002B758D"/>
    <w:rsid w:val="002C3E41"/>
    <w:rsid w:val="002C75AD"/>
    <w:rsid w:val="002D09C9"/>
    <w:rsid w:val="002E5753"/>
    <w:rsid w:val="0031226D"/>
    <w:rsid w:val="003237C2"/>
    <w:rsid w:val="003725B1"/>
    <w:rsid w:val="003F49CB"/>
    <w:rsid w:val="003F511A"/>
    <w:rsid w:val="004318F9"/>
    <w:rsid w:val="004920FC"/>
    <w:rsid w:val="004F0236"/>
    <w:rsid w:val="0050443B"/>
    <w:rsid w:val="005053B7"/>
    <w:rsid w:val="00522A5C"/>
    <w:rsid w:val="00552117"/>
    <w:rsid w:val="00563B2A"/>
    <w:rsid w:val="00591EDF"/>
    <w:rsid w:val="005F16BB"/>
    <w:rsid w:val="0060260A"/>
    <w:rsid w:val="0062794C"/>
    <w:rsid w:val="00651C5F"/>
    <w:rsid w:val="006C4C45"/>
    <w:rsid w:val="006E7E6A"/>
    <w:rsid w:val="0076587C"/>
    <w:rsid w:val="007E68E8"/>
    <w:rsid w:val="007F6A72"/>
    <w:rsid w:val="0080120F"/>
    <w:rsid w:val="00831728"/>
    <w:rsid w:val="00880250"/>
    <w:rsid w:val="00885638"/>
    <w:rsid w:val="008A1352"/>
    <w:rsid w:val="008A4925"/>
    <w:rsid w:val="008C001C"/>
    <w:rsid w:val="008F617E"/>
    <w:rsid w:val="0099741C"/>
    <w:rsid w:val="009C06EB"/>
    <w:rsid w:val="00A32FFD"/>
    <w:rsid w:val="00B068DB"/>
    <w:rsid w:val="00BA39A8"/>
    <w:rsid w:val="00BC16DF"/>
    <w:rsid w:val="00BE6A25"/>
    <w:rsid w:val="00C0289D"/>
    <w:rsid w:val="00C038F6"/>
    <w:rsid w:val="00C52F7B"/>
    <w:rsid w:val="00C60E7E"/>
    <w:rsid w:val="00C719EC"/>
    <w:rsid w:val="00C9332E"/>
    <w:rsid w:val="00CD7527"/>
    <w:rsid w:val="00D0650C"/>
    <w:rsid w:val="00D159BB"/>
    <w:rsid w:val="00D2432A"/>
    <w:rsid w:val="00D406CB"/>
    <w:rsid w:val="00D50074"/>
    <w:rsid w:val="00DF47EB"/>
    <w:rsid w:val="00E0302A"/>
    <w:rsid w:val="00E14B22"/>
    <w:rsid w:val="00E80459"/>
    <w:rsid w:val="00EB4A3E"/>
    <w:rsid w:val="00EF4F5C"/>
    <w:rsid w:val="00F05F0A"/>
    <w:rsid w:val="00F20D18"/>
    <w:rsid w:val="00F7414D"/>
    <w:rsid w:val="00F9130D"/>
    <w:rsid w:val="00FC5D58"/>
    <w:rsid w:val="00FD3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D3825"/>
  <w15:chartTrackingRefBased/>
  <w15:docId w15:val="{6D7C557B-C1BA-415B-BAC4-D28351FCE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7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47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47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47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47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47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47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47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47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7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47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47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47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47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47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47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47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47EB"/>
    <w:rPr>
      <w:rFonts w:eastAsiaTheme="majorEastAsia" w:cstheme="majorBidi"/>
      <w:color w:val="272727" w:themeColor="text1" w:themeTint="D8"/>
    </w:rPr>
  </w:style>
  <w:style w:type="paragraph" w:styleId="Title">
    <w:name w:val="Title"/>
    <w:basedOn w:val="Normal"/>
    <w:next w:val="Normal"/>
    <w:link w:val="TitleChar"/>
    <w:uiPriority w:val="10"/>
    <w:qFormat/>
    <w:rsid w:val="00DF47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47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47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47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7EB"/>
    <w:pPr>
      <w:spacing w:before="160"/>
      <w:jc w:val="center"/>
    </w:pPr>
    <w:rPr>
      <w:i/>
      <w:iCs/>
      <w:color w:val="404040" w:themeColor="text1" w:themeTint="BF"/>
    </w:rPr>
  </w:style>
  <w:style w:type="character" w:customStyle="1" w:styleId="QuoteChar">
    <w:name w:val="Quote Char"/>
    <w:basedOn w:val="DefaultParagraphFont"/>
    <w:link w:val="Quote"/>
    <w:uiPriority w:val="29"/>
    <w:rsid w:val="00DF47EB"/>
    <w:rPr>
      <w:i/>
      <w:iCs/>
      <w:color w:val="404040" w:themeColor="text1" w:themeTint="BF"/>
    </w:rPr>
  </w:style>
  <w:style w:type="paragraph" w:styleId="ListParagraph">
    <w:name w:val="List Paragraph"/>
    <w:basedOn w:val="Normal"/>
    <w:uiPriority w:val="34"/>
    <w:qFormat/>
    <w:rsid w:val="00DF47EB"/>
    <w:pPr>
      <w:ind w:left="720"/>
      <w:contextualSpacing/>
    </w:pPr>
  </w:style>
  <w:style w:type="character" w:styleId="IntenseEmphasis">
    <w:name w:val="Intense Emphasis"/>
    <w:basedOn w:val="DefaultParagraphFont"/>
    <w:uiPriority w:val="21"/>
    <w:qFormat/>
    <w:rsid w:val="00DF47EB"/>
    <w:rPr>
      <w:i/>
      <w:iCs/>
      <w:color w:val="0F4761" w:themeColor="accent1" w:themeShade="BF"/>
    </w:rPr>
  </w:style>
  <w:style w:type="paragraph" w:styleId="IntenseQuote">
    <w:name w:val="Intense Quote"/>
    <w:basedOn w:val="Normal"/>
    <w:next w:val="Normal"/>
    <w:link w:val="IntenseQuoteChar"/>
    <w:uiPriority w:val="30"/>
    <w:qFormat/>
    <w:rsid w:val="00DF47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47EB"/>
    <w:rPr>
      <w:i/>
      <w:iCs/>
      <w:color w:val="0F4761" w:themeColor="accent1" w:themeShade="BF"/>
    </w:rPr>
  </w:style>
  <w:style w:type="character" w:styleId="IntenseReference">
    <w:name w:val="Intense Reference"/>
    <w:basedOn w:val="DefaultParagraphFont"/>
    <w:uiPriority w:val="32"/>
    <w:qFormat/>
    <w:rsid w:val="00DF47EB"/>
    <w:rPr>
      <w:b/>
      <w:bCs/>
      <w:smallCaps/>
      <w:color w:val="0F4761" w:themeColor="accent1" w:themeShade="BF"/>
      <w:spacing w:val="5"/>
    </w:rPr>
  </w:style>
  <w:style w:type="paragraph" w:styleId="NormalWeb">
    <w:name w:val="Normal (Web)"/>
    <w:basedOn w:val="Normal"/>
    <w:uiPriority w:val="99"/>
    <w:semiHidden/>
    <w:unhideWhenUsed/>
    <w:rsid w:val="00F913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52F7B"/>
    <w:rPr>
      <w:color w:val="0000FF"/>
      <w:u w:val="single"/>
    </w:rPr>
  </w:style>
  <w:style w:type="character" w:styleId="CommentReference">
    <w:name w:val="annotation reference"/>
    <w:basedOn w:val="DefaultParagraphFont"/>
    <w:uiPriority w:val="99"/>
    <w:semiHidden/>
    <w:unhideWhenUsed/>
    <w:rsid w:val="005053B7"/>
    <w:rPr>
      <w:sz w:val="16"/>
      <w:szCs w:val="16"/>
    </w:rPr>
  </w:style>
  <w:style w:type="paragraph" w:styleId="CommentText">
    <w:name w:val="annotation text"/>
    <w:basedOn w:val="Normal"/>
    <w:link w:val="CommentTextChar"/>
    <w:uiPriority w:val="99"/>
    <w:unhideWhenUsed/>
    <w:rsid w:val="005053B7"/>
    <w:pPr>
      <w:spacing w:line="240" w:lineRule="auto"/>
    </w:pPr>
    <w:rPr>
      <w:sz w:val="20"/>
      <w:szCs w:val="20"/>
    </w:rPr>
  </w:style>
  <w:style w:type="character" w:customStyle="1" w:styleId="CommentTextChar">
    <w:name w:val="Comment Text Char"/>
    <w:basedOn w:val="DefaultParagraphFont"/>
    <w:link w:val="CommentText"/>
    <w:uiPriority w:val="99"/>
    <w:rsid w:val="005053B7"/>
    <w:rPr>
      <w:sz w:val="20"/>
      <w:szCs w:val="20"/>
    </w:rPr>
  </w:style>
  <w:style w:type="paragraph" w:styleId="CommentSubject">
    <w:name w:val="annotation subject"/>
    <w:basedOn w:val="CommentText"/>
    <w:next w:val="CommentText"/>
    <w:link w:val="CommentSubjectChar"/>
    <w:uiPriority w:val="99"/>
    <w:semiHidden/>
    <w:unhideWhenUsed/>
    <w:rsid w:val="005053B7"/>
    <w:rPr>
      <w:b/>
      <w:bCs/>
    </w:rPr>
  </w:style>
  <w:style w:type="character" w:customStyle="1" w:styleId="CommentSubjectChar">
    <w:name w:val="Comment Subject Char"/>
    <w:basedOn w:val="CommentTextChar"/>
    <w:link w:val="CommentSubject"/>
    <w:uiPriority w:val="99"/>
    <w:semiHidden/>
    <w:rsid w:val="005053B7"/>
    <w:rPr>
      <w:b/>
      <w:bCs/>
      <w:sz w:val="20"/>
      <w:szCs w:val="20"/>
    </w:rPr>
  </w:style>
  <w:style w:type="character" w:styleId="UnresolvedMention">
    <w:name w:val="Unresolved Mention"/>
    <w:basedOn w:val="DefaultParagraphFont"/>
    <w:uiPriority w:val="99"/>
    <w:semiHidden/>
    <w:unhideWhenUsed/>
    <w:rsid w:val="00D406CB"/>
    <w:rPr>
      <w:color w:val="605E5C"/>
      <w:shd w:val="clear" w:color="auto" w:fill="E1DFDD"/>
    </w:rPr>
  </w:style>
  <w:style w:type="paragraph" w:styleId="NoSpacing">
    <w:name w:val="No Spacing"/>
    <w:link w:val="NoSpacingChar"/>
    <w:uiPriority w:val="1"/>
    <w:qFormat/>
    <w:rsid w:val="00C60E7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60E7E"/>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0839777">
      <w:bodyDiv w:val="1"/>
      <w:marLeft w:val="0"/>
      <w:marRight w:val="0"/>
      <w:marTop w:val="0"/>
      <w:marBottom w:val="0"/>
      <w:divBdr>
        <w:top w:val="none" w:sz="0" w:space="0" w:color="auto"/>
        <w:left w:val="none" w:sz="0" w:space="0" w:color="auto"/>
        <w:bottom w:val="none" w:sz="0" w:space="0" w:color="auto"/>
        <w:right w:val="none" w:sz="0" w:space="0" w:color="auto"/>
      </w:divBdr>
      <w:divsChild>
        <w:div w:id="1027758514">
          <w:marLeft w:val="0"/>
          <w:marRight w:val="0"/>
          <w:marTop w:val="0"/>
          <w:marBottom w:val="0"/>
          <w:divBdr>
            <w:top w:val="single" w:sz="2" w:space="0" w:color="E3E3E3"/>
            <w:left w:val="single" w:sz="2" w:space="0" w:color="E3E3E3"/>
            <w:bottom w:val="single" w:sz="2" w:space="0" w:color="E3E3E3"/>
            <w:right w:val="single" w:sz="2" w:space="0" w:color="E3E3E3"/>
          </w:divBdr>
          <w:divsChild>
            <w:div w:id="1785229104">
              <w:marLeft w:val="0"/>
              <w:marRight w:val="0"/>
              <w:marTop w:val="0"/>
              <w:marBottom w:val="0"/>
              <w:divBdr>
                <w:top w:val="single" w:sz="2" w:space="0" w:color="E3E3E3"/>
                <w:left w:val="single" w:sz="2" w:space="0" w:color="E3E3E3"/>
                <w:bottom w:val="single" w:sz="2" w:space="0" w:color="E3E3E3"/>
                <w:right w:val="single" w:sz="2" w:space="0" w:color="E3E3E3"/>
              </w:divBdr>
              <w:divsChild>
                <w:div w:id="1969434213">
                  <w:marLeft w:val="0"/>
                  <w:marRight w:val="0"/>
                  <w:marTop w:val="0"/>
                  <w:marBottom w:val="0"/>
                  <w:divBdr>
                    <w:top w:val="single" w:sz="2" w:space="0" w:color="E3E3E3"/>
                    <w:left w:val="single" w:sz="2" w:space="0" w:color="E3E3E3"/>
                    <w:bottom w:val="single" w:sz="2" w:space="0" w:color="E3E3E3"/>
                    <w:right w:val="single" w:sz="2" w:space="0" w:color="E3E3E3"/>
                  </w:divBdr>
                  <w:divsChild>
                    <w:div w:id="1589071500">
                      <w:marLeft w:val="0"/>
                      <w:marRight w:val="0"/>
                      <w:marTop w:val="0"/>
                      <w:marBottom w:val="0"/>
                      <w:divBdr>
                        <w:top w:val="single" w:sz="2" w:space="0" w:color="E3E3E3"/>
                        <w:left w:val="single" w:sz="2" w:space="0" w:color="E3E3E3"/>
                        <w:bottom w:val="single" w:sz="2" w:space="0" w:color="E3E3E3"/>
                        <w:right w:val="single" w:sz="2" w:space="0" w:color="E3E3E3"/>
                      </w:divBdr>
                      <w:divsChild>
                        <w:div w:id="1272662007">
                          <w:marLeft w:val="0"/>
                          <w:marRight w:val="0"/>
                          <w:marTop w:val="0"/>
                          <w:marBottom w:val="0"/>
                          <w:divBdr>
                            <w:top w:val="single" w:sz="2" w:space="0" w:color="E3E3E3"/>
                            <w:left w:val="single" w:sz="2" w:space="0" w:color="E3E3E3"/>
                            <w:bottom w:val="single" w:sz="2" w:space="0" w:color="E3E3E3"/>
                            <w:right w:val="single" w:sz="2" w:space="0" w:color="E3E3E3"/>
                          </w:divBdr>
                          <w:divsChild>
                            <w:div w:id="1114521409">
                              <w:marLeft w:val="0"/>
                              <w:marRight w:val="0"/>
                              <w:marTop w:val="0"/>
                              <w:marBottom w:val="0"/>
                              <w:divBdr>
                                <w:top w:val="single" w:sz="2" w:space="0" w:color="E3E3E3"/>
                                <w:left w:val="single" w:sz="2" w:space="0" w:color="E3E3E3"/>
                                <w:bottom w:val="single" w:sz="2" w:space="0" w:color="E3E3E3"/>
                                <w:right w:val="single" w:sz="2" w:space="0" w:color="E3E3E3"/>
                              </w:divBdr>
                              <w:divsChild>
                                <w:div w:id="559290835">
                                  <w:marLeft w:val="0"/>
                                  <w:marRight w:val="0"/>
                                  <w:marTop w:val="100"/>
                                  <w:marBottom w:val="100"/>
                                  <w:divBdr>
                                    <w:top w:val="single" w:sz="2" w:space="0" w:color="E3E3E3"/>
                                    <w:left w:val="single" w:sz="2" w:space="0" w:color="E3E3E3"/>
                                    <w:bottom w:val="single" w:sz="2" w:space="0" w:color="E3E3E3"/>
                                    <w:right w:val="single" w:sz="2" w:space="0" w:color="E3E3E3"/>
                                  </w:divBdr>
                                  <w:divsChild>
                                    <w:div w:id="767426924">
                                      <w:marLeft w:val="0"/>
                                      <w:marRight w:val="0"/>
                                      <w:marTop w:val="0"/>
                                      <w:marBottom w:val="0"/>
                                      <w:divBdr>
                                        <w:top w:val="single" w:sz="2" w:space="0" w:color="E3E3E3"/>
                                        <w:left w:val="single" w:sz="2" w:space="0" w:color="E3E3E3"/>
                                        <w:bottom w:val="single" w:sz="2" w:space="0" w:color="E3E3E3"/>
                                        <w:right w:val="single" w:sz="2" w:space="0" w:color="E3E3E3"/>
                                      </w:divBdr>
                                      <w:divsChild>
                                        <w:div w:id="1172720019">
                                          <w:marLeft w:val="0"/>
                                          <w:marRight w:val="0"/>
                                          <w:marTop w:val="0"/>
                                          <w:marBottom w:val="0"/>
                                          <w:divBdr>
                                            <w:top w:val="single" w:sz="2" w:space="0" w:color="E3E3E3"/>
                                            <w:left w:val="single" w:sz="2" w:space="0" w:color="E3E3E3"/>
                                            <w:bottom w:val="single" w:sz="2" w:space="0" w:color="E3E3E3"/>
                                            <w:right w:val="single" w:sz="2" w:space="0" w:color="E3E3E3"/>
                                          </w:divBdr>
                                          <w:divsChild>
                                            <w:div w:id="400443148">
                                              <w:marLeft w:val="0"/>
                                              <w:marRight w:val="0"/>
                                              <w:marTop w:val="0"/>
                                              <w:marBottom w:val="0"/>
                                              <w:divBdr>
                                                <w:top w:val="single" w:sz="2" w:space="0" w:color="E3E3E3"/>
                                                <w:left w:val="single" w:sz="2" w:space="0" w:color="E3E3E3"/>
                                                <w:bottom w:val="single" w:sz="2" w:space="0" w:color="E3E3E3"/>
                                                <w:right w:val="single" w:sz="2" w:space="0" w:color="E3E3E3"/>
                                              </w:divBdr>
                                              <w:divsChild>
                                                <w:div w:id="1691881544">
                                                  <w:marLeft w:val="0"/>
                                                  <w:marRight w:val="0"/>
                                                  <w:marTop w:val="0"/>
                                                  <w:marBottom w:val="0"/>
                                                  <w:divBdr>
                                                    <w:top w:val="single" w:sz="2" w:space="0" w:color="E3E3E3"/>
                                                    <w:left w:val="single" w:sz="2" w:space="0" w:color="E3E3E3"/>
                                                    <w:bottom w:val="single" w:sz="2" w:space="0" w:color="E3E3E3"/>
                                                    <w:right w:val="single" w:sz="2" w:space="0" w:color="E3E3E3"/>
                                                  </w:divBdr>
                                                  <w:divsChild>
                                                    <w:div w:id="251472882">
                                                      <w:marLeft w:val="0"/>
                                                      <w:marRight w:val="0"/>
                                                      <w:marTop w:val="0"/>
                                                      <w:marBottom w:val="0"/>
                                                      <w:divBdr>
                                                        <w:top w:val="single" w:sz="2" w:space="0" w:color="E3E3E3"/>
                                                        <w:left w:val="single" w:sz="2" w:space="0" w:color="E3E3E3"/>
                                                        <w:bottom w:val="single" w:sz="2" w:space="0" w:color="E3E3E3"/>
                                                        <w:right w:val="single" w:sz="2" w:space="0" w:color="E3E3E3"/>
                                                      </w:divBdr>
                                                      <w:divsChild>
                                                        <w:div w:id="16654717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20571251">
          <w:marLeft w:val="0"/>
          <w:marRight w:val="0"/>
          <w:marTop w:val="0"/>
          <w:marBottom w:val="0"/>
          <w:divBdr>
            <w:top w:val="none" w:sz="0" w:space="0" w:color="auto"/>
            <w:left w:val="none" w:sz="0" w:space="0" w:color="auto"/>
            <w:bottom w:val="none" w:sz="0" w:space="0" w:color="auto"/>
            <w:right w:val="none" w:sz="0" w:space="0" w:color="auto"/>
          </w:divBdr>
        </w:div>
      </w:divsChild>
    </w:div>
    <w:div w:id="701395279">
      <w:bodyDiv w:val="1"/>
      <w:marLeft w:val="0"/>
      <w:marRight w:val="0"/>
      <w:marTop w:val="0"/>
      <w:marBottom w:val="0"/>
      <w:divBdr>
        <w:top w:val="none" w:sz="0" w:space="0" w:color="auto"/>
        <w:left w:val="none" w:sz="0" w:space="0" w:color="auto"/>
        <w:bottom w:val="none" w:sz="0" w:space="0" w:color="auto"/>
        <w:right w:val="none" w:sz="0" w:space="0" w:color="auto"/>
      </w:divBdr>
    </w:div>
    <w:div w:id="937057831">
      <w:bodyDiv w:val="1"/>
      <w:marLeft w:val="0"/>
      <w:marRight w:val="0"/>
      <w:marTop w:val="0"/>
      <w:marBottom w:val="0"/>
      <w:divBdr>
        <w:top w:val="none" w:sz="0" w:space="0" w:color="auto"/>
        <w:left w:val="none" w:sz="0" w:space="0" w:color="auto"/>
        <w:bottom w:val="none" w:sz="0" w:space="0" w:color="auto"/>
        <w:right w:val="none" w:sz="0" w:space="0" w:color="auto"/>
      </w:divBdr>
    </w:div>
    <w:div w:id="1305162822">
      <w:bodyDiv w:val="1"/>
      <w:marLeft w:val="0"/>
      <w:marRight w:val="0"/>
      <w:marTop w:val="0"/>
      <w:marBottom w:val="0"/>
      <w:divBdr>
        <w:top w:val="none" w:sz="0" w:space="0" w:color="auto"/>
        <w:left w:val="none" w:sz="0" w:space="0" w:color="auto"/>
        <w:bottom w:val="none" w:sz="0" w:space="0" w:color="auto"/>
        <w:right w:val="none" w:sz="0" w:space="0" w:color="auto"/>
      </w:divBdr>
    </w:div>
    <w:div w:id="214650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society.org.uk/topics/legal-aid/laspo-ac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lawsociety.org.uk/topics/legal-aid/laspo-act" TargetMode="External"/><Relationship Id="rId12" Type="http://schemas.openxmlformats.org/officeDocument/2006/relationships/hyperlink" Target="https://commonslibrary.parliament.uk/civil-legal-ai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mmonslibrary.parliament.uk/civil-legal-aid/" TargetMode="External"/><Relationship Id="rId11" Type="http://schemas.openxmlformats.org/officeDocument/2006/relationships/hyperlink" Target="https://www.gov.uk/legal-aid" TargetMode="External"/><Relationship Id="rId5" Type="http://schemas.openxmlformats.org/officeDocument/2006/relationships/webSettings" Target="webSettings.xml"/><Relationship Id="rId10" Type="http://schemas.openxmlformats.org/officeDocument/2006/relationships/hyperlink" Target="https://www.nao.org.uk/wp-content/uploads/2014/11/Implementing-reforms-to-civil-legal-aid1.pdf" TargetMode="External"/><Relationship Id="rId4" Type="http://schemas.openxmlformats.org/officeDocument/2006/relationships/settings" Target="settings.xml"/><Relationship Id="rId9" Type="http://schemas.openxmlformats.org/officeDocument/2006/relationships/hyperlink" Target="https://consult.justice.gov.uk/digital-communications/legal-aid-eligibility-and-universal-credit/supporting_documents/annexcsummaryofcurrentlegalaidfinancialeligibilityrule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1CD75-A952-412F-BD8A-B874B824C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5</Pages>
  <Words>1063</Words>
  <Characters>6064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Civil Justice system</dc:title>
  <dc:subject/>
  <dc:creator>Ffion Jones</dc:creator>
  <cp:keywords/>
  <dc:description/>
  <cp:lastModifiedBy>Ffion Jones</cp:lastModifiedBy>
  <cp:revision>66</cp:revision>
  <dcterms:created xsi:type="dcterms:W3CDTF">2024-04-02T20:18:00Z</dcterms:created>
  <dcterms:modified xsi:type="dcterms:W3CDTF">2024-05-10T22:48:00Z</dcterms:modified>
</cp:coreProperties>
</file>