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F42BBB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55722">
              <w:rPr>
                <w:rFonts w:ascii="Times New Roman" w:hAnsi="Times New Roman" w:cs="Times New Roman"/>
                <w:b/>
                <w:color w:val="auto"/>
                <w:sz w:val="48"/>
              </w:rPr>
              <w:t xml:space="preserve">Gwen Morris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050D81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855722">
              <w:rPr>
                <w:rFonts w:ascii="Times New Roman" w:hAnsi="Times New Roman" w:cs="Times New Roman"/>
                <w:b/>
                <w:color w:val="auto"/>
                <w:sz w:val="48"/>
              </w:rPr>
              <w:t>Gwen.morris@pembrokeshire.gov.uk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8A7039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55722">
              <w:rPr>
                <w:rFonts w:ascii="Times New Roman" w:hAnsi="Times New Roman" w:cs="Times New Roman"/>
                <w:b/>
                <w:color w:val="auto"/>
                <w:sz w:val="48"/>
              </w:rPr>
              <w:t>1807501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02DDAE6" w14:textId="77777777" w:rsidR="00855722" w:rsidRDefault="00855722" w:rsidP="00FF7EBB">
            <w:pPr>
              <w:jc w:val="both"/>
              <w:rPr>
                <w:sz w:val="24"/>
                <w:szCs w:val="24"/>
              </w:rPr>
            </w:pPr>
          </w:p>
          <w:p w14:paraId="10A070CC" w14:textId="77777777" w:rsidR="00855722" w:rsidRDefault="00855722" w:rsidP="00855722">
            <w:pPr>
              <w:jc w:val="both"/>
              <w:rPr>
                <w:sz w:val="24"/>
                <w:szCs w:val="24"/>
              </w:rPr>
            </w:pPr>
            <w:r>
              <w:rPr>
                <w:sz w:val="24"/>
                <w:szCs w:val="24"/>
              </w:rPr>
              <w:t>Social workers practising within children's safeguarding services in Wales are primarily guided by the Social Services and Well-being (Wales) Act 2014 and the Children Act 1989. Together, these pieces of legislation create the legal framework for safeguarding practice and place responsibilities on local authorities and partner agencies to protect children from abuse, neglect and harm. They support early intervention, assessment and multi-agency collaboration, whilst ensuring that the child's welfare remains central to decision-making.</w:t>
            </w:r>
          </w:p>
          <w:p w14:paraId="7613E9E5" w14:textId="77777777" w:rsidR="00855722" w:rsidRDefault="00855722" w:rsidP="00855722">
            <w:pPr>
              <w:jc w:val="both"/>
              <w:rPr>
                <w:sz w:val="24"/>
                <w:szCs w:val="24"/>
              </w:rPr>
            </w:pPr>
          </w:p>
          <w:p w14:paraId="7500E156" w14:textId="77777777" w:rsidR="00855722" w:rsidRDefault="00855722" w:rsidP="00855722">
            <w:pPr>
              <w:jc w:val="both"/>
              <w:rPr>
                <w:sz w:val="24"/>
                <w:szCs w:val="24"/>
              </w:rPr>
            </w:pPr>
            <w:r>
              <w:rPr>
                <w:sz w:val="24"/>
                <w:szCs w:val="24"/>
              </w:rPr>
              <w:t>A key provision within The SSWBA 2014 is Section 130, which places a duty on relevant partners to report concerns to the local authority where they have reasonable cause to suspect that a child is at risk of abuse, neglect or other forms of harm. This supports a preventative approach by ensuring safeguarding concerns are identified and responded to at an early stage. Section 130 also defines a child at risk as a child who is experiencing, or is at risk of, abuse, neglect or other kinds of harm and has needs for care and support. This definition promotes early identification of concerns and timely intervention to reduce the likelihood of future harm (Munro, 2020).</w:t>
            </w:r>
          </w:p>
          <w:p w14:paraId="3DD196DB" w14:textId="77777777" w:rsidR="00855722" w:rsidRDefault="00855722" w:rsidP="00855722">
            <w:pPr>
              <w:jc w:val="both"/>
              <w:rPr>
                <w:sz w:val="24"/>
                <w:szCs w:val="24"/>
              </w:rPr>
            </w:pPr>
            <w:r>
              <w:rPr>
                <w:sz w:val="24"/>
                <w:szCs w:val="24"/>
              </w:rPr>
              <w:t>The Children Act 1989 remains a significant piece of child protection legislation in Wales. The Act places duties on local authorities to safeguard and promote children's welfare and provides the legal framework for child protection investigations and interventions. Section 47 requires local authorities to make enquiries where there is reasonable cause to suspect that a child is suffering, or is likely to suffer, significant harm. This ensures that concerns are investigated thoroughly and appropriate action is taken to protect children.</w:t>
            </w:r>
          </w:p>
          <w:p w14:paraId="2C9517B7" w14:textId="77777777" w:rsidR="00855722" w:rsidRDefault="00855722" w:rsidP="00855722">
            <w:pPr>
              <w:jc w:val="both"/>
              <w:rPr>
                <w:sz w:val="24"/>
                <w:szCs w:val="24"/>
              </w:rPr>
            </w:pPr>
          </w:p>
          <w:p w14:paraId="6EBB9E3F" w14:textId="65340CF1" w:rsidR="00855722" w:rsidRDefault="00855722" w:rsidP="00855722">
            <w:pPr>
              <w:jc w:val="both"/>
              <w:rPr>
                <w:sz w:val="24"/>
                <w:szCs w:val="24"/>
              </w:rPr>
            </w:pPr>
            <w:r>
              <w:rPr>
                <w:sz w:val="24"/>
                <w:szCs w:val="24"/>
              </w:rPr>
              <w:t>Safeguarding practice is also influenced by the United Nations Convention on the Rights of the Child (UNCRC</w:t>
            </w:r>
            <w:r>
              <w:rPr>
                <w:sz w:val="24"/>
                <w:szCs w:val="24"/>
              </w:rPr>
              <w:t xml:space="preserve"> 1989</w:t>
            </w:r>
            <w:r>
              <w:rPr>
                <w:sz w:val="24"/>
                <w:szCs w:val="24"/>
              </w:rPr>
              <w:t>). The UNCRC establishes the rights of all children under the age of 18 and promotes a child-centred approach to practice. It emphasises that children should be listened to, involved in decisions affecting them and protected from harm. The Convention reinforces the principle that all decisions relating to children should be made in their best interests (U</w:t>
            </w:r>
            <w:r>
              <w:rPr>
                <w:sz w:val="24"/>
                <w:szCs w:val="24"/>
              </w:rPr>
              <w:t>NCRC</w:t>
            </w:r>
            <w:r>
              <w:rPr>
                <w:sz w:val="24"/>
                <w:szCs w:val="24"/>
              </w:rPr>
              <w:t>, 1989).</w:t>
            </w:r>
          </w:p>
          <w:p w14:paraId="2EB2BDC4" w14:textId="77777777" w:rsidR="00855722" w:rsidRDefault="00855722" w:rsidP="00855722">
            <w:pPr>
              <w:jc w:val="both"/>
              <w:rPr>
                <w:sz w:val="24"/>
                <w:szCs w:val="24"/>
              </w:rPr>
            </w:pPr>
          </w:p>
          <w:p w14:paraId="1A26CAD1" w14:textId="77777777" w:rsidR="00855722" w:rsidRDefault="00855722" w:rsidP="00855722">
            <w:pPr>
              <w:jc w:val="both"/>
              <w:rPr>
                <w:sz w:val="24"/>
                <w:szCs w:val="24"/>
              </w:rPr>
            </w:pPr>
          </w:p>
          <w:p w14:paraId="5D3F79C2" w14:textId="77777777" w:rsidR="00855722" w:rsidRDefault="00855722" w:rsidP="00855722">
            <w:pPr>
              <w:jc w:val="both"/>
              <w:rPr>
                <w:sz w:val="24"/>
                <w:szCs w:val="24"/>
              </w:rPr>
            </w:pPr>
            <w:r>
              <w:rPr>
                <w:sz w:val="24"/>
                <w:szCs w:val="24"/>
              </w:rPr>
              <w:t>At a national level, safeguarding practice is supported by the Wales Safeguarding Procedures, which provide guidance for practitioners working with children who may be at risk of abuse, neglect or harm. Although not legislation, the procedures provide a consistent framework for safeguarding practice across Wales and outline the roles and responsibilities of professionals involved in identifying, reporting and responding to safeguarding concerns. The procedures promote information sharing, risk assessment, professional accountability and multi-agency collaboration.</w:t>
            </w:r>
          </w:p>
          <w:p w14:paraId="672EEC67" w14:textId="77777777" w:rsidR="00855722" w:rsidRDefault="00855722" w:rsidP="00855722">
            <w:pPr>
              <w:jc w:val="both"/>
              <w:rPr>
                <w:sz w:val="24"/>
                <w:szCs w:val="24"/>
              </w:rPr>
            </w:pPr>
            <w:r>
              <w:rPr>
                <w:sz w:val="24"/>
                <w:szCs w:val="24"/>
              </w:rPr>
              <w:t>Locally, safeguarding practice is guided by the procedures of the CYSUR Mid and West Wales Safeguarding Children Board, which provides guidance on referral processes, information sharing and multi-agency responses to safeguarding concerns. These local procedures help a consist and effectively response when concerns about a child's welfare arise.</w:t>
            </w:r>
          </w:p>
          <w:p w14:paraId="0E301EF6" w14:textId="77777777" w:rsidR="00855722" w:rsidRDefault="00855722" w:rsidP="00855722">
            <w:pPr>
              <w:jc w:val="both"/>
              <w:rPr>
                <w:sz w:val="24"/>
                <w:szCs w:val="24"/>
              </w:rPr>
            </w:pPr>
          </w:p>
          <w:p w14:paraId="67207A4A" w14:textId="77777777" w:rsidR="00855722" w:rsidRDefault="00855722" w:rsidP="00855722">
            <w:pPr>
              <w:jc w:val="both"/>
              <w:rPr>
                <w:sz w:val="24"/>
                <w:szCs w:val="24"/>
              </w:rPr>
            </w:pPr>
            <w:r>
              <w:rPr>
                <w:sz w:val="24"/>
                <w:szCs w:val="24"/>
              </w:rPr>
              <w:t>At an organisational level, practitioners are required to follow their employer's safeguarding policies and procedures, including guidance on recognising and reporting concerns, record keeping, information sharing and supervision arrangements. These policies support practitioners to work safely, consistently and in accordance with legislative requirements (Frost, Robinson and Anning, 2005).</w:t>
            </w:r>
          </w:p>
          <w:p w14:paraId="64004831" w14:textId="77777777" w:rsidR="00855722" w:rsidRDefault="00855722" w:rsidP="00855722">
            <w:pPr>
              <w:jc w:val="both"/>
              <w:rPr>
                <w:sz w:val="24"/>
                <w:szCs w:val="24"/>
              </w:rPr>
            </w:pPr>
          </w:p>
          <w:p w14:paraId="79DE5B6F" w14:textId="77777777" w:rsidR="00855722" w:rsidRDefault="00855722" w:rsidP="00855722">
            <w:pPr>
              <w:jc w:val="both"/>
              <w:rPr>
                <w:sz w:val="24"/>
                <w:szCs w:val="24"/>
              </w:rPr>
            </w:pPr>
          </w:p>
          <w:p w14:paraId="6266B725" w14:textId="77777777" w:rsidR="00855722" w:rsidRDefault="00855722" w:rsidP="00855722">
            <w:pPr>
              <w:jc w:val="both"/>
              <w:rPr>
                <w:sz w:val="24"/>
                <w:szCs w:val="24"/>
              </w:rPr>
            </w:pPr>
          </w:p>
          <w:p w14:paraId="198CF02B" w14:textId="77777777" w:rsidR="00855722" w:rsidRDefault="00855722" w:rsidP="00855722">
            <w:pPr>
              <w:jc w:val="both"/>
              <w:rPr>
                <w:sz w:val="24"/>
                <w:szCs w:val="24"/>
              </w:rPr>
            </w:pPr>
            <w:r>
              <w:rPr>
                <w:sz w:val="24"/>
                <w:szCs w:val="24"/>
              </w:rPr>
              <w:t xml:space="preserve">Children's safeguarding practice in Wales is underpinned by legislation, national guidance, local procedures and organisational policies. Together, these frameworks promote early intervention, information sharing, multi-agency working and child-centred practice to ensure that children are protected from abuse, neglect and harm whilst promoting their welfare and wellbeing (Thompson, 2020). </w:t>
            </w:r>
          </w:p>
          <w:p w14:paraId="4EE66069" w14:textId="77777777" w:rsidR="00855722" w:rsidRDefault="00855722" w:rsidP="00855722">
            <w:pPr>
              <w:jc w:val="both"/>
              <w:rPr>
                <w:sz w:val="24"/>
                <w:szCs w:val="24"/>
              </w:rPr>
            </w:pPr>
          </w:p>
          <w:p w14:paraId="770D7E39" w14:textId="77777777" w:rsidR="00855722" w:rsidRDefault="00855722" w:rsidP="00855722">
            <w:pPr>
              <w:jc w:val="both"/>
              <w:rPr>
                <w:sz w:val="24"/>
                <w:szCs w:val="24"/>
              </w:rPr>
            </w:pPr>
          </w:p>
          <w:p w14:paraId="20AA0064" w14:textId="544CEFDA" w:rsidR="00855722" w:rsidRDefault="00855722" w:rsidP="00FF7EBB">
            <w:pPr>
              <w:jc w:val="both"/>
              <w:rPr>
                <w:sz w:val="24"/>
                <w:szCs w:val="24"/>
              </w:rPr>
            </w:pPr>
            <w:r>
              <w:rPr>
                <w:sz w:val="24"/>
                <w:szCs w:val="24"/>
              </w:rPr>
              <w:t>(Word count 561)</w:t>
            </w:r>
          </w:p>
          <w:p w14:paraId="23958010" w14:textId="77777777" w:rsidR="00855722" w:rsidRDefault="00855722"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18CD038B" w14:textId="77777777" w:rsidR="00855722" w:rsidRDefault="00855722" w:rsidP="00FC0334">
            <w:pPr>
              <w:jc w:val="both"/>
              <w:rPr>
                <w:i/>
                <w:sz w:val="24"/>
                <w:szCs w:val="24"/>
              </w:rPr>
            </w:pPr>
          </w:p>
          <w:p w14:paraId="6BA90B11" w14:textId="77777777" w:rsidR="00855722" w:rsidRPr="00855722" w:rsidRDefault="00855722" w:rsidP="00855722">
            <w:pPr>
              <w:spacing w:line="360" w:lineRule="auto"/>
              <w:jc w:val="both"/>
              <w:rPr>
                <w:iCs/>
                <w:sz w:val="24"/>
                <w:szCs w:val="24"/>
              </w:rPr>
            </w:pPr>
            <w:r w:rsidRPr="00855722">
              <w:rPr>
                <w:iCs/>
                <w:sz w:val="24"/>
                <w:szCs w:val="24"/>
              </w:rPr>
              <w:t xml:space="preserve">Reflecting on the differences between safeguarding practice in children's and adult services, has </w:t>
            </w:r>
            <w:proofErr w:type="gramStart"/>
            <w:r w:rsidRPr="00855722">
              <w:rPr>
                <w:iCs/>
                <w:sz w:val="24"/>
                <w:szCs w:val="24"/>
              </w:rPr>
              <w:t>highlighted  how</w:t>
            </w:r>
            <w:proofErr w:type="gramEnd"/>
            <w:r w:rsidRPr="00855722">
              <w:rPr>
                <w:iCs/>
                <w:sz w:val="24"/>
                <w:szCs w:val="24"/>
              </w:rPr>
              <w:t xml:space="preserve"> decision-making is influenced by legislation, professional values and practice frameworks. Although both areas of practice ultimately aim to protect individuals from abuse, neglect and harm, there are significant differences in how safeguarding is approached (Adams, Dominelli and Payne, 2017).</w:t>
            </w:r>
          </w:p>
          <w:p w14:paraId="4F1A6A42" w14:textId="77777777" w:rsidR="00855722" w:rsidRPr="00855722" w:rsidRDefault="00855722" w:rsidP="00855722">
            <w:pPr>
              <w:spacing w:line="360" w:lineRule="auto"/>
              <w:jc w:val="both"/>
              <w:rPr>
                <w:iCs/>
                <w:sz w:val="24"/>
                <w:szCs w:val="24"/>
              </w:rPr>
            </w:pPr>
            <w:r w:rsidRPr="00855722">
              <w:rPr>
                <w:iCs/>
                <w:sz w:val="24"/>
                <w:szCs w:val="24"/>
              </w:rPr>
              <w:t>In adult safeguarding, practitioners are required to respect an individual's right to make their own decisions, even where those decisions may appear unwise. The Mental Capacity Act 2005 underpins this approach by recognising that adults who have capacity are entitled to make their own decisions and may choose to decline support or intervention, even where professionals believe this places them at risk. This reflects the principles of self-determination and autonomy that are fundamental to adult social work practice (Payne, 2020). Furthermore, adults should be presumed to have capacity unless an assessment demonstrates otherwise (Brammer, 2020).</w:t>
            </w:r>
          </w:p>
          <w:p w14:paraId="436B5326" w14:textId="77777777" w:rsidR="00855722" w:rsidRPr="00855722" w:rsidRDefault="00855722" w:rsidP="00855722">
            <w:pPr>
              <w:spacing w:line="360" w:lineRule="auto"/>
              <w:jc w:val="both"/>
              <w:rPr>
                <w:iCs/>
                <w:sz w:val="24"/>
                <w:szCs w:val="24"/>
              </w:rPr>
            </w:pPr>
            <w:r w:rsidRPr="00855722">
              <w:rPr>
                <w:iCs/>
                <w:sz w:val="24"/>
                <w:szCs w:val="24"/>
              </w:rPr>
              <w:t>When working in children's safeguarding, professionals have a greater responsibility to intervene when concerns about significant harm are identified, regardless of whether the child or their parents agree with professional recommendations. This reflects the principle that a child's welfare must remain the paramount consideration (Horwath, 2021). Children are generally considered more vulnerable and may lack the maturity, understanding and life experience required to recognise or protect themselves from harm (Braye, Orr and Preston-Shoot, 2015).</w:t>
            </w:r>
          </w:p>
          <w:p w14:paraId="0761A53C" w14:textId="77777777" w:rsidR="00855722" w:rsidRPr="00855722" w:rsidRDefault="00855722" w:rsidP="00855722">
            <w:pPr>
              <w:spacing w:line="360" w:lineRule="auto"/>
              <w:jc w:val="both"/>
              <w:rPr>
                <w:iCs/>
                <w:sz w:val="24"/>
                <w:szCs w:val="24"/>
              </w:rPr>
            </w:pPr>
            <w:r w:rsidRPr="00855722">
              <w:rPr>
                <w:iCs/>
                <w:sz w:val="24"/>
                <w:szCs w:val="24"/>
              </w:rPr>
              <w:t xml:space="preserve">Practitioners cannot assume that a child lacks the ability to make decisions simply because they are under the age of 16. Instead, they must consider the child's age, maturity and level of understanding to determine whether they are Gillick competent. However, even where a child is considered Gillick competent and able to make certain decisions independently, professionals may still need to intervene if there are concerns that the </w:t>
            </w:r>
            <w:proofErr w:type="gramStart"/>
            <w:r w:rsidRPr="00855722">
              <w:rPr>
                <w:iCs/>
                <w:sz w:val="24"/>
                <w:szCs w:val="24"/>
              </w:rPr>
              <w:t>child  is</w:t>
            </w:r>
            <w:proofErr w:type="gramEnd"/>
            <w:r w:rsidRPr="00855722">
              <w:rPr>
                <w:iCs/>
                <w:sz w:val="24"/>
                <w:szCs w:val="24"/>
              </w:rPr>
              <w:t xml:space="preserve"> at risk of, significant harm (Horwath, 2021). </w:t>
            </w:r>
          </w:p>
          <w:p w14:paraId="480CACC3" w14:textId="77777777" w:rsidR="00855722" w:rsidRPr="00855722" w:rsidRDefault="00855722" w:rsidP="00855722">
            <w:pPr>
              <w:spacing w:line="360" w:lineRule="auto"/>
              <w:jc w:val="both"/>
              <w:rPr>
                <w:iCs/>
                <w:sz w:val="24"/>
                <w:szCs w:val="24"/>
              </w:rPr>
            </w:pPr>
            <w:proofErr w:type="gramStart"/>
            <w:r w:rsidRPr="00855722">
              <w:rPr>
                <w:iCs/>
                <w:sz w:val="24"/>
                <w:szCs w:val="24"/>
              </w:rPr>
              <w:t>Another  difference</w:t>
            </w:r>
            <w:proofErr w:type="gramEnd"/>
            <w:r w:rsidRPr="00855722">
              <w:rPr>
                <w:iCs/>
                <w:sz w:val="24"/>
                <w:szCs w:val="24"/>
              </w:rPr>
              <w:t xml:space="preserve"> is the threshold </w:t>
            </w:r>
            <w:proofErr w:type="gramStart"/>
            <w:r w:rsidRPr="00855722">
              <w:rPr>
                <w:iCs/>
                <w:sz w:val="24"/>
                <w:szCs w:val="24"/>
              </w:rPr>
              <w:t>for  intervention</w:t>
            </w:r>
            <w:proofErr w:type="gramEnd"/>
            <w:r w:rsidRPr="00855722">
              <w:rPr>
                <w:iCs/>
                <w:sz w:val="24"/>
                <w:szCs w:val="24"/>
              </w:rPr>
              <w:t xml:space="preserve">. Within adult safeguarding, intervention will generally only occur when an individual meets the definition of an adult at risk. This means that the person is experiencing, or is at risk of, abuse or neglect and has care and support </w:t>
            </w:r>
            <w:r w:rsidRPr="00855722">
              <w:rPr>
                <w:iCs/>
                <w:sz w:val="24"/>
                <w:szCs w:val="24"/>
              </w:rPr>
              <w:lastRenderedPageBreak/>
              <w:t xml:space="preserve">needs that make them unable to protect </w:t>
            </w:r>
            <w:proofErr w:type="gramStart"/>
            <w:r w:rsidRPr="00855722">
              <w:rPr>
                <w:iCs/>
                <w:sz w:val="24"/>
                <w:szCs w:val="24"/>
              </w:rPr>
              <w:t>themselves  (</w:t>
            </w:r>
            <w:proofErr w:type="gramEnd"/>
            <w:r w:rsidRPr="00855722">
              <w:rPr>
                <w:iCs/>
                <w:sz w:val="24"/>
                <w:szCs w:val="24"/>
              </w:rPr>
              <w:t>Braye, Orr and Preston-Shoot, 2015). In contrast, child protection services have a responsibility to intervene where there are concerns that a child is at risk of significant harm, regardless of whether the child has formally identified care and support needs (Masson et al., 2023).</w:t>
            </w:r>
          </w:p>
          <w:p w14:paraId="294C96FF" w14:textId="77777777" w:rsidR="00855722" w:rsidRDefault="00855722" w:rsidP="00855722">
            <w:pPr>
              <w:spacing w:line="360" w:lineRule="auto"/>
              <w:jc w:val="both"/>
              <w:rPr>
                <w:iCs/>
                <w:sz w:val="24"/>
                <w:szCs w:val="24"/>
              </w:rPr>
            </w:pPr>
            <w:r w:rsidRPr="00855722">
              <w:rPr>
                <w:iCs/>
                <w:sz w:val="24"/>
                <w:szCs w:val="24"/>
              </w:rPr>
              <w:t xml:space="preserve">Reflecting on these differences demonstrates the complexity of safeguarding practice. Whilst adult safeguarding is heavily influenced by principles of empowerment, choice and autonomy, children's safeguarding places a greater emphasis on protection, welfare and the prevention of significant harm. </w:t>
            </w:r>
          </w:p>
          <w:p w14:paraId="64D96872" w14:textId="32C037DE" w:rsidR="00855722" w:rsidRPr="00855722" w:rsidRDefault="00855722" w:rsidP="00855722">
            <w:pPr>
              <w:spacing w:line="360" w:lineRule="auto"/>
              <w:jc w:val="both"/>
              <w:rPr>
                <w:iCs/>
                <w:sz w:val="24"/>
                <w:szCs w:val="24"/>
              </w:rPr>
            </w:pPr>
            <w:r>
              <w:rPr>
                <w:iCs/>
                <w:sz w:val="24"/>
                <w:szCs w:val="24"/>
              </w:rPr>
              <w:t>(Word count 436)</w:t>
            </w:r>
          </w:p>
          <w:p w14:paraId="7A498C86" w14:textId="77777777" w:rsidR="00855722" w:rsidRPr="00855722" w:rsidRDefault="00855722" w:rsidP="00855722">
            <w:pPr>
              <w:spacing w:line="360" w:lineRule="auto"/>
              <w:jc w:val="both"/>
              <w:rPr>
                <w:iCs/>
                <w:sz w:val="24"/>
                <w:szCs w:val="24"/>
              </w:rPr>
            </w:pPr>
          </w:p>
          <w:p w14:paraId="72A0F35A" w14:textId="77777777" w:rsidR="00855722" w:rsidRPr="00855722" w:rsidRDefault="00855722" w:rsidP="00855722">
            <w:pPr>
              <w:spacing w:line="360" w:lineRule="auto"/>
              <w:jc w:val="both"/>
              <w:rPr>
                <w:iCs/>
                <w:sz w:val="24"/>
                <w:szCs w:val="24"/>
              </w:rPr>
            </w:pPr>
          </w:p>
          <w:p w14:paraId="23A4BB82" w14:textId="77777777" w:rsidR="00855722" w:rsidRPr="00855722" w:rsidRDefault="00855722" w:rsidP="00855722">
            <w:pPr>
              <w:jc w:val="both"/>
              <w:rPr>
                <w:iCs/>
                <w:sz w:val="24"/>
                <w:szCs w:val="24"/>
              </w:rPr>
            </w:pPr>
          </w:p>
          <w:p w14:paraId="01BA2ECA" w14:textId="77777777" w:rsidR="00855722" w:rsidRPr="00855722" w:rsidRDefault="00855722" w:rsidP="00855722">
            <w:pPr>
              <w:jc w:val="both"/>
              <w:rPr>
                <w:iCs/>
                <w:sz w:val="24"/>
                <w:szCs w:val="24"/>
              </w:rPr>
            </w:pPr>
          </w:p>
          <w:p w14:paraId="5EA1B693" w14:textId="77777777" w:rsidR="00855722" w:rsidRPr="00855722" w:rsidRDefault="00855722" w:rsidP="00855722">
            <w:pPr>
              <w:jc w:val="both"/>
              <w:rPr>
                <w:iCs/>
                <w:sz w:val="24"/>
                <w:szCs w:val="24"/>
              </w:rPr>
            </w:pPr>
          </w:p>
          <w:p w14:paraId="7CE61246" w14:textId="77777777" w:rsidR="00855722" w:rsidRPr="00855722" w:rsidRDefault="00855722" w:rsidP="00855722">
            <w:pPr>
              <w:jc w:val="both"/>
              <w:rPr>
                <w:iCs/>
                <w:sz w:val="24"/>
                <w:szCs w:val="24"/>
              </w:rPr>
            </w:pPr>
          </w:p>
          <w:p w14:paraId="2157F55A" w14:textId="77777777" w:rsidR="00855722" w:rsidRPr="00855722" w:rsidRDefault="00855722" w:rsidP="00855722">
            <w:pPr>
              <w:jc w:val="both"/>
              <w:rPr>
                <w:iCs/>
                <w:sz w:val="24"/>
                <w:szCs w:val="24"/>
              </w:rPr>
            </w:pPr>
          </w:p>
          <w:p w14:paraId="466C4327" w14:textId="77777777" w:rsidR="00855722" w:rsidRPr="00855722" w:rsidRDefault="00855722" w:rsidP="00855722">
            <w:pPr>
              <w:jc w:val="both"/>
              <w:rPr>
                <w:iCs/>
                <w:sz w:val="24"/>
                <w:szCs w:val="24"/>
              </w:rPr>
            </w:pPr>
          </w:p>
          <w:p w14:paraId="4259179E" w14:textId="77777777" w:rsidR="00855722" w:rsidRPr="00855722" w:rsidRDefault="00855722" w:rsidP="00855722">
            <w:pPr>
              <w:jc w:val="both"/>
              <w:rPr>
                <w:iCs/>
                <w:sz w:val="24"/>
                <w:szCs w:val="24"/>
              </w:rPr>
            </w:pPr>
          </w:p>
          <w:p w14:paraId="046447EE" w14:textId="77777777" w:rsidR="00855722" w:rsidRPr="00855722" w:rsidRDefault="00855722" w:rsidP="00FC0334">
            <w:pPr>
              <w:jc w:val="both"/>
              <w:rPr>
                <w:iCs/>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876F4" w14:textId="77777777" w:rsidR="00AD0BD4" w:rsidRDefault="00AD0BD4">
      <w:r>
        <w:separator/>
      </w:r>
    </w:p>
  </w:endnote>
  <w:endnote w:type="continuationSeparator" w:id="0">
    <w:p w14:paraId="4E3B36A3" w14:textId="77777777" w:rsidR="00AD0BD4" w:rsidRDefault="00AD0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E5B80" w14:textId="77777777" w:rsidR="00AD0BD4" w:rsidRDefault="00AD0BD4">
      <w:r>
        <w:separator/>
      </w:r>
    </w:p>
  </w:footnote>
  <w:footnote w:type="continuationSeparator" w:id="0">
    <w:p w14:paraId="53096E51" w14:textId="77777777" w:rsidR="00AD0BD4" w:rsidRDefault="00AD0B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37610"/>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155"/>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263"/>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6F7A69"/>
    <w:rsid w:val="00700249"/>
    <w:rsid w:val="00706518"/>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8D9"/>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722"/>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0BD4"/>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6B42"/>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65A7"/>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1248</Words>
  <Characters>7114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Gwen</cp:lastModifiedBy>
  <cp:revision>2</cp:revision>
  <cp:lastPrinted>2020-02-11T19:20:00Z</cp:lastPrinted>
  <dcterms:created xsi:type="dcterms:W3CDTF">2026-10-07T08:59:00Z</dcterms:created>
  <dcterms:modified xsi:type="dcterms:W3CDTF">2026-10-07T08:59:00Z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