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654FF" w14:textId="77777777" w:rsidR="00E44A88" w:rsidRDefault="00A071A7">
      <w:pPr>
        <w:rPr>
          <w:b/>
          <w:bCs/>
          <w:u w:val="single"/>
        </w:rPr>
      </w:pPr>
      <w:r>
        <w:rPr>
          <w:b/>
          <w:bCs/>
          <w:u w:val="single"/>
        </w:rPr>
        <w:t>Replica Medieval eating knife</w:t>
      </w:r>
    </w:p>
    <w:p w14:paraId="5CA78F3B" w14:textId="77777777" w:rsidR="00E44A88" w:rsidRDefault="00A071A7">
      <w:r>
        <w:t xml:space="preserve">The medieval eating knife was an essential part of everyone’s medieval outfit as showing up without a knife was an awkward, if not outrageous predicament because one would be ill-prepared and would </w:t>
      </w:r>
      <w:r>
        <w:t>probably be left hungry and vulnerable.</w:t>
      </w:r>
      <w:r>
        <w:rPr>
          <w:rStyle w:val="FootnoteReference"/>
        </w:rPr>
        <w:footnoteReference w:id="1"/>
      </w:r>
      <w:r>
        <w:t xml:space="preserve"> Until the 17</w:t>
      </w:r>
      <w:r>
        <w:rPr>
          <w:vertAlign w:val="superscript"/>
        </w:rPr>
        <w:t>th</w:t>
      </w:r>
      <w:r>
        <w:t xml:space="preserve"> Century sharp, dagger-like knives were used to slice, tear and poke whatever was on your plate from soft cheese to tough meat.</w:t>
      </w:r>
      <w:r>
        <w:rPr>
          <w:rStyle w:val="FootnoteReference"/>
        </w:rPr>
        <w:footnoteReference w:id="2"/>
      </w:r>
      <w:r>
        <w:t xml:space="preserve"> The other side of the eating knife was that it coul</w:t>
      </w:r>
      <w:r>
        <w:t xml:space="preserve">d be used as a weapon. </w:t>
      </w:r>
    </w:p>
    <w:p w14:paraId="232EA70C" w14:textId="77777777" w:rsidR="00E44A88" w:rsidRDefault="00A071A7">
      <w:r>
        <w:t>The description on the plaque for the eating knife would be, Replica Medieval Eating Knife: The Medieval eating knife was a sharp knife used to slice tear, and poke whatever was on the plate it would also be used to prepare food.</w:t>
      </w:r>
      <w:r>
        <w:rPr>
          <w:rStyle w:val="FootnoteReference"/>
        </w:rPr>
        <w:footnoteReference w:id="3"/>
      </w:r>
      <w:r>
        <w:t xml:space="preserve"> Furthermore, the eating knife was also a symbol of class as handles could be made out of a variety of materials such as glass, brass, and tortoiseshell.</w:t>
      </w:r>
      <w:r>
        <w:rPr>
          <w:rStyle w:val="FootnoteReference"/>
        </w:rPr>
        <w:footnoteReference w:id="4"/>
      </w:r>
      <w:r>
        <w:t xml:space="preserve"> However, by the 17</w:t>
      </w:r>
      <w:r>
        <w:rPr>
          <w:vertAlign w:val="superscript"/>
        </w:rPr>
        <w:t>th</w:t>
      </w:r>
      <w:r>
        <w:t xml:space="preserve"> century, there was a shift towards fewer sharp knives and forks.</w:t>
      </w:r>
      <w:r>
        <w:rPr>
          <w:rStyle w:val="FootnoteReference"/>
        </w:rPr>
        <w:footnoteReference w:id="5"/>
      </w:r>
      <w:r>
        <w:t xml:space="preserve"> </w:t>
      </w:r>
    </w:p>
    <w:p w14:paraId="4FCB3E51" w14:textId="77777777" w:rsidR="00E44A88" w:rsidRDefault="00A071A7">
      <w:r>
        <w:t xml:space="preserve"> Things you would probably exclude from the descriptor are the dimensions and description of the eating knife as the audience are able to see the object. The eating knife is about 17cm long with about 7.6cm steel blade. The blade is attached to a </w:t>
      </w:r>
      <w:r>
        <w:t>wooden handle which has slowly started to curve slightly to make it fit easily in the hand.  However, there is slight damage on this eating knife as a small chunk of wood at the bottom of the handle has gone missing, and that the tip of the knife has a sma</w:t>
      </w:r>
      <w:r>
        <w:t>ll dent in it. Also, another thing you would probably not put in the descriptor is the dark side of the eating knife as it was a constant threat during dinner as at the time a significant source of hydration was wine and ale.</w:t>
      </w:r>
      <w:r>
        <w:rPr>
          <w:rStyle w:val="FootnoteReference"/>
        </w:rPr>
        <w:footnoteReference w:id="6"/>
      </w:r>
      <w:r>
        <w:t xml:space="preserve"> Therefore, it was not uncommon for the particularly inebriated to accidentally puncture their mouths whilst trying to e</w:t>
      </w:r>
      <w:r>
        <w:t>at their food.</w:t>
      </w:r>
      <w:r>
        <w:rPr>
          <w:rStyle w:val="FootnoteReference"/>
        </w:rPr>
        <w:footnoteReference w:id="7"/>
      </w:r>
    </w:p>
    <w:p w14:paraId="432283CA" w14:textId="657B9434" w:rsidR="00E44A88" w:rsidRDefault="00A071A7">
      <w:r>
        <w:t xml:space="preserve"> Its place within a display case setting would probably be with other eating knives to show how class was portrayed through the eating knife. My idea would be that this display case was attached to a wall and all the knives were </w:t>
      </w:r>
      <w:r>
        <w:t>attached to the back of the display to hold them in position and have a light at the top. This would mean you would have more room in the museum, it would probably have  The display case could depend on several factors inside of a museum such as harmonisin</w:t>
      </w:r>
      <w:r>
        <w:t>g the display case with the architecture of the museum,</w:t>
      </w:r>
      <w:r w:rsidR="00C548B3">
        <w:t xml:space="preserve"> </w:t>
      </w:r>
      <w:r>
        <w:t>the audience of the museum, and the agenda at the time which is affected by government policies and museum initiatives.</w:t>
      </w:r>
      <w:r>
        <w:rPr>
          <w:rStyle w:val="FootnoteReference"/>
        </w:rPr>
        <w:footnoteReference w:id="8"/>
      </w:r>
      <w:r>
        <w:t xml:space="preserve"> The audience of the display case would be adults and would probably have more detail on the purpose of eating a knife, for example, the display could also explain that by the 18</w:t>
      </w:r>
      <w:r>
        <w:rPr>
          <w:vertAlign w:val="superscript"/>
        </w:rPr>
        <w:t>th</w:t>
      </w:r>
      <w:r>
        <w:t xml:space="preserve"> century </w:t>
      </w:r>
      <w:r>
        <w:t>there had been a shift from a sharp knife towards forks.</w:t>
      </w:r>
      <w:r>
        <w:rPr>
          <w:rStyle w:val="FootnoteReference"/>
        </w:rPr>
        <w:footnoteReference w:id="9"/>
      </w:r>
      <w:r>
        <w:t xml:space="preserve">  </w:t>
      </w:r>
      <w:r>
        <w:t>Evidence of this is that Louis XIV banned eating knives at the table and replaced them with wider blunter ones.</w:t>
      </w:r>
      <w:r>
        <w:rPr>
          <w:rStyle w:val="FootnoteReference"/>
        </w:rPr>
        <w:footnoteReference w:id="10"/>
      </w:r>
      <w:r>
        <w:t xml:space="preserve">  </w:t>
      </w:r>
    </w:p>
    <w:p w14:paraId="1E26B879" w14:textId="77777777" w:rsidR="00E44A88" w:rsidRDefault="00A071A7">
      <w:r>
        <w:lastRenderedPageBreak/>
        <w:t xml:space="preserve">Another way the eating knife could be displayed in a display case is by having a medieval cooking display case with other cooking </w:t>
      </w:r>
      <w:r>
        <w:t xml:space="preserve">utensils such as cooking pots, bowls, and wooden tankards. </w:t>
      </w:r>
      <w:r>
        <w:rPr>
          <w:rStyle w:val="FootnoteReference"/>
        </w:rPr>
        <w:footnoteReference w:id="11"/>
      </w:r>
      <w:r>
        <w:t xml:space="preserve">  The audience would be everyone including children as it would have brief details on the utensils and what they were used for. The setting of the display case would have a main display at the top and draws underneath so that children could pull o</w:t>
      </w:r>
      <w:r>
        <w:t xml:space="preserve">pen the draws and see what was underneath. The vocal point of the exhibition would be a Medieval cooking pot and in the draws would be other utensils such as bowls and eating knives with small descriptions next to them so it makes it easy for kids to read </w:t>
      </w:r>
      <w:r>
        <w:t xml:space="preserve">and understand. </w:t>
      </w:r>
    </w:p>
    <w:p w14:paraId="4E7FB680" w14:textId="2CAA0C7D" w:rsidR="00E44A88" w:rsidRDefault="00A071A7">
      <w:r>
        <w:t xml:space="preserve">The detail that I could impart the personal meaning of my eating knife which is to be able to eat food at re-enactment shows and relive history. The value of my eating knife is very little because of the damage it has and I brought it for </w:t>
      </w:r>
      <w:r>
        <w:t>about £3 and did not come with a sheath. Other eating knives are usually priced at about £20.</w:t>
      </w:r>
      <w:r>
        <w:rPr>
          <w:rStyle w:val="FootnoteReference"/>
        </w:rPr>
        <w:footnoteReference w:id="12"/>
      </w:r>
      <w:r>
        <w:t xml:space="preserve"> The emotional value of the eating knife is low however</w:t>
      </w:r>
      <w:r w:rsidR="00D042E9">
        <w:t>,</w:t>
      </w:r>
      <w:r>
        <w:t xml:space="preserve"> its </w:t>
      </w:r>
      <w:r w:rsidR="00D042E9">
        <w:t>emotional</w:t>
      </w:r>
      <w:r>
        <w:t xml:space="preserve"> value might grow to depend on how much time I spend working on it</w:t>
      </w:r>
      <w:r w:rsidR="00954BB0">
        <w:t xml:space="preserve"> and if I take it to medieval re-enactment shows</w:t>
      </w:r>
      <w:r>
        <w:t xml:space="preserve">. However, the emotional value it brings is that you can see how </w:t>
      </w:r>
      <w:r>
        <w:t xml:space="preserve">medieval people would have eaten.   The social value at the time was huge as it was a way to show class and was pivotal that everyone had one. Furthermore, a knife shows pride and a personal item, evidence of this is that Wilson states, “you would no more </w:t>
      </w:r>
      <w:r>
        <w:t>eat with person’s knife than you would today brush your teeth with a stranger’s toothbrush.”</w:t>
      </w:r>
      <w:r>
        <w:rPr>
          <w:rStyle w:val="FootnoteReference"/>
        </w:rPr>
        <w:footnoteReference w:id="13"/>
      </w:r>
      <w:r>
        <w:t xml:space="preserve">  O</w:t>
      </w:r>
      <w:r>
        <w:t xml:space="preserve">ne way to show social value is that the initial carving and serving of the beast was seen to be so important it was given an office in court, known as the </w:t>
      </w:r>
      <w:proofErr w:type="spellStart"/>
      <w:r>
        <w:t>Cavership</w:t>
      </w:r>
      <w:proofErr w:type="spellEnd"/>
      <w:r>
        <w:t>.</w:t>
      </w:r>
      <w:r>
        <w:rPr>
          <w:rStyle w:val="FootnoteReference"/>
        </w:rPr>
        <w:footnoteReference w:id="14"/>
      </w:r>
      <w:r>
        <w:t xml:space="preserve">  In Considering The Fork, Wilson includes an eerie 16th-century book excerpt detailing the somber terms of the English carver.</w:t>
      </w:r>
      <w:r>
        <w:rPr>
          <w:rStyle w:val="FootnoteReference"/>
        </w:rPr>
        <w:footnoteReference w:id="15"/>
      </w:r>
      <w:r>
        <w:t xml:space="preserve"> </w:t>
      </w:r>
    </w:p>
    <w:p w14:paraId="14891D5A" w14:textId="77777777" w:rsidR="00E44A88" w:rsidRDefault="00A071A7">
      <w:r>
        <w:t>To conclude, the replica  Medieval eating knife could be in an exhibit due to its historical context. AS discussed I had two ideas for the replica medieval eating knife to be in an exhibit both have positives and negatives and focus on different audie</w:t>
      </w:r>
      <w:r>
        <w:t>nces. Also, my exhibitions are very conventionally laid out as with modern technology you can have online museums, or maybe the object could be a hologram.  So to summarise, the replica Medieval eating knife is good for an exhibition as it has historical v</w:t>
      </w:r>
      <w:r>
        <w:t xml:space="preserve">alue to me as it shows us the social history of medieval life and is a project for me to work on as well as having its connection to history and the shift of how humans have eaten in the past.  </w:t>
      </w:r>
    </w:p>
    <w:p w14:paraId="6B37B8CB" w14:textId="77777777" w:rsidR="00E44A88" w:rsidRDefault="00E44A88"/>
    <w:p w14:paraId="53B93F4D" w14:textId="77777777" w:rsidR="00E44A88" w:rsidRDefault="00E44A88"/>
    <w:p w14:paraId="04BE5B0C" w14:textId="77777777" w:rsidR="00E44A88" w:rsidRDefault="00E44A88"/>
    <w:p w14:paraId="15B78852" w14:textId="77777777" w:rsidR="00E44A88" w:rsidRDefault="00E44A88"/>
    <w:p w14:paraId="3CF564AA" w14:textId="77777777" w:rsidR="00E44A88" w:rsidRDefault="00E44A88"/>
    <w:p w14:paraId="2D23B469" w14:textId="77777777" w:rsidR="00E44A88" w:rsidRDefault="00E44A88"/>
    <w:p w14:paraId="134A7829" w14:textId="77777777" w:rsidR="00197EF5" w:rsidRDefault="00197EF5">
      <w:pPr>
        <w:rPr>
          <w:b/>
          <w:bCs/>
          <w:u w:val="single"/>
        </w:rPr>
      </w:pPr>
    </w:p>
    <w:p w14:paraId="4DCCF423" w14:textId="380AD998" w:rsidR="00E44A88" w:rsidRDefault="00A071A7">
      <w:pPr>
        <w:rPr>
          <w:b/>
          <w:bCs/>
          <w:u w:val="single"/>
        </w:rPr>
      </w:pPr>
      <w:r>
        <w:rPr>
          <w:b/>
          <w:bCs/>
          <w:u w:val="single"/>
        </w:rPr>
        <w:t>Reference list</w:t>
      </w:r>
    </w:p>
    <w:p w14:paraId="4ABED44E" w14:textId="77777777" w:rsidR="00E44A88" w:rsidRDefault="00A071A7">
      <w:r>
        <w:t>CelticWebMerchant.co.uk. (2008). Cutlery &amp; cooking utensils. [online] Available at: https://www.celticwebmerchant.co.uk/reenactment/cooking/medieval-cutlery/ [Accessed 15 Dec. 2021].</w:t>
      </w:r>
    </w:p>
    <w:p w14:paraId="15E39C44" w14:textId="77777777" w:rsidR="00E44A88" w:rsidRDefault="00A071A7">
      <w:r>
        <w:t>Jones, T. (2013). The History of Knives, Forks and Spoons. [online] Gizmo</w:t>
      </w:r>
      <w:r>
        <w:t>do. Available at: https://gizmodo.com/the-history-of-knives-forks-and-spoons-1440558371.</w:t>
      </w:r>
    </w:p>
    <w:p w14:paraId="57EE8DB5" w14:textId="77777777" w:rsidR="00E44A88" w:rsidRDefault="00A071A7">
      <w:proofErr w:type="spellStart"/>
      <w:r>
        <w:t>Paddon</w:t>
      </w:r>
      <w:proofErr w:type="spellEnd"/>
      <w:r>
        <w:t xml:space="preserve">, H. (2017). REDISPLAYING MUSEUM COLLECTIONS : contemporary display and interpretation in </w:t>
      </w:r>
      <w:proofErr w:type="spellStart"/>
      <w:r>
        <w:t>british</w:t>
      </w:r>
      <w:proofErr w:type="spellEnd"/>
      <w:r>
        <w:t xml:space="preserve"> museums. Taylor &amp; Francis Group.</w:t>
      </w:r>
    </w:p>
    <w:p w14:paraId="75BF2AA6" w14:textId="77777777" w:rsidR="00E44A88" w:rsidRDefault="00A071A7">
      <w:r>
        <w:t>Perreault, A. (2018). In Medie</w:t>
      </w:r>
      <w:r>
        <w:t>val Europe, No Outfit Was Complete Without a Personal Eating Knife. [online] Atlas Obscura. Available at: https://www.atlasobscura.com/articles/medieval-knives.</w:t>
      </w:r>
    </w:p>
    <w:p w14:paraId="41D41099" w14:textId="77777777" w:rsidR="00E44A88" w:rsidRDefault="00A071A7">
      <w:r>
        <w:t>Wilson, B. and Lee, A. (2013). Consider the fork a history of how we cook and eat; with illustr</w:t>
      </w:r>
      <w:r>
        <w:t>ations by Annabel Lee.</w:t>
      </w:r>
    </w:p>
    <w:p w14:paraId="7F8DA5CE" w14:textId="77777777" w:rsidR="00E44A88" w:rsidRDefault="00A071A7">
      <w:r>
        <w:t xml:space="preserve">www.by-the-sword.com. (n.d.). </w:t>
      </w:r>
      <w:proofErr w:type="spellStart"/>
      <w:r>
        <w:t>Reenactment</w:t>
      </w:r>
      <w:proofErr w:type="spellEnd"/>
      <w:r>
        <w:t xml:space="preserve"> Accessories for Medieval Roman and Renaissance. [online] Available at: https://www.by-the-sword.com/c-199-medieval-reenactment-accessories.aspx [Accessed 15 Dec. 2021].</w:t>
      </w:r>
    </w:p>
    <w:sectPr w:rsidR="00E44A8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0B4FF" w14:textId="77777777" w:rsidR="00A071A7" w:rsidRDefault="00A071A7">
      <w:pPr>
        <w:spacing w:after="0" w:line="240" w:lineRule="auto"/>
      </w:pPr>
      <w:r>
        <w:separator/>
      </w:r>
    </w:p>
  </w:endnote>
  <w:endnote w:type="continuationSeparator" w:id="0">
    <w:p w14:paraId="5E4156EF" w14:textId="77777777" w:rsidR="00A071A7" w:rsidRDefault="00A07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12D59" w14:textId="77777777" w:rsidR="00A071A7" w:rsidRDefault="00A071A7">
      <w:pPr>
        <w:spacing w:after="0" w:line="240" w:lineRule="auto"/>
      </w:pPr>
      <w:r>
        <w:rPr>
          <w:color w:val="000000"/>
        </w:rPr>
        <w:separator/>
      </w:r>
    </w:p>
  </w:footnote>
  <w:footnote w:type="continuationSeparator" w:id="0">
    <w:p w14:paraId="441912B9" w14:textId="77777777" w:rsidR="00A071A7" w:rsidRDefault="00A071A7">
      <w:pPr>
        <w:spacing w:after="0" w:line="240" w:lineRule="auto"/>
      </w:pPr>
      <w:r>
        <w:continuationSeparator/>
      </w:r>
    </w:p>
  </w:footnote>
  <w:footnote w:id="1">
    <w:p w14:paraId="12DE23D6" w14:textId="77777777" w:rsidR="00E44A88" w:rsidRDefault="00A071A7">
      <w:pPr>
        <w:pStyle w:val="FootnoteText"/>
      </w:pPr>
      <w:r>
        <w:rPr>
          <w:rStyle w:val="FootnoteReference"/>
        </w:rPr>
        <w:footnoteRef/>
      </w:r>
      <w:r>
        <w:t xml:space="preserve"> Perreault A. (2018), In Medieval Europe, No outfit was complete without the personnel eating knife, Atlas Obscura, URL: </w:t>
      </w:r>
      <w:hyperlink r:id="rId1" w:history="1">
        <w:r>
          <w:rPr>
            <w:rStyle w:val="Hyperlink"/>
          </w:rPr>
          <w:t>https://www.atlasobsc</w:t>
        </w:r>
        <w:r>
          <w:rPr>
            <w:rStyle w:val="Hyperlink"/>
          </w:rPr>
          <w:t>ura.com/articles/medieval-knives</w:t>
        </w:r>
      </w:hyperlink>
      <w:r>
        <w:t xml:space="preserve"> accessed 13/12/2021</w:t>
      </w:r>
    </w:p>
  </w:footnote>
  <w:footnote w:id="2">
    <w:p w14:paraId="6F11759F" w14:textId="77777777" w:rsidR="00E44A88" w:rsidRDefault="00A071A7">
      <w:pPr>
        <w:pStyle w:val="FootnoteText"/>
      </w:pPr>
      <w:r>
        <w:rPr>
          <w:rStyle w:val="FootnoteReference"/>
        </w:rPr>
        <w:footnoteRef/>
      </w:r>
      <w:r>
        <w:t xml:space="preserve"> Ibid </w:t>
      </w:r>
    </w:p>
  </w:footnote>
  <w:footnote w:id="3">
    <w:p w14:paraId="0BDA4D66" w14:textId="77777777" w:rsidR="00E44A88" w:rsidRDefault="00A071A7">
      <w:pPr>
        <w:pStyle w:val="FootnoteText"/>
      </w:pPr>
      <w:r>
        <w:rPr>
          <w:rStyle w:val="FootnoteReference"/>
        </w:rPr>
        <w:footnoteRef/>
      </w:r>
      <w:r>
        <w:t xml:space="preserve"> ibid</w:t>
      </w:r>
    </w:p>
  </w:footnote>
  <w:footnote w:id="4">
    <w:p w14:paraId="50D8069D" w14:textId="77777777" w:rsidR="00E44A88" w:rsidRDefault="00A071A7">
      <w:pPr>
        <w:pStyle w:val="FootnoteText"/>
      </w:pPr>
      <w:r>
        <w:rPr>
          <w:rStyle w:val="FootnoteReference"/>
        </w:rPr>
        <w:footnoteRef/>
      </w:r>
      <w:r>
        <w:t xml:space="preserve"> ibid</w:t>
      </w:r>
    </w:p>
  </w:footnote>
  <w:footnote w:id="5">
    <w:p w14:paraId="0A829698" w14:textId="77777777" w:rsidR="00E44A88" w:rsidRDefault="00A071A7">
      <w:pPr>
        <w:pStyle w:val="FootnoteText"/>
      </w:pPr>
      <w:r>
        <w:rPr>
          <w:rStyle w:val="FootnoteReference"/>
        </w:rPr>
        <w:footnoteRef/>
      </w:r>
      <w:r>
        <w:t xml:space="preserve"> ibid</w:t>
      </w:r>
    </w:p>
  </w:footnote>
  <w:footnote w:id="6">
    <w:p w14:paraId="4ED80BBA" w14:textId="77777777" w:rsidR="00E44A88" w:rsidRDefault="00A071A7">
      <w:pPr>
        <w:pStyle w:val="FootnoteText"/>
      </w:pPr>
      <w:r>
        <w:rPr>
          <w:rStyle w:val="FootnoteReference"/>
        </w:rPr>
        <w:footnoteRef/>
      </w:r>
      <w:r>
        <w:t xml:space="preserve"> Jones T. (2013), The Histo</w:t>
      </w:r>
      <w:r>
        <w:t>ry of Knives, Spoons, and Forks, Gizmodo, URL: https://gizmodo.com/the-history-of-knives-forks-and-spoons-1440558371 accessed 13/12/2021</w:t>
      </w:r>
    </w:p>
  </w:footnote>
  <w:footnote w:id="7">
    <w:p w14:paraId="5146B57D" w14:textId="77777777" w:rsidR="00E44A88" w:rsidRDefault="00A071A7">
      <w:pPr>
        <w:pStyle w:val="FootnoteText"/>
      </w:pPr>
      <w:r>
        <w:rPr>
          <w:rStyle w:val="FootnoteReference"/>
        </w:rPr>
        <w:footnoteRef/>
      </w:r>
      <w:r>
        <w:t xml:space="preserve"> ibid</w:t>
      </w:r>
    </w:p>
  </w:footnote>
  <w:footnote w:id="8">
    <w:p w14:paraId="20AD4ADD" w14:textId="77777777" w:rsidR="00E44A88" w:rsidRDefault="00A071A7">
      <w:pPr>
        <w:pStyle w:val="FootnoteText"/>
      </w:pPr>
      <w:r>
        <w:rPr>
          <w:rStyle w:val="FootnoteReference"/>
        </w:rPr>
        <w:footnoteRef/>
      </w:r>
      <w:r>
        <w:t xml:space="preserve"> </w:t>
      </w:r>
      <w:proofErr w:type="spellStart"/>
      <w:r>
        <w:t>Paddon</w:t>
      </w:r>
      <w:proofErr w:type="spellEnd"/>
      <w:r>
        <w:t xml:space="preserve"> H. (2014), Redisplaying Museum Collections: Contemporary display and</w:t>
      </w:r>
      <w:r>
        <w:t xml:space="preserve"> interpretation in British Museums, Taylor &amp; Francis Group, page 49</w:t>
      </w:r>
    </w:p>
  </w:footnote>
  <w:footnote w:id="9">
    <w:p w14:paraId="331DBA95" w14:textId="77777777" w:rsidR="00E44A88" w:rsidRDefault="00A071A7">
      <w:pPr>
        <w:pStyle w:val="FootnoteText"/>
      </w:pPr>
      <w:r>
        <w:rPr>
          <w:rStyle w:val="FootnoteReference"/>
        </w:rPr>
        <w:footnoteRef/>
      </w:r>
      <w:r>
        <w:t xml:space="preserve"> Perreault A. (2018), In Medieval Europe, No outfit was complete without the personnel eating knife, Atlas Obscura, URL: https://www.atlasobscura.com/articles/medieval-knives accessed 13/12/2021</w:t>
      </w:r>
    </w:p>
  </w:footnote>
  <w:footnote w:id="10">
    <w:p w14:paraId="168BA5BF" w14:textId="77777777" w:rsidR="00E44A88" w:rsidRDefault="00A071A7">
      <w:pPr>
        <w:pStyle w:val="FootnoteText"/>
      </w:pPr>
      <w:r>
        <w:rPr>
          <w:rStyle w:val="FootnoteReference"/>
        </w:rPr>
        <w:footnoteRef/>
      </w:r>
      <w:r>
        <w:t xml:space="preserve"> Jones T. (2013), The History of Knives, Spoons, and Forks, Gizmodo, URL: </w:t>
      </w:r>
      <w:hyperlink r:id="rId2" w:history="1">
        <w:r>
          <w:rPr>
            <w:rStyle w:val="Hyperlink"/>
          </w:rPr>
          <w:t>https://gizm</w:t>
        </w:r>
        <w:bookmarkStart w:id="0" w:name="_Hlt90368508"/>
        <w:bookmarkStart w:id="1" w:name="_Hlt90368509"/>
        <w:r>
          <w:rPr>
            <w:rStyle w:val="Hyperlink"/>
          </w:rPr>
          <w:t>o</w:t>
        </w:r>
        <w:bookmarkEnd w:id="0"/>
        <w:bookmarkEnd w:id="1"/>
        <w:r>
          <w:rPr>
            <w:rStyle w:val="Hyperlink"/>
          </w:rPr>
          <w:t>do.com/the-history-of-knives-forks-and-spoons-1440558371</w:t>
        </w:r>
      </w:hyperlink>
      <w:r>
        <w:t xml:space="preserve"> accessed 13/12/2021</w:t>
      </w:r>
    </w:p>
  </w:footnote>
  <w:footnote w:id="11">
    <w:p w14:paraId="06624C09" w14:textId="77777777" w:rsidR="00E44A88" w:rsidRDefault="00A071A7">
      <w:pPr>
        <w:pStyle w:val="FootnoteText"/>
      </w:pPr>
      <w:r>
        <w:rPr>
          <w:rStyle w:val="FootnoteReference"/>
        </w:rPr>
        <w:footnoteRef/>
      </w:r>
      <w:r>
        <w:t xml:space="preserve"> By the Sword, URL: </w:t>
      </w:r>
      <w:hyperlink r:id="rId3" w:history="1">
        <w:r>
          <w:rPr>
            <w:rStyle w:val="Hyperlink"/>
          </w:rPr>
          <w:t>https://www.by-the-sword.com/c-199-medieval-reenactment-accessories.aspx</w:t>
        </w:r>
      </w:hyperlink>
      <w:r>
        <w:t xml:space="preserve"> accessed 1</w:t>
      </w:r>
      <w:r>
        <w:t>3/12/2021</w:t>
      </w:r>
    </w:p>
  </w:footnote>
  <w:footnote w:id="12">
    <w:p w14:paraId="040B98DD" w14:textId="77777777" w:rsidR="00E44A88" w:rsidRDefault="00A071A7">
      <w:pPr>
        <w:pStyle w:val="FootnoteText"/>
      </w:pPr>
      <w:r>
        <w:rPr>
          <w:rStyle w:val="FootnoteReference"/>
        </w:rPr>
        <w:footnoteRef/>
      </w:r>
      <w:r>
        <w:t xml:space="preserve"> Celtic </w:t>
      </w:r>
      <w:proofErr w:type="spellStart"/>
      <w:r>
        <w:t>Webmeichant</w:t>
      </w:r>
      <w:proofErr w:type="spellEnd"/>
      <w:r>
        <w:t xml:space="preserve"> (2008), Url: </w:t>
      </w:r>
      <w:hyperlink r:id="rId4" w:history="1">
        <w:r>
          <w:rPr>
            <w:rStyle w:val="Hyperlink"/>
          </w:rPr>
          <w:t>https://www.celticwebmerchant.co.uk</w:t>
        </w:r>
        <w:r>
          <w:rPr>
            <w:rStyle w:val="Hyperlink"/>
          </w:rPr>
          <w:t>/ree</w:t>
        </w:r>
        <w:bookmarkStart w:id="2" w:name="_Hlt90370931"/>
        <w:bookmarkStart w:id="3" w:name="_Hlt90370932"/>
        <w:r>
          <w:rPr>
            <w:rStyle w:val="Hyperlink"/>
          </w:rPr>
          <w:t>n</w:t>
        </w:r>
        <w:bookmarkEnd w:id="2"/>
        <w:bookmarkEnd w:id="3"/>
        <w:r>
          <w:rPr>
            <w:rStyle w:val="Hyperlink"/>
          </w:rPr>
          <w:t>actment/cooking/medieval-cutlery/</w:t>
        </w:r>
      </w:hyperlink>
      <w:r>
        <w:t xml:space="preserve"> accessed 13/12/2021</w:t>
      </w:r>
    </w:p>
  </w:footnote>
  <w:footnote w:id="13">
    <w:p w14:paraId="4BF4147A" w14:textId="77777777" w:rsidR="00E44A88" w:rsidRDefault="00A071A7">
      <w:pPr>
        <w:pStyle w:val="FootnoteText"/>
      </w:pPr>
      <w:r>
        <w:rPr>
          <w:rStyle w:val="FootnoteReference"/>
        </w:rPr>
        <w:footnoteRef/>
      </w:r>
      <w:r>
        <w:t xml:space="preserve"> Wilson B. (2012), Consider the For a history of how we cook and eat, URL: https://www.google.co.uk/books/edition/Consider_the_Fork/Nsy6qyEkIM4C?hl=en&amp;gbpv=1</w:t>
      </w:r>
    </w:p>
  </w:footnote>
  <w:footnote w:id="14">
    <w:p w14:paraId="6DC25D04" w14:textId="77777777" w:rsidR="00E44A88" w:rsidRDefault="00A071A7">
      <w:pPr>
        <w:pStyle w:val="FootnoteText"/>
      </w:pPr>
      <w:r>
        <w:rPr>
          <w:rStyle w:val="FootnoteReference"/>
        </w:rPr>
        <w:footnoteRef/>
      </w:r>
      <w:r>
        <w:t xml:space="preserve"> Perreault A. (2018), In Medieval Europe, No outfit was complete without the personnel </w:t>
      </w:r>
      <w:r>
        <w:t>eating knife, Atlas Obscura, URL: https://www.atlasobscura.com/articles/medieval-knives accessed 13/12/2021</w:t>
      </w:r>
    </w:p>
  </w:footnote>
  <w:footnote w:id="15">
    <w:p w14:paraId="54775458" w14:textId="77777777" w:rsidR="00E44A88" w:rsidRDefault="00A071A7">
      <w:pPr>
        <w:pStyle w:val="FootnoteText"/>
      </w:pPr>
      <w:r>
        <w:rPr>
          <w:rStyle w:val="FootnoteReference"/>
        </w:rPr>
        <w:footnoteRef/>
      </w:r>
      <w:r>
        <w:t xml:space="preserve"> Wilson B. (2012),</w:t>
      </w:r>
      <w:r>
        <w:t xml:space="preserve"> Consider the For a history of how we cook and eat, URL: </w:t>
      </w:r>
      <w:hyperlink r:id="rId5" w:history="1">
        <w:r>
          <w:rPr>
            <w:rStyle w:val="Hyperlink"/>
          </w:rPr>
          <w:t>https://www.google.co.uk/books/editi</w:t>
        </w:r>
        <w:bookmarkStart w:id="4" w:name="_Hlt90469335"/>
        <w:bookmarkStart w:id="5" w:name="_Hlt90469336"/>
        <w:r>
          <w:rPr>
            <w:rStyle w:val="Hyperlink"/>
          </w:rPr>
          <w:t>o</w:t>
        </w:r>
        <w:bookmarkEnd w:id="4"/>
        <w:bookmarkEnd w:id="5"/>
        <w:r>
          <w:rPr>
            <w:rStyle w:val="Hyperlink"/>
          </w:rPr>
          <w:t>n/Consider_the_Fork/Nsy6qyEkIM4C?hl=en&amp;gbpv=1</w:t>
        </w:r>
      </w:hyperlink>
      <w:r>
        <w:t xml:space="preserve"> accessed 15/12/2</w:t>
      </w:r>
      <w:r>
        <w:t>021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docVars>
    <w:docVar w:name="__Grammarly_42____i" w:val="H4sIAAAAAAAEAKtWckksSQxILCpxzi/NK1GyMqwFAAEhoTITAAAA"/>
    <w:docVar w:name="__Grammarly_42___1" w:val="H4sIAAAAAAAEAKtWcslP9kxRslIyNDayMDE0MjQyNjUytzSzNDFW0lEKTi0uzszPAykwrAUABiauuywAAAA="/>
  </w:docVars>
  <w:rsids>
    <w:rsidRoot w:val="00E44A88"/>
    <w:rsid w:val="00197EF5"/>
    <w:rsid w:val="002D4204"/>
    <w:rsid w:val="004D5FE7"/>
    <w:rsid w:val="006A3C50"/>
    <w:rsid w:val="00954BB0"/>
    <w:rsid w:val="00A071A7"/>
    <w:rsid w:val="00C2201B"/>
    <w:rsid w:val="00C548B3"/>
    <w:rsid w:val="00D042E9"/>
    <w:rsid w:val="00D762D4"/>
    <w:rsid w:val="00E44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D9227"/>
  <w15:docId w15:val="{3F92B066-B39D-4856-A1AE-224C78C3E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pPr>
      <w:spacing w:after="0" w:line="240" w:lineRule="auto"/>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character" w:styleId="FollowedHyperlink">
    <w:name w:val="FollowedHyperlink"/>
    <w:basedOn w:val="DefaultParagraphFont"/>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www.by-the-sword.com/c-199-medieval-reenactment-accessories.aspx" TargetMode="External"/><Relationship Id="rId2" Type="http://schemas.openxmlformats.org/officeDocument/2006/relationships/hyperlink" Target="https://gizmodo.com/the-history-of-knives-forks-and-spoons-1440558371" TargetMode="External"/><Relationship Id="rId1" Type="http://schemas.openxmlformats.org/officeDocument/2006/relationships/hyperlink" Target="https://www.atlasobscura.com/articles/medieval-knives" TargetMode="External"/><Relationship Id="rId5" Type="http://schemas.openxmlformats.org/officeDocument/2006/relationships/hyperlink" Target="https://www.google.co.uk/books/edition/Consider_the_Fork/Nsy6qyEkIM4C?hl=en&amp;gbpv=1" TargetMode="External"/><Relationship Id="rId4" Type="http://schemas.openxmlformats.org/officeDocument/2006/relationships/hyperlink" Target="https://www.celticwebmerchant.co.uk/reenactment/cooking/medieval-cutle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972</Words>
  <Characters>5543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Stewart Hinsull (2103522)</dc:creator>
  <dc:description/>
  <cp:lastModifiedBy>David Stewart Hinsull (2103522)</cp:lastModifiedBy>
  <cp:revision>2</cp:revision>
  <dcterms:created xsi:type="dcterms:W3CDTF">2021-12-16T16:44:00Z</dcterms:created>
  <dcterms:modified xsi:type="dcterms:W3CDTF">2021-12-16T16:44:00Z</dcterms:modified>
</cp:coreProperties>
</file>