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849AB2" w14:textId="77777777" w:rsidR="00AF0A44" w:rsidRDefault="00AF0A44" w:rsidP="00D11ACD">
      <w:pPr>
        <w:spacing w:line="360" w:lineRule="auto"/>
      </w:pPr>
    </w:p>
    <w:p w14:paraId="715CD1D3" w14:textId="77777777" w:rsidR="00A033AE" w:rsidRDefault="00A033AE" w:rsidP="00A033AE">
      <w:pPr>
        <w:spacing w:line="360" w:lineRule="auto"/>
        <w:jc w:val="center"/>
        <w:rPr>
          <w:rFonts w:ascii="Arial" w:hAnsi="Arial" w:cs="Arial"/>
          <w:b/>
          <w:bCs/>
        </w:rPr>
      </w:pPr>
      <w:r w:rsidRPr="00272723">
        <w:rPr>
          <w:rFonts w:ascii="Arial" w:hAnsi="Arial" w:cs="Arial"/>
          <w:b/>
          <w:bCs/>
        </w:rPr>
        <w:t>University Of Wales Trinity Saint David</w:t>
      </w:r>
    </w:p>
    <w:p w14:paraId="10EA7860" w14:textId="77777777" w:rsidR="00A033AE" w:rsidRPr="00272723" w:rsidRDefault="00A033AE" w:rsidP="00A033AE">
      <w:pPr>
        <w:spacing w:line="360" w:lineRule="auto"/>
        <w:jc w:val="center"/>
        <w:rPr>
          <w:rFonts w:ascii="Arial" w:hAnsi="Arial" w:cs="Arial"/>
        </w:rPr>
      </w:pPr>
      <w:r w:rsidRPr="00272723">
        <w:rPr>
          <w:rFonts w:ascii="Arial" w:hAnsi="Arial" w:cs="Arial"/>
        </w:rPr>
        <w:t>Master of Business Administration (MBA)</w:t>
      </w:r>
    </w:p>
    <w:p w14:paraId="0E18C3EF" w14:textId="77777777" w:rsidR="00A033AE" w:rsidRPr="00272723" w:rsidRDefault="00A033AE" w:rsidP="00A033AE">
      <w:pPr>
        <w:spacing w:line="360" w:lineRule="auto"/>
        <w:jc w:val="center"/>
        <w:rPr>
          <w:rFonts w:ascii="Arial" w:hAnsi="Arial" w:cs="Arial"/>
        </w:rPr>
      </w:pPr>
      <w:r w:rsidRPr="00272723">
        <w:rPr>
          <w:rFonts w:ascii="Arial" w:hAnsi="Arial" w:cs="Arial"/>
        </w:rPr>
        <w:t>INDIVIDUAL WRITTEN ASSIGNMENT COMPONENT 1</w:t>
      </w:r>
    </w:p>
    <w:p w14:paraId="67215F1F" w14:textId="3C6CA576" w:rsidR="00A033AE" w:rsidRPr="00272723" w:rsidRDefault="00A033AE" w:rsidP="00A033AE">
      <w:pPr>
        <w:spacing w:line="360" w:lineRule="auto"/>
        <w:jc w:val="center"/>
        <w:rPr>
          <w:rFonts w:ascii="Arial" w:hAnsi="Arial" w:cs="Arial"/>
        </w:rPr>
      </w:pPr>
      <w:r w:rsidRPr="00272723">
        <w:rPr>
          <w:rFonts w:ascii="Arial" w:hAnsi="Arial" w:cs="Arial"/>
        </w:rPr>
        <w:t xml:space="preserve">Module: </w:t>
      </w:r>
      <w:r w:rsidRPr="00A033AE">
        <w:rPr>
          <w:rFonts w:ascii="Arial" w:hAnsi="Arial" w:cs="Arial"/>
        </w:rPr>
        <w:t>Marketing Management</w:t>
      </w:r>
    </w:p>
    <w:p w14:paraId="064B040D" w14:textId="5BF9B37C" w:rsidR="00A033AE" w:rsidRDefault="00A033AE" w:rsidP="00A033AE">
      <w:pPr>
        <w:spacing w:line="360" w:lineRule="auto"/>
        <w:jc w:val="center"/>
        <w:rPr>
          <w:rFonts w:ascii="Arial" w:hAnsi="Arial" w:cs="Arial"/>
        </w:rPr>
      </w:pPr>
      <w:r w:rsidRPr="00272723">
        <w:rPr>
          <w:rFonts w:ascii="Arial" w:hAnsi="Arial" w:cs="Arial"/>
        </w:rPr>
        <w:t xml:space="preserve">Module Code: </w:t>
      </w:r>
      <w:r w:rsidRPr="00A033AE">
        <w:rPr>
          <w:rFonts w:ascii="Arial" w:hAnsi="Arial" w:cs="Arial"/>
        </w:rPr>
        <w:t>LCMB7024</w:t>
      </w:r>
    </w:p>
    <w:p w14:paraId="06E72DC2" w14:textId="77777777" w:rsidR="00A033AE" w:rsidRDefault="00A033AE" w:rsidP="00A033AE">
      <w:pPr>
        <w:spacing w:line="360" w:lineRule="auto"/>
        <w:jc w:val="center"/>
        <w:rPr>
          <w:rFonts w:ascii="Arial" w:hAnsi="Arial" w:cs="Arial"/>
        </w:rPr>
      </w:pPr>
    </w:p>
    <w:p w14:paraId="6DD32671" w14:textId="77777777" w:rsidR="00A033AE" w:rsidRDefault="00A033AE" w:rsidP="00A033AE">
      <w:pPr>
        <w:spacing w:line="360" w:lineRule="auto"/>
        <w:jc w:val="center"/>
        <w:rPr>
          <w:rFonts w:ascii="Arial" w:hAnsi="Arial" w:cs="Arial"/>
        </w:rPr>
      </w:pPr>
    </w:p>
    <w:p w14:paraId="5876BB61" w14:textId="4C051285" w:rsidR="00A033AE" w:rsidRPr="00272723" w:rsidRDefault="00A033AE" w:rsidP="00A033AE">
      <w:pPr>
        <w:spacing w:line="360" w:lineRule="auto"/>
        <w:jc w:val="center"/>
        <w:rPr>
          <w:rFonts w:ascii="Arial" w:hAnsi="Arial" w:cs="Arial"/>
          <w:b/>
          <w:bCs/>
        </w:rPr>
      </w:pPr>
      <w:r w:rsidRPr="00A033AE">
        <w:rPr>
          <w:rFonts w:ascii="Arial" w:hAnsi="Arial" w:cs="Arial"/>
          <w:b/>
          <w:bCs/>
        </w:rPr>
        <w:t xml:space="preserve">Environmental Marketing Pressures and Strategic Market Development in the Low-Carbon </w:t>
      </w:r>
      <w:r w:rsidRPr="00A033AE">
        <w:rPr>
          <w:rFonts w:ascii="Arial" w:hAnsi="Arial" w:cs="Arial"/>
          <w:b/>
          <w:bCs/>
        </w:rPr>
        <w:t>Aluminum</w:t>
      </w:r>
      <w:r w:rsidRPr="00A033AE">
        <w:rPr>
          <w:rFonts w:ascii="Arial" w:hAnsi="Arial" w:cs="Arial"/>
          <w:b/>
          <w:bCs/>
        </w:rPr>
        <w:t xml:space="preserve"> Industry</w:t>
      </w:r>
    </w:p>
    <w:p w14:paraId="4849F7C1" w14:textId="77777777" w:rsidR="00A033AE" w:rsidRPr="00A033AE" w:rsidRDefault="00A033AE" w:rsidP="00A033AE">
      <w:pPr>
        <w:spacing w:line="360" w:lineRule="auto"/>
        <w:jc w:val="center"/>
        <w:rPr>
          <w:rFonts w:ascii="Arial" w:hAnsi="Arial" w:cs="Arial"/>
        </w:rPr>
      </w:pPr>
      <w:r w:rsidRPr="00A033AE">
        <w:rPr>
          <w:rFonts w:ascii="Arial" w:hAnsi="Arial" w:cs="Arial"/>
          <w:b/>
          <w:bCs/>
        </w:rPr>
        <w:t>A Critical Evaluation of Norsk Hydro ASA</w:t>
      </w:r>
    </w:p>
    <w:p w14:paraId="5DFF5BAB" w14:textId="0BB16BC6" w:rsidR="00A033AE" w:rsidRPr="00272723" w:rsidRDefault="00A033AE" w:rsidP="00A033AE">
      <w:pPr>
        <w:spacing w:line="360" w:lineRule="auto"/>
        <w:jc w:val="center"/>
        <w:rPr>
          <w:rFonts w:ascii="Arial" w:hAnsi="Arial" w:cs="Arial"/>
        </w:rPr>
      </w:pPr>
    </w:p>
    <w:p w14:paraId="286C8A63" w14:textId="77777777" w:rsidR="00A033AE" w:rsidRDefault="00A033AE" w:rsidP="00A033AE">
      <w:pPr>
        <w:spacing w:line="360" w:lineRule="auto"/>
        <w:jc w:val="center"/>
        <w:rPr>
          <w:rFonts w:ascii="Arial" w:hAnsi="Arial" w:cs="Arial"/>
        </w:rPr>
      </w:pPr>
    </w:p>
    <w:p w14:paraId="6705B494" w14:textId="77777777" w:rsidR="00A033AE" w:rsidRDefault="00A033AE" w:rsidP="00A033AE">
      <w:pPr>
        <w:spacing w:line="360" w:lineRule="auto"/>
        <w:jc w:val="center"/>
        <w:rPr>
          <w:rFonts w:ascii="Arial" w:hAnsi="Arial" w:cs="Arial"/>
        </w:rPr>
      </w:pPr>
    </w:p>
    <w:p w14:paraId="60ED8FF1" w14:textId="77777777" w:rsidR="00A033AE" w:rsidRPr="00272723" w:rsidRDefault="00A033AE" w:rsidP="00A033AE">
      <w:pPr>
        <w:spacing w:line="360" w:lineRule="auto"/>
        <w:jc w:val="center"/>
        <w:rPr>
          <w:rFonts w:ascii="Arial" w:hAnsi="Arial" w:cs="Arial"/>
        </w:rPr>
      </w:pPr>
      <w:r w:rsidRPr="00272723">
        <w:rPr>
          <w:rFonts w:ascii="Arial" w:hAnsi="Arial" w:cs="Arial"/>
          <w:b/>
          <w:bCs/>
        </w:rPr>
        <w:t>Submitted by:</w:t>
      </w:r>
      <w:r w:rsidRPr="00272723">
        <w:rPr>
          <w:rFonts w:ascii="Arial" w:hAnsi="Arial" w:cs="Arial"/>
        </w:rPr>
        <w:t xml:space="preserve"> Yuvraj Singh</w:t>
      </w:r>
    </w:p>
    <w:p w14:paraId="14B80C43" w14:textId="77777777" w:rsidR="00A033AE" w:rsidRPr="00272723" w:rsidRDefault="00A033AE" w:rsidP="00A033AE">
      <w:pPr>
        <w:spacing w:line="360" w:lineRule="auto"/>
        <w:jc w:val="center"/>
        <w:rPr>
          <w:rFonts w:ascii="Arial" w:hAnsi="Arial" w:cs="Arial"/>
        </w:rPr>
      </w:pPr>
      <w:r w:rsidRPr="00272723">
        <w:rPr>
          <w:rFonts w:ascii="Arial" w:hAnsi="Arial" w:cs="Arial"/>
          <w:b/>
          <w:bCs/>
        </w:rPr>
        <w:t>Student ID:</w:t>
      </w:r>
      <w:r w:rsidRPr="00272723">
        <w:rPr>
          <w:rFonts w:ascii="Arial" w:hAnsi="Arial" w:cs="Arial"/>
        </w:rPr>
        <w:t xml:space="preserve"> 2604764</w:t>
      </w:r>
    </w:p>
    <w:p w14:paraId="73BB158B" w14:textId="77777777" w:rsidR="00A033AE" w:rsidRPr="00272723" w:rsidRDefault="00A033AE" w:rsidP="00A033AE">
      <w:pPr>
        <w:spacing w:line="360" w:lineRule="auto"/>
        <w:jc w:val="center"/>
        <w:rPr>
          <w:rFonts w:ascii="Arial" w:hAnsi="Arial" w:cs="Arial"/>
        </w:rPr>
      </w:pPr>
      <w:r w:rsidRPr="00272723">
        <w:rPr>
          <w:rFonts w:ascii="Arial" w:hAnsi="Arial" w:cs="Arial"/>
          <w:b/>
          <w:bCs/>
        </w:rPr>
        <w:t>Progra</w:t>
      </w:r>
      <w:r>
        <w:rPr>
          <w:rFonts w:ascii="Arial" w:hAnsi="Arial" w:cs="Arial"/>
          <w:b/>
          <w:bCs/>
        </w:rPr>
        <w:t>m</w:t>
      </w:r>
      <w:r w:rsidRPr="00272723">
        <w:rPr>
          <w:rFonts w:ascii="Arial" w:hAnsi="Arial" w:cs="Arial"/>
          <w:b/>
          <w:bCs/>
        </w:rPr>
        <w:t>:</w:t>
      </w:r>
      <w:r w:rsidRPr="00272723">
        <w:rPr>
          <w:rFonts w:ascii="Arial" w:hAnsi="Arial" w:cs="Arial"/>
        </w:rPr>
        <w:t xml:space="preserve"> Master of Business Administration (MBA)</w:t>
      </w:r>
    </w:p>
    <w:p w14:paraId="6B365FF8" w14:textId="6E5F5098" w:rsidR="00A033AE" w:rsidRPr="00272723" w:rsidRDefault="00A033AE" w:rsidP="00A033AE">
      <w:pPr>
        <w:spacing w:line="360" w:lineRule="auto"/>
        <w:jc w:val="center"/>
        <w:rPr>
          <w:rFonts w:ascii="Arial" w:hAnsi="Arial" w:cs="Arial"/>
        </w:rPr>
      </w:pPr>
      <w:r w:rsidRPr="00272723">
        <w:rPr>
          <w:rFonts w:ascii="Arial" w:hAnsi="Arial" w:cs="Arial"/>
          <w:b/>
          <w:bCs/>
        </w:rPr>
        <w:t>Module Lecturer:</w:t>
      </w:r>
      <w:r w:rsidRPr="00272723">
        <w:rPr>
          <w:rFonts w:ascii="Arial" w:hAnsi="Arial" w:cs="Arial"/>
        </w:rPr>
        <w:t xml:space="preserve"> </w:t>
      </w:r>
      <w:r w:rsidRPr="00A033AE">
        <w:rPr>
          <w:rFonts w:ascii="Arial" w:hAnsi="Arial" w:cs="Arial"/>
        </w:rPr>
        <w:t>Taonga Kaonga Sobere</w:t>
      </w:r>
      <w:r>
        <w:rPr>
          <w:rFonts w:ascii="Arial" w:hAnsi="Arial" w:cs="Arial"/>
        </w:rPr>
        <w:t xml:space="preserve"> </w:t>
      </w:r>
      <w:r w:rsidRPr="00A033AE">
        <w:rPr>
          <w:rFonts w:ascii="Arial" w:hAnsi="Arial" w:cs="Arial"/>
        </w:rPr>
        <w:t>Snithers</w:t>
      </w:r>
    </w:p>
    <w:p w14:paraId="200C8B48" w14:textId="67395328" w:rsidR="00A033AE" w:rsidRPr="00272723" w:rsidRDefault="00A033AE" w:rsidP="00A033AE">
      <w:pPr>
        <w:spacing w:line="360" w:lineRule="auto"/>
        <w:jc w:val="center"/>
        <w:rPr>
          <w:rFonts w:ascii="Arial" w:hAnsi="Arial" w:cs="Arial"/>
        </w:rPr>
      </w:pPr>
      <w:r w:rsidRPr="00272723">
        <w:rPr>
          <w:rFonts w:ascii="Arial" w:hAnsi="Arial" w:cs="Arial"/>
          <w:b/>
          <w:bCs/>
        </w:rPr>
        <w:t>Submission Date:</w:t>
      </w:r>
      <w:r w:rsidRPr="00272723">
        <w:rPr>
          <w:rFonts w:ascii="Arial" w:hAnsi="Arial" w:cs="Arial"/>
        </w:rPr>
        <w:t xml:space="preserve"> </w:t>
      </w:r>
      <w:r>
        <w:rPr>
          <w:rFonts w:ascii="Arial" w:hAnsi="Arial" w:cs="Arial"/>
        </w:rPr>
        <w:t>22</w:t>
      </w:r>
      <w:r w:rsidRPr="00272723">
        <w:rPr>
          <w:rFonts w:ascii="Arial" w:hAnsi="Arial" w:cs="Arial"/>
        </w:rPr>
        <w:t xml:space="preserve"> October 2026</w:t>
      </w:r>
    </w:p>
    <w:p w14:paraId="1C480913" w14:textId="6107BCC5" w:rsidR="00A033AE" w:rsidRPr="00272723" w:rsidRDefault="00A033AE" w:rsidP="00A033AE">
      <w:pPr>
        <w:spacing w:line="360" w:lineRule="auto"/>
        <w:jc w:val="center"/>
        <w:rPr>
          <w:rFonts w:ascii="Arial" w:hAnsi="Arial" w:cs="Arial"/>
        </w:rPr>
      </w:pPr>
      <w:r w:rsidRPr="00272723">
        <w:rPr>
          <w:rFonts w:ascii="Arial" w:hAnsi="Arial" w:cs="Arial"/>
          <w:b/>
          <w:bCs/>
        </w:rPr>
        <w:t>Final Word Count:</w:t>
      </w:r>
      <w:r w:rsidRPr="00272723">
        <w:rPr>
          <w:rFonts w:ascii="Arial" w:hAnsi="Arial" w:cs="Arial"/>
        </w:rPr>
        <w:t xml:space="preserve"> 2</w:t>
      </w:r>
      <w:r>
        <w:rPr>
          <w:rFonts w:ascii="Arial" w:hAnsi="Arial" w:cs="Arial"/>
        </w:rPr>
        <w:t>699</w:t>
      </w:r>
    </w:p>
    <w:p w14:paraId="1290CF0F" w14:textId="77777777" w:rsidR="00A033AE" w:rsidRPr="00272723" w:rsidRDefault="00A033AE" w:rsidP="00A033AE">
      <w:pPr>
        <w:spacing w:line="360" w:lineRule="auto"/>
        <w:jc w:val="center"/>
        <w:rPr>
          <w:rFonts w:ascii="Arial" w:hAnsi="Arial" w:cs="Arial"/>
        </w:rPr>
      </w:pPr>
      <w:r w:rsidRPr="00272723">
        <w:rPr>
          <w:rFonts w:ascii="Arial" w:hAnsi="Arial" w:cs="Arial"/>
          <w:b/>
          <w:bCs/>
        </w:rPr>
        <w:t>University of Wales Trinity Saint David</w:t>
      </w:r>
    </w:p>
    <w:p w14:paraId="58642BEB" w14:textId="77777777" w:rsidR="00A033AE" w:rsidRPr="00272723" w:rsidRDefault="00A033AE" w:rsidP="00A033AE">
      <w:pPr>
        <w:spacing w:line="360" w:lineRule="auto"/>
        <w:jc w:val="center"/>
        <w:rPr>
          <w:rFonts w:ascii="Arial" w:hAnsi="Arial" w:cs="Arial"/>
        </w:rPr>
      </w:pPr>
      <w:r w:rsidRPr="00272723">
        <w:rPr>
          <w:rFonts w:ascii="Arial" w:hAnsi="Arial" w:cs="Arial"/>
          <w:b/>
          <w:bCs/>
        </w:rPr>
        <w:t>Birmingham Campus</w:t>
      </w:r>
    </w:p>
    <w:p w14:paraId="1114CB29" w14:textId="0473664E" w:rsidR="006E4D8E" w:rsidRPr="00A033AE" w:rsidRDefault="00A033AE" w:rsidP="00A033AE">
      <w:pPr>
        <w:spacing w:line="360" w:lineRule="auto"/>
        <w:jc w:val="center"/>
        <w:rPr>
          <w:rFonts w:ascii="Arial" w:hAnsi="Arial" w:cs="Arial"/>
        </w:rPr>
      </w:pPr>
      <w:r w:rsidRPr="00272723">
        <w:rPr>
          <w:rFonts w:ascii="Arial" w:hAnsi="Arial" w:cs="Arial"/>
          <w:b/>
          <w:bCs/>
        </w:rPr>
        <w:t>Academic Year: 2026–2027</w:t>
      </w:r>
    </w:p>
    <w:sdt>
      <w:sdtPr>
        <w:id w:val="1241603349"/>
        <w:docPartObj>
          <w:docPartGallery w:val="Table of Contents"/>
          <w:docPartUnique/>
        </w:docPartObj>
      </w:sdtPr>
      <w:sdtEndPr>
        <w:rPr>
          <w:rFonts w:ascii="Times New Roman" w:eastAsiaTheme="minorHAnsi" w:hAnsi="Times New Roman" w:cstheme="minorBidi"/>
          <w:b/>
          <w:bCs/>
          <w:noProof/>
          <w:color w:val="auto"/>
          <w:kern w:val="2"/>
          <w:sz w:val="24"/>
          <w:szCs w:val="24"/>
          <w14:ligatures w14:val="standardContextual"/>
        </w:rPr>
      </w:sdtEndPr>
      <w:sdtContent>
        <w:p w14:paraId="3E417904" w14:textId="24AD3CC4" w:rsidR="00D11ACD" w:rsidRPr="00D11ACD" w:rsidRDefault="00D11ACD" w:rsidP="00D11ACD">
          <w:pPr>
            <w:pStyle w:val="TOCHeading"/>
            <w:spacing w:line="360" w:lineRule="auto"/>
            <w:jc w:val="center"/>
            <w:rPr>
              <w:rFonts w:ascii="Times New Roman" w:hAnsi="Times New Roman" w:cs="Times New Roman"/>
              <w:b/>
              <w:bCs/>
              <w:color w:val="auto"/>
            </w:rPr>
          </w:pPr>
          <w:r w:rsidRPr="00D11ACD">
            <w:rPr>
              <w:rFonts w:ascii="Times New Roman" w:hAnsi="Times New Roman" w:cs="Times New Roman"/>
              <w:b/>
              <w:bCs/>
              <w:color w:val="auto"/>
            </w:rPr>
            <w:t>Table of Contents</w:t>
          </w:r>
        </w:p>
        <w:p w14:paraId="2ED942C9" w14:textId="1945CD49" w:rsidR="00D11ACD" w:rsidRDefault="00D11ACD" w:rsidP="00D11ACD">
          <w:pPr>
            <w:pStyle w:val="TOC1"/>
            <w:tabs>
              <w:tab w:val="right" w:leader="dot" w:pos="9350"/>
            </w:tabs>
            <w:spacing w:line="360" w:lineRule="auto"/>
            <w:rPr>
              <w:rFonts w:asciiTheme="minorHAnsi" w:eastAsiaTheme="minorEastAsia" w:hAnsiTheme="minorHAnsi"/>
              <w:noProof/>
            </w:rPr>
          </w:pPr>
          <w:r>
            <w:fldChar w:fldCharType="begin"/>
          </w:r>
          <w:r>
            <w:instrText xml:space="preserve"> TOC \o "1-3" \h \z \u </w:instrText>
          </w:r>
          <w:r>
            <w:fldChar w:fldCharType="separate"/>
          </w:r>
          <w:hyperlink w:anchor="_Toc243538458" w:history="1">
            <w:r w:rsidRPr="00516BC2">
              <w:rPr>
                <w:rStyle w:val="Hyperlink"/>
                <w:noProof/>
              </w:rPr>
              <w:t>Task 1: Marketing Environment Analysis</w:t>
            </w:r>
            <w:r>
              <w:rPr>
                <w:noProof/>
                <w:webHidden/>
              </w:rPr>
              <w:tab/>
            </w:r>
            <w:r>
              <w:rPr>
                <w:noProof/>
                <w:webHidden/>
              </w:rPr>
              <w:fldChar w:fldCharType="begin"/>
            </w:r>
            <w:r>
              <w:rPr>
                <w:noProof/>
                <w:webHidden/>
              </w:rPr>
              <w:instrText xml:space="preserve"> PAGEREF _Toc243538458 \h </w:instrText>
            </w:r>
            <w:r>
              <w:rPr>
                <w:noProof/>
                <w:webHidden/>
              </w:rPr>
            </w:r>
            <w:r>
              <w:rPr>
                <w:noProof/>
                <w:webHidden/>
              </w:rPr>
              <w:fldChar w:fldCharType="separate"/>
            </w:r>
            <w:r>
              <w:rPr>
                <w:noProof/>
                <w:webHidden/>
              </w:rPr>
              <w:t>3</w:t>
            </w:r>
            <w:r>
              <w:rPr>
                <w:noProof/>
                <w:webHidden/>
              </w:rPr>
              <w:fldChar w:fldCharType="end"/>
            </w:r>
          </w:hyperlink>
        </w:p>
        <w:p w14:paraId="5FE3EFEF" w14:textId="4A6C99ED" w:rsidR="00D11ACD" w:rsidRDefault="00D11ACD" w:rsidP="00D11ACD">
          <w:pPr>
            <w:pStyle w:val="TOC2"/>
            <w:tabs>
              <w:tab w:val="right" w:leader="dot" w:pos="9350"/>
            </w:tabs>
            <w:spacing w:line="360" w:lineRule="auto"/>
            <w:rPr>
              <w:rFonts w:asciiTheme="minorHAnsi" w:eastAsiaTheme="minorEastAsia" w:hAnsiTheme="minorHAnsi"/>
              <w:noProof/>
            </w:rPr>
          </w:pPr>
          <w:hyperlink w:anchor="_Toc243538459" w:history="1">
            <w:r w:rsidRPr="00516BC2">
              <w:rPr>
                <w:rStyle w:val="Hyperlink"/>
                <w:noProof/>
              </w:rPr>
              <w:t>1.1 Introduction and Company Context</w:t>
            </w:r>
            <w:r>
              <w:rPr>
                <w:noProof/>
                <w:webHidden/>
              </w:rPr>
              <w:tab/>
            </w:r>
            <w:r>
              <w:rPr>
                <w:noProof/>
                <w:webHidden/>
              </w:rPr>
              <w:fldChar w:fldCharType="begin"/>
            </w:r>
            <w:r>
              <w:rPr>
                <w:noProof/>
                <w:webHidden/>
              </w:rPr>
              <w:instrText xml:space="preserve"> PAGEREF _Toc243538459 \h </w:instrText>
            </w:r>
            <w:r>
              <w:rPr>
                <w:noProof/>
                <w:webHidden/>
              </w:rPr>
            </w:r>
            <w:r>
              <w:rPr>
                <w:noProof/>
                <w:webHidden/>
              </w:rPr>
              <w:fldChar w:fldCharType="separate"/>
            </w:r>
            <w:r>
              <w:rPr>
                <w:noProof/>
                <w:webHidden/>
              </w:rPr>
              <w:t>3</w:t>
            </w:r>
            <w:r>
              <w:rPr>
                <w:noProof/>
                <w:webHidden/>
              </w:rPr>
              <w:fldChar w:fldCharType="end"/>
            </w:r>
          </w:hyperlink>
        </w:p>
        <w:p w14:paraId="467898A3" w14:textId="6D36EDF1" w:rsidR="00D11ACD" w:rsidRDefault="00D11ACD" w:rsidP="00D11ACD">
          <w:pPr>
            <w:pStyle w:val="TOC2"/>
            <w:tabs>
              <w:tab w:val="right" w:leader="dot" w:pos="9350"/>
            </w:tabs>
            <w:spacing w:line="360" w:lineRule="auto"/>
            <w:rPr>
              <w:rFonts w:asciiTheme="minorHAnsi" w:eastAsiaTheme="minorEastAsia" w:hAnsiTheme="minorHAnsi"/>
              <w:noProof/>
            </w:rPr>
          </w:pPr>
          <w:hyperlink w:anchor="_Toc243538460" w:history="1">
            <w:r w:rsidRPr="00516BC2">
              <w:rPr>
                <w:rStyle w:val="Hyperlink"/>
                <w:noProof/>
              </w:rPr>
              <w:t>1.2 Natural Environment: Decarbonization and Circular Economy</w:t>
            </w:r>
            <w:r>
              <w:rPr>
                <w:noProof/>
                <w:webHidden/>
              </w:rPr>
              <w:tab/>
            </w:r>
            <w:r>
              <w:rPr>
                <w:noProof/>
                <w:webHidden/>
              </w:rPr>
              <w:fldChar w:fldCharType="begin"/>
            </w:r>
            <w:r>
              <w:rPr>
                <w:noProof/>
                <w:webHidden/>
              </w:rPr>
              <w:instrText xml:space="preserve"> PAGEREF _Toc243538460 \h </w:instrText>
            </w:r>
            <w:r>
              <w:rPr>
                <w:noProof/>
                <w:webHidden/>
              </w:rPr>
            </w:r>
            <w:r>
              <w:rPr>
                <w:noProof/>
                <w:webHidden/>
              </w:rPr>
              <w:fldChar w:fldCharType="separate"/>
            </w:r>
            <w:r>
              <w:rPr>
                <w:noProof/>
                <w:webHidden/>
              </w:rPr>
              <w:t>4</w:t>
            </w:r>
            <w:r>
              <w:rPr>
                <w:noProof/>
                <w:webHidden/>
              </w:rPr>
              <w:fldChar w:fldCharType="end"/>
            </w:r>
          </w:hyperlink>
        </w:p>
        <w:p w14:paraId="1B8485E0" w14:textId="65DE6211" w:rsidR="00D11ACD" w:rsidRDefault="00D11ACD" w:rsidP="00D11ACD">
          <w:pPr>
            <w:pStyle w:val="TOC3"/>
            <w:tabs>
              <w:tab w:val="right" w:leader="dot" w:pos="9350"/>
            </w:tabs>
            <w:spacing w:line="360" w:lineRule="auto"/>
            <w:rPr>
              <w:rFonts w:asciiTheme="minorHAnsi" w:eastAsiaTheme="minorEastAsia" w:hAnsiTheme="minorHAnsi"/>
              <w:noProof/>
            </w:rPr>
          </w:pPr>
          <w:hyperlink w:anchor="_Toc243538461" w:history="1">
            <w:r w:rsidRPr="00516BC2">
              <w:rPr>
                <w:rStyle w:val="Hyperlink"/>
                <w:noProof/>
              </w:rPr>
              <w:t>1.2.1 Climate Change and Aluminum Emissions</w:t>
            </w:r>
            <w:r>
              <w:rPr>
                <w:noProof/>
                <w:webHidden/>
              </w:rPr>
              <w:tab/>
            </w:r>
            <w:r>
              <w:rPr>
                <w:noProof/>
                <w:webHidden/>
              </w:rPr>
              <w:fldChar w:fldCharType="begin"/>
            </w:r>
            <w:r>
              <w:rPr>
                <w:noProof/>
                <w:webHidden/>
              </w:rPr>
              <w:instrText xml:space="preserve"> PAGEREF _Toc243538461 \h </w:instrText>
            </w:r>
            <w:r>
              <w:rPr>
                <w:noProof/>
                <w:webHidden/>
              </w:rPr>
            </w:r>
            <w:r>
              <w:rPr>
                <w:noProof/>
                <w:webHidden/>
              </w:rPr>
              <w:fldChar w:fldCharType="separate"/>
            </w:r>
            <w:r>
              <w:rPr>
                <w:noProof/>
                <w:webHidden/>
              </w:rPr>
              <w:t>4</w:t>
            </w:r>
            <w:r>
              <w:rPr>
                <w:noProof/>
                <w:webHidden/>
              </w:rPr>
              <w:fldChar w:fldCharType="end"/>
            </w:r>
          </w:hyperlink>
        </w:p>
        <w:p w14:paraId="4610A1FD" w14:textId="02A15567" w:rsidR="00D11ACD" w:rsidRDefault="00D11ACD" w:rsidP="00D11ACD">
          <w:pPr>
            <w:pStyle w:val="TOC3"/>
            <w:tabs>
              <w:tab w:val="right" w:leader="dot" w:pos="9350"/>
            </w:tabs>
            <w:spacing w:line="360" w:lineRule="auto"/>
            <w:rPr>
              <w:rFonts w:asciiTheme="minorHAnsi" w:eastAsiaTheme="minorEastAsia" w:hAnsiTheme="minorHAnsi"/>
              <w:noProof/>
            </w:rPr>
          </w:pPr>
          <w:hyperlink w:anchor="_Toc243538462" w:history="1">
            <w:r w:rsidRPr="00516BC2">
              <w:rPr>
                <w:rStyle w:val="Hyperlink"/>
                <w:noProof/>
              </w:rPr>
              <w:t>1.2.2 Resource Scarcity and Circular Economy</w:t>
            </w:r>
            <w:r>
              <w:rPr>
                <w:noProof/>
                <w:webHidden/>
              </w:rPr>
              <w:tab/>
            </w:r>
            <w:r>
              <w:rPr>
                <w:noProof/>
                <w:webHidden/>
              </w:rPr>
              <w:fldChar w:fldCharType="begin"/>
            </w:r>
            <w:r>
              <w:rPr>
                <w:noProof/>
                <w:webHidden/>
              </w:rPr>
              <w:instrText xml:space="preserve"> PAGEREF _Toc243538462 \h </w:instrText>
            </w:r>
            <w:r>
              <w:rPr>
                <w:noProof/>
                <w:webHidden/>
              </w:rPr>
            </w:r>
            <w:r>
              <w:rPr>
                <w:noProof/>
                <w:webHidden/>
              </w:rPr>
              <w:fldChar w:fldCharType="separate"/>
            </w:r>
            <w:r>
              <w:rPr>
                <w:noProof/>
                <w:webHidden/>
              </w:rPr>
              <w:t>5</w:t>
            </w:r>
            <w:r>
              <w:rPr>
                <w:noProof/>
                <w:webHidden/>
              </w:rPr>
              <w:fldChar w:fldCharType="end"/>
            </w:r>
          </w:hyperlink>
        </w:p>
        <w:p w14:paraId="072348EC" w14:textId="3889FDBF" w:rsidR="00D11ACD" w:rsidRDefault="00D11ACD" w:rsidP="00D11ACD">
          <w:pPr>
            <w:pStyle w:val="TOC2"/>
            <w:tabs>
              <w:tab w:val="right" w:leader="dot" w:pos="9350"/>
            </w:tabs>
            <w:spacing w:line="360" w:lineRule="auto"/>
            <w:rPr>
              <w:rFonts w:asciiTheme="minorHAnsi" w:eastAsiaTheme="minorEastAsia" w:hAnsiTheme="minorHAnsi"/>
              <w:noProof/>
            </w:rPr>
          </w:pPr>
          <w:hyperlink w:anchor="_Toc243538463" w:history="1">
            <w:r w:rsidRPr="00516BC2">
              <w:rPr>
                <w:rStyle w:val="Hyperlink"/>
                <w:noProof/>
              </w:rPr>
              <w:t>1.2.3 Energy Dependence and Environmental Trade-offs</w:t>
            </w:r>
            <w:r>
              <w:rPr>
                <w:noProof/>
                <w:webHidden/>
              </w:rPr>
              <w:tab/>
            </w:r>
            <w:r>
              <w:rPr>
                <w:noProof/>
                <w:webHidden/>
              </w:rPr>
              <w:fldChar w:fldCharType="begin"/>
            </w:r>
            <w:r>
              <w:rPr>
                <w:noProof/>
                <w:webHidden/>
              </w:rPr>
              <w:instrText xml:space="preserve"> PAGEREF _Toc243538463 \h </w:instrText>
            </w:r>
            <w:r>
              <w:rPr>
                <w:noProof/>
                <w:webHidden/>
              </w:rPr>
            </w:r>
            <w:r>
              <w:rPr>
                <w:noProof/>
                <w:webHidden/>
              </w:rPr>
              <w:fldChar w:fldCharType="separate"/>
            </w:r>
            <w:r>
              <w:rPr>
                <w:noProof/>
                <w:webHidden/>
              </w:rPr>
              <w:t>5</w:t>
            </w:r>
            <w:r>
              <w:rPr>
                <w:noProof/>
                <w:webHidden/>
              </w:rPr>
              <w:fldChar w:fldCharType="end"/>
            </w:r>
          </w:hyperlink>
        </w:p>
        <w:p w14:paraId="6FB12953" w14:textId="27261B48" w:rsidR="00D11ACD" w:rsidRDefault="00D11ACD" w:rsidP="00D11ACD">
          <w:pPr>
            <w:pStyle w:val="TOC2"/>
            <w:tabs>
              <w:tab w:val="right" w:leader="dot" w:pos="9350"/>
            </w:tabs>
            <w:spacing w:line="360" w:lineRule="auto"/>
            <w:rPr>
              <w:rFonts w:asciiTheme="minorHAnsi" w:eastAsiaTheme="minorEastAsia" w:hAnsiTheme="minorHAnsi"/>
              <w:noProof/>
            </w:rPr>
          </w:pPr>
          <w:hyperlink w:anchor="_Toc243538464" w:history="1">
            <w:r w:rsidRPr="00516BC2">
              <w:rPr>
                <w:rStyle w:val="Hyperlink"/>
                <w:noProof/>
              </w:rPr>
              <w:t>1.3 External Suppliers and Recycling Networks</w:t>
            </w:r>
            <w:r>
              <w:rPr>
                <w:noProof/>
                <w:webHidden/>
              </w:rPr>
              <w:tab/>
            </w:r>
            <w:r>
              <w:rPr>
                <w:noProof/>
                <w:webHidden/>
              </w:rPr>
              <w:fldChar w:fldCharType="begin"/>
            </w:r>
            <w:r>
              <w:rPr>
                <w:noProof/>
                <w:webHidden/>
              </w:rPr>
              <w:instrText xml:space="preserve"> PAGEREF _Toc243538464 \h </w:instrText>
            </w:r>
            <w:r>
              <w:rPr>
                <w:noProof/>
                <w:webHidden/>
              </w:rPr>
            </w:r>
            <w:r>
              <w:rPr>
                <w:noProof/>
                <w:webHidden/>
              </w:rPr>
              <w:fldChar w:fldCharType="separate"/>
            </w:r>
            <w:r>
              <w:rPr>
                <w:noProof/>
                <w:webHidden/>
              </w:rPr>
              <w:t>5</w:t>
            </w:r>
            <w:r>
              <w:rPr>
                <w:noProof/>
                <w:webHidden/>
              </w:rPr>
              <w:fldChar w:fldCharType="end"/>
            </w:r>
          </w:hyperlink>
        </w:p>
        <w:p w14:paraId="7A8B39B4" w14:textId="78261A32" w:rsidR="00D11ACD" w:rsidRDefault="00D11ACD" w:rsidP="00D11ACD">
          <w:pPr>
            <w:pStyle w:val="TOC2"/>
            <w:tabs>
              <w:tab w:val="right" w:leader="dot" w:pos="9350"/>
            </w:tabs>
            <w:spacing w:line="360" w:lineRule="auto"/>
            <w:rPr>
              <w:rFonts w:asciiTheme="minorHAnsi" w:eastAsiaTheme="minorEastAsia" w:hAnsiTheme="minorHAnsi"/>
              <w:noProof/>
            </w:rPr>
          </w:pPr>
          <w:hyperlink w:anchor="_Toc243538465" w:history="1">
            <w:r w:rsidRPr="00516BC2">
              <w:rPr>
                <w:rStyle w:val="Hyperlink"/>
                <w:noProof/>
              </w:rPr>
              <w:t>1.4 Competitors and Low-Carbon Market Differentiation</w:t>
            </w:r>
            <w:r>
              <w:rPr>
                <w:noProof/>
                <w:webHidden/>
              </w:rPr>
              <w:tab/>
            </w:r>
            <w:r>
              <w:rPr>
                <w:noProof/>
                <w:webHidden/>
              </w:rPr>
              <w:fldChar w:fldCharType="begin"/>
            </w:r>
            <w:r>
              <w:rPr>
                <w:noProof/>
                <w:webHidden/>
              </w:rPr>
              <w:instrText xml:space="preserve"> PAGEREF _Toc243538465 \h </w:instrText>
            </w:r>
            <w:r>
              <w:rPr>
                <w:noProof/>
                <w:webHidden/>
              </w:rPr>
            </w:r>
            <w:r>
              <w:rPr>
                <w:noProof/>
                <w:webHidden/>
              </w:rPr>
              <w:fldChar w:fldCharType="separate"/>
            </w:r>
            <w:r>
              <w:rPr>
                <w:noProof/>
                <w:webHidden/>
              </w:rPr>
              <w:t>6</w:t>
            </w:r>
            <w:r>
              <w:rPr>
                <w:noProof/>
                <w:webHidden/>
              </w:rPr>
              <w:fldChar w:fldCharType="end"/>
            </w:r>
          </w:hyperlink>
        </w:p>
        <w:p w14:paraId="4A31A59A" w14:textId="56BC7628" w:rsidR="00D11ACD" w:rsidRDefault="00D11ACD" w:rsidP="00D11ACD">
          <w:pPr>
            <w:pStyle w:val="TOC2"/>
            <w:tabs>
              <w:tab w:val="right" w:leader="dot" w:pos="9350"/>
            </w:tabs>
            <w:spacing w:line="360" w:lineRule="auto"/>
            <w:rPr>
              <w:rFonts w:asciiTheme="minorHAnsi" w:eastAsiaTheme="minorEastAsia" w:hAnsiTheme="minorHAnsi"/>
              <w:noProof/>
            </w:rPr>
          </w:pPr>
          <w:hyperlink w:anchor="_Toc243538466" w:history="1">
            <w:r w:rsidRPr="00516BC2">
              <w:rPr>
                <w:rStyle w:val="Hyperlink"/>
                <w:noProof/>
              </w:rPr>
              <w:t>1.5 Critical Synthesis of Opportunities and Threats</w:t>
            </w:r>
            <w:r>
              <w:rPr>
                <w:noProof/>
                <w:webHidden/>
              </w:rPr>
              <w:tab/>
            </w:r>
            <w:r>
              <w:rPr>
                <w:noProof/>
                <w:webHidden/>
              </w:rPr>
              <w:fldChar w:fldCharType="begin"/>
            </w:r>
            <w:r>
              <w:rPr>
                <w:noProof/>
                <w:webHidden/>
              </w:rPr>
              <w:instrText xml:space="preserve"> PAGEREF _Toc243538466 \h </w:instrText>
            </w:r>
            <w:r>
              <w:rPr>
                <w:noProof/>
                <w:webHidden/>
              </w:rPr>
            </w:r>
            <w:r>
              <w:rPr>
                <w:noProof/>
                <w:webHidden/>
              </w:rPr>
              <w:fldChar w:fldCharType="separate"/>
            </w:r>
            <w:r>
              <w:rPr>
                <w:noProof/>
                <w:webHidden/>
              </w:rPr>
              <w:t>7</w:t>
            </w:r>
            <w:r>
              <w:rPr>
                <w:noProof/>
                <w:webHidden/>
              </w:rPr>
              <w:fldChar w:fldCharType="end"/>
            </w:r>
          </w:hyperlink>
        </w:p>
        <w:p w14:paraId="6DAADE7B" w14:textId="05DD77E2" w:rsidR="00D11ACD" w:rsidRDefault="00D11ACD" w:rsidP="00D11ACD">
          <w:pPr>
            <w:pStyle w:val="TOC1"/>
            <w:tabs>
              <w:tab w:val="right" w:leader="dot" w:pos="9350"/>
            </w:tabs>
            <w:spacing w:line="360" w:lineRule="auto"/>
            <w:rPr>
              <w:rFonts w:asciiTheme="minorHAnsi" w:eastAsiaTheme="minorEastAsia" w:hAnsiTheme="minorHAnsi"/>
              <w:noProof/>
            </w:rPr>
          </w:pPr>
          <w:hyperlink w:anchor="_Toc243538467" w:history="1">
            <w:r w:rsidRPr="00516BC2">
              <w:rPr>
                <w:rStyle w:val="Hyperlink"/>
                <w:noProof/>
              </w:rPr>
              <w:t>Task 2: Strategic Growth and Competitive Positioning</w:t>
            </w:r>
            <w:r>
              <w:rPr>
                <w:noProof/>
                <w:webHidden/>
              </w:rPr>
              <w:tab/>
            </w:r>
            <w:r>
              <w:rPr>
                <w:noProof/>
                <w:webHidden/>
              </w:rPr>
              <w:fldChar w:fldCharType="begin"/>
            </w:r>
            <w:r>
              <w:rPr>
                <w:noProof/>
                <w:webHidden/>
              </w:rPr>
              <w:instrText xml:space="preserve"> PAGEREF _Toc243538467 \h </w:instrText>
            </w:r>
            <w:r>
              <w:rPr>
                <w:noProof/>
                <w:webHidden/>
              </w:rPr>
            </w:r>
            <w:r>
              <w:rPr>
                <w:noProof/>
                <w:webHidden/>
              </w:rPr>
              <w:fldChar w:fldCharType="separate"/>
            </w:r>
            <w:r>
              <w:rPr>
                <w:noProof/>
                <w:webHidden/>
              </w:rPr>
              <w:t>7</w:t>
            </w:r>
            <w:r>
              <w:rPr>
                <w:noProof/>
                <w:webHidden/>
              </w:rPr>
              <w:fldChar w:fldCharType="end"/>
            </w:r>
          </w:hyperlink>
        </w:p>
        <w:p w14:paraId="4F261735" w14:textId="4A06334A" w:rsidR="00D11ACD" w:rsidRDefault="00D11ACD" w:rsidP="00D11ACD">
          <w:pPr>
            <w:pStyle w:val="TOC2"/>
            <w:tabs>
              <w:tab w:val="right" w:leader="dot" w:pos="9350"/>
            </w:tabs>
            <w:spacing w:line="360" w:lineRule="auto"/>
            <w:rPr>
              <w:rFonts w:asciiTheme="minorHAnsi" w:eastAsiaTheme="minorEastAsia" w:hAnsiTheme="minorHAnsi"/>
              <w:noProof/>
            </w:rPr>
          </w:pPr>
          <w:hyperlink w:anchor="_Toc243538468" w:history="1">
            <w:r w:rsidRPr="00516BC2">
              <w:rPr>
                <w:rStyle w:val="Hyperlink"/>
                <w:noProof/>
              </w:rPr>
              <w:t>2.1 Evaluating Growth Opportunities Using Ansoff's Matrix</w:t>
            </w:r>
            <w:r>
              <w:rPr>
                <w:noProof/>
                <w:webHidden/>
              </w:rPr>
              <w:tab/>
            </w:r>
            <w:r>
              <w:rPr>
                <w:noProof/>
                <w:webHidden/>
              </w:rPr>
              <w:fldChar w:fldCharType="begin"/>
            </w:r>
            <w:r>
              <w:rPr>
                <w:noProof/>
                <w:webHidden/>
              </w:rPr>
              <w:instrText xml:space="preserve"> PAGEREF _Toc243538468 \h </w:instrText>
            </w:r>
            <w:r>
              <w:rPr>
                <w:noProof/>
                <w:webHidden/>
              </w:rPr>
            </w:r>
            <w:r>
              <w:rPr>
                <w:noProof/>
                <w:webHidden/>
              </w:rPr>
              <w:fldChar w:fldCharType="separate"/>
            </w:r>
            <w:r>
              <w:rPr>
                <w:noProof/>
                <w:webHidden/>
              </w:rPr>
              <w:t>7</w:t>
            </w:r>
            <w:r>
              <w:rPr>
                <w:noProof/>
                <w:webHidden/>
              </w:rPr>
              <w:fldChar w:fldCharType="end"/>
            </w:r>
          </w:hyperlink>
        </w:p>
        <w:p w14:paraId="03553648" w14:textId="41449744" w:rsidR="00D11ACD" w:rsidRDefault="00D11ACD" w:rsidP="00D11ACD">
          <w:pPr>
            <w:pStyle w:val="TOC2"/>
            <w:tabs>
              <w:tab w:val="right" w:leader="dot" w:pos="9350"/>
            </w:tabs>
            <w:spacing w:line="360" w:lineRule="auto"/>
            <w:rPr>
              <w:rFonts w:asciiTheme="minorHAnsi" w:eastAsiaTheme="minorEastAsia" w:hAnsiTheme="minorHAnsi"/>
              <w:noProof/>
            </w:rPr>
          </w:pPr>
          <w:hyperlink w:anchor="_Toc243538469" w:history="1">
            <w:r w:rsidRPr="00516BC2">
              <w:rPr>
                <w:rStyle w:val="Hyperlink"/>
                <w:noProof/>
              </w:rPr>
              <w:t>2.2 Recommended Market Development Strategy</w:t>
            </w:r>
            <w:r>
              <w:rPr>
                <w:noProof/>
                <w:webHidden/>
              </w:rPr>
              <w:tab/>
            </w:r>
            <w:r>
              <w:rPr>
                <w:noProof/>
                <w:webHidden/>
              </w:rPr>
              <w:fldChar w:fldCharType="begin"/>
            </w:r>
            <w:r>
              <w:rPr>
                <w:noProof/>
                <w:webHidden/>
              </w:rPr>
              <w:instrText xml:space="preserve"> PAGEREF _Toc243538469 \h </w:instrText>
            </w:r>
            <w:r>
              <w:rPr>
                <w:noProof/>
                <w:webHidden/>
              </w:rPr>
            </w:r>
            <w:r>
              <w:rPr>
                <w:noProof/>
                <w:webHidden/>
              </w:rPr>
              <w:fldChar w:fldCharType="separate"/>
            </w:r>
            <w:r>
              <w:rPr>
                <w:noProof/>
                <w:webHidden/>
              </w:rPr>
              <w:t>8</w:t>
            </w:r>
            <w:r>
              <w:rPr>
                <w:noProof/>
                <w:webHidden/>
              </w:rPr>
              <w:fldChar w:fldCharType="end"/>
            </w:r>
          </w:hyperlink>
        </w:p>
        <w:p w14:paraId="77101C74" w14:textId="687760FF" w:rsidR="00D11ACD" w:rsidRDefault="00D11ACD" w:rsidP="00D11ACD">
          <w:pPr>
            <w:pStyle w:val="TOC2"/>
            <w:tabs>
              <w:tab w:val="right" w:leader="dot" w:pos="9350"/>
            </w:tabs>
            <w:spacing w:line="360" w:lineRule="auto"/>
            <w:rPr>
              <w:rFonts w:asciiTheme="minorHAnsi" w:eastAsiaTheme="minorEastAsia" w:hAnsiTheme="minorHAnsi"/>
              <w:noProof/>
            </w:rPr>
          </w:pPr>
          <w:hyperlink w:anchor="_Toc243538470" w:history="1">
            <w:r w:rsidRPr="00516BC2">
              <w:rPr>
                <w:rStyle w:val="Hyperlink"/>
                <w:noProof/>
              </w:rPr>
              <w:t>2.3 Competitive Advantage Through Differentiation</w:t>
            </w:r>
            <w:r>
              <w:rPr>
                <w:noProof/>
                <w:webHidden/>
              </w:rPr>
              <w:tab/>
            </w:r>
            <w:r>
              <w:rPr>
                <w:noProof/>
                <w:webHidden/>
              </w:rPr>
              <w:fldChar w:fldCharType="begin"/>
            </w:r>
            <w:r>
              <w:rPr>
                <w:noProof/>
                <w:webHidden/>
              </w:rPr>
              <w:instrText xml:space="preserve"> PAGEREF _Toc243538470 \h </w:instrText>
            </w:r>
            <w:r>
              <w:rPr>
                <w:noProof/>
                <w:webHidden/>
              </w:rPr>
            </w:r>
            <w:r>
              <w:rPr>
                <w:noProof/>
                <w:webHidden/>
              </w:rPr>
              <w:fldChar w:fldCharType="separate"/>
            </w:r>
            <w:r>
              <w:rPr>
                <w:noProof/>
                <w:webHidden/>
              </w:rPr>
              <w:t>9</w:t>
            </w:r>
            <w:r>
              <w:rPr>
                <w:noProof/>
                <w:webHidden/>
              </w:rPr>
              <w:fldChar w:fldCharType="end"/>
            </w:r>
          </w:hyperlink>
        </w:p>
        <w:p w14:paraId="4020861A" w14:textId="598C3FA5" w:rsidR="00D11ACD" w:rsidRDefault="00D11ACD" w:rsidP="00D11ACD">
          <w:pPr>
            <w:pStyle w:val="TOC2"/>
            <w:tabs>
              <w:tab w:val="right" w:leader="dot" w:pos="9350"/>
            </w:tabs>
            <w:spacing w:line="360" w:lineRule="auto"/>
            <w:rPr>
              <w:rFonts w:asciiTheme="minorHAnsi" w:eastAsiaTheme="minorEastAsia" w:hAnsiTheme="minorHAnsi"/>
              <w:noProof/>
            </w:rPr>
          </w:pPr>
          <w:hyperlink w:anchor="_Toc243538471" w:history="1">
            <w:r w:rsidRPr="00516BC2">
              <w:rPr>
                <w:rStyle w:val="Hyperlink"/>
                <w:noProof/>
              </w:rPr>
              <w:t>2.4 Implementation, Risks and Performance Measurement</w:t>
            </w:r>
            <w:r>
              <w:rPr>
                <w:noProof/>
                <w:webHidden/>
              </w:rPr>
              <w:tab/>
            </w:r>
            <w:r>
              <w:rPr>
                <w:noProof/>
                <w:webHidden/>
              </w:rPr>
              <w:fldChar w:fldCharType="begin"/>
            </w:r>
            <w:r>
              <w:rPr>
                <w:noProof/>
                <w:webHidden/>
              </w:rPr>
              <w:instrText xml:space="preserve"> PAGEREF _Toc243538471 \h </w:instrText>
            </w:r>
            <w:r>
              <w:rPr>
                <w:noProof/>
                <w:webHidden/>
              </w:rPr>
            </w:r>
            <w:r>
              <w:rPr>
                <w:noProof/>
                <w:webHidden/>
              </w:rPr>
              <w:fldChar w:fldCharType="separate"/>
            </w:r>
            <w:r>
              <w:rPr>
                <w:noProof/>
                <w:webHidden/>
              </w:rPr>
              <w:t>9</w:t>
            </w:r>
            <w:r>
              <w:rPr>
                <w:noProof/>
                <w:webHidden/>
              </w:rPr>
              <w:fldChar w:fldCharType="end"/>
            </w:r>
          </w:hyperlink>
        </w:p>
        <w:p w14:paraId="3AC57CDF" w14:textId="68884E34" w:rsidR="00D11ACD" w:rsidRDefault="00D11ACD" w:rsidP="00D11ACD">
          <w:pPr>
            <w:pStyle w:val="TOC1"/>
            <w:tabs>
              <w:tab w:val="right" w:leader="dot" w:pos="9350"/>
            </w:tabs>
            <w:spacing w:line="360" w:lineRule="auto"/>
            <w:rPr>
              <w:rFonts w:asciiTheme="minorHAnsi" w:eastAsiaTheme="minorEastAsia" w:hAnsiTheme="minorHAnsi"/>
              <w:noProof/>
            </w:rPr>
          </w:pPr>
          <w:hyperlink w:anchor="_Toc243538472" w:history="1">
            <w:r w:rsidRPr="00516BC2">
              <w:rPr>
                <w:rStyle w:val="Hyperlink"/>
                <w:noProof/>
              </w:rPr>
              <w:t>Task 3: Managerial and Professional Reflection</w:t>
            </w:r>
            <w:r>
              <w:rPr>
                <w:noProof/>
                <w:webHidden/>
              </w:rPr>
              <w:tab/>
            </w:r>
            <w:r>
              <w:rPr>
                <w:noProof/>
                <w:webHidden/>
              </w:rPr>
              <w:fldChar w:fldCharType="begin"/>
            </w:r>
            <w:r>
              <w:rPr>
                <w:noProof/>
                <w:webHidden/>
              </w:rPr>
              <w:instrText xml:space="preserve"> PAGEREF _Toc243538472 \h </w:instrText>
            </w:r>
            <w:r>
              <w:rPr>
                <w:noProof/>
                <w:webHidden/>
              </w:rPr>
            </w:r>
            <w:r>
              <w:rPr>
                <w:noProof/>
                <w:webHidden/>
              </w:rPr>
              <w:fldChar w:fldCharType="separate"/>
            </w:r>
            <w:r>
              <w:rPr>
                <w:noProof/>
                <w:webHidden/>
              </w:rPr>
              <w:t>10</w:t>
            </w:r>
            <w:r>
              <w:rPr>
                <w:noProof/>
                <w:webHidden/>
              </w:rPr>
              <w:fldChar w:fldCharType="end"/>
            </w:r>
          </w:hyperlink>
        </w:p>
        <w:p w14:paraId="4554404B" w14:textId="6A451677" w:rsidR="00D11ACD" w:rsidRDefault="00D11ACD" w:rsidP="00D11ACD">
          <w:pPr>
            <w:pStyle w:val="TOC2"/>
            <w:tabs>
              <w:tab w:val="right" w:leader="dot" w:pos="9350"/>
            </w:tabs>
            <w:spacing w:line="360" w:lineRule="auto"/>
            <w:rPr>
              <w:rFonts w:asciiTheme="minorHAnsi" w:eastAsiaTheme="minorEastAsia" w:hAnsiTheme="minorHAnsi"/>
              <w:noProof/>
            </w:rPr>
          </w:pPr>
          <w:hyperlink w:anchor="_Toc243538473" w:history="1">
            <w:r w:rsidRPr="00516BC2">
              <w:rPr>
                <w:rStyle w:val="Hyperlink"/>
                <w:noProof/>
              </w:rPr>
              <w:t>3.1 Reflection on Organization and Environmental Actor Selection</w:t>
            </w:r>
            <w:r>
              <w:rPr>
                <w:noProof/>
                <w:webHidden/>
              </w:rPr>
              <w:tab/>
            </w:r>
            <w:r>
              <w:rPr>
                <w:noProof/>
                <w:webHidden/>
              </w:rPr>
              <w:fldChar w:fldCharType="begin"/>
            </w:r>
            <w:r>
              <w:rPr>
                <w:noProof/>
                <w:webHidden/>
              </w:rPr>
              <w:instrText xml:space="preserve"> PAGEREF _Toc243538473 \h </w:instrText>
            </w:r>
            <w:r>
              <w:rPr>
                <w:noProof/>
                <w:webHidden/>
              </w:rPr>
            </w:r>
            <w:r>
              <w:rPr>
                <w:noProof/>
                <w:webHidden/>
              </w:rPr>
              <w:fldChar w:fldCharType="separate"/>
            </w:r>
            <w:r>
              <w:rPr>
                <w:noProof/>
                <w:webHidden/>
              </w:rPr>
              <w:t>10</w:t>
            </w:r>
            <w:r>
              <w:rPr>
                <w:noProof/>
                <w:webHidden/>
              </w:rPr>
              <w:fldChar w:fldCharType="end"/>
            </w:r>
          </w:hyperlink>
        </w:p>
        <w:p w14:paraId="4C334973" w14:textId="5F2F9743" w:rsidR="00D11ACD" w:rsidRDefault="00D11ACD" w:rsidP="00D11ACD">
          <w:pPr>
            <w:pStyle w:val="TOC2"/>
            <w:tabs>
              <w:tab w:val="right" w:leader="dot" w:pos="9350"/>
            </w:tabs>
            <w:spacing w:line="360" w:lineRule="auto"/>
            <w:rPr>
              <w:rFonts w:asciiTheme="minorHAnsi" w:eastAsiaTheme="minorEastAsia" w:hAnsiTheme="minorHAnsi"/>
              <w:noProof/>
            </w:rPr>
          </w:pPr>
          <w:hyperlink w:anchor="_Toc243538474" w:history="1">
            <w:r w:rsidRPr="00516BC2">
              <w:rPr>
                <w:rStyle w:val="Hyperlink"/>
                <w:noProof/>
              </w:rPr>
              <w:t>3.2 Reflection on Strategic Alternatives</w:t>
            </w:r>
            <w:r>
              <w:rPr>
                <w:noProof/>
                <w:webHidden/>
              </w:rPr>
              <w:tab/>
            </w:r>
            <w:r>
              <w:rPr>
                <w:noProof/>
                <w:webHidden/>
              </w:rPr>
              <w:fldChar w:fldCharType="begin"/>
            </w:r>
            <w:r>
              <w:rPr>
                <w:noProof/>
                <w:webHidden/>
              </w:rPr>
              <w:instrText xml:space="preserve"> PAGEREF _Toc243538474 \h </w:instrText>
            </w:r>
            <w:r>
              <w:rPr>
                <w:noProof/>
                <w:webHidden/>
              </w:rPr>
            </w:r>
            <w:r>
              <w:rPr>
                <w:noProof/>
                <w:webHidden/>
              </w:rPr>
              <w:fldChar w:fldCharType="separate"/>
            </w:r>
            <w:r>
              <w:rPr>
                <w:noProof/>
                <w:webHidden/>
              </w:rPr>
              <w:t>11</w:t>
            </w:r>
            <w:r>
              <w:rPr>
                <w:noProof/>
                <w:webHidden/>
              </w:rPr>
              <w:fldChar w:fldCharType="end"/>
            </w:r>
          </w:hyperlink>
        </w:p>
        <w:p w14:paraId="66959033" w14:textId="605A1647" w:rsidR="00D11ACD" w:rsidRDefault="00D11ACD" w:rsidP="00D11ACD">
          <w:pPr>
            <w:pStyle w:val="TOC2"/>
            <w:tabs>
              <w:tab w:val="right" w:leader="dot" w:pos="9350"/>
            </w:tabs>
            <w:spacing w:line="360" w:lineRule="auto"/>
            <w:rPr>
              <w:rFonts w:asciiTheme="minorHAnsi" w:eastAsiaTheme="minorEastAsia" w:hAnsiTheme="minorHAnsi"/>
              <w:noProof/>
            </w:rPr>
          </w:pPr>
          <w:hyperlink w:anchor="_Toc243538475" w:history="1">
            <w:r w:rsidRPr="00516BC2">
              <w:rPr>
                <w:rStyle w:val="Hyperlink"/>
                <w:noProof/>
              </w:rPr>
              <w:t>3.3 Research Limitations and Further Consultancy Investigation</w:t>
            </w:r>
            <w:r>
              <w:rPr>
                <w:noProof/>
                <w:webHidden/>
              </w:rPr>
              <w:tab/>
            </w:r>
            <w:r>
              <w:rPr>
                <w:noProof/>
                <w:webHidden/>
              </w:rPr>
              <w:fldChar w:fldCharType="begin"/>
            </w:r>
            <w:r>
              <w:rPr>
                <w:noProof/>
                <w:webHidden/>
              </w:rPr>
              <w:instrText xml:space="preserve"> PAGEREF _Toc243538475 \h </w:instrText>
            </w:r>
            <w:r>
              <w:rPr>
                <w:noProof/>
                <w:webHidden/>
              </w:rPr>
            </w:r>
            <w:r>
              <w:rPr>
                <w:noProof/>
                <w:webHidden/>
              </w:rPr>
              <w:fldChar w:fldCharType="separate"/>
            </w:r>
            <w:r>
              <w:rPr>
                <w:noProof/>
                <w:webHidden/>
              </w:rPr>
              <w:t>11</w:t>
            </w:r>
            <w:r>
              <w:rPr>
                <w:noProof/>
                <w:webHidden/>
              </w:rPr>
              <w:fldChar w:fldCharType="end"/>
            </w:r>
          </w:hyperlink>
        </w:p>
        <w:p w14:paraId="12C9E30D" w14:textId="04906C5E" w:rsidR="00D11ACD" w:rsidRDefault="00D11ACD" w:rsidP="00D11ACD">
          <w:pPr>
            <w:pStyle w:val="TOC2"/>
            <w:tabs>
              <w:tab w:val="right" w:leader="dot" w:pos="9350"/>
            </w:tabs>
            <w:spacing w:line="360" w:lineRule="auto"/>
            <w:rPr>
              <w:rFonts w:asciiTheme="minorHAnsi" w:eastAsiaTheme="minorEastAsia" w:hAnsiTheme="minorHAnsi"/>
              <w:noProof/>
            </w:rPr>
          </w:pPr>
          <w:hyperlink w:anchor="_Toc243538476" w:history="1">
            <w:r w:rsidRPr="00516BC2">
              <w:rPr>
                <w:rStyle w:val="Hyperlink"/>
                <w:noProof/>
              </w:rPr>
              <w:t>3.4 Professional Learning and Development</w:t>
            </w:r>
            <w:r>
              <w:rPr>
                <w:noProof/>
                <w:webHidden/>
              </w:rPr>
              <w:tab/>
            </w:r>
            <w:r>
              <w:rPr>
                <w:noProof/>
                <w:webHidden/>
              </w:rPr>
              <w:fldChar w:fldCharType="begin"/>
            </w:r>
            <w:r>
              <w:rPr>
                <w:noProof/>
                <w:webHidden/>
              </w:rPr>
              <w:instrText xml:space="preserve"> PAGEREF _Toc243538476 \h </w:instrText>
            </w:r>
            <w:r>
              <w:rPr>
                <w:noProof/>
                <w:webHidden/>
              </w:rPr>
            </w:r>
            <w:r>
              <w:rPr>
                <w:noProof/>
                <w:webHidden/>
              </w:rPr>
              <w:fldChar w:fldCharType="separate"/>
            </w:r>
            <w:r>
              <w:rPr>
                <w:noProof/>
                <w:webHidden/>
              </w:rPr>
              <w:t>11</w:t>
            </w:r>
            <w:r>
              <w:rPr>
                <w:noProof/>
                <w:webHidden/>
              </w:rPr>
              <w:fldChar w:fldCharType="end"/>
            </w:r>
          </w:hyperlink>
        </w:p>
        <w:p w14:paraId="66181A20" w14:textId="394F0059" w:rsidR="00D11ACD" w:rsidRDefault="00D11ACD" w:rsidP="00D11ACD">
          <w:pPr>
            <w:pStyle w:val="TOC1"/>
            <w:tabs>
              <w:tab w:val="right" w:leader="dot" w:pos="9350"/>
            </w:tabs>
            <w:spacing w:line="360" w:lineRule="auto"/>
            <w:rPr>
              <w:rFonts w:asciiTheme="minorHAnsi" w:eastAsiaTheme="minorEastAsia" w:hAnsiTheme="minorHAnsi"/>
              <w:noProof/>
            </w:rPr>
          </w:pPr>
          <w:hyperlink w:anchor="_Toc243538477" w:history="1">
            <w:r w:rsidRPr="00516BC2">
              <w:rPr>
                <w:rStyle w:val="Hyperlink"/>
                <w:noProof/>
              </w:rPr>
              <w:t>References</w:t>
            </w:r>
            <w:r>
              <w:rPr>
                <w:noProof/>
                <w:webHidden/>
              </w:rPr>
              <w:tab/>
            </w:r>
            <w:r>
              <w:rPr>
                <w:noProof/>
                <w:webHidden/>
              </w:rPr>
              <w:fldChar w:fldCharType="begin"/>
            </w:r>
            <w:r>
              <w:rPr>
                <w:noProof/>
                <w:webHidden/>
              </w:rPr>
              <w:instrText xml:space="preserve"> PAGEREF _Toc243538477 \h </w:instrText>
            </w:r>
            <w:r>
              <w:rPr>
                <w:noProof/>
                <w:webHidden/>
              </w:rPr>
            </w:r>
            <w:r>
              <w:rPr>
                <w:noProof/>
                <w:webHidden/>
              </w:rPr>
              <w:fldChar w:fldCharType="separate"/>
            </w:r>
            <w:r>
              <w:rPr>
                <w:noProof/>
                <w:webHidden/>
              </w:rPr>
              <w:t>12</w:t>
            </w:r>
            <w:r>
              <w:rPr>
                <w:noProof/>
                <w:webHidden/>
              </w:rPr>
              <w:fldChar w:fldCharType="end"/>
            </w:r>
          </w:hyperlink>
        </w:p>
        <w:p w14:paraId="70CC67EA" w14:textId="45AF2480" w:rsidR="00D11ACD" w:rsidRDefault="00D11ACD" w:rsidP="00D11ACD">
          <w:pPr>
            <w:spacing w:line="360" w:lineRule="auto"/>
          </w:pPr>
          <w:r>
            <w:rPr>
              <w:b/>
              <w:bCs/>
              <w:noProof/>
            </w:rPr>
            <w:fldChar w:fldCharType="end"/>
          </w:r>
        </w:p>
      </w:sdtContent>
    </w:sdt>
    <w:p w14:paraId="7380FCD7" w14:textId="77777777" w:rsidR="006E4D8E" w:rsidRDefault="006E4D8E" w:rsidP="00D11ACD">
      <w:pPr>
        <w:spacing w:line="360" w:lineRule="auto"/>
      </w:pPr>
    </w:p>
    <w:p w14:paraId="1B39C9B6" w14:textId="77777777" w:rsidR="006E4D8E" w:rsidRDefault="006E4D8E" w:rsidP="00D11ACD">
      <w:pPr>
        <w:spacing w:line="360" w:lineRule="auto"/>
      </w:pPr>
    </w:p>
    <w:p w14:paraId="38B5EC03" w14:textId="77777777" w:rsidR="006E4D8E" w:rsidRDefault="006E4D8E" w:rsidP="00D11ACD">
      <w:pPr>
        <w:spacing w:line="360" w:lineRule="auto"/>
      </w:pPr>
    </w:p>
    <w:p w14:paraId="5C4961E8" w14:textId="77777777" w:rsidR="006E4D8E" w:rsidRDefault="006E4D8E" w:rsidP="00D11ACD">
      <w:pPr>
        <w:spacing w:line="360" w:lineRule="auto"/>
      </w:pPr>
    </w:p>
    <w:p w14:paraId="1438211F" w14:textId="77777777" w:rsidR="006E4D8E" w:rsidRPr="006E4D8E" w:rsidRDefault="006E4D8E" w:rsidP="00D11ACD">
      <w:pPr>
        <w:pStyle w:val="Heading1"/>
        <w:spacing w:line="360" w:lineRule="auto"/>
      </w:pPr>
      <w:bookmarkStart w:id="0" w:name="_Toc243538458"/>
      <w:r w:rsidRPr="006E4D8E">
        <w:t>Task 1: Marketing Environment Analysis</w:t>
      </w:r>
      <w:bookmarkEnd w:id="0"/>
    </w:p>
    <w:p w14:paraId="485B5776" w14:textId="77777777" w:rsidR="006E4D8E" w:rsidRPr="006E4D8E" w:rsidRDefault="006E4D8E" w:rsidP="00D11ACD">
      <w:pPr>
        <w:pStyle w:val="Heading2"/>
        <w:spacing w:line="360" w:lineRule="auto"/>
      </w:pPr>
      <w:bookmarkStart w:id="1" w:name="_Toc243538459"/>
      <w:r w:rsidRPr="006E4D8E">
        <w:t>1.1 Introduction and Company Context</w:t>
      </w:r>
      <w:bookmarkEnd w:id="1"/>
    </w:p>
    <w:p w14:paraId="0F64F66B" w14:textId="0FA2C511" w:rsidR="006E4D8E" w:rsidRDefault="006E4D8E" w:rsidP="00D11ACD">
      <w:pPr>
        <w:spacing w:line="360" w:lineRule="auto"/>
        <w:jc w:val="both"/>
      </w:pPr>
      <w:r w:rsidRPr="006E4D8E">
        <w:t xml:space="preserve">Low carbon factories are changing the marketing landscape for the </w:t>
      </w:r>
      <w:r w:rsidRPr="006E4D8E">
        <w:t>aluminum</w:t>
      </w:r>
      <w:r w:rsidRPr="006E4D8E">
        <w:t xml:space="preserve"> industry. Norway's </w:t>
      </w:r>
      <w:r w:rsidRPr="006E4D8E">
        <w:t>aluminum</w:t>
      </w:r>
      <w:r w:rsidRPr="006E4D8E">
        <w:t xml:space="preserve"> producer, Norsk Hydro ASA, sells recycled and low carbon products, such as Hydro CIRCAL and Hydro REDUXA. Recycling and emissions reduction are strategic priorities as included in its Integrated Annual Report 2025 (Norsk Hydro, 2026). The marketing environment (Kotler et al. 2020) is taken as the base </w:t>
      </w:r>
      <w:r w:rsidRPr="006E4D8E">
        <w:t>framework</w:t>
      </w:r>
      <w:r w:rsidRPr="006E4D8E">
        <w:t xml:space="preserve">, for example external </w:t>
      </w:r>
      <w:r w:rsidRPr="006E4D8E">
        <w:t>factors</w:t>
      </w:r>
      <w:r w:rsidRPr="006E4D8E">
        <w:t xml:space="preserve"> are discussed in context to the natural environment, suppliers and recycling networks and competitors. A special focus is on the impact of environmental pressures on product differentiation, retraction of resources and sustainable commercial growth.</w:t>
      </w:r>
    </w:p>
    <w:p w14:paraId="7F45CBF4" w14:textId="20041B1E" w:rsidR="006E4D8E" w:rsidRPr="006E4D8E" w:rsidRDefault="006E4D8E" w:rsidP="00D11ACD">
      <w:pPr>
        <w:pStyle w:val="Heading2"/>
        <w:spacing w:line="360" w:lineRule="auto"/>
      </w:pPr>
      <w:bookmarkStart w:id="2" w:name="_Toc243538460"/>
      <w:r w:rsidRPr="006E4D8E">
        <w:t xml:space="preserve">1.2 Natural Environment: </w:t>
      </w:r>
      <w:r w:rsidRPr="006E4D8E">
        <w:t>Decarbonization</w:t>
      </w:r>
      <w:r w:rsidRPr="006E4D8E">
        <w:t xml:space="preserve"> and Circular Economy</w:t>
      </w:r>
      <w:bookmarkEnd w:id="2"/>
    </w:p>
    <w:p w14:paraId="33AE491A" w14:textId="51302C0B" w:rsidR="006E4D8E" w:rsidRPr="006E4D8E" w:rsidRDefault="006E4D8E" w:rsidP="00D11ACD">
      <w:pPr>
        <w:pStyle w:val="Heading3"/>
        <w:spacing w:line="360" w:lineRule="auto"/>
      </w:pPr>
      <w:bookmarkStart w:id="3" w:name="_Toc243538461"/>
      <w:r w:rsidRPr="006E4D8E">
        <w:t xml:space="preserve">1.2.1 Climate Change and </w:t>
      </w:r>
      <w:r w:rsidRPr="006E4D8E">
        <w:t>Aluminum</w:t>
      </w:r>
      <w:r w:rsidRPr="006E4D8E">
        <w:t xml:space="preserve"> Emissions</w:t>
      </w:r>
      <w:bookmarkEnd w:id="3"/>
    </w:p>
    <w:p w14:paraId="723B5F1A" w14:textId="5D629E7A" w:rsidR="006E4D8E" w:rsidRDefault="006E4D8E" w:rsidP="00D11ACD">
      <w:pPr>
        <w:spacing w:line="360" w:lineRule="auto"/>
        <w:jc w:val="both"/>
      </w:pPr>
      <w:r w:rsidRPr="006E4D8E">
        <w:t xml:space="preserve">The primary outlooking factor on Hydro's low carbon strategy is the natural climate. Kotler et al. (2020) state that the resource scarcity, environmental degradation and sustainability expectations </w:t>
      </w:r>
      <w:r w:rsidRPr="006E4D8E">
        <w:t>influence</w:t>
      </w:r>
      <w:r w:rsidRPr="006E4D8E">
        <w:t xml:space="preserve"> the </w:t>
      </w:r>
      <w:r w:rsidRPr="006E4D8E">
        <w:t>organizational</w:t>
      </w:r>
      <w:r w:rsidRPr="006E4D8E">
        <w:t xml:space="preserve"> marketing decisions. </w:t>
      </w:r>
      <w:r w:rsidRPr="006E4D8E">
        <w:t>Aluminum</w:t>
      </w:r>
      <w:r w:rsidRPr="006E4D8E">
        <w:t xml:space="preserve"> is particularly vulnerable since </w:t>
      </w:r>
      <w:r w:rsidRPr="006E4D8E">
        <w:t>production</w:t>
      </w:r>
      <w:r w:rsidRPr="006E4D8E">
        <w:t xml:space="preserve"> consumes significant amounts of electricity and it is directly emitted during production. According to the World Economic Forum (2024), the GHG emissions from the </w:t>
      </w:r>
      <w:r w:rsidRPr="006E4D8E">
        <w:t>aluminum</w:t>
      </w:r>
      <w:r w:rsidRPr="006E4D8E">
        <w:t xml:space="preserve"> sector, primary production and secondary production, were around 1.12 billion </w:t>
      </w:r>
      <w:r w:rsidRPr="006E4D8E">
        <w:t>tons</w:t>
      </w:r>
      <w:r w:rsidRPr="006E4D8E">
        <w:t xml:space="preserve"> of CO₂-equivalent in 2023. The industry </w:t>
      </w:r>
      <w:r w:rsidRPr="006E4D8E">
        <w:t>emissions</w:t>
      </w:r>
      <w:r w:rsidRPr="006E4D8E">
        <w:t xml:space="preserve"> decreased by 13.6% from 2019 to 2023, but the industry is still a long way from reaching the long-term </w:t>
      </w:r>
      <w:r w:rsidRPr="006E4D8E">
        <w:t>decarbonization</w:t>
      </w:r>
      <w:r w:rsidRPr="006E4D8E">
        <w:t xml:space="preserve"> needs. In response to this, Hydro has made recycled </w:t>
      </w:r>
      <w:r w:rsidRPr="006E4D8E">
        <w:t>aluminum</w:t>
      </w:r>
      <w:r w:rsidRPr="006E4D8E">
        <w:t xml:space="preserve"> products. It is made of at least 75% post-consumer recycled </w:t>
      </w:r>
      <w:r w:rsidRPr="006E4D8E">
        <w:t>aluminum</w:t>
      </w:r>
      <w:r w:rsidRPr="006E4D8E">
        <w:t xml:space="preserve"> and is said to have a European carbon footprint of 1.9kg CO₂e per kilogram of </w:t>
      </w:r>
      <w:r w:rsidRPr="006E4D8E">
        <w:t>aluminum</w:t>
      </w:r>
      <w:r w:rsidRPr="006E4D8E">
        <w:t xml:space="preserve"> (Norsk Hydro, 2024). For comparison the report from the International </w:t>
      </w:r>
      <w:r w:rsidRPr="006E4D8E">
        <w:t>Aluminum</w:t>
      </w:r>
      <w:r w:rsidRPr="006E4D8E">
        <w:t xml:space="preserve"> Institute (n.d.)) indicates a global average cradle-to-gate footprint of around 14.8 kg CO₂e per kg of primary </w:t>
      </w:r>
      <w:r w:rsidRPr="006E4D8E">
        <w:t>aluminum</w:t>
      </w:r>
      <w:r w:rsidRPr="006E4D8E">
        <w:t xml:space="preserve"> for 2023. The difference between the two quantities is shown in figure 1.</w:t>
      </w:r>
    </w:p>
    <w:p w14:paraId="46379E89" w14:textId="50E7C865" w:rsidR="00D87D51" w:rsidRDefault="00D87D51" w:rsidP="00D11ACD">
      <w:pPr>
        <w:spacing w:line="360" w:lineRule="auto"/>
        <w:jc w:val="both"/>
      </w:pPr>
      <w:r w:rsidRPr="00D87D51">
        <w:lastRenderedPageBreak/>
        <w:drawing>
          <wp:inline distT="0" distB="0" distL="0" distR="0" wp14:anchorId="5C4D120F" wp14:editId="7A05F07C">
            <wp:extent cx="5943600" cy="4457700"/>
            <wp:effectExtent l="0" t="0" r="0" b="0"/>
            <wp:docPr id="17391420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9142079" name=""/>
                    <pic:cNvPicPr/>
                  </pic:nvPicPr>
                  <pic:blipFill>
                    <a:blip r:embed="rId6"/>
                    <a:stretch>
                      <a:fillRect/>
                    </a:stretch>
                  </pic:blipFill>
                  <pic:spPr>
                    <a:xfrm>
                      <a:off x="0" y="0"/>
                      <a:ext cx="5943600" cy="4457700"/>
                    </a:xfrm>
                    <a:prstGeom prst="rect">
                      <a:avLst/>
                    </a:prstGeom>
                  </pic:spPr>
                </pic:pic>
              </a:graphicData>
            </a:graphic>
          </wp:inline>
        </w:drawing>
      </w:r>
    </w:p>
    <w:p w14:paraId="11E63671" w14:textId="6DCB5854" w:rsidR="006E4D8E" w:rsidRDefault="00D87D51" w:rsidP="00D11ACD">
      <w:pPr>
        <w:spacing w:line="360" w:lineRule="auto"/>
        <w:jc w:val="both"/>
      </w:pPr>
      <w:r w:rsidRPr="00D87D51">
        <w:t xml:space="preserve">Hydro CIRCAL had a significantly lower reported </w:t>
      </w:r>
      <w:r w:rsidRPr="00D87D51">
        <w:t>footprint than</w:t>
      </w:r>
      <w:r w:rsidRPr="00D87D51">
        <w:t xml:space="preserve"> as shown in Figure 1 when compared with the primary-</w:t>
      </w:r>
      <w:r w:rsidRPr="00D87D51">
        <w:t>aluminum</w:t>
      </w:r>
      <w:r w:rsidRPr="00D87D51">
        <w:t xml:space="preserve"> footprint benchmark for the world. This does </w:t>
      </w:r>
      <w:r w:rsidRPr="00D87D51">
        <w:t>not,</w:t>
      </w:r>
      <w:r w:rsidRPr="00D87D51">
        <w:t xml:space="preserve"> however, refer to similar products from different manufacturers, but different products categories from different reporting periods. Don't take it as a sign that Hydro has already made a similar emissions reduction across the company. In addition, the International </w:t>
      </w:r>
      <w:r w:rsidRPr="00D87D51">
        <w:t>Aluminum</w:t>
      </w:r>
      <w:r w:rsidRPr="00D87D51">
        <w:t xml:space="preserve"> Institute (n.d.) cautions that there are inconsistencies in the claims for low carbon </w:t>
      </w:r>
      <w:r w:rsidRPr="00D87D51">
        <w:t>aluminum</w:t>
      </w:r>
      <w:r w:rsidRPr="00D87D51">
        <w:t xml:space="preserve"> </w:t>
      </w:r>
      <w:r w:rsidRPr="00D87D51">
        <w:t>about</w:t>
      </w:r>
      <w:r w:rsidRPr="00D87D51">
        <w:t xml:space="preserve"> emissions boundaries. Transparent lifecycle measurement is essential to environmental differentiation, however, and cannot be replaced by comparisons in the promotion.</w:t>
      </w:r>
    </w:p>
    <w:p w14:paraId="585D398C" w14:textId="77777777" w:rsidR="00D87D51" w:rsidRPr="00D87D51" w:rsidRDefault="00D87D51" w:rsidP="00D11ACD">
      <w:pPr>
        <w:pStyle w:val="Heading3"/>
        <w:spacing w:line="360" w:lineRule="auto"/>
      </w:pPr>
      <w:bookmarkStart w:id="4" w:name="_Toc243538462"/>
      <w:r w:rsidRPr="00D87D51">
        <w:t>1.2.2 Resource Scarcity and Circular Economy</w:t>
      </w:r>
      <w:bookmarkEnd w:id="4"/>
    </w:p>
    <w:p w14:paraId="7ABEEB66" w14:textId="789F2030" w:rsidR="00D87D51" w:rsidRDefault="00D87D51" w:rsidP="00D11ACD">
      <w:pPr>
        <w:spacing w:line="360" w:lineRule="auto"/>
        <w:jc w:val="both"/>
      </w:pPr>
      <w:r w:rsidRPr="00D87D51">
        <w:t xml:space="preserve">There are considerable chances to save resources by recycling </w:t>
      </w:r>
      <w:r w:rsidRPr="00D87D51">
        <w:t>aluminum</w:t>
      </w:r>
      <w:r w:rsidRPr="00D87D51">
        <w:t xml:space="preserve">. Using </w:t>
      </w:r>
      <w:r w:rsidRPr="00D87D51">
        <w:t>secondary</w:t>
      </w:r>
      <w:r w:rsidRPr="00D87D51">
        <w:t xml:space="preserve"> </w:t>
      </w:r>
      <w:r w:rsidRPr="00D87D51">
        <w:t>aluminum</w:t>
      </w:r>
      <w:r w:rsidRPr="00D87D51">
        <w:t xml:space="preserve"> is a vital opportunity to cut industrial emissions in line with the assessment of the International Energy Agency (2023). Recycled </w:t>
      </w:r>
      <w:r w:rsidRPr="00D87D51">
        <w:t>aluminum</w:t>
      </w:r>
      <w:r w:rsidRPr="00D87D51">
        <w:t xml:space="preserve"> is commercially and environmentally attractive, as it is estimated that only some 95% of the energy used in primary production is </w:t>
      </w:r>
      <w:r w:rsidRPr="00D87D51">
        <w:lastRenderedPageBreak/>
        <w:t xml:space="preserve">required for recycling (Norsk Hydro (2026)). Around 496,000 </w:t>
      </w:r>
      <w:r w:rsidRPr="00D87D51">
        <w:t>tons</w:t>
      </w:r>
      <w:r w:rsidRPr="00D87D51">
        <w:t xml:space="preserve"> of post-consumer input of scrap was reported in Hydro's 2025, an increase from 451,000 </w:t>
      </w:r>
      <w:r w:rsidRPr="00D87D51">
        <w:t>tons</w:t>
      </w:r>
      <w:r w:rsidRPr="00D87D51">
        <w:t xml:space="preserve"> in 2024 (Norsk Hydro, 2026). This suggests that recovered materials are becoming more popular to </w:t>
      </w:r>
      <w:r w:rsidRPr="00D87D51">
        <w:t>use and</w:t>
      </w:r>
      <w:r w:rsidRPr="00D87D51">
        <w:t xml:space="preserve"> </w:t>
      </w:r>
      <w:proofErr w:type="gramStart"/>
      <w:r w:rsidRPr="00D87D51">
        <w:t>provides</w:t>
      </w:r>
      <w:proofErr w:type="gramEnd"/>
      <w:r w:rsidRPr="00D87D51">
        <w:t xml:space="preserve"> </w:t>
      </w:r>
      <w:proofErr w:type="gramStart"/>
      <w:r w:rsidRPr="00D87D51">
        <w:t>an added</w:t>
      </w:r>
      <w:proofErr w:type="gramEnd"/>
      <w:r w:rsidRPr="00D87D51">
        <w:t xml:space="preserve"> importance for reliable supply of scrap. But there is limited recycled </w:t>
      </w:r>
      <w:r w:rsidRPr="00D87D51">
        <w:t>aluminum</w:t>
      </w:r>
      <w:r w:rsidRPr="00D87D51">
        <w:t xml:space="preserve">. Material quality may vary as there may be coatings, impurities and unwanted alloying elements in the scrap. In Norsk Hydro's 2024 report, this is referred to as advanced sorting technologies, which can enhance recovery thus requiring investments and extra processing. As such, circularity can enhance </w:t>
      </w:r>
      <w:r w:rsidRPr="00D87D51">
        <w:t>environmental</w:t>
      </w:r>
      <w:r w:rsidRPr="00D87D51">
        <w:t xml:space="preserve"> positioning and understanding even as increased sourcing complexity can emerge. If supply comes short, production may be hampered, or be more expensive, edging Hydro out of profitable expansion of lower carbon product sales.</w:t>
      </w:r>
    </w:p>
    <w:p w14:paraId="349B1023" w14:textId="77777777" w:rsidR="00D87D51" w:rsidRPr="00D87D51" w:rsidRDefault="00D87D51" w:rsidP="00D11ACD">
      <w:pPr>
        <w:pStyle w:val="Heading2"/>
        <w:spacing w:line="360" w:lineRule="auto"/>
      </w:pPr>
      <w:bookmarkStart w:id="5" w:name="_Toc243538463"/>
      <w:r w:rsidRPr="00D87D51">
        <w:t>1.2.3 Energy Dependence and Environmental Trade-offs</w:t>
      </w:r>
      <w:bookmarkEnd w:id="5"/>
    </w:p>
    <w:p w14:paraId="7F79D306" w14:textId="0F3D0486" w:rsidR="00D87D51" w:rsidRDefault="00D87D51" w:rsidP="00D11ACD">
      <w:pPr>
        <w:spacing w:line="360" w:lineRule="auto"/>
        <w:jc w:val="both"/>
      </w:pPr>
      <w:r w:rsidRPr="00D87D51">
        <w:t xml:space="preserve">Electricity generation has a significant impact on the environment impact of </w:t>
      </w:r>
      <w:r w:rsidRPr="00D87D51">
        <w:t>aluminum</w:t>
      </w:r>
      <w:r w:rsidRPr="00D87D51">
        <w:t xml:space="preserve">. Based on the World Economic Forum (2024), some 39% of the electricity consumed by </w:t>
      </w:r>
      <w:r w:rsidRPr="00D87D51">
        <w:t>aluminum</w:t>
      </w:r>
      <w:r w:rsidRPr="00D87D51">
        <w:t xml:space="preserve"> smelting comes from renewable energy and hydropower, with </w:t>
      </w:r>
      <w:r w:rsidRPr="00D87D51">
        <w:t>significant</w:t>
      </w:r>
      <w:r w:rsidRPr="00D87D51">
        <w:t xml:space="preserve"> reliance on other energy sources, such as fossil fuels. Hydro REDUXA shows a solution to </w:t>
      </w:r>
      <w:r w:rsidRPr="00D87D51">
        <w:t>decarbonization</w:t>
      </w:r>
      <w:r w:rsidRPr="00D87D51">
        <w:t xml:space="preserve"> which is no longer based on the use of scrap. It is primary </w:t>
      </w:r>
      <w:r w:rsidRPr="00D87D51">
        <w:t>aluminum</w:t>
      </w:r>
      <w:r w:rsidRPr="00D87D51">
        <w:t xml:space="preserve"> that </w:t>
      </w:r>
      <w:r w:rsidRPr="00D87D51">
        <w:t>was</w:t>
      </w:r>
      <w:r w:rsidRPr="00D87D51">
        <w:t xml:space="preserve"> produced with less carbon intensive energy with a reported product footprint of less than 4kg CO₂e per kg (Norsk Hydro, 2026). Minning, refining, transport and </w:t>
      </w:r>
      <w:r w:rsidRPr="00D87D51">
        <w:t>smelting,</w:t>
      </w:r>
      <w:r w:rsidRPr="00D87D51">
        <w:t xml:space="preserve"> however, produce all emissions, not only for renewable electricity. Competitiveness is also affected by energy availability and energy costs. This blend of recycled </w:t>
      </w:r>
      <w:r w:rsidRPr="00D87D51">
        <w:t>aluminum</w:t>
      </w:r>
      <w:r w:rsidRPr="00D87D51">
        <w:t xml:space="preserve"> and lower carbon content through primary production can therefore give strategic flexibility for Hydro. However, the energy supply must be secure and operations commercially sustainable, and emissions </w:t>
      </w:r>
      <w:r w:rsidRPr="00D87D51">
        <w:t>need</w:t>
      </w:r>
      <w:r w:rsidRPr="00D87D51">
        <w:t xml:space="preserve"> to be accounted for in a credible way.</w:t>
      </w:r>
    </w:p>
    <w:p w14:paraId="1CBCEAB3" w14:textId="77777777" w:rsidR="00D87D51" w:rsidRPr="00D87D51" w:rsidRDefault="00D87D51" w:rsidP="00D11ACD">
      <w:pPr>
        <w:pStyle w:val="Heading2"/>
        <w:spacing w:line="360" w:lineRule="auto"/>
      </w:pPr>
      <w:bookmarkStart w:id="6" w:name="_Toc243538464"/>
      <w:r w:rsidRPr="00D87D51">
        <w:t>1.3 External Suppliers and Recycling Networks</w:t>
      </w:r>
      <w:bookmarkEnd w:id="6"/>
    </w:p>
    <w:p w14:paraId="51A0369D" w14:textId="254743D9" w:rsidR="00D87D51" w:rsidRDefault="00D87D51" w:rsidP="00D11ACD">
      <w:pPr>
        <w:spacing w:line="360" w:lineRule="auto"/>
        <w:jc w:val="both"/>
      </w:pPr>
      <w:r w:rsidRPr="00D87D51">
        <w:t xml:space="preserve">The second external marketing actor is suppliers and recycling network. In the microenvironment, suppliers can have an impact on the availability of materials, production costs, and an </w:t>
      </w:r>
      <w:r w:rsidRPr="00D87D51">
        <w:t>organization’s</w:t>
      </w:r>
      <w:r w:rsidRPr="00D87D51">
        <w:t xml:space="preserve"> ability to create customer value (Kotler et al., 2020). Hydro is closely dependent on the supply of scrap metal, and on collection systems, recycling businesses and other sources for materials. In 2025, the </w:t>
      </w:r>
      <w:r w:rsidRPr="00D87D51">
        <w:t>aluminum</w:t>
      </w:r>
      <w:r w:rsidRPr="00D87D51">
        <w:t xml:space="preserve"> that it brought in as scrap amounted to around 1.52 million </w:t>
      </w:r>
      <w:r w:rsidRPr="00D87D51">
        <w:t>tons</w:t>
      </w:r>
      <w:r w:rsidRPr="00D87D51">
        <w:t xml:space="preserve">, mainly post-consumer and its own pre-consumer material (Norsk Hydro, 2026). The continued investment in recycling capacity </w:t>
      </w:r>
      <w:proofErr w:type="gramStart"/>
      <w:r w:rsidRPr="00D87D51">
        <w:t>is a reflection of</w:t>
      </w:r>
      <w:proofErr w:type="gramEnd"/>
      <w:r w:rsidRPr="00D87D51">
        <w:t xml:space="preserve"> the importance, from a company perspective, of </w:t>
      </w:r>
      <w:r w:rsidRPr="00D87D51">
        <w:lastRenderedPageBreak/>
        <w:t xml:space="preserve">this supply network. Aside from investment in facilities in Europe and America, (Norsk Hydro, 2024b), Hydro identified another planned 120,000-tonne per year recycling in Torija, Spain in October 2024. Increased collaboration in or on recycling could enhance material traceability, cut off waste and foster supply of low carbon materials. This is in line with compliance </w:t>
      </w:r>
      <w:proofErr w:type="gramStart"/>
      <w:r w:rsidRPr="00D87D51">
        <w:t>to</w:t>
      </w:r>
      <w:proofErr w:type="gramEnd"/>
      <w:r w:rsidRPr="00D87D51">
        <w:t xml:space="preserve"> the principles of the circular business model as described by </w:t>
      </w:r>
      <w:r w:rsidRPr="00D87D51">
        <w:t>Geiss Doerfer</w:t>
      </w:r>
      <w:r w:rsidRPr="00D87D51">
        <w:t xml:space="preserve"> et al (2017) that a circular system requires coordinated resource flows and not only isolated improvements of </w:t>
      </w:r>
      <w:r w:rsidRPr="00D87D51">
        <w:t>production</w:t>
      </w:r>
      <w:r w:rsidRPr="00D87D51">
        <w:t xml:space="preserve">. However, there are risks involved with supplier dependence. There might be higher competition for better quality scrap which might drive up the price to purchase it; there might be less than adequate sorting or traceability, impacting claims of environmental stewardship. The provision of more recycling capacity by itself does not mean access to appropriate </w:t>
      </w:r>
      <w:r w:rsidRPr="00D87D51">
        <w:t>feed stock</w:t>
      </w:r>
      <w:r w:rsidRPr="00D87D51">
        <w:t xml:space="preserve">. </w:t>
      </w:r>
      <w:r w:rsidRPr="00D87D51">
        <w:t>Suppliers’</w:t>
      </w:r>
      <w:r w:rsidRPr="00D87D51">
        <w:t xml:space="preserve"> relationships should therefore be viewed as a potential competitive capability and </w:t>
      </w:r>
      <w:r w:rsidRPr="00D87D51">
        <w:t>priorities</w:t>
      </w:r>
      <w:r w:rsidRPr="00D87D51">
        <w:t xml:space="preserve"> supplier relationships via long-term collection, verification of material and build resiliency into sourcing arrangements.</w:t>
      </w:r>
    </w:p>
    <w:p w14:paraId="2D41EC2B" w14:textId="77777777" w:rsidR="00D87D51" w:rsidRPr="00D87D51" w:rsidRDefault="00D87D51" w:rsidP="00D11ACD">
      <w:pPr>
        <w:pStyle w:val="Heading2"/>
        <w:spacing w:line="360" w:lineRule="auto"/>
      </w:pPr>
      <w:bookmarkStart w:id="7" w:name="_Toc243538465"/>
      <w:r w:rsidRPr="00D87D51">
        <w:t>1.4 Competitors and Low-Carbon Market Differentiation</w:t>
      </w:r>
      <w:bookmarkEnd w:id="7"/>
    </w:p>
    <w:p w14:paraId="128DB55A" w14:textId="5D8A203B" w:rsidR="00D87D51" w:rsidRDefault="00D87D51" w:rsidP="00D11ACD">
      <w:pPr>
        <w:spacing w:line="360" w:lineRule="auto"/>
        <w:jc w:val="both"/>
      </w:pPr>
      <w:r>
        <w:t>Third external market participants are competitors as they affect customer's buying decisions, market expectations and prices (Kotler et al., 2020).</w:t>
      </w:r>
      <w:r>
        <w:t xml:space="preserve"> </w:t>
      </w:r>
      <w:r>
        <w:t xml:space="preserve">Internationally, there is competition from producers who are working on low carbon </w:t>
      </w:r>
      <w:r>
        <w:t>aluminum</w:t>
      </w:r>
      <w:r>
        <w:t xml:space="preserve"> products. For instance, Rio Tinto has offered a range of lower carbon </w:t>
      </w:r>
      <w:r>
        <w:t>aluminum</w:t>
      </w:r>
      <w:r>
        <w:t xml:space="preserve"> products alongside environmental documentation and Alcoa has launched a new product, ECOLUM </w:t>
      </w:r>
      <w:r>
        <w:t>aluminum</w:t>
      </w:r>
      <w:r>
        <w:t xml:space="preserve">, with a product footprint of less than 3.5 </w:t>
      </w:r>
      <w:r>
        <w:t>tons</w:t>
      </w:r>
      <w:r>
        <w:t xml:space="preserve"> CO₂e per </w:t>
      </w:r>
      <w:r>
        <w:t>tons</w:t>
      </w:r>
      <w:r>
        <w:t>, as reported by Reuters, (2026). The above all indicate that low-carbon positioning is becoming a requisite for competitiveness and is no longer simply an added qualification. Hydro's ability to combine recycled content, traceability and verified environmental performance, is their potential differentiator. It has its Hydro CIRCAL range, which is based on batch level documentation and independent verification further supports customer sustainability reporting (Norsk Hydro, n.d.</w:t>
      </w:r>
      <w:r>
        <w:t>). Competitors</w:t>
      </w:r>
      <w:r>
        <w:t xml:space="preserve"> are allowed, however, to enhance their own recycling systems, and use greener electric power and similar certification systems. Thus, environmental factors themselves can lead to an insufficiency in maintaining long-term differentiation. Hooley et al. (2020) propose that desirable positioning should be one that is based on features customers appreciate and consider unique. Thus, Hydro should be the marriage between environmental knowledge and the reliability of the product, technical assistance, and competitive business conditions. The International </w:t>
      </w:r>
      <w:r>
        <w:t>Aluminum</w:t>
      </w:r>
      <w:r>
        <w:t xml:space="preserve"> Institute (n.d.) also highlights that there are </w:t>
      </w:r>
      <w:r>
        <w:t>several</w:t>
      </w:r>
      <w:r>
        <w:t xml:space="preserve"> </w:t>
      </w:r>
      <w:r>
        <w:lastRenderedPageBreak/>
        <w:t xml:space="preserve">industry definitions of low-carbon </w:t>
      </w:r>
      <w:r>
        <w:t>aluminum</w:t>
      </w:r>
      <w:r>
        <w:t xml:space="preserve"> that are inconsistent. A lack of environmental superiority claims might harm reputation and consumer trust.</w:t>
      </w:r>
    </w:p>
    <w:p w14:paraId="09F7AD82" w14:textId="77777777" w:rsidR="003513AA" w:rsidRPr="003513AA" w:rsidRDefault="003513AA" w:rsidP="00D11ACD">
      <w:pPr>
        <w:pStyle w:val="Heading2"/>
        <w:spacing w:line="360" w:lineRule="auto"/>
      </w:pPr>
      <w:bookmarkStart w:id="8" w:name="_Toc243538466"/>
      <w:r w:rsidRPr="003513AA">
        <w:t>1.5 Critical Synthesis of Opportunities and Threats</w:t>
      </w:r>
      <w:bookmarkEnd w:id="8"/>
    </w:p>
    <w:p w14:paraId="5E5C1BC1" w14:textId="4D772B45" w:rsidR="003513AA" w:rsidRDefault="003513AA" w:rsidP="00D11ACD">
      <w:pPr>
        <w:spacing w:line="360" w:lineRule="auto"/>
        <w:jc w:val="both"/>
      </w:pPr>
      <w:r w:rsidRPr="003513AA">
        <w:drawing>
          <wp:inline distT="0" distB="0" distL="0" distR="0" wp14:anchorId="6FC3CAF5" wp14:editId="2FA48EF6">
            <wp:extent cx="5943600" cy="3505200"/>
            <wp:effectExtent l="0" t="0" r="0" b="0"/>
            <wp:docPr id="17942673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4267347" name=""/>
                    <pic:cNvPicPr/>
                  </pic:nvPicPr>
                  <pic:blipFill>
                    <a:blip r:embed="rId7"/>
                    <a:stretch>
                      <a:fillRect/>
                    </a:stretch>
                  </pic:blipFill>
                  <pic:spPr>
                    <a:xfrm>
                      <a:off x="0" y="0"/>
                      <a:ext cx="5943600" cy="3505200"/>
                    </a:xfrm>
                    <a:prstGeom prst="rect">
                      <a:avLst/>
                    </a:prstGeom>
                  </pic:spPr>
                </pic:pic>
              </a:graphicData>
            </a:graphic>
          </wp:inline>
        </w:drawing>
      </w:r>
    </w:p>
    <w:p w14:paraId="40CFD696" w14:textId="5D23C538" w:rsidR="003513AA" w:rsidRDefault="003513AA" w:rsidP="00D11ACD">
      <w:pPr>
        <w:spacing w:line="360" w:lineRule="auto"/>
        <w:jc w:val="both"/>
      </w:pPr>
      <w:r w:rsidRPr="003513AA">
        <w:t>The three actors have an impact on the market position of Hydro via relevant environmental, operational and competitive pressure.</w:t>
      </w:r>
      <w:r w:rsidRPr="003513AA">
        <w:t xml:space="preserve"> </w:t>
      </w:r>
      <w:r>
        <w:t>T</w:t>
      </w:r>
      <w:r>
        <w:t xml:space="preserve">able 1 shows that Hydro's environmental competences </w:t>
      </w:r>
      <w:proofErr w:type="gramStart"/>
      <w:r>
        <w:t>brings</w:t>
      </w:r>
      <w:proofErr w:type="gramEnd"/>
      <w:r>
        <w:t xml:space="preserve"> real opportunities </w:t>
      </w:r>
      <w:r>
        <w:t>but</w:t>
      </w:r>
      <w:r>
        <w:t xml:space="preserve"> at the same time do not provide a long-term competitive advantage. The success of recycling performance is related to supplier performance and </w:t>
      </w:r>
      <w:r>
        <w:t>success</w:t>
      </w:r>
      <w:r>
        <w:t xml:space="preserve"> in market positioning is dependent on the comparison of its products with competitive products.</w:t>
      </w:r>
      <w:r>
        <w:t xml:space="preserve"> </w:t>
      </w:r>
      <w:r>
        <w:t>Strategically the conclusion is that Hydro should leverage its proven low-carbon portfolio of products to enter well-evaluated growth initiatives which offer social and environmental guarantees, stable sources of supply and commercial differentiability. This will form the basis for evaluation of market development by Ansoff's Matrix in Task 2.</w:t>
      </w:r>
    </w:p>
    <w:p w14:paraId="378A9369" w14:textId="77777777" w:rsidR="003513AA" w:rsidRPr="003513AA" w:rsidRDefault="003513AA" w:rsidP="00D11ACD">
      <w:pPr>
        <w:pStyle w:val="Heading1"/>
        <w:spacing w:line="360" w:lineRule="auto"/>
      </w:pPr>
      <w:bookmarkStart w:id="9" w:name="_Toc243538467"/>
      <w:r w:rsidRPr="003513AA">
        <w:lastRenderedPageBreak/>
        <w:t>Task 2: Strategic Growth and Competitive Positioning</w:t>
      </w:r>
      <w:bookmarkEnd w:id="9"/>
    </w:p>
    <w:p w14:paraId="5A46005B" w14:textId="77777777" w:rsidR="003513AA" w:rsidRPr="003513AA" w:rsidRDefault="003513AA" w:rsidP="00D11ACD">
      <w:pPr>
        <w:pStyle w:val="Heading2"/>
        <w:spacing w:line="360" w:lineRule="auto"/>
      </w:pPr>
      <w:bookmarkStart w:id="10" w:name="_Toc243538468"/>
      <w:r w:rsidRPr="003513AA">
        <w:t>2.1 Evaluating Growth Opportunities Using Ansoff's Matrix</w:t>
      </w:r>
      <w:bookmarkEnd w:id="10"/>
    </w:p>
    <w:p w14:paraId="20409052" w14:textId="7FC0E34A" w:rsidR="003513AA" w:rsidRDefault="003513AA" w:rsidP="00D11ACD">
      <w:pPr>
        <w:spacing w:line="360" w:lineRule="auto"/>
        <w:jc w:val="both"/>
      </w:pPr>
      <w:r w:rsidRPr="003513AA">
        <w:t>Norsk Hydro has identified its current recycled-</w:t>
      </w:r>
      <w:r w:rsidRPr="003513AA">
        <w:t>aluminum</w:t>
      </w:r>
      <w:r w:rsidRPr="003513AA">
        <w:t xml:space="preserve"> portfolio with commercial extension of reach as the variables of choice to deal with the environmental, suppliers and competitive pressures identified in Task 1. There are four types of growth strategies as distinguished by Ansoff (1957) in view of the product and market is either existing or new. Figure 2 assesses their suitability for Hydro.</w:t>
      </w:r>
    </w:p>
    <w:p w14:paraId="1B96B90C" w14:textId="329DD2E7" w:rsidR="003513AA" w:rsidRDefault="003513AA" w:rsidP="00D11ACD">
      <w:pPr>
        <w:spacing w:line="360" w:lineRule="auto"/>
        <w:jc w:val="both"/>
      </w:pPr>
      <w:r w:rsidRPr="003513AA">
        <w:drawing>
          <wp:inline distT="0" distB="0" distL="0" distR="0" wp14:anchorId="6BB0B671" wp14:editId="0F6710D5">
            <wp:extent cx="5943600" cy="4457700"/>
            <wp:effectExtent l="0" t="0" r="0" b="0"/>
            <wp:docPr id="16746122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4612203" name=""/>
                    <pic:cNvPicPr/>
                  </pic:nvPicPr>
                  <pic:blipFill>
                    <a:blip r:embed="rId8"/>
                    <a:stretch>
                      <a:fillRect/>
                    </a:stretch>
                  </pic:blipFill>
                  <pic:spPr>
                    <a:xfrm>
                      <a:off x="0" y="0"/>
                      <a:ext cx="5943600" cy="4457700"/>
                    </a:xfrm>
                    <a:prstGeom prst="rect">
                      <a:avLst/>
                    </a:prstGeom>
                  </pic:spPr>
                </pic:pic>
              </a:graphicData>
            </a:graphic>
          </wp:inline>
        </w:drawing>
      </w:r>
    </w:p>
    <w:p w14:paraId="3705EB14" w14:textId="63160DE6" w:rsidR="003513AA" w:rsidRDefault="00397217" w:rsidP="00D11ACD">
      <w:pPr>
        <w:spacing w:line="360" w:lineRule="auto"/>
        <w:jc w:val="both"/>
      </w:pPr>
      <w:r w:rsidRPr="00397217">
        <w:t>Market</w:t>
      </w:r>
      <w:r w:rsidRPr="00397217">
        <w:t xml:space="preserve"> development is presented in Figure 2, providing the reasoning behind considering market development. Market penetration can lead to more </w:t>
      </w:r>
      <w:r w:rsidRPr="00397217">
        <w:t>sales but</w:t>
      </w:r>
      <w:r w:rsidRPr="00397217">
        <w:t xml:space="preserve"> can result in dependence on existing customers. Product development requires more testing; diversification leads to more operating and commercial uncertainties. This might be expansion of existing products and technical capabilities </w:t>
      </w:r>
      <w:r w:rsidRPr="00397217">
        <w:lastRenderedPageBreak/>
        <w:t xml:space="preserve">to other industrial purchasers. But there needs to be confirmation that the proposed customers are </w:t>
      </w:r>
      <w:r w:rsidRPr="00397217">
        <w:t>new</w:t>
      </w:r>
      <w:r w:rsidRPr="00397217">
        <w:t xml:space="preserve"> and </w:t>
      </w:r>
      <w:r w:rsidRPr="00397217">
        <w:t>non-existent</w:t>
      </w:r>
      <w:r w:rsidRPr="00397217">
        <w:t xml:space="preserve"> </w:t>
      </w:r>
      <w:r w:rsidRPr="00397217">
        <w:t>customers,</w:t>
      </w:r>
      <w:r w:rsidRPr="00397217">
        <w:t xml:space="preserve"> taking up additional volumes with Hydro.</w:t>
      </w:r>
    </w:p>
    <w:p w14:paraId="239F646A" w14:textId="77777777" w:rsidR="00397217" w:rsidRPr="00397217" w:rsidRDefault="00397217" w:rsidP="00D11ACD">
      <w:pPr>
        <w:pStyle w:val="Heading2"/>
        <w:spacing w:line="360" w:lineRule="auto"/>
      </w:pPr>
      <w:bookmarkStart w:id="11" w:name="_Toc243538469"/>
      <w:r w:rsidRPr="00397217">
        <w:t>2.2 Recommended Market Development Strategy</w:t>
      </w:r>
      <w:bookmarkEnd w:id="11"/>
    </w:p>
    <w:p w14:paraId="4A79E194" w14:textId="2A337A3A" w:rsidR="003513AA" w:rsidRDefault="00397217" w:rsidP="00D11ACD">
      <w:pPr>
        <w:spacing w:line="360" w:lineRule="auto"/>
        <w:jc w:val="both"/>
      </w:pPr>
      <w:r>
        <w:t>Hydro should consider the selected railway rolling-stock and the component manufacturers from Europe as a growth segment for its already existing Hydro CIRCAL portfolio. These buyers might ask for features such as lightness, uniform performance and convincing environmental documents.</w:t>
      </w:r>
      <w:r>
        <w:t xml:space="preserve"> </w:t>
      </w:r>
      <w:r>
        <w:t>Hydro is already offering certified recycled-</w:t>
      </w:r>
      <w:r>
        <w:t>aluminum</w:t>
      </w:r>
      <w:r>
        <w:t xml:space="preserve"> products. In September 2025, it announced it would expand the manufacturing of the Hydro CIRCAL foundry alloy, which has a verified carbon footprint of 1.9kg CO₂e per kg and is composed of at least 75% post-consumer scrap. These specifications offer a potential starting point, but neither a guarantee of choice for all railway applications. By collaborating with Lithgow Hospital and the University of York on </w:t>
      </w:r>
      <w:r>
        <w:t>specialized</w:t>
      </w:r>
      <w:r>
        <w:t xml:space="preserve"> applications, evidence of this is provided on Hydro's commercial relationships. Another technical challenge that Mercedes-Benz Group (2026) announced its "customer acceptance" of Hydro CIRCAL has been the inclusion of the material in selected future electric-vehicle components. </w:t>
      </w:r>
      <w:proofErr w:type="gramStart"/>
      <w:r>
        <w:t>But,</w:t>
      </w:r>
      <w:proofErr w:type="gramEnd"/>
      <w:r>
        <w:t xml:space="preserve"> it would be necessary to carry out independent material </w:t>
      </w:r>
      <w:r>
        <w:t>qualifications</w:t>
      </w:r>
      <w:r>
        <w:t xml:space="preserve"> and to verify customer requirements and analyze procurement arrangements in rail-specific applications before being able to transfer this success. Day (1994) says that the </w:t>
      </w:r>
      <w:r>
        <w:t>market-driven</w:t>
      </w:r>
      <w:r>
        <w:t xml:space="preserve"> organizations must be able to understand and act to customer needs. Hydro should therefore only invest substantial resources after having performed research on an account level.</w:t>
      </w:r>
    </w:p>
    <w:p w14:paraId="7D3F1703" w14:textId="77777777" w:rsidR="00397217" w:rsidRPr="00397217" w:rsidRDefault="00397217" w:rsidP="00D11ACD">
      <w:pPr>
        <w:pStyle w:val="Heading2"/>
        <w:spacing w:line="360" w:lineRule="auto"/>
      </w:pPr>
      <w:bookmarkStart w:id="12" w:name="_Toc243538470"/>
      <w:r w:rsidRPr="00397217">
        <w:t>2.3 Competitive Advantage Through Differentiation</w:t>
      </w:r>
      <w:bookmarkEnd w:id="12"/>
    </w:p>
    <w:p w14:paraId="4963FD36" w14:textId="060124F5" w:rsidR="00397217" w:rsidRDefault="00397217" w:rsidP="00D11ACD">
      <w:pPr>
        <w:spacing w:line="360" w:lineRule="auto"/>
        <w:jc w:val="both"/>
      </w:pPr>
      <w:r w:rsidRPr="00397217">
        <w:t xml:space="preserve">Porter's (1985) generic strategies say that it would be difficult to justify the broad cost leadership </w:t>
      </w:r>
      <w:r w:rsidRPr="00397217">
        <w:t>based on</w:t>
      </w:r>
      <w:r w:rsidRPr="00397217">
        <w:t xml:space="preserve"> evidence of comparative production costs. Rather, Hydro needs to look more to efficient and targeted differentiation via certified recycled materials, traceability, engineering and delivery certainty and promise. Valuable resources and capabilities that competitors can't easily duplicate give a sustainable competitive advantage, says Barney (1991). Therefore, Hydro's integrated sourcing/sorting and recycling capabilities could prove more defensible than recycled content per se. However, low-carbon </w:t>
      </w:r>
      <w:r w:rsidRPr="00397217">
        <w:t>aluminum</w:t>
      </w:r>
      <w:r w:rsidRPr="00397217">
        <w:t xml:space="preserve"> is becoming more competitive and other manufacturers can invest in ‘greener' production. Teece, Pisano and Shuen (1997) </w:t>
      </w:r>
      <w:r w:rsidRPr="00397217">
        <w:t>focus on</w:t>
      </w:r>
      <w:r w:rsidRPr="00397217">
        <w:t xml:space="preserve"> the adaptability of </w:t>
      </w:r>
      <w:r w:rsidRPr="00397217">
        <w:t>organizational</w:t>
      </w:r>
      <w:r w:rsidRPr="00397217">
        <w:t xml:space="preserve"> capabilities to the evolution of the markets. This means that Hydro needs to become more involved with its customers and be more technically responsive than it is now; customers are </w:t>
      </w:r>
      <w:r w:rsidRPr="00397217">
        <w:lastRenderedPageBreak/>
        <w:t xml:space="preserve">looking for more than just current environmental certification. There is a potential for an extra one with European sustainability policy. Regulation (EU) 2024/1781 lays down groundwork for future </w:t>
      </w:r>
      <w:r w:rsidRPr="00397217">
        <w:t>Ecodesign</w:t>
      </w:r>
      <w:r w:rsidRPr="00397217">
        <w:t xml:space="preserve">, product-information requirements. The </w:t>
      </w:r>
      <w:r w:rsidRPr="00397217">
        <w:t>DPPE, however,</w:t>
      </w:r>
      <w:r w:rsidRPr="00397217">
        <w:t xml:space="preserve"> are not automatically applicable to </w:t>
      </w:r>
      <w:r w:rsidRPr="00397217">
        <w:t>aluminum</w:t>
      </w:r>
      <w:r w:rsidRPr="00397217">
        <w:t xml:space="preserve"> products; it will be subject to forthcoming product rules (European Parliament and Council, 2024; European Commission, 2026). Hydro should provide documentation that is not to the extent of an overstatement as to current compliance requirements.</w:t>
      </w:r>
    </w:p>
    <w:p w14:paraId="299C7342" w14:textId="77777777" w:rsidR="00397217" w:rsidRPr="00397217" w:rsidRDefault="00397217" w:rsidP="00D11ACD">
      <w:pPr>
        <w:pStyle w:val="Heading2"/>
        <w:spacing w:line="360" w:lineRule="auto"/>
      </w:pPr>
      <w:bookmarkStart w:id="13" w:name="_Toc243538471"/>
      <w:r w:rsidRPr="00397217">
        <w:t>2.4 Implementation, Risks and Performance Measurement</w:t>
      </w:r>
      <w:bookmarkEnd w:id="13"/>
    </w:p>
    <w:p w14:paraId="3D64998D" w14:textId="0B22D1CE" w:rsidR="00397217" w:rsidRDefault="00397217" w:rsidP="00D11ACD">
      <w:pPr>
        <w:spacing w:line="360" w:lineRule="auto"/>
        <w:jc w:val="both"/>
      </w:pPr>
      <w:r w:rsidRPr="00397217">
        <w:t>Market validation, technical testing and negotiated supply arrangements and monitored expansion should be first steps in the strategy.</w:t>
      </w:r>
    </w:p>
    <w:p w14:paraId="5170066D" w14:textId="469421F2" w:rsidR="00397217" w:rsidRDefault="00397217" w:rsidP="00D11ACD">
      <w:pPr>
        <w:spacing w:line="360" w:lineRule="auto"/>
        <w:jc w:val="both"/>
      </w:pPr>
      <w:r w:rsidRPr="00397217">
        <w:drawing>
          <wp:inline distT="0" distB="0" distL="0" distR="0" wp14:anchorId="3BE70E64" wp14:editId="103A561F">
            <wp:extent cx="5943600" cy="3251200"/>
            <wp:effectExtent l="0" t="0" r="0" b="6350"/>
            <wp:docPr id="11650644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5064487" name=""/>
                    <pic:cNvPicPr/>
                  </pic:nvPicPr>
                  <pic:blipFill>
                    <a:blip r:embed="rId9"/>
                    <a:stretch>
                      <a:fillRect/>
                    </a:stretch>
                  </pic:blipFill>
                  <pic:spPr>
                    <a:xfrm>
                      <a:off x="0" y="0"/>
                      <a:ext cx="5943600" cy="3251200"/>
                    </a:xfrm>
                    <a:prstGeom prst="rect">
                      <a:avLst/>
                    </a:prstGeom>
                  </pic:spPr>
                </pic:pic>
              </a:graphicData>
            </a:graphic>
          </wp:inline>
        </w:drawing>
      </w:r>
    </w:p>
    <w:p w14:paraId="7D8C79EC" w14:textId="6EE582D1" w:rsidR="00397217" w:rsidRDefault="00397217" w:rsidP="00D11ACD">
      <w:pPr>
        <w:spacing w:line="360" w:lineRule="auto"/>
        <w:jc w:val="both"/>
      </w:pPr>
      <w:r>
        <w:t>Market expansion should be based on measurable commercial and technical results, as shown in Table 2. Commercial momentum was reflected in the value of sales for lower-carbon-footprint products, which increased by over 50% compared with 2024 and was reported in Hydro's 2025 reporting, but does not necessarily confirm that all potential markets are profitable.</w:t>
      </w:r>
      <w:r>
        <w:t xml:space="preserve"> </w:t>
      </w:r>
      <w:r>
        <w:t xml:space="preserve">On balance, market development with focused differentiation is a viable strategy provided a firm </w:t>
      </w:r>
      <w:proofErr w:type="gramStart"/>
      <w:r>
        <w:t>has the ability to</w:t>
      </w:r>
      <w:proofErr w:type="gramEnd"/>
      <w:r>
        <w:t xml:space="preserve"> show the development of a true new market and the fact that it is technically feasible and has a reliable supply and sustainable margin.</w:t>
      </w:r>
    </w:p>
    <w:p w14:paraId="19EC44F6" w14:textId="77777777" w:rsidR="00D11ACD" w:rsidRPr="00D11ACD" w:rsidRDefault="00D11ACD" w:rsidP="00D11ACD">
      <w:pPr>
        <w:pStyle w:val="Heading1"/>
        <w:spacing w:line="360" w:lineRule="auto"/>
      </w:pPr>
      <w:bookmarkStart w:id="14" w:name="_Toc243538472"/>
      <w:r w:rsidRPr="00D11ACD">
        <w:lastRenderedPageBreak/>
        <w:t>Task 3: Managerial and Professional Reflection</w:t>
      </w:r>
      <w:bookmarkEnd w:id="14"/>
    </w:p>
    <w:p w14:paraId="181E5135" w14:textId="4C1FB809" w:rsidR="00D11ACD" w:rsidRPr="00D11ACD" w:rsidRDefault="00D11ACD" w:rsidP="00D11ACD">
      <w:pPr>
        <w:pStyle w:val="Heading2"/>
        <w:spacing w:line="360" w:lineRule="auto"/>
      </w:pPr>
      <w:bookmarkStart w:id="15" w:name="_Toc243538473"/>
      <w:r w:rsidRPr="00D11ACD">
        <w:t xml:space="preserve">3.1 Reflection on </w:t>
      </w:r>
      <w:r w:rsidRPr="00D11ACD">
        <w:t>Organization</w:t>
      </w:r>
      <w:r w:rsidRPr="00D11ACD">
        <w:t xml:space="preserve"> and Environmental Actor Selection</w:t>
      </w:r>
      <w:bookmarkEnd w:id="15"/>
    </w:p>
    <w:p w14:paraId="0E2BAF42" w14:textId="77A16883" w:rsidR="00397217" w:rsidRDefault="00D11ACD" w:rsidP="00D11ACD">
      <w:pPr>
        <w:spacing w:line="360" w:lineRule="auto"/>
        <w:jc w:val="both"/>
      </w:pPr>
      <w:r w:rsidRPr="00D11ACD">
        <w:t xml:space="preserve">Norsk Hydro ASA was chosen because of the chance to study sustainability as a business concept that is already in use, instead of being a new commitment to the environment. It is a low carbon, recycled </w:t>
      </w:r>
      <w:r w:rsidRPr="00D11ACD">
        <w:t>aluminum</w:t>
      </w:r>
      <w:r w:rsidRPr="00D11ACD">
        <w:t xml:space="preserve"> and enabled me to think about the effect of environmental performance on marketing and competitiveness. The </w:t>
      </w:r>
      <w:r w:rsidRPr="00D11ACD">
        <w:t>focus</w:t>
      </w:r>
      <w:r w:rsidRPr="00D11ACD">
        <w:t xml:space="preserve"> is the natural environment which is due to the significant energy consumption and emission in </w:t>
      </w:r>
      <w:r w:rsidRPr="00D11ACD">
        <w:t>aluminum</w:t>
      </w:r>
      <w:r w:rsidRPr="00D11ACD">
        <w:t xml:space="preserve"> production. A selection of suppliers and recycling networks was identified to examine material availability and competitiveness with other markets was assessed with the help of competitors. But this choice did not account for other potentially important factors such as government policy and shifts in customers' procurement needs. The importance of questioning the assumptions, challenging </w:t>
      </w:r>
      <w:r w:rsidRPr="00D11ACD">
        <w:t>one’s</w:t>
      </w:r>
      <w:r w:rsidRPr="00D11ACD">
        <w:t xml:space="preserve"> own professional thinking, is stressed by Schön (1983). This led me to identify that the chosen actors provide a helpful but incomplete description of an external environment of Hydro.</w:t>
      </w:r>
    </w:p>
    <w:p w14:paraId="4B7EFF64" w14:textId="77777777" w:rsidR="00D11ACD" w:rsidRPr="00D11ACD" w:rsidRDefault="00D11ACD" w:rsidP="00D11ACD">
      <w:pPr>
        <w:pStyle w:val="Heading2"/>
        <w:spacing w:line="360" w:lineRule="auto"/>
      </w:pPr>
      <w:bookmarkStart w:id="16" w:name="_Toc243538474"/>
      <w:r w:rsidRPr="00D11ACD">
        <w:t>3.2 Reflection on Strategic Alternatives</w:t>
      </w:r>
      <w:bookmarkEnd w:id="16"/>
    </w:p>
    <w:p w14:paraId="7CCD69BB" w14:textId="509EF96A" w:rsidR="00D11ACD" w:rsidRDefault="00D11ACD" w:rsidP="00D11ACD">
      <w:pPr>
        <w:spacing w:line="360" w:lineRule="auto"/>
        <w:jc w:val="both"/>
      </w:pPr>
      <w:r w:rsidRPr="00D11ACD">
        <w:t xml:space="preserve">In the early stages, market development was appealing as Hydro has current low carbon </w:t>
      </w:r>
      <w:r w:rsidRPr="00D11ACD">
        <w:t>aluminum</w:t>
      </w:r>
      <w:r w:rsidRPr="00D11ACD">
        <w:t xml:space="preserve"> products available selling into the market. New product development is possible by targeting new industrial customers that can lead to growth without a new product. Yet, this resolve needed to be delved into deeper. </w:t>
      </w:r>
      <w:r w:rsidRPr="00D11ACD">
        <w:t>Organizations</w:t>
      </w:r>
      <w:r w:rsidRPr="00D11ACD">
        <w:t xml:space="preserve"> that are already supplied by </w:t>
      </w:r>
      <w:r w:rsidRPr="00D11ACD">
        <w:t>Hydro</w:t>
      </w:r>
      <w:r w:rsidRPr="00D11ACD">
        <w:t xml:space="preserve"> might exist in the proposed European railway component market, which means that additional sales might not be regarded as new market development. Effective learning involves reflection (Kolb, 1984) and Criterion based re-assessment of experience. From this point of </w:t>
      </w:r>
      <w:r w:rsidRPr="00D11ACD">
        <w:t>view,</w:t>
      </w:r>
      <w:r w:rsidRPr="00D11ACD">
        <w:t xml:space="preserve"> I was able to realize that it was important to verify the customer relationships, technical specifications and competitive situations, before determining the Ansoff classification. I also asked myself, can "environment be made the only claim for differentiation if the competitors share comparable recycling possibilities? This made customer value, supply and operating capacity a key focus area.</w:t>
      </w:r>
    </w:p>
    <w:p w14:paraId="73D509D9" w14:textId="77777777" w:rsidR="00D11ACD" w:rsidRPr="00D11ACD" w:rsidRDefault="00D11ACD" w:rsidP="00D11ACD">
      <w:pPr>
        <w:pStyle w:val="Heading2"/>
        <w:spacing w:line="360" w:lineRule="auto"/>
      </w:pPr>
      <w:bookmarkStart w:id="17" w:name="_Toc243538475"/>
      <w:r w:rsidRPr="00D11ACD">
        <w:t>3.3 Research Limitations and Further Consultancy Investigation</w:t>
      </w:r>
      <w:bookmarkEnd w:id="17"/>
    </w:p>
    <w:p w14:paraId="286F8825" w14:textId="67E6396F" w:rsidR="00D11ACD" w:rsidRDefault="00D11ACD" w:rsidP="00D11ACD">
      <w:pPr>
        <w:spacing w:line="360" w:lineRule="auto"/>
        <w:jc w:val="both"/>
      </w:pPr>
      <w:r w:rsidRPr="00D11ACD">
        <w:t xml:space="preserve">The main limitation was the fact that the information was mostly based on secondary sources derived from company publications, industry documents, and academic journals. While these sources were helpful in the environmental </w:t>
      </w:r>
      <w:r w:rsidRPr="00D11ACD">
        <w:t>analysis,</w:t>
      </w:r>
      <w:r w:rsidRPr="00D11ACD">
        <w:t xml:space="preserve"> they were unable to comment on the intentions </w:t>
      </w:r>
      <w:r w:rsidRPr="00D11ACD">
        <w:lastRenderedPageBreak/>
        <w:t>of purchase on the rail sector, account-level profitability, or the commercial viability of specific Hydro CIRCAL alloys. The authors Kahneman and Klein (2009) show that professional judgement depends on the quality of the information which is available and opportunities for reliable feedback. This pointed out the dangers of basing decisions on insufficient evidence. Prior to presenting the strategy to senior leadership, I would conduct an audit of Hydro's current customer base, speak with railway procurement managers, evaluate competitor offerings and get lifecycle assessment of products. Financial sensitivity testing would also build a view on returns to ensure that costs of recycling, product qualification restrictions and expected sales volumes are acceptable.</w:t>
      </w:r>
    </w:p>
    <w:p w14:paraId="4B614E5D" w14:textId="77777777" w:rsidR="00D11ACD" w:rsidRPr="00D11ACD" w:rsidRDefault="00D11ACD" w:rsidP="00D11ACD">
      <w:pPr>
        <w:pStyle w:val="Heading2"/>
        <w:spacing w:line="360" w:lineRule="auto"/>
      </w:pPr>
      <w:bookmarkStart w:id="18" w:name="_Toc243538476"/>
      <w:r w:rsidRPr="00D11ACD">
        <w:t>3.4 Professional Learning and Development</w:t>
      </w:r>
      <w:bookmarkEnd w:id="18"/>
    </w:p>
    <w:p w14:paraId="68EEDF95" w14:textId="64F978C0" w:rsidR="00D11ACD" w:rsidRDefault="00D11ACD" w:rsidP="00D11ACD">
      <w:pPr>
        <w:spacing w:line="360" w:lineRule="auto"/>
        <w:jc w:val="both"/>
      </w:pPr>
      <w:r w:rsidRPr="00D11ACD">
        <w:t xml:space="preserve">This analysis has confirmed my belief of the need for more than just good eco-performance for sustainable marketing. For recommendation to be effective they need to be a bridge between customer needs, </w:t>
      </w:r>
      <w:r w:rsidRPr="00D11ACD">
        <w:t>organizational</w:t>
      </w:r>
      <w:r w:rsidRPr="00D11ACD">
        <w:t xml:space="preserve"> capacity and </w:t>
      </w:r>
      <w:r w:rsidRPr="00D11ACD">
        <w:t>organizational</w:t>
      </w:r>
      <w:r w:rsidRPr="00D11ACD">
        <w:t xml:space="preserve"> financial viability. When planning for my own future consultancy practice, I would conduct more tests of our </w:t>
      </w:r>
      <w:proofErr w:type="gramStart"/>
      <w:r w:rsidRPr="00D11ACD">
        <w:t>assumptions</w:t>
      </w:r>
      <w:proofErr w:type="gramEnd"/>
      <w:r w:rsidRPr="00D11ACD">
        <w:t xml:space="preserve"> and I would segment the information that's found from the information that's </w:t>
      </w:r>
      <w:r w:rsidRPr="00D11ACD">
        <w:t>predicted and</w:t>
      </w:r>
      <w:r w:rsidRPr="00D11ACD">
        <w:t xml:space="preserve"> be more transparent regarding strategic uncertainty.</w:t>
      </w:r>
    </w:p>
    <w:p w14:paraId="3862D947" w14:textId="77777777" w:rsidR="00D11ACD" w:rsidRDefault="00D11ACD" w:rsidP="00D11ACD">
      <w:pPr>
        <w:spacing w:line="360" w:lineRule="auto"/>
        <w:jc w:val="both"/>
      </w:pPr>
    </w:p>
    <w:p w14:paraId="12E806BD" w14:textId="77777777" w:rsidR="00D11ACD" w:rsidRDefault="00D11ACD" w:rsidP="00D11ACD">
      <w:pPr>
        <w:spacing w:line="360" w:lineRule="auto"/>
        <w:jc w:val="both"/>
      </w:pPr>
    </w:p>
    <w:p w14:paraId="2ED9AFFE" w14:textId="77777777" w:rsidR="00D11ACD" w:rsidRDefault="00D11ACD" w:rsidP="00D11ACD">
      <w:pPr>
        <w:spacing w:line="360" w:lineRule="auto"/>
        <w:jc w:val="both"/>
      </w:pPr>
    </w:p>
    <w:p w14:paraId="275BD912" w14:textId="77777777" w:rsidR="00D11ACD" w:rsidRDefault="00D11ACD" w:rsidP="00D11ACD">
      <w:pPr>
        <w:spacing w:line="360" w:lineRule="auto"/>
        <w:jc w:val="both"/>
      </w:pPr>
    </w:p>
    <w:p w14:paraId="4014B0AB" w14:textId="77777777" w:rsidR="00D11ACD" w:rsidRPr="00D11ACD" w:rsidRDefault="00D11ACD" w:rsidP="00D11ACD">
      <w:pPr>
        <w:pStyle w:val="Heading1"/>
        <w:spacing w:line="360" w:lineRule="auto"/>
      </w:pPr>
      <w:bookmarkStart w:id="19" w:name="_Toc243538477"/>
      <w:r w:rsidRPr="00D11ACD">
        <w:t>References</w:t>
      </w:r>
      <w:bookmarkEnd w:id="19"/>
    </w:p>
    <w:p w14:paraId="74CA7259" w14:textId="77777777" w:rsidR="00D11ACD" w:rsidRPr="00D11ACD" w:rsidRDefault="00D11ACD" w:rsidP="00D11ACD">
      <w:pPr>
        <w:spacing w:line="360" w:lineRule="auto"/>
        <w:jc w:val="both"/>
      </w:pPr>
      <w:r w:rsidRPr="00D11ACD">
        <w:t xml:space="preserve">Ansoff, H.I. (1957) 'Strategies for diversification', </w:t>
      </w:r>
      <w:r w:rsidRPr="00D11ACD">
        <w:rPr>
          <w:i/>
          <w:iCs/>
        </w:rPr>
        <w:t>Harvard Business Review</w:t>
      </w:r>
      <w:r w:rsidRPr="00D11ACD">
        <w:t xml:space="preserve">, 35(5), pp. 113–124. Available at: </w:t>
      </w:r>
      <w:hyperlink r:id="rId10" w:history="1">
        <w:r w:rsidRPr="00D11ACD">
          <w:rPr>
            <w:rStyle w:val="Hyperlink"/>
          </w:rPr>
          <w:t>https://hbr.org/1957/09/strategies-for-diversification</w:t>
        </w:r>
      </w:hyperlink>
    </w:p>
    <w:p w14:paraId="1591C58F" w14:textId="77777777" w:rsidR="00D11ACD" w:rsidRPr="00D11ACD" w:rsidRDefault="00D11ACD" w:rsidP="00D11ACD">
      <w:pPr>
        <w:spacing w:line="360" w:lineRule="auto"/>
        <w:jc w:val="both"/>
      </w:pPr>
      <w:r w:rsidRPr="00D11ACD">
        <w:t xml:space="preserve">Barney, J.B. (1991) 'Firm resources and sustained competitive advantage', </w:t>
      </w:r>
      <w:r w:rsidRPr="00D11ACD">
        <w:rPr>
          <w:i/>
          <w:iCs/>
        </w:rPr>
        <w:t>Journal of Management</w:t>
      </w:r>
      <w:r w:rsidRPr="00D11ACD">
        <w:t xml:space="preserve">, 17(1), pp. 99–120. Available at: </w:t>
      </w:r>
      <w:hyperlink r:id="rId11" w:history="1">
        <w:r w:rsidRPr="00D11ACD">
          <w:rPr>
            <w:rStyle w:val="Hyperlink"/>
          </w:rPr>
          <w:t>https://doi.org/10.1177/014920639101700108</w:t>
        </w:r>
      </w:hyperlink>
    </w:p>
    <w:p w14:paraId="1454B0EE" w14:textId="77777777" w:rsidR="00D11ACD" w:rsidRPr="00D11ACD" w:rsidRDefault="00D11ACD" w:rsidP="00D11ACD">
      <w:pPr>
        <w:spacing w:line="360" w:lineRule="auto"/>
        <w:jc w:val="both"/>
      </w:pPr>
      <w:r w:rsidRPr="00D11ACD">
        <w:t xml:space="preserve">Day, G.S. (1994) 'The capabilities of market-driven organizations', </w:t>
      </w:r>
      <w:r w:rsidRPr="00D11ACD">
        <w:rPr>
          <w:i/>
          <w:iCs/>
        </w:rPr>
        <w:t>Journal of Marketing</w:t>
      </w:r>
      <w:r w:rsidRPr="00D11ACD">
        <w:t xml:space="preserve">, 58(4), pp. 37–52. Available at: </w:t>
      </w:r>
      <w:hyperlink r:id="rId12" w:history="1">
        <w:r w:rsidRPr="00D11ACD">
          <w:rPr>
            <w:rStyle w:val="Hyperlink"/>
          </w:rPr>
          <w:t>https://doi.org/10.1177/002224299405800404</w:t>
        </w:r>
      </w:hyperlink>
    </w:p>
    <w:p w14:paraId="101453DC" w14:textId="77777777" w:rsidR="00D11ACD" w:rsidRPr="00D11ACD" w:rsidRDefault="00D11ACD" w:rsidP="00D11ACD">
      <w:pPr>
        <w:spacing w:line="360" w:lineRule="auto"/>
        <w:jc w:val="both"/>
      </w:pPr>
      <w:r w:rsidRPr="00D11ACD">
        <w:lastRenderedPageBreak/>
        <w:t xml:space="preserve">European Commission (2026) </w:t>
      </w:r>
      <w:r w:rsidRPr="00D11ACD">
        <w:rPr>
          <w:i/>
          <w:iCs/>
        </w:rPr>
        <w:t>Frequently Asked Questions on the Digital Product Passport</w:t>
      </w:r>
      <w:r w:rsidRPr="00D11ACD">
        <w:t xml:space="preserve">. Available at: </w:t>
      </w:r>
      <w:hyperlink r:id="rId13" w:history="1">
        <w:r w:rsidRPr="00D11ACD">
          <w:rPr>
            <w:rStyle w:val="Hyperlink"/>
          </w:rPr>
          <w:t>https://single-market-economy.ec.europa.eu/single-market/digital-product-passport/explore-our-faqs_en</w:t>
        </w:r>
      </w:hyperlink>
    </w:p>
    <w:p w14:paraId="76E1D7A4" w14:textId="77777777" w:rsidR="00D11ACD" w:rsidRPr="00D11ACD" w:rsidRDefault="00D11ACD" w:rsidP="00D11ACD">
      <w:pPr>
        <w:spacing w:line="360" w:lineRule="auto"/>
        <w:jc w:val="both"/>
      </w:pPr>
      <w:r w:rsidRPr="00D11ACD">
        <w:t xml:space="preserve">European Parliament and Council (2024) </w:t>
      </w:r>
      <w:r w:rsidRPr="00D11ACD">
        <w:rPr>
          <w:i/>
          <w:iCs/>
        </w:rPr>
        <w:t>Regulation (EU) 2024/1781 establishing a framework for setting ecodesign requirements for sustainable products</w:t>
      </w:r>
      <w:r w:rsidRPr="00D11ACD">
        <w:t xml:space="preserve">. Available at: </w:t>
      </w:r>
      <w:hyperlink r:id="rId14" w:history="1">
        <w:r w:rsidRPr="00D11ACD">
          <w:rPr>
            <w:rStyle w:val="Hyperlink"/>
          </w:rPr>
          <w:t>https://eur-lex.europa.eu/eli/reg/2024/1781/oj/eng</w:t>
        </w:r>
      </w:hyperlink>
    </w:p>
    <w:p w14:paraId="511A9BAC" w14:textId="77777777" w:rsidR="00D11ACD" w:rsidRPr="00D11ACD" w:rsidRDefault="00D11ACD" w:rsidP="00D11ACD">
      <w:pPr>
        <w:spacing w:line="360" w:lineRule="auto"/>
        <w:jc w:val="both"/>
      </w:pPr>
      <w:r w:rsidRPr="00D11ACD">
        <w:t xml:space="preserve">Geissdoerfer, M., Savaget, P., Bocken, N.M.P. and Hultink, E.J. (2017) 'The circular economy – A new sustainability paradigm?', </w:t>
      </w:r>
      <w:r w:rsidRPr="00D11ACD">
        <w:rPr>
          <w:i/>
          <w:iCs/>
        </w:rPr>
        <w:t>Journal of Cleaner Production</w:t>
      </w:r>
      <w:r w:rsidRPr="00D11ACD">
        <w:t xml:space="preserve">, 143, pp. 757–768. Available at: </w:t>
      </w:r>
      <w:hyperlink r:id="rId15" w:history="1">
        <w:r w:rsidRPr="00D11ACD">
          <w:rPr>
            <w:rStyle w:val="Hyperlink"/>
          </w:rPr>
          <w:t>https://doi.org/10.1016/j.jclepro.2016.12.048</w:t>
        </w:r>
      </w:hyperlink>
    </w:p>
    <w:p w14:paraId="04D3014F" w14:textId="77777777" w:rsidR="00D11ACD" w:rsidRPr="00D11ACD" w:rsidRDefault="00D11ACD" w:rsidP="00D11ACD">
      <w:pPr>
        <w:spacing w:line="360" w:lineRule="auto"/>
        <w:jc w:val="both"/>
      </w:pPr>
      <w:r w:rsidRPr="00D11ACD">
        <w:t xml:space="preserve">Hooley, G.J., Nicoulaud, B., Rudd, J.M. and Lee, N. (2020) </w:t>
      </w:r>
      <w:r w:rsidRPr="00D11ACD">
        <w:rPr>
          <w:i/>
          <w:iCs/>
        </w:rPr>
        <w:t>Marketing Strategy and Competitive Positioning</w:t>
      </w:r>
      <w:r w:rsidRPr="00D11ACD">
        <w:t>. 7th edn. Harlow: Pearson.</w:t>
      </w:r>
    </w:p>
    <w:p w14:paraId="2DE5F5CA" w14:textId="77777777" w:rsidR="00D11ACD" w:rsidRPr="00D11ACD" w:rsidRDefault="00D11ACD" w:rsidP="00D11ACD">
      <w:pPr>
        <w:spacing w:line="360" w:lineRule="auto"/>
        <w:jc w:val="both"/>
      </w:pPr>
      <w:r w:rsidRPr="00D11ACD">
        <w:t xml:space="preserve">International Aluminium Institute (n.d.a) </w:t>
      </w:r>
      <w:r w:rsidRPr="00D11ACD">
        <w:rPr>
          <w:i/>
          <w:iCs/>
        </w:rPr>
        <w:t>Aluminium Carbon Footprint FAQs</w:t>
      </w:r>
      <w:r w:rsidRPr="00D11ACD">
        <w:t xml:space="preserve">. Available at: </w:t>
      </w:r>
      <w:hyperlink r:id="rId16" w:history="1">
        <w:r w:rsidRPr="00D11ACD">
          <w:rPr>
            <w:rStyle w:val="Hyperlink"/>
          </w:rPr>
          <w:t>https://international-aluminium.org/landing/aluminium-carbon-footprint-faqs/</w:t>
        </w:r>
      </w:hyperlink>
    </w:p>
    <w:p w14:paraId="6A1301CC" w14:textId="77777777" w:rsidR="00D11ACD" w:rsidRPr="00D11ACD" w:rsidRDefault="00D11ACD" w:rsidP="00D11ACD">
      <w:pPr>
        <w:spacing w:line="360" w:lineRule="auto"/>
        <w:jc w:val="both"/>
      </w:pPr>
      <w:r w:rsidRPr="00D11ACD">
        <w:t xml:space="preserve">International Aluminium Institute (n.d.b) </w:t>
      </w:r>
      <w:r w:rsidRPr="00D11ACD">
        <w:rPr>
          <w:i/>
          <w:iCs/>
        </w:rPr>
        <w:t>Low Carbon Aluminium Factsheet</w:t>
      </w:r>
      <w:r w:rsidRPr="00D11ACD">
        <w:t xml:space="preserve">. Available at: </w:t>
      </w:r>
      <w:hyperlink r:id="rId17" w:history="1">
        <w:r w:rsidRPr="00D11ACD">
          <w:rPr>
            <w:rStyle w:val="Hyperlink"/>
          </w:rPr>
          <w:t>https://international-aluminium.org/landing/low-carbon-aluminium-factsheet/</w:t>
        </w:r>
      </w:hyperlink>
    </w:p>
    <w:p w14:paraId="7638F0E2" w14:textId="77777777" w:rsidR="00D11ACD" w:rsidRPr="00D11ACD" w:rsidRDefault="00D11ACD" w:rsidP="00D11ACD">
      <w:pPr>
        <w:spacing w:line="360" w:lineRule="auto"/>
        <w:jc w:val="both"/>
      </w:pPr>
      <w:r w:rsidRPr="00D11ACD">
        <w:t xml:space="preserve">International Energy Agency (2023) </w:t>
      </w:r>
      <w:r w:rsidRPr="00D11ACD">
        <w:rPr>
          <w:i/>
          <w:iCs/>
        </w:rPr>
        <w:t>Aluminium</w:t>
      </w:r>
      <w:r w:rsidRPr="00D11ACD">
        <w:t xml:space="preserve">. Paris: International Energy Agency. Available at: </w:t>
      </w:r>
      <w:hyperlink r:id="rId18" w:history="1">
        <w:r w:rsidRPr="00D11ACD">
          <w:rPr>
            <w:rStyle w:val="Hyperlink"/>
          </w:rPr>
          <w:t>https://www.iea.org/energy-system/industry/aluminium</w:t>
        </w:r>
      </w:hyperlink>
    </w:p>
    <w:p w14:paraId="017DFF06" w14:textId="77777777" w:rsidR="00D11ACD" w:rsidRPr="00D11ACD" w:rsidRDefault="00D11ACD" w:rsidP="00D11ACD">
      <w:pPr>
        <w:spacing w:line="360" w:lineRule="auto"/>
        <w:jc w:val="both"/>
      </w:pPr>
      <w:r w:rsidRPr="00D11ACD">
        <w:t xml:space="preserve">Kahneman, D. and Klein, G. (2009) 'Conditions for intuitive expertise: A failure to disagree', </w:t>
      </w:r>
      <w:r w:rsidRPr="00D11ACD">
        <w:rPr>
          <w:i/>
          <w:iCs/>
        </w:rPr>
        <w:t>American Psychologist</w:t>
      </w:r>
      <w:r w:rsidRPr="00D11ACD">
        <w:t xml:space="preserve">, 64(6), pp. 515–526. Available at: </w:t>
      </w:r>
      <w:hyperlink r:id="rId19" w:history="1">
        <w:r w:rsidRPr="00D11ACD">
          <w:rPr>
            <w:rStyle w:val="Hyperlink"/>
          </w:rPr>
          <w:t>https://doi.org/10.1037/a0016755</w:t>
        </w:r>
      </w:hyperlink>
    </w:p>
    <w:p w14:paraId="59AD3277" w14:textId="77777777" w:rsidR="00D11ACD" w:rsidRPr="00D11ACD" w:rsidRDefault="00D11ACD" w:rsidP="00D11ACD">
      <w:pPr>
        <w:spacing w:line="360" w:lineRule="auto"/>
        <w:jc w:val="both"/>
      </w:pPr>
      <w:r w:rsidRPr="00D11ACD">
        <w:t xml:space="preserve">Kolb, D.A. (1984) </w:t>
      </w:r>
      <w:r w:rsidRPr="00D11ACD">
        <w:rPr>
          <w:i/>
          <w:iCs/>
        </w:rPr>
        <w:t>Experiential Learning: Experience as the Source of Learning and Development</w:t>
      </w:r>
      <w:r w:rsidRPr="00D11ACD">
        <w:t>. Englewood Cliffs, NJ: Prentice Hall.</w:t>
      </w:r>
    </w:p>
    <w:p w14:paraId="6475DC4A" w14:textId="77777777" w:rsidR="00D11ACD" w:rsidRPr="00D11ACD" w:rsidRDefault="00D11ACD" w:rsidP="00D11ACD">
      <w:pPr>
        <w:spacing w:line="360" w:lineRule="auto"/>
        <w:jc w:val="both"/>
      </w:pPr>
      <w:r w:rsidRPr="00D11ACD">
        <w:t xml:space="preserve">Kotler, P., Armstrong, G., Harris, L. and Piercy, N. (2020) </w:t>
      </w:r>
      <w:r w:rsidRPr="00D11ACD">
        <w:rPr>
          <w:i/>
          <w:iCs/>
        </w:rPr>
        <w:t>Principles of Marketing</w:t>
      </w:r>
      <w:r w:rsidRPr="00D11ACD">
        <w:t>. 8th European edn. Harlow: Pearson.</w:t>
      </w:r>
    </w:p>
    <w:p w14:paraId="1890FF1E" w14:textId="77777777" w:rsidR="00D11ACD" w:rsidRPr="00D11ACD" w:rsidRDefault="00D11ACD" w:rsidP="00D11ACD">
      <w:pPr>
        <w:spacing w:line="360" w:lineRule="auto"/>
        <w:jc w:val="both"/>
      </w:pPr>
      <w:r w:rsidRPr="00D11ACD">
        <w:t xml:space="preserve">Mercedes-Benz Group (2026) </w:t>
      </w:r>
      <w:r w:rsidRPr="00D11ACD">
        <w:rPr>
          <w:i/>
          <w:iCs/>
        </w:rPr>
        <w:t>Mercedes-Benz and Hydro deepen partnership</w:t>
      </w:r>
      <w:r w:rsidRPr="00D11ACD">
        <w:t xml:space="preserve">. 27 July. Available at: </w:t>
      </w:r>
      <w:hyperlink r:id="rId20" w:history="1">
        <w:r w:rsidRPr="00D11ACD">
          <w:rPr>
            <w:rStyle w:val="Hyperlink"/>
          </w:rPr>
          <w:t>https://group.mercedes-benz.com/company/news/hydro-norsk.html</w:t>
        </w:r>
      </w:hyperlink>
    </w:p>
    <w:p w14:paraId="0D97DB86" w14:textId="77777777" w:rsidR="00D11ACD" w:rsidRPr="00D11ACD" w:rsidRDefault="00D11ACD" w:rsidP="00D11ACD">
      <w:pPr>
        <w:spacing w:line="360" w:lineRule="auto"/>
        <w:jc w:val="both"/>
      </w:pPr>
      <w:r w:rsidRPr="00D11ACD">
        <w:lastRenderedPageBreak/>
        <w:t xml:space="preserve">Norsk Hydro (2024a) </w:t>
      </w:r>
      <w:r w:rsidRPr="00D11ACD">
        <w:rPr>
          <w:i/>
          <w:iCs/>
        </w:rPr>
        <w:t>Pushing the boundaries for low-carbon aluminium with Hydro CIRCAL</w:t>
      </w:r>
      <w:r w:rsidRPr="00D11ACD">
        <w:t xml:space="preserve">. Available at: </w:t>
      </w:r>
      <w:hyperlink r:id="rId21" w:history="1">
        <w:r w:rsidRPr="00D11ACD">
          <w:rPr>
            <w:rStyle w:val="Hyperlink"/>
          </w:rPr>
          <w:t>https://www.hydro.com/en/global/media/news/2024/pushing-the-boundaries-for-low-carbon-aluminium-with-hydro-circal/</w:t>
        </w:r>
      </w:hyperlink>
    </w:p>
    <w:p w14:paraId="15CD4AF2" w14:textId="77777777" w:rsidR="00D11ACD" w:rsidRPr="00D11ACD" w:rsidRDefault="00D11ACD" w:rsidP="00D11ACD">
      <w:pPr>
        <w:spacing w:line="360" w:lineRule="auto"/>
        <w:jc w:val="both"/>
      </w:pPr>
      <w:r w:rsidRPr="00D11ACD">
        <w:t xml:space="preserve">Norsk Hydro (2024b) </w:t>
      </w:r>
      <w:r w:rsidRPr="00D11ACD">
        <w:rPr>
          <w:i/>
          <w:iCs/>
        </w:rPr>
        <w:t>Hydro invests in recycling to accelerate emission cuts</w:t>
      </w:r>
      <w:r w:rsidRPr="00D11ACD">
        <w:t xml:space="preserve">. 8 October. Available at: </w:t>
      </w:r>
      <w:hyperlink r:id="rId22" w:history="1">
        <w:r w:rsidRPr="00D11ACD">
          <w:rPr>
            <w:rStyle w:val="Hyperlink"/>
          </w:rPr>
          <w:t>https://www.hydro.com/en/global/media/news/2024/hydro-invests-in-recycling-to-accelerate-emission-cuts/</w:t>
        </w:r>
      </w:hyperlink>
    </w:p>
    <w:p w14:paraId="7FC0E048" w14:textId="77777777" w:rsidR="00D11ACD" w:rsidRPr="00D11ACD" w:rsidRDefault="00D11ACD" w:rsidP="00D11ACD">
      <w:pPr>
        <w:spacing w:line="360" w:lineRule="auto"/>
        <w:jc w:val="both"/>
      </w:pPr>
      <w:r w:rsidRPr="00D11ACD">
        <w:t xml:space="preserve">Norsk Hydro (2025) </w:t>
      </w:r>
      <w:r w:rsidRPr="00D11ACD">
        <w:rPr>
          <w:i/>
          <w:iCs/>
        </w:rPr>
        <w:t>Hydro expands Hydro CIRCAL offering to foundry alloys</w:t>
      </w:r>
      <w:r w:rsidRPr="00D11ACD">
        <w:t xml:space="preserve">. 4 September. Available at: </w:t>
      </w:r>
      <w:hyperlink r:id="rId23" w:history="1">
        <w:r w:rsidRPr="00D11ACD">
          <w:rPr>
            <w:rStyle w:val="Hyperlink"/>
          </w:rPr>
          <w:t>https://www.hydro.com/en/global/media/news/2025/hydro-expands-hydro-circal-offering-to-foundry-alloys/</w:t>
        </w:r>
      </w:hyperlink>
    </w:p>
    <w:p w14:paraId="2569171B" w14:textId="77777777" w:rsidR="00D11ACD" w:rsidRPr="00D11ACD" w:rsidRDefault="00D11ACD" w:rsidP="00D11ACD">
      <w:pPr>
        <w:spacing w:line="360" w:lineRule="auto"/>
        <w:jc w:val="both"/>
      </w:pPr>
      <w:r w:rsidRPr="00D11ACD">
        <w:t xml:space="preserve">Norsk Hydro (2026) </w:t>
      </w:r>
      <w:r w:rsidRPr="00D11ACD">
        <w:rPr>
          <w:i/>
          <w:iCs/>
        </w:rPr>
        <w:t>Integrated Annual Report 2025</w:t>
      </w:r>
      <w:r w:rsidRPr="00D11ACD">
        <w:t xml:space="preserve">. Oslo: Norsk Hydro ASA. Available at: </w:t>
      </w:r>
      <w:hyperlink r:id="rId24" w:history="1">
        <w:r w:rsidRPr="00D11ACD">
          <w:rPr>
            <w:rStyle w:val="Hyperlink"/>
          </w:rPr>
          <w:t>https://www.hydro.com/globalassets/06-investors/reports-and-presentations/annual-report/ar-2025/integrated-annual-report-2025.pdf</w:t>
        </w:r>
      </w:hyperlink>
    </w:p>
    <w:p w14:paraId="4BA81E7B" w14:textId="77777777" w:rsidR="00D11ACD" w:rsidRPr="00D11ACD" w:rsidRDefault="00D11ACD" w:rsidP="00D11ACD">
      <w:pPr>
        <w:spacing w:line="360" w:lineRule="auto"/>
        <w:jc w:val="both"/>
      </w:pPr>
      <w:r w:rsidRPr="00D11ACD">
        <w:t xml:space="preserve">Norsk Hydro (n.d.) </w:t>
      </w:r>
      <w:r w:rsidRPr="00D11ACD">
        <w:rPr>
          <w:i/>
          <w:iCs/>
        </w:rPr>
        <w:t>Hydro CIRCAL</w:t>
      </w:r>
      <w:r w:rsidRPr="00D11ACD">
        <w:t xml:space="preserve">. Available at: </w:t>
      </w:r>
      <w:hyperlink r:id="rId25" w:history="1">
        <w:r w:rsidRPr="00D11ACD">
          <w:rPr>
            <w:rStyle w:val="Hyperlink"/>
          </w:rPr>
          <w:t>https://www.hydro.com/en/global/aluminium/products/low-carbon-and-recycled-aluminium/recycled-aluminium/hydro-circal/</w:t>
        </w:r>
      </w:hyperlink>
    </w:p>
    <w:p w14:paraId="0BA62CF4" w14:textId="77777777" w:rsidR="00D11ACD" w:rsidRPr="00D11ACD" w:rsidRDefault="00D11ACD" w:rsidP="00D11ACD">
      <w:pPr>
        <w:spacing w:line="360" w:lineRule="auto"/>
        <w:jc w:val="both"/>
      </w:pPr>
      <w:r w:rsidRPr="00D11ACD">
        <w:t xml:space="preserve">Porter, M.E. (1985) </w:t>
      </w:r>
      <w:r w:rsidRPr="00D11ACD">
        <w:rPr>
          <w:i/>
          <w:iCs/>
        </w:rPr>
        <w:t>Competitive Advantage: Creating and Sustaining Superior Performance</w:t>
      </w:r>
      <w:r w:rsidRPr="00D11ACD">
        <w:t>. New York: Free Press.</w:t>
      </w:r>
    </w:p>
    <w:p w14:paraId="01173F12" w14:textId="77777777" w:rsidR="00D11ACD" w:rsidRPr="00D11ACD" w:rsidRDefault="00D11ACD" w:rsidP="00D11ACD">
      <w:pPr>
        <w:spacing w:line="360" w:lineRule="auto"/>
        <w:jc w:val="both"/>
      </w:pPr>
      <w:r w:rsidRPr="00D11ACD">
        <w:t xml:space="preserve">Reuters (2026) 'Low-carbon copper and aluminium products', 19 October. Available at: </w:t>
      </w:r>
      <w:hyperlink r:id="rId26" w:history="1">
        <w:r w:rsidRPr="00D11ACD">
          <w:rPr>
            <w:rStyle w:val="Hyperlink"/>
          </w:rPr>
          <w:t>https://www.reuters.com/business/energy/low-carbon-copper-aluminium-products-2026-10-19/</w:t>
        </w:r>
      </w:hyperlink>
    </w:p>
    <w:p w14:paraId="73DB5261" w14:textId="77777777" w:rsidR="00D11ACD" w:rsidRPr="00D11ACD" w:rsidRDefault="00D11ACD" w:rsidP="00D11ACD">
      <w:pPr>
        <w:spacing w:line="360" w:lineRule="auto"/>
        <w:jc w:val="both"/>
      </w:pPr>
      <w:r w:rsidRPr="00D11ACD">
        <w:t xml:space="preserve">Schön, D.A. (1983) </w:t>
      </w:r>
      <w:r w:rsidRPr="00D11ACD">
        <w:rPr>
          <w:i/>
          <w:iCs/>
        </w:rPr>
        <w:t>The Reflective Practitioner: How Professionals Think in Action</w:t>
      </w:r>
      <w:r w:rsidRPr="00D11ACD">
        <w:t>. New York: Basic Books.</w:t>
      </w:r>
    </w:p>
    <w:p w14:paraId="3FF43FF6" w14:textId="77777777" w:rsidR="00D11ACD" w:rsidRPr="00D11ACD" w:rsidRDefault="00D11ACD" w:rsidP="00D11ACD">
      <w:pPr>
        <w:spacing w:line="360" w:lineRule="auto"/>
        <w:jc w:val="both"/>
      </w:pPr>
      <w:r w:rsidRPr="00D11ACD">
        <w:t xml:space="preserve">Teece, D.J., Pisano, G. and Shuen, A. (1997) 'Dynamic capabilities and strategic management', </w:t>
      </w:r>
      <w:r w:rsidRPr="00D11ACD">
        <w:rPr>
          <w:i/>
          <w:iCs/>
        </w:rPr>
        <w:t>Strategic Management Journal</w:t>
      </w:r>
      <w:r w:rsidRPr="00D11ACD">
        <w:t xml:space="preserve">, 18(7), pp. 509–533. Available at: </w:t>
      </w:r>
      <w:hyperlink r:id="rId27" w:history="1">
        <w:r w:rsidRPr="00D11ACD">
          <w:rPr>
            <w:rStyle w:val="Hyperlink"/>
          </w:rPr>
          <w:t>https://doi.org/10.1002/(SICI)1097-0266(199708)18:7%3C509::AID-SMJ882%3E3.0.CO;2-Z</w:t>
        </w:r>
      </w:hyperlink>
    </w:p>
    <w:p w14:paraId="184694F7" w14:textId="77777777" w:rsidR="00D11ACD" w:rsidRPr="00D11ACD" w:rsidRDefault="00D11ACD" w:rsidP="00D11ACD">
      <w:pPr>
        <w:spacing w:line="360" w:lineRule="auto"/>
        <w:jc w:val="both"/>
      </w:pPr>
      <w:r w:rsidRPr="00D11ACD">
        <w:t xml:space="preserve">World Economic Forum (2024) </w:t>
      </w:r>
      <w:r w:rsidRPr="00D11ACD">
        <w:rPr>
          <w:i/>
          <w:iCs/>
        </w:rPr>
        <w:t>Net-Zero Industry Tracker 2024: Aluminium Industry</w:t>
      </w:r>
      <w:r w:rsidRPr="00D11ACD">
        <w:t xml:space="preserve">. Available at: </w:t>
      </w:r>
      <w:hyperlink r:id="rId28" w:history="1">
        <w:r w:rsidRPr="00D11ACD">
          <w:rPr>
            <w:rStyle w:val="Hyperlink"/>
          </w:rPr>
          <w:t>https://www.weforum.org/publications/net-zero-industry-tracker-2024/aluminium-industry-net-zero-tracker-2024/</w:t>
        </w:r>
      </w:hyperlink>
    </w:p>
    <w:p w14:paraId="58663FBE" w14:textId="77777777" w:rsidR="00D11ACD" w:rsidRDefault="00D11ACD" w:rsidP="00D11ACD">
      <w:pPr>
        <w:spacing w:line="360" w:lineRule="auto"/>
        <w:jc w:val="both"/>
      </w:pPr>
    </w:p>
    <w:p w14:paraId="253C430E" w14:textId="77777777" w:rsidR="00D11ACD" w:rsidRDefault="00D11ACD" w:rsidP="00D11ACD">
      <w:pPr>
        <w:spacing w:line="360" w:lineRule="auto"/>
        <w:jc w:val="both"/>
      </w:pPr>
    </w:p>
    <w:p w14:paraId="5A38A9F9" w14:textId="77777777" w:rsidR="00D11ACD" w:rsidRDefault="00D11ACD" w:rsidP="00D11ACD">
      <w:pPr>
        <w:spacing w:line="360" w:lineRule="auto"/>
        <w:jc w:val="both"/>
      </w:pPr>
    </w:p>
    <w:sectPr w:rsidR="00D11ACD">
      <w:headerReference w:type="default" r:id="rId2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A615C4" w14:textId="77777777" w:rsidR="0014316D" w:rsidRDefault="0014316D" w:rsidP="00D11ACD">
      <w:pPr>
        <w:spacing w:after="0" w:line="240" w:lineRule="auto"/>
      </w:pPr>
      <w:r>
        <w:separator/>
      </w:r>
    </w:p>
  </w:endnote>
  <w:endnote w:type="continuationSeparator" w:id="0">
    <w:p w14:paraId="13779603" w14:textId="77777777" w:rsidR="0014316D" w:rsidRDefault="0014316D" w:rsidP="00D11A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56B799" w14:textId="77777777" w:rsidR="0014316D" w:rsidRDefault="0014316D" w:rsidP="00D11ACD">
      <w:pPr>
        <w:spacing w:after="0" w:line="240" w:lineRule="auto"/>
      </w:pPr>
      <w:r>
        <w:separator/>
      </w:r>
    </w:p>
  </w:footnote>
  <w:footnote w:type="continuationSeparator" w:id="0">
    <w:p w14:paraId="6A62FB18" w14:textId="77777777" w:rsidR="0014316D" w:rsidRDefault="0014316D" w:rsidP="00D11AC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EBC3B9" w14:textId="380C215D" w:rsidR="00D11ACD" w:rsidRDefault="00D11ACD">
    <w:pPr>
      <w:pStyle w:val="Header"/>
    </w:pPr>
    <w:r w:rsidRPr="00A406E5">
      <w:rPr>
        <w:rFonts w:ascii="Arial" w:hAnsi="Arial" w:cs="Arial"/>
        <w:noProof/>
      </w:rPr>
      <w:drawing>
        <wp:anchor distT="0" distB="0" distL="114300" distR="114300" simplePos="0" relativeHeight="251659264" behindDoc="0" locked="0" layoutInCell="1" allowOverlap="1" wp14:anchorId="4468CC2B" wp14:editId="1DC7982C">
          <wp:simplePos x="0" y="0"/>
          <wp:positionH relativeFrom="column">
            <wp:posOffset>4901184</wp:posOffset>
          </wp:positionH>
          <wp:positionV relativeFrom="paragraph">
            <wp:posOffset>-351790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4"/>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4D8E"/>
    <w:rsid w:val="001150F4"/>
    <w:rsid w:val="0014316D"/>
    <w:rsid w:val="003513AA"/>
    <w:rsid w:val="00397217"/>
    <w:rsid w:val="006E4D8E"/>
    <w:rsid w:val="0072053B"/>
    <w:rsid w:val="007A7915"/>
    <w:rsid w:val="007B100F"/>
    <w:rsid w:val="007D4B72"/>
    <w:rsid w:val="00A033AE"/>
    <w:rsid w:val="00AF0A44"/>
    <w:rsid w:val="00D11ACD"/>
    <w:rsid w:val="00D87D5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D1E80D"/>
  <w15:chartTrackingRefBased/>
  <w15:docId w15:val="{F0F5848A-7570-44D9-A0B0-F09633F878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50F4"/>
    <w:pPr>
      <w:keepNext/>
      <w:keepLines/>
      <w:spacing w:before="360" w:after="80"/>
      <w:outlineLvl w:val="0"/>
    </w:pPr>
    <w:rPr>
      <w:rFonts w:eastAsiaTheme="majorEastAsia" w:cstheme="majorBidi"/>
      <w:b/>
      <w:color w:val="000000" w:themeColor="text1"/>
      <w:szCs w:val="40"/>
    </w:rPr>
  </w:style>
  <w:style w:type="paragraph" w:styleId="Heading2">
    <w:name w:val="heading 2"/>
    <w:basedOn w:val="Normal"/>
    <w:next w:val="Normal"/>
    <w:link w:val="Heading2Char"/>
    <w:uiPriority w:val="9"/>
    <w:unhideWhenUsed/>
    <w:qFormat/>
    <w:rsid w:val="001150F4"/>
    <w:pPr>
      <w:keepNext/>
      <w:keepLines/>
      <w:spacing w:before="160" w:after="80"/>
      <w:outlineLvl w:val="1"/>
    </w:pPr>
    <w:rPr>
      <w:rFonts w:eastAsiaTheme="majorEastAsia" w:cstheme="majorBidi"/>
      <w:b/>
      <w:color w:val="000000" w:themeColor="text1"/>
      <w:szCs w:val="32"/>
    </w:rPr>
  </w:style>
  <w:style w:type="paragraph" w:styleId="Heading3">
    <w:name w:val="heading 3"/>
    <w:basedOn w:val="Normal"/>
    <w:next w:val="Normal"/>
    <w:link w:val="Heading3Char"/>
    <w:uiPriority w:val="9"/>
    <w:unhideWhenUsed/>
    <w:qFormat/>
    <w:rsid w:val="007A7915"/>
    <w:pPr>
      <w:keepNext/>
      <w:keepLines/>
      <w:spacing w:before="160" w:after="80"/>
      <w:outlineLvl w:val="2"/>
    </w:pPr>
    <w:rPr>
      <w:rFonts w:eastAsiaTheme="majorEastAsia" w:cstheme="majorBidi"/>
      <w:b/>
      <w:color w:val="000000" w:themeColor="text1"/>
      <w:szCs w:val="28"/>
    </w:rPr>
  </w:style>
  <w:style w:type="paragraph" w:styleId="Heading4">
    <w:name w:val="heading 4"/>
    <w:basedOn w:val="Normal"/>
    <w:next w:val="Normal"/>
    <w:link w:val="Heading4Char"/>
    <w:uiPriority w:val="9"/>
    <w:semiHidden/>
    <w:unhideWhenUsed/>
    <w:qFormat/>
    <w:rsid w:val="006E4D8E"/>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6E4D8E"/>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6E4D8E"/>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E4D8E"/>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E4D8E"/>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E4D8E"/>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50F4"/>
    <w:rPr>
      <w:rFonts w:ascii="Times New Roman" w:eastAsiaTheme="majorEastAsia" w:hAnsi="Times New Roman" w:cstheme="majorBidi"/>
      <w:b/>
      <w:color w:val="000000" w:themeColor="text1"/>
      <w:szCs w:val="40"/>
    </w:rPr>
  </w:style>
  <w:style w:type="character" w:customStyle="1" w:styleId="Heading2Char">
    <w:name w:val="Heading 2 Char"/>
    <w:basedOn w:val="DefaultParagraphFont"/>
    <w:link w:val="Heading2"/>
    <w:uiPriority w:val="9"/>
    <w:rsid w:val="001150F4"/>
    <w:rPr>
      <w:rFonts w:ascii="Times New Roman" w:eastAsiaTheme="majorEastAsia" w:hAnsi="Times New Roman" w:cstheme="majorBidi"/>
      <w:b/>
      <w:color w:val="000000" w:themeColor="text1"/>
      <w:szCs w:val="32"/>
    </w:rPr>
  </w:style>
  <w:style w:type="character" w:customStyle="1" w:styleId="Heading3Char">
    <w:name w:val="Heading 3 Char"/>
    <w:basedOn w:val="DefaultParagraphFont"/>
    <w:link w:val="Heading3"/>
    <w:uiPriority w:val="9"/>
    <w:rsid w:val="007A7915"/>
    <w:rPr>
      <w:rFonts w:eastAsiaTheme="majorEastAsia" w:cstheme="majorBidi"/>
      <w:b/>
      <w:color w:val="000000" w:themeColor="text1"/>
      <w:szCs w:val="28"/>
    </w:rPr>
  </w:style>
  <w:style w:type="character" w:customStyle="1" w:styleId="Heading4Char">
    <w:name w:val="Heading 4 Char"/>
    <w:basedOn w:val="DefaultParagraphFont"/>
    <w:link w:val="Heading4"/>
    <w:uiPriority w:val="9"/>
    <w:semiHidden/>
    <w:rsid w:val="006E4D8E"/>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6E4D8E"/>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6E4D8E"/>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6E4D8E"/>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6E4D8E"/>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6E4D8E"/>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6E4D8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4D8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E4D8E"/>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E4D8E"/>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6E4D8E"/>
    <w:pPr>
      <w:spacing w:before="160"/>
      <w:jc w:val="center"/>
    </w:pPr>
    <w:rPr>
      <w:i/>
      <w:iCs/>
      <w:color w:val="404040" w:themeColor="text1" w:themeTint="BF"/>
    </w:rPr>
  </w:style>
  <w:style w:type="character" w:customStyle="1" w:styleId="QuoteChar">
    <w:name w:val="Quote Char"/>
    <w:basedOn w:val="DefaultParagraphFont"/>
    <w:link w:val="Quote"/>
    <w:uiPriority w:val="29"/>
    <w:rsid w:val="006E4D8E"/>
    <w:rPr>
      <w:i/>
      <w:iCs/>
      <w:color w:val="404040" w:themeColor="text1" w:themeTint="BF"/>
    </w:rPr>
  </w:style>
  <w:style w:type="paragraph" w:styleId="ListParagraph">
    <w:name w:val="List Paragraph"/>
    <w:basedOn w:val="Normal"/>
    <w:uiPriority w:val="34"/>
    <w:qFormat/>
    <w:rsid w:val="006E4D8E"/>
    <w:pPr>
      <w:ind w:left="720"/>
      <w:contextualSpacing/>
    </w:pPr>
  </w:style>
  <w:style w:type="character" w:styleId="IntenseEmphasis">
    <w:name w:val="Intense Emphasis"/>
    <w:basedOn w:val="DefaultParagraphFont"/>
    <w:uiPriority w:val="21"/>
    <w:qFormat/>
    <w:rsid w:val="006E4D8E"/>
    <w:rPr>
      <w:i/>
      <w:iCs/>
      <w:color w:val="0F4761" w:themeColor="accent1" w:themeShade="BF"/>
    </w:rPr>
  </w:style>
  <w:style w:type="paragraph" w:styleId="IntenseQuote">
    <w:name w:val="Intense Quote"/>
    <w:basedOn w:val="Normal"/>
    <w:next w:val="Normal"/>
    <w:link w:val="IntenseQuoteChar"/>
    <w:uiPriority w:val="30"/>
    <w:qFormat/>
    <w:rsid w:val="006E4D8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E4D8E"/>
    <w:rPr>
      <w:i/>
      <w:iCs/>
      <w:color w:val="0F4761" w:themeColor="accent1" w:themeShade="BF"/>
    </w:rPr>
  </w:style>
  <w:style w:type="character" w:styleId="IntenseReference">
    <w:name w:val="Intense Reference"/>
    <w:basedOn w:val="DefaultParagraphFont"/>
    <w:uiPriority w:val="32"/>
    <w:qFormat/>
    <w:rsid w:val="006E4D8E"/>
    <w:rPr>
      <w:b/>
      <w:bCs/>
      <w:smallCaps/>
      <w:color w:val="0F4761" w:themeColor="accent1" w:themeShade="BF"/>
      <w:spacing w:val="5"/>
    </w:rPr>
  </w:style>
  <w:style w:type="paragraph" w:styleId="TOCHeading">
    <w:name w:val="TOC Heading"/>
    <w:basedOn w:val="Heading1"/>
    <w:next w:val="Normal"/>
    <w:uiPriority w:val="39"/>
    <w:unhideWhenUsed/>
    <w:qFormat/>
    <w:rsid w:val="00D11ACD"/>
    <w:pPr>
      <w:spacing w:before="240" w:after="0" w:line="259" w:lineRule="auto"/>
      <w:outlineLvl w:val="9"/>
    </w:pPr>
    <w:rPr>
      <w:rFonts w:asciiTheme="majorHAnsi" w:hAnsiTheme="majorHAnsi"/>
      <w:b w:val="0"/>
      <w:color w:val="0F4761" w:themeColor="accent1" w:themeShade="BF"/>
      <w:kern w:val="0"/>
      <w:sz w:val="32"/>
      <w:szCs w:val="32"/>
      <w14:ligatures w14:val="none"/>
    </w:rPr>
  </w:style>
  <w:style w:type="paragraph" w:styleId="TOC1">
    <w:name w:val="toc 1"/>
    <w:basedOn w:val="Normal"/>
    <w:next w:val="Normal"/>
    <w:autoRedefine/>
    <w:uiPriority w:val="39"/>
    <w:unhideWhenUsed/>
    <w:rsid w:val="00D11ACD"/>
    <w:pPr>
      <w:spacing w:after="100"/>
    </w:pPr>
  </w:style>
  <w:style w:type="paragraph" w:styleId="TOC2">
    <w:name w:val="toc 2"/>
    <w:basedOn w:val="Normal"/>
    <w:next w:val="Normal"/>
    <w:autoRedefine/>
    <w:uiPriority w:val="39"/>
    <w:unhideWhenUsed/>
    <w:rsid w:val="00D11ACD"/>
    <w:pPr>
      <w:spacing w:after="100"/>
      <w:ind w:left="240"/>
    </w:pPr>
  </w:style>
  <w:style w:type="paragraph" w:styleId="TOC3">
    <w:name w:val="toc 3"/>
    <w:basedOn w:val="Normal"/>
    <w:next w:val="Normal"/>
    <w:autoRedefine/>
    <w:uiPriority w:val="39"/>
    <w:unhideWhenUsed/>
    <w:rsid w:val="00D11ACD"/>
    <w:pPr>
      <w:spacing w:after="100"/>
      <w:ind w:left="480"/>
    </w:pPr>
  </w:style>
  <w:style w:type="character" w:styleId="Hyperlink">
    <w:name w:val="Hyperlink"/>
    <w:basedOn w:val="DefaultParagraphFont"/>
    <w:uiPriority w:val="99"/>
    <w:unhideWhenUsed/>
    <w:rsid w:val="00D11ACD"/>
    <w:rPr>
      <w:color w:val="467886" w:themeColor="hyperlink"/>
      <w:u w:val="single"/>
    </w:rPr>
  </w:style>
  <w:style w:type="character" w:styleId="UnresolvedMention">
    <w:name w:val="Unresolved Mention"/>
    <w:basedOn w:val="DefaultParagraphFont"/>
    <w:uiPriority w:val="99"/>
    <w:semiHidden/>
    <w:unhideWhenUsed/>
    <w:rsid w:val="00D11ACD"/>
    <w:rPr>
      <w:color w:val="605E5C"/>
      <w:shd w:val="clear" w:color="auto" w:fill="E1DFDD"/>
    </w:rPr>
  </w:style>
  <w:style w:type="paragraph" w:styleId="Header">
    <w:name w:val="header"/>
    <w:basedOn w:val="Normal"/>
    <w:link w:val="HeaderChar"/>
    <w:uiPriority w:val="99"/>
    <w:unhideWhenUsed/>
    <w:rsid w:val="00D11ACD"/>
    <w:pPr>
      <w:tabs>
        <w:tab w:val="center" w:pos="4680"/>
        <w:tab w:val="right" w:pos="9360"/>
      </w:tabs>
      <w:spacing w:after="0" w:line="240" w:lineRule="auto"/>
    </w:pPr>
  </w:style>
  <w:style w:type="character" w:customStyle="1" w:styleId="HeaderChar">
    <w:name w:val="Header Char"/>
    <w:basedOn w:val="DefaultParagraphFont"/>
    <w:link w:val="Header"/>
    <w:uiPriority w:val="99"/>
    <w:rsid w:val="00D11ACD"/>
  </w:style>
  <w:style w:type="paragraph" w:styleId="Footer">
    <w:name w:val="footer"/>
    <w:basedOn w:val="Normal"/>
    <w:link w:val="FooterChar"/>
    <w:uiPriority w:val="99"/>
    <w:unhideWhenUsed/>
    <w:rsid w:val="00D11ACD"/>
    <w:pPr>
      <w:tabs>
        <w:tab w:val="center" w:pos="4680"/>
        <w:tab w:val="right" w:pos="9360"/>
      </w:tabs>
      <w:spacing w:after="0" w:line="240" w:lineRule="auto"/>
    </w:pPr>
  </w:style>
  <w:style w:type="character" w:customStyle="1" w:styleId="FooterChar">
    <w:name w:val="Footer Char"/>
    <w:basedOn w:val="DefaultParagraphFont"/>
    <w:link w:val="Footer"/>
    <w:uiPriority w:val="99"/>
    <w:rsid w:val="00D11ACD"/>
  </w:style>
  <w:style w:type="paragraph" w:styleId="NormalWeb">
    <w:name w:val="Normal (Web)"/>
    <w:basedOn w:val="Normal"/>
    <w:uiPriority w:val="99"/>
    <w:semiHidden/>
    <w:unhideWhenUsed/>
    <w:rsid w:val="00A033AE"/>
    <w:rPr>
      <w:rFonts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single-market-economy.ec.europa.eu/single-market/digital-product-passport/explore-our-faqs_en" TargetMode="External"/><Relationship Id="rId18" Type="http://schemas.openxmlformats.org/officeDocument/2006/relationships/hyperlink" Target="https://www.iea.org/energy-system/industry/aluminium" TargetMode="External"/><Relationship Id="rId26" Type="http://schemas.openxmlformats.org/officeDocument/2006/relationships/hyperlink" Target="https://www.reuters.com/business/energy/low-carbon-copper-aluminium-products-2026-10-19/" TargetMode="External"/><Relationship Id="rId3" Type="http://schemas.openxmlformats.org/officeDocument/2006/relationships/webSettings" Target="webSettings.xml"/><Relationship Id="rId21" Type="http://schemas.openxmlformats.org/officeDocument/2006/relationships/hyperlink" Target="https://www.hydro.com/en/global/media/news/2024/pushing-the-boundaries-for-low-carbon-aluminium-with-hydro-circal/" TargetMode="External"/><Relationship Id="rId7" Type="http://schemas.openxmlformats.org/officeDocument/2006/relationships/image" Target="media/image2.png"/><Relationship Id="rId12" Type="http://schemas.openxmlformats.org/officeDocument/2006/relationships/hyperlink" Target="https://doi.org/10.1177/002224299405800404" TargetMode="External"/><Relationship Id="rId17" Type="http://schemas.openxmlformats.org/officeDocument/2006/relationships/hyperlink" Target="https://international-aluminium.org/landing/low-carbon-aluminium-factsheet/" TargetMode="External"/><Relationship Id="rId25" Type="http://schemas.openxmlformats.org/officeDocument/2006/relationships/hyperlink" Target="https://www.hydro.com/en/global/aluminium/products/low-carbon-and-recycled-aluminium/recycled-aluminium/hydro-circal/" TargetMode="External"/><Relationship Id="rId2" Type="http://schemas.openxmlformats.org/officeDocument/2006/relationships/settings" Target="settings.xml"/><Relationship Id="rId16" Type="http://schemas.openxmlformats.org/officeDocument/2006/relationships/hyperlink" Target="https://international-aluminium.org/landing/aluminium-carbon-footprint-faqs/" TargetMode="External"/><Relationship Id="rId20" Type="http://schemas.openxmlformats.org/officeDocument/2006/relationships/hyperlink" Target="https://group.mercedes-benz.com/company/news/hydro-norsk.html" TargetMode="External"/><Relationship Id="rId29" Type="http://schemas.openxmlformats.org/officeDocument/2006/relationships/header" Target="head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doi.org/10.1177/014920639101700108" TargetMode="External"/><Relationship Id="rId24" Type="http://schemas.openxmlformats.org/officeDocument/2006/relationships/hyperlink" Target="https://www.hydro.com/globalassets/06-investors/reports-and-presentations/annual-report/ar-2025/integrated-annual-report-2025.pdf" TargetMode="External"/><Relationship Id="rId5" Type="http://schemas.openxmlformats.org/officeDocument/2006/relationships/endnotes" Target="endnotes.xml"/><Relationship Id="rId15" Type="http://schemas.openxmlformats.org/officeDocument/2006/relationships/hyperlink" Target="https://doi.org/10.1016/j.jclepro.2016.12.048" TargetMode="External"/><Relationship Id="rId23" Type="http://schemas.openxmlformats.org/officeDocument/2006/relationships/hyperlink" Target="https://www.hydro.com/en/global/media/news/2025/hydro-expands-hydro-circal-offering-to-foundry-alloys/" TargetMode="External"/><Relationship Id="rId28" Type="http://schemas.openxmlformats.org/officeDocument/2006/relationships/hyperlink" Target="https://www.weforum.org/publications/net-zero-industry-tracker-2024/aluminium-industry-net-zero-tracker-2024/" TargetMode="External"/><Relationship Id="rId10" Type="http://schemas.openxmlformats.org/officeDocument/2006/relationships/hyperlink" Target="https://hbr.org/1957/09/strategies-for-diversification" TargetMode="External"/><Relationship Id="rId19" Type="http://schemas.openxmlformats.org/officeDocument/2006/relationships/hyperlink" Target="https://doi.org/10.1037/a0016755" TargetMode="External"/><Relationship Id="rId31"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https://eur-lex.europa.eu/eli/reg/2024/1781/oj/eng" TargetMode="External"/><Relationship Id="rId22" Type="http://schemas.openxmlformats.org/officeDocument/2006/relationships/hyperlink" Target="https://www.hydro.com/en/global/media/news/2024/hydro-invests-in-recycling-to-accelerate-emission-cuts/" TargetMode="External"/><Relationship Id="rId27" Type="http://schemas.openxmlformats.org/officeDocument/2006/relationships/hyperlink" Target="https://doi.org/10.1002/(SICI)1097-0266(199708)18:7%3C509::AID-SMJ882%3E3.0.CO;2-Z" TargetMode="External"/><Relationship Id="rId30" Type="http://schemas.openxmlformats.org/officeDocument/2006/relationships/fontTable" Target="fontTable.xml"/></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53</TotalTime>
  <Pages>15</Pages>
  <Words>4110</Words>
  <Characters>23431</Characters>
  <DocSecurity>0</DocSecurity>
  <Lines>195</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2026-10-22T11:24:00Z</dcterms:created>
  <dcterms:modified xsi:type="dcterms:W3CDTF">2026-10-22T12:20:00Z</dcterms:modified>
</cp:coreProperties>
</file>