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9C8BE" w14:textId="77777777" w:rsidR="00632021" w:rsidRPr="00632021" w:rsidRDefault="00632021" w:rsidP="00632021">
      <w:pPr>
        <w:jc w:val="center"/>
        <w:rPr>
          <w:b/>
          <w:sz w:val="36"/>
        </w:rPr>
      </w:pPr>
      <w:r w:rsidRPr="00632021">
        <w:rPr>
          <w:b/>
          <w:sz w:val="36"/>
        </w:rPr>
        <w:t>Object Analysis</w:t>
      </w:r>
    </w:p>
    <w:p w14:paraId="0E66E9DB" w14:textId="77777777" w:rsidR="00632021" w:rsidRDefault="00632021" w:rsidP="00632021"/>
    <w:p w14:paraId="1D263F51" w14:textId="103006A0" w:rsidR="00632021" w:rsidRDefault="00632021" w:rsidP="00632021">
      <w:pPr>
        <w:ind w:firstLine="720"/>
      </w:pPr>
      <w:r>
        <w:t>Within the barely-excavated site of el-</w:t>
      </w:r>
      <w:proofErr w:type="spellStart"/>
      <w:r>
        <w:t>Moghraqa</w:t>
      </w:r>
      <w:proofErr w:type="spellEnd"/>
      <w:r>
        <w:t xml:space="preserve">, an important mid-second millennium BC site that worked as a socio-economic stepping stone within the 'Way of Horus' between Egypt and Palestine, a collection of mysterious damaged cones </w:t>
      </w:r>
      <w:proofErr w:type="gramStart"/>
      <w:r>
        <w:t>were</w:t>
      </w:r>
      <w:proofErr w:type="gramEnd"/>
      <w:r>
        <w:t xml:space="preserve"> unearthed. They can be dated to the reign of Thutmose III and his co-regency with Hatshepsut (c.1473-1458 BCE) due to royal cartouches stamped into the clay (Steel et al., 2002, Steel 2016: 5). Overall, the damaged artefacts were </w:t>
      </w:r>
      <w:proofErr w:type="gramStart"/>
      <w:r>
        <w:t>made out of</w:t>
      </w:r>
      <w:proofErr w:type="gramEnd"/>
      <w:r>
        <w:t xml:space="preserve"> a red/yellow terracotta, with hieroglyphs stamped on the side and base before firing (Steel, 2016:5). </w:t>
      </w:r>
    </w:p>
    <w:p w14:paraId="5F57C836" w14:textId="2555CECC" w:rsidR="00632021" w:rsidRDefault="00632021" w:rsidP="00632021">
      <w:pPr>
        <w:ind w:firstLine="720"/>
      </w:pPr>
      <w:r>
        <w:t xml:space="preserve">It has been assumed that these cones represent an introduction of Egyptian elite practices into the region. This is due to the nature of Egyptian funerary cones, mainly situated within Theban aristocratic tombs, and could be linked to Egyptians attempting to maintain their identity within non-Egyptian regions. (Steel 2016:5) Another assumption suggests that these cones were products of hybridization, used by those with little ‘cultural competence to fully understand their signification and function’ (Steel 2016:6) yet who wished to immerse themselves in neighbouring cultures. </w:t>
      </w:r>
    </w:p>
    <w:p w14:paraId="45A8ABE3" w14:textId="119BA3C8" w:rsidR="00632021" w:rsidRDefault="00632021" w:rsidP="00632021">
      <w:pPr>
        <w:ind w:firstLine="720"/>
      </w:pPr>
      <w:proofErr w:type="spellStart"/>
      <w:r>
        <w:t>D.Ryan</w:t>
      </w:r>
      <w:proofErr w:type="spellEnd"/>
      <w:r>
        <w:t xml:space="preserve"> notes that the vast morphology of Egyptian funerary cones can cause confusion. He asks: can they all be categorized as funerary cones or are they simply similar?  (Ryan, 2012) In the context of hybridization, or even creolization, lack of clarity persists. Hybridization of material culture marks a turning point in cultural adaptation, as one region takes on attributes of another, stronger power, whereas creolization sees a mostly mutual assimilation of ideas. Hybridization within this area is likely not new; as the region is said to experience ‘intense cultural contact’ (Steel, 2016:1) with evidence of Egyptian and Levantine communications dating to the late Predynastic/Levant Chalcolithic. The nearby settlement of contemporary '</w:t>
      </w:r>
      <w:proofErr w:type="spellStart"/>
      <w:proofErr w:type="gramStart"/>
      <w:r>
        <w:t>Ajjul</w:t>
      </w:r>
      <w:proofErr w:type="spellEnd"/>
      <w:r>
        <w:t xml:space="preserve">  is</w:t>
      </w:r>
      <w:proofErr w:type="gramEnd"/>
      <w:r>
        <w:t xml:space="preserve"> littered with evidence of extreme wealth due to being involved in complex trade routes that included the Levant, Egypt, Cyprus and the Aegean (Steel 2016:3). Steel consequently offers a proposed use; that the cones were originally located within </w:t>
      </w:r>
      <w:proofErr w:type="spellStart"/>
      <w:r>
        <w:t>Ajjul</w:t>
      </w:r>
      <w:proofErr w:type="spellEnd"/>
      <w:r>
        <w:t>, designed for Canaanite eyes, that they linked buildings, thus people, to the royal family in Egypt, in an attempt to ‘acquire prestige and standing’ (Steel</w:t>
      </w:r>
      <w:r w:rsidR="00EE7C81">
        <w:t>,</w:t>
      </w:r>
      <w:bookmarkStart w:id="0" w:name="_GoBack"/>
      <w:bookmarkEnd w:id="0"/>
      <w:r>
        <w:t xml:space="preserve"> 2016:6). Other context suggestions include a rubbish tip or mass burials (Steel et al., 2004), or it may have been a memorial or even a tourist site that merged Egyptian material culture with the local culture to create a hybridized object. </w:t>
      </w:r>
    </w:p>
    <w:p w14:paraId="72D70F5C" w14:textId="2386A334" w:rsidR="00632021" w:rsidRDefault="00632021" w:rsidP="00632021">
      <w:pPr>
        <w:ind w:firstLine="720"/>
      </w:pPr>
      <w:r>
        <w:t>Materiality is understanding the complex relationship and biography of an object. It is believed that understanding materiality conveys understanding of cultural independence, unity, assimilation, and appropriation</w:t>
      </w:r>
      <w:r w:rsidR="00A30A79">
        <w:t xml:space="preserve"> (</w:t>
      </w:r>
      <w:proofErr w:type="spellStart"/>
      <w:r w:rsidR="00A30A79">
        <w:t>Knappett</w:t>
      </w:r>
      <w:proofErr w:type="spellEnd"/>
      <w:r w:rsidR="00A30A79">
        <w:t xml:space="preserve"> </w:t>
      </w:r>
      <w:proofErr w:type="spellStart"/>
      <w:r w:rsidR="00A30A79">
        <w:t>n.d</w:t>
      </w:r>
      <w:proofErr w:type="spellEnd"/>
      <w:r w:rsidR="00A30A79">
        <w:t xml:space="preserve">). </w:t>
      </w:r>
      <w:r>
        <w:t>The re-creation of an object may be useful as an aid to this type of analysis. However, it removes the object’s story and its 'essence'.  Its creation 'myth', was immensely different to the one re-created in a classroom workshop and my reason for recreation differed enormously from that of the ancient creators. Without further research, the story of these cones remains mysterious.</w:t>
      </w:r>
    </w:p>
    <w:p w14:paraId="3F752BD7" w14:textId="57DDE83D" w:rsidR="00632021" w:rsidRDefault="00632021" w:rsidP="00632021"/>
    <w:p w14:paraId="77235608" w14:textId="21A86400" w:rsidR="00632021" w:rsidRDefault="00632021" w:rsidP="00632021"/>
    <w:p w14:paraId="5411077A" w14:textId="2C58A4FE" w:rsidR="00632021" w:rsidRDefault="00632021" w:rsidP="00632021"/>
    <w:p w14:paraId="5FBE7DA9" w14:textId="29E7B0FC" w:rsidR="00632021" w:rsidRDefault="00632021" w:rsidP="00632021"/>
    <w:p w14:paraId="387D7F4D" w14:textId="77777777" w:rsidR="00632021" w:rsidRDefault="00632021" w:rsidP="00632021"/>
    <w:p w14:paraId="0D1FB4D8" w14:textId="77777777" w:rsidR="00632021" w:rsidRPr="00632021" w:rsidRDefault="00632021" w:rsidP="00632021">
      <w:pPr>
        <w:rPr>
          <w:b/>
          <w:sz w:val="28"/>
        </w:rPr>
      </w:pPr>
      <w:r w:rsidRPr="00632021">
        <w:rPr>
          <w:b/>
          <w:sz w:val="28"/>
        </w:rPr>
        <w:lastRenderedPageBreak/>
        <w:t>References:</w:t>
      </w:r>
    </w:p>
    <w:p w14:paraId="14697EDD" w14:textId="77777777" w:rsidR="00632021" w:rsidRDefault="00632021" w:rsidP="00632021">
      <w:proofErr w:type="spellStart"/>
      <w:r>
        <w:t>Knappett</w:t>
      </w:r>
      <w:proofErr w:type="spellEnd"/>
      <w:r>
        <w:t>, C. (n.d.). Materiality in Archaeological Theory. pp.4770-4778.</w:t>
      </w:r>
    </w:p>
    <w:p w14:paraId="2E34A733" w14:textId="77777777" w:rsidR="00632021" w:rsidRDefault="00632021" w:rsidP="00632021">
      <w:r>
        <w:t>Ryan, D. (2012). The Archaeological Analysis of Inscribed Egyptian Funerary Cones. [online] pp.1-3. Available at: https://community.plu.edu/~ryandp/cones.html [Accessed 2 Mar. 2018].</w:t>
      </w:r>
    </w:p>
    <w:p w14:paraId="34FF0ADF" w14:textId="77777777" w:rsidR="00632021" w:rsidRDefault="00632021" w:rsidP="00632021">
      <w:r>
        <w:t xml:space="preserve">Steel, L. (2016). Shifting Relations in Bronze Age Gaza. In: T. Clack, ed., Archaeology, Syncretism and Creolisation. [online] </w:t>
      </w:r>
      <w:proofErr w:type="spellStart"/>
      <w:r>
        <w:t>Oxbrow</w:t>
      </w:r>
      <w:proofErr w:type="spellEnd"/>
      <w:r>
        <w:t>: Oxford, pp.1-16. Available at: https://moodle.uwtsd.ac.uk/pluginfile.php/23097/mod_folder/content/0/Steel%20-%20hybridisation.pdf?forcedownload=1 [Accessed 2 Mar. 2018].</w:t>
      </w:r>
    </w:p>
    <w:p w14:paraId="3750E175" w14:textId="77777777" w:rsidR="00632021" w:rsidRDefault="00632021" w:rsidP="00632021">
      <w:r>
        <w:t xml:space="preserve">Steel, L., Manley, B., Clarke, J. and </w:t>
      </w:r>
      <w:proofErr w:type="spellStart"/>
      <w:r>
        <w:t>Sadeq</w:t>
      </w:r>
      <w:proofErr w:type="spellEnd"/>
      <w:r>
        <w:t>, M. (2002). Late Bronze Age Gaza: prestige production at el-</w:t>
      </w:r>
      <w:proofErr w:type="spellStart"/>
      <w:r>
        <w:t>Moghraqa</w:t>
      </w:r>
      <w:proofErr w:type="spellEnd"/>
      <w:r>
        <w:t xml:space="preserve">. Antiquity, [online] 76(294), pp.939-940. Available at: https://www.researchgate.net/publication/273292861 [Accessed 2 Mar. 2018]. </w:t>
      </w:r>
    </w:p>
    <w:p w14:paraId="79A0F7E8" w14:textId="35ADC185" w:rsidR="00632021" w:rsidRDefault="00632021" w:rsidP="00632021">
      <w:r w:rsidRPr="00632021">
        <w:t xml:space="preserve">Steel, L., Manley, W., Clarke, J. and </w:t>
      </w:r>
      <w:proofErr w:type="spellStart"/>
      <w:r w:rsidRPr="00632021">
        <w:t>Sadeq</w:t>
      </w:r>
      <w:proofErr w:type="spellEnd"/>
      <w:r w:rsidRPr="00632021">
        <w:t>, M. (2004). Egyptian ‘Funerary Cones’ from El-</w:t>
      </w:r>
      <w:proofErr w:type="spellStart"/>
      <w:r w:rsidRPr="00632021">
        <w:t>Moghraqa</w:t>
      </w:r>
      <w:proofErr w:type="spellEnd"/>
      <w:r w:rsidRPr="00632021">
        <w:t xml:space="preserve">, Gaza. </w:t>
      </w:r>
      <w:r w:rsidRPr="00632021">
        <w:rPr>
          <w:i/>
        </w:rPr>
        <w:t>The Antiquaries Journal</w:t>
      </w:r>
      <w:r w:rsidRPr="00632021">
        <w:t>, 84, pp.319-333.</w:t>
      </w:r>
    </w:p>
    <w:p w14:paraId="2F537F43" w14:textId="77777777" w:rsidR="00632021" w:rsidRDefault="00632021" w:rsidP="00632021"/>
    <w:p w14:paraId="3145EA1C" w14:textId="77777777" w:rsidR="00632021" w:rsidRDefault="00632021" w:rsidP="00632021"/>
    <w:p w14:paraId="6232F38F" w14:textId="77777777" w:rsidR="00632021" w:rsidRDefault="00632021" w:rsidP="00632021"/>
    <w:p w14:paraId="57B6A86A" w14:textId="77777777" w:rsidR="00632021" w:rsidRDefault="00632021" w:rsidP="00632021"/>
    <w:p w14:paraId="1567C0D4" w14:textId="77777777" w:rsidR="00632021" w:rsidRDefault="00632021" w:rsidP="00632021"/>
    <w:p w14:paraId="485D4215" w14:textId="77777777" w:rsidR="00632021" w:rsidRDefault="00632021" w:rsidP="00632021"/>
    <w:p w14:paraId="10CC3ED4" w14:textId="77777777" w:rsidR="00A36580" w:rsidRDefault="00A36580"/>
    <w:sectPr w:rsidR="00A3658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D69100" w14:textId="77777777" w:rsidR="00DC561C" w:rsidRDefault="00DC561C" w:rsidP="00632021">
      <w:pPr>
        <w:spacing w:after="0" w:line="240" w:lineRule="auto"/>
      </w:pPr>
      <w:r>
        <w:separator/>
      </w:r>
    </w:p>
  </w:endnote>
  <w:endnote w:type="continuationSeparator" w:id="0">
    <w:p w14:paraId="6E767B99" w14:textId="77777777" w:rsidR="00DC561C" w:rsidRDefault="00DC561C" w:rsidP="006320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5536756"/>
      <w:docPartObj>
        <w:docPartGallery w:val="Page Numbers (Bottom of Page)"/>
        <w:docPartUnique/>
      </w:docPartObj>
    </w:sdtPr>
    <w:sdtEndPr>
      <w:rPr>
        <w:noProof/>
      </w:rPr>
    </w:sdtEndPr>
    <w:sdtContent>
      <w:p w14:paraId="0646AEDE" w14:textId="3D2A208C" w:rsidR="00632021" w:rsidRDefault="006320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4ABC3C" w14:textId="77777777" w:rsidR="00632021" w:rsidRDefault="006320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A17526" w14:textId="77777777" w:rsidR="00DC561C" w:rsidRDefault="00DC561C" w:rsidP="00632021">
      <w:pPr>
        <w:spacing w:after="0" w:line="240" w:lineRule="auto"/>
      </w:pPr>
      <w:r>
        <w:separator/>
      </w:r>
    </w:p>
  </w:footnote>
  <w:footnote w:type="continuationSeparator" w:id="0">
    <w:p w14:paraId="159008C8" w14:textId="77777777" w:rsidR="00DC561C" w:rsidRDefault="00DC561C" w:rsidP="006320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AA5B2D" w14:textId="4511D324" w:rsidR="00632021" w:rsidRDefault="00632021">
    <w:pPr>
      <w:pStyle w:val="Header"/>
    </w:pPr>
    <w:r>
      <w:t>Connected Worlds: Assignment 1</w:t>
    </w:r>
    <w:r>
      <w:tab/>
    </w:r>
    <w:r>
      <w:tab/>
      <w:t>Danielle Alexander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021"/>
    <w:rsid w:val="00371E58"/>
    <w:rsid w:val="00632021"/>
    <w:rsid w:val="009E414F"/>
    <w:rsid w:val="00A30A79"/>
    <w:rsid w:val="00A36580"/>
    <w:rsid w:val="00DC561C"/>
    <w:rsid w:val="00EE7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EEBF0"/>
  <w15:chartTrackingRefBased/>
  <w15:docId w15:val="{7CE3F2F7-E610-4050-BCAC-EB18A3C09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Theme="minorHAnsi" w:hAnsi="Cambri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20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021"/>
  </w:style>
  <w:style w:type="paragraph" w:styleId="Footer">
    <w:name w:val="footer"/>
    <w:basedOn w:val="Normal"/>
    <w:link w:val="FooterChar"/>
    <w:uiPriority w:val="99"/>
    <w:unhideWhenUsed/>
    <w:rsid w:val="006320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0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5260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TotalTime>
  <Pages>2</Pages>
  <Words>624</Words>
  <Characters>3562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Alexander</dc:creator>
  <cp:keywords/>
  <dc:description/>
  <cp:lastModifiedBy>Danielle Alexander</cp:lastModifiedBy>
  <cp:revision>4</cp:revision>
  <dcterms:created xsi:type="dcterms:W3CDTF">2018-03-08T14:04:00Z</dcterms:created>
  <dcterms:modified xsi:type="dcterms:W3CDTF">2018-03-11T17:42:00Z</dcterms:modified>
</cp:coreProperties>
</file>