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4417616" w:displacedByCustomXml="next"/>
    <w:sdt>
      <w:sdtPr>
        <w:rPr>
          <w:rFonts w:ascii="Times New Roman" w:eastAsiaTheme="minorHAnsi" w:hAnsi="Times New Roman" w:cs="Times New Roman"/>
          <w:kern w:val="2"/>
          <w:sz w:val="2"/>
        </w:rPr>
        <w:id w:val="846833236"/>
        <w:docPartObj>
          <w:docPartGallery w:val="Cover Pages"/>
          <w:docPartUnique/>
        </w:docPartObj>
      </w:sdtPr>
      <w:sdtEndPr>
        <w:rPr>
          <w:rStyle w:val="Hyperlink"/>
          <w:noProof/>
          <w:color w:val="0563C1" w:themeColor="hyperlink"/>
          <w:sz w:val="24"/>
          <w:u w:val="single"/>
        </w:rPr>
      </w:sdtEndPr>
      <w:sdtContent>
        <w:p w14:paraId="45F94D1D" w14:textId="5CDFF495" w:rsidR="00941406" w:rsidRPr="00127C2D" w:rsidRDefault="00FE2AC4" w:rsidP="00127C2D">
          <w:pPr>
            <w:pStyle w:val="NoSpacing"/>
            <w:spacing w:before="240" w:line="360" w:lineRule="auto"/>
            <w:jc w:val="both"/>
            <w:rPr>
              <w:rFonts w:ascii="Times New Roman" w:hAnsi="Times New Roman" w:cs="Times New Roman"/>
              <w:sz w:val="2"/>
            </w:rPr>
          </w:pPr>
          <w:r w:rsidRPr="00127C2D">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6370EBC" wp14:editId="5EBED2B6">
                    <wp:simplePos x="0" y="0"/>
                    <wp:positionH relativeFrom="margin">
                      <wp:align>left</wp:align>
                    </wp:positionH>
                    <wp:positionV relativeFrom="margin">
                      <wp:posOffset>1905</wp:posOffset>
                    </wp:positionV>
                    <wp:extent cx="3124200" cy="1162050"/>
                    <wp:effectExtent l="0" t="0" r="0" b="0"/>
                    <wp:wrapNone/>
                    <wp:docPr id="73698088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4200" cy="1162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3E048" w14:textId="2D133B27" w:rsidR="00941406" w:rsidRPr="00FE2AC4" w:rsidRDefault="00941406" w:rsidP="00FE2AC4">
                                <w:pPr>
                                  <w:rPr>
                                    <w:sz w:val="28"/>
                                    <w:szCs w:val="28"/>
                                  </w:rPr>
                                </w:pPr>
                              </w:p>
                              <w:p w14:paraId="5A201108" w14:textId="77777777" w:rsidR="00941406" w:rsidRDefault="00941406" w:rsidP="009414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370EBC" id="_x0000_t202" coordsize="21600,21600" o:spt="202" path="m,l,21600r21600,l21600,xe">
                    <v:stroke joinstyle="miter"/>
                    <v:path gradientshapeok="t" o:connecttype="rect"/>
                  </v:shapetype>
                  <v:shape id="Text Box 1" o:spid="_x0000_s1026" type="#_x0000_t202" style="position:absolute;left:0;text-align:left;margin-left:0;margin-top:.15pt;width:246pt;height:9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" filled="f" stroked="f" strokeweight=".5pt">
                    <v:textbox>
                      <w:txbxContent>
                        <w:p w14:paraId="6DE3E048" w14:textId="2D133B27" w:rsidR="00941406" w:rsidRPr="00FE2AC4" w:rsidRDefault="00941406" w:rsidP="00FE2AC4">
                          <w:pPr>
                            <w:rPr>
                              <w:sz w:val="28"/>
                              <w:szCs w:val="28"/>
                            </w:rPr>
                          </w:pPr>
                        </w:p>
                        <w:p w14:paraId="5A201108" w14:textId="77777777" w:rsidR="00941406" w:rsidRDefault="00941406" w:rsidP="00941406"/>
                      </w:txbxContent>
                    </v:textbox>
                    <w10:wrap anchorx="margin" anchory="margin"/>
                  </v:shape>
                </w:pict>
              </mc:Fallback>
            </mc:AlternateContent>
          </w:r>
        </w:p>
        <w:p w14:paraId="08102802" w14:textId="753712FA" w:rsidR="00941406" w:rsidRPr="00127C2D" w:rsidRDefault="00941406" w:rsidP="00127C2D">
          <w:pPr>
            <w:spacing w:before="240" w:line="360" w:lineRule="auto"/>
            <w:rPr>
              <w:rFonts w:cs="Times New Roman"/>
            </w:rPr>
          </w:pPr>
        </w:p>
        <w:p w14:paraId="25CB9257" w14:textId="77777777" w:rsidR="00FE2AC4" w:rsidRPr="00127C2D" w:rsidRDefault="00FE2AC4" w:rsidP="00127C2D">
          <w:pPr>
            <w:spacing w:before="240" w:line="360" w:lineRule="auto"/>
            <w:rPr>
              <w:rStyle w:val="Hyperlink"/>
              <w:rFonts w:cs="Times New Roman"/>
              <w:noProof/>
            </w:rPr>
          </w:pPr>
          <w:r w:rsidRPr="00127C2D">
            <w:rPr>
              <w:rFonts w:cs="Times New Roman"/>
              <w:noProof/>
            </w:rPr>
            <w:drawing>
              <wp:inline distT="0" distB="0" distL="0" distR="0" wp14:anchorId="4166C776" wp14:editId="3E778A0D">
                <wp:extent cx="4914900" cy="2247900"/>
                <wp:effectExtent l="0" t="0" r="0" b="0"/>
                <wp:docPr id="67491270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12700"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4900" cy="2247900"/>
                        </a:xfrm>
                        <a:prstGeom prst="rect">
                          <a:avLst/>
                        </a:prstGeom>
                        <a:noFill/>
                        <a:ln>
                          <a:noFill/>
                        </a:ln>
                      </pic:spPr>
                    </pic:pic>
                  </a:graphicData>
                </a:graphic>
              </wp:inline>
            </w:drawing>
          </w:r>
        </w:p>
        <w:p w14:paraId="51931860" w14:textId="77777777" w:rsidR="00FE2AC4" w:rsidRPr="00127C2D" w:rsidRDefault="00FE2AC4" w:rsidP="00127C2D">
          <w:pPr>
            <w:spacing w:before="240" w:line="360" w:lineRule="auto"/>
            <w:rPr>
              <w:rStyle w:val="Hyperlink"/>
              <w:rFonts w:cs="Times New Roman"/>
              <w:noProof/>
            </w:rPr>
          </w:pPr>
        </w:p>
        <w:p w14:paraId="133C3617" w14:textId="77777777" w:rsidR="00FE2AC4" w:rsidRPr="00127C2D" w:rsidRDefault="00FE2AC4" w:rsidP="00127C2D">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Name :- Nishit Jitendrabhai Adesara</w:t>
          </w:r>
        </w:p>
        <w:p w14:paraId="61CD4DE1" w14:textId="49ADE6D0" w:rsidR="00FE2AC4" w:rsidRPr="00127C2D" w:rsidRDefault="00FE2AC4" w:rsidP="00127C2D">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Student I</w:t>
          </w:r>
          <w:r w:rsidR="00127C2D"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D</w:t>
          </w: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 xml:space="preserve"> :- 2315269</w:t>
          </w:r>
        </w:p>
        <w:p w14:paraId="31D1DF11" w14:textId="174AF6B3" w:rsidR="00FE2AC4" w:rsidRPr="00127C2D" w:rsidRDefault="00FE2AC4" w:rsidP="00127C2D">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Subject :- Corporat</w:t>
          </w:r>
          <w:r w:rsidR="00127C2D"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 xml:space="preserve">e </w:t>
          </w: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Finance</w:t>
          </w:r>
        </w:p>
        <w:p w14:paraId="1099F9C7" w14:textId="77777777" w:rsidR="00FE2AC4" w:rsidRPr="00127C2D" w:rsidRDefault="00FE2AC4" w:rsidP="00127C2D">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Subject Code :- LCMB7005</w:t>
          </w:r>
        </w:p>
        <w:p w14:paraId="6EDB84D4" w14:textId="5E8FED58" w:rsidR="00941406" w:rsidRPr="00127C2D" w:rsidRDefault="00FE2AC4" w:rsidP="00127C2D">
          <w:pPr>
            <w:spacing w:before="240" w:line="360" w:lineRule="auto"/>
            <w:rPr>
              <w:rStyle w:val="Hyperlink"/>
              <w:rFonts w:cs="Times New Roman"/>
              <w:noProof/>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Submission Date :- 20</w:t>
          </w:r>
          <w:r w:rsidRPr="00127C2D">
            <w:rPr>
              <w:rStyle w:val="Hyperlink"/>
              <w:rFonts w:cs="Times New Roman"/>
              <w:noProof/>
              <w:color w:val="000000" w:themeColor="text1"/>
              <w:sz w:val="44"/>
              <w:szCs w:val="44"/>
              <w:u w:val="none"/>
              <w:vertAlign w:val="superscript"/>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th</w:t>
          </w: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 xml:space="preserve"> April, 2024</w:t>
          </w:r>
          <w:r w:rsidR="00941406" w:rsidRPr="00127C2D">
            <w:rPr>
              <w:rStyle w:val="Hyperlink"/>
              <w:rFonts w:cs="Times New Roman"/>
              <w:noProof/>
            </w:rPr>
            <w:br w:type="page"/>
          </w:r>
        </w:p>
      </w:sdtContent>
    </w:sdt>
    <w:sdt>
      <w:sdtPr>
        <w:rPr>
          <w:rFonts w:ascii="Times New Roman" w:eastAsiaTheme="minorHAnsi" w:hAnsi="Times New Roman" w:cs="Times New Roman"/>
          <w:color w:val="auto"/>
          <w:kern w:val="2"/>
          <w:sz w:val="24"/>
          <w:szCs w:val="22"/>
        </w:rPr>
        <w:id w:val="2087728183"/>
        <w:docPartObj>
          <w:docPartGallery w:val="Table of Contents"/>
          <w:docPartUnique/>
        </w:docPartObj>
      </w:sdtPr>
      <w:sdtEndPr>
        <w:rPr>
          <w:b/>
          <w:bCs/>
          <w:noProof/>
        </w:rPr>
      </w:sdtEndPr>
      <w:sdtContent>
        <w:p w14:paraId="7683AA61" w14:textId="2F85D23E" w:rsidR="00941406" w:rsidRPr="00127C2D" w:rsidRDefault="00D72937" w:rsidP="00127C2D">
          <w:pPr>
            <w:pStyle w:val="TOCHeading"/>
            <w:spacing w:line="360" w:lineRule="auto"/>
            <w:jc w:val="both"/>
            <w:rPr>
              <w:rFonts w:ascii="Times New Roman" w:hAnsi="Times New Roman" w:cs="Times New Roman"/>
              <w:b/>
              <w:bCs/>
              <w:color w:val="000000" w:themeColor="text1"/>
              <w:sz w:val="28"/>
              <w:szCs w:val="28"/>
            </w:rPr>
          </w:pPr>
          <w:r w:rsidRPr="00127C2D">
            <w:rPr>
              <w:rFonts w:ascii="Times New Roman" w:eastAsiaTheme="minorHAnsi" w:hAnsi="Times New Roman" w:cs="Times New Roman"/>
              <w:b/>
              <w:bCs/>
              <w:color w:val="000000" w:themeColor="text1"/>
              <w:kern w:val="2"/>
              <w:sz w:val="28"/>
              <w:szCs w:val="28"/>
            </w:rPr>
            <w:t xml:space="preserve">Table of </w:t>
          </w:r>
          <w:r w:rsidR="00941406" w:rsidRPr="00127C2D">
            <w:rPr>
              <w:rFonts w:ascii="Times New Roman" w:hAnsi="Times New Roman" w:cs="Times New Roman"/>
              <w:b/>
              <w:bCs/>
              <w:color w:val="000000" w:themeColor="text1"/>
              <w:sz w:val="28"/>
              <w:szCs w:val="28"/>
            </w:rPr>
            <w:t>Contents</w:t>
          </w:r>
        </w:p>
        <w:p w14:paraId="7E2849D7" w14:textId="134BF528" w:rsidR="00D06FD6" w:rsidRPr="00127C2D" w:rsidRDefault="00941406" w:rsidP="00127C2D">
          <w:pPr>
            <w:pStyle w:val="TOC1"/>
            <w:tabs>
              <w:tab w:val="right" w:leader="dot" w:pos="9350"/>
            </w:tabs>
            <w:spacing w:before="240"/>
            <w:rPr>
              <w:rFonts w:eastAsiaTheme="minorEastAsia" w:cs="Times New Roman"/>
              <w:noProof/>
              <w:sz w:val="22"/>
              <w:lang w:val="en-IN" w:eastAsia="en-IN"/>
            </w:rPr>
          </w:pPr>
          <w:r w:rsidRPr="00127C2D">
            <w:rPr>
              <w:rFonts w:cs="Times New Roman"/>
            </w:rPr>
            <w:fldChar w:fldCharType="begin"/>
          </w:r>
          <w:r w:rsidRPr="00127C2D">
            <w:rPr>
              <w:rFonts w:cs="Times New Roman"/>
            </w:rPr>
            <w:instrText xml:space="preserve"> TOC \o "1-3" \h \z \u </w:instrText>
          </w:r>
          <w:r w:rsidRPr="00127C2D">
            <w:rPr>
              <w:rFonts w:cs="Times New Roman"/>
            </w:rPr>
            <w:fldChar w:fldCharType="separate"/>
          </w:r>
          <w:hyperlink w:anchor="_Toc164452137" w:history="1">
            <w:r w:rsidR="00D06FD6" w:rsidRPr="00127C2D">
              <w:rPr>
                <w:rStyle w:val="Hyperlink"/>
                <w:rFonts w:cs="Times New Roman"/>
                <w:noProof/>
              </w:rPr>
              <w:t>Part a: ExxonMobil: Shaping Energy Dynamics with Resilience and Adaptability</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_Toc164452137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w:t>
            </w:r>
            <w:r w:rsidR="00D06FD6" w:rsidRPr="00127C2D">
              <w:rPr>
                <w:rFonts w:cs="Times New Roman"/>
                <w:noProof/>
                <w:webHidden/>
              </w:rPr>
              <w:fldChar w:fldCharType="end"/>
            </w:r>
          </w:hyperlink>
        </w:p>
        <w:p w14:paraId="6AA5C5FF" w14:textId="16513654"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38" w:history="1">
            <w:r w:rsidR="00D06FD6" w:rsidRPr="00127C2D">
              <w:rPr>
                <w:rStyle w:val="Hyperlink"/>
                <w:rFonts w:cs="Times New Roman"/>
                <w:noProof/>
              </w:rPr>
              <w:t>Industry Overview</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_Toc164452138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w:t>
            </w:r>
            <w:r w:rsidR="00D06FD6" w:rsidRPr="00127C2D">
              <w:rPr>
                <w:rFonts w:cs="Times New Roman"/>
                <w:noProof/>
                <w:webHidden/>
              </w:rPr>
              <w:fldChar w:fldCharType="end"/>
            </w:r>
          </w:hyperlink>
        </w:p>
        <w:p w14:paraId="74A9C271" w14:textId="7A2A82A0"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39" w:history="1">
            <w:r w:rsidR="00D06FD6" w:rsidRPr="00127C2D">
              <w:rPr>
                <w:rStyle w:val="Hyperlink"/>
                <w:rFonts w:cs="Times New Roman"/>
                <w:noProof/>
              </w:rPr>
              <w:t>Business Model</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_Toc164452139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w:t>
            </w:r>
            <w:r w:rsidR="00D06FD6" w:rsidRPr="00127C2D">
              <w:rPr>
                <w:rFonts w:cs="Times New Roman"/>
                <w:noProof/>
                <w:webHidden/>
              </w:rPr>
              <w:fldChar w:fldCharType="end"/>
            </w:r>
          </w:hyperlink>
        </w:p>
        <w:p w14:paraId="2F955E17" w14:textId="705A7412"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0" w:history="1">
            <w:r w:rsidR="00D06FD6" w:rsidRPr="00127C2D">
              <w:rPr>
                <w:rStyle w:val="Hyperlink"/>
                <w:rFonts w:cs="Times New Roman"/>
                <w:noProof/>
              </w:rPr>
              <w:t>Market Position</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_Toc164452140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w:t>
            </w:r>
            <w:r w:rsidR="00D06FD6" w:rsidRPr="00127C2D">
              <w:rPr>
                <w:rFonts w:cs="Times New Roman"/>
                <w:noProof/>
                <w:webHidden/>
              </w:rPr>
              <w:fldChar w:fldCharType="end"/>
            </w:r>
          </w:hyperlink>
        </w:p>
        <w:p w14:paraId="104767B5" w14:textId="718613C3"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1" w:history="1">
            <w:r w:rsidR="00D06FD6" w:rsidRPr="00127C2D">
              <w:rPr>
                <w:rStyle w:val="Hyperlink"/>
                <w:rFonts w:cs="Times New Roman"/>
                <w:noProof/>
              </w:rPr>
              <w:t>Major Competitors</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_Toc164452141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w:t>
            </w:r>
            <w:r w:rsidR="00D06FD6" w:rsidRPr="00127C2D">
              <w:rPr>
                <w:rFonts w:cs="Times New Roman"/>
                <w:noProof/>
                <w:webHidden/>
              </w:rPr>
              <w:fldChar w:fldCharType="end"/>
            </w:r>
          </w:hyperlink>
        </w:p>
        <w:p w14:paraId="1E624BF2" w14:textId="7B117C8F"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2" w:history="1">
            <w:r w:rsidR="00D06FD6" w:rsidRPr="00127C2D">
              <w:rPr>
                <w:rStyle w:val="Hyperlink"/>
                <w:rFonts w:cs="Times New Roman"/>
                <w:noProof/>
              </w:rPr>
              <w:t>Review of Major Events (2019-2023):</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_Toc164452142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3</w:t>
            </w:r>
            <w:r w:rsidR="00D06FD6" w:rsidRPr="00127C2D">
              <w:rPr>
                <w:rFonts w:cs="Times New Roman"/>
                <w:noProof/>
                <w:webHidden/>
              </w:rPr>
              <w:fldChar w:fldCharType="end"/>
            </w:r>
          </w:hyperlink>
        </w:p>
        <w:p w14:paraId="3C083770" w14:textId="25DDBC47" w:rsidR="00D06FD6" w:rsidRPr="00127C2D" w:rsidRDefault="00000000" w:rsidP="00127C2D">
          <w:pPr>
            <w:pStyle w:val="TOC1"/>
            <w:tabs>
              <w:tab w:val="right" w:leader="dot" w:pos="9350"/>
            </w:tabs>
            <w:spacing w:before="240"/>
            <w:rPr>
              <w:rFonts w:eastAsiaTheme="minorEastAsia" w:cs="Times New Roman"/>
              <w:noProof/>
              <w:sz w:val="22"/>
              <w:lang w:val="en-IN" w:eastAsia="en-IN"/>
            </w:rPr>
          </w:pPr>
          <w:hyperlink w:anchor="_Toc164452143" w:history="1">
            <w:r w:rsidR="00D06FD6" w:rsidRPr="00127C2D">
              <w:rPr>
                <w:rStyle w:val="Hyperlink"/>
                <w:rFonts w:cs="Times New Roman"/>
                <w:noProof/>
              </w:rPr>
              <w:t>Part b</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_Toc164452143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4</w:t>
            </w:r>
            <w:r w:rsidR="00D06FD6" w:rsidRPr="00127C2D">
              <w:rPr>
                <w:rFonts w:cs="Times New Roman"/>
                <w:noProof/>
                <w:webHidden/>
              </w:rPr>
              <w:fldChar w:fldCharType="end"/>
            </w:r>
          </w:hyperlink>
        </w:p>
        <w:p w14:paraId="2243AA31" w14:textId="2447DD8F"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4" w:history="1">
            <w:r w:rsidR="00D06FD6" w:rsidRPr="00127C2D">
              <w:rPr>
                <w:rStyle w:val="Hyperlink"/>
                <w:rFonts w:cs="Times New Roman"/>
                <w:noProof/>
              </w:rPr>
              <w:t>Evaluate the corporation’s liquidity and leverage ratios for the past five years</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_Toc164452144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4</w:t>
            </w:r>
            <w:r w:rsidR="00D06FD6" w:rsidRPr="00127C2D">
              <w:rPr>
                <w:rFonts w:cs="Times New Roman"/>
                <w:noProof/>
                <w:webHidden/>
              </w:rPr>
              <w:fldChar w:fldCharType="end"/>
            </w:r>
          </w:hyperlink>
        </w:p>
        <w:p w14:paraId="18E4DFDD" w14:textId="334598FD"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5" w:history="1">
            <w:r w:rsidR="00D06FD6" w:rsidRPr="00127C2D">
              <w:rPr>
                <w:rStyle w:val="Hyperlink"/>
                <w:rFonts w:cs="Times New Roman"/>
                <w:noProof/>
              </w:rPr>
              <w:t>Financial performance</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_Toc164452145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6</w:t>
            </w:r>
            <w:r w:rsidR="00D06FD6" w:rsidRPr="00127C2D">
              <w:rPr>
                <w:rFonts w:cs="Times New Roman"/>
                <w:noProof/>
                <w:webHidden/>
              </w:rPr>
              <w:fldChar w:fldCharType="end"/>
            </w:r>
          </w:hyperlink>
        </w:p>
        <w:p w14:paraId="1F6CCE65" w14:textId="3FDF0491"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6" w:history="1">
            <w:r w:rsidR="00D06FD6" w:rsidRPr="00127C2D">
              <w:rPr>
                <w:rStyle w:val="Hyperlink"/>
                <w:rFonts w:cs="Times New Roman"/>
                <w:noProof/>
              </w:rPr>
              <w:t>Financial ratios</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_Toc164452146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7</w:t>
            </w:r>
            <w:r w:rsidR="00D06FD6" w:rsidRPr="00127C2D">
              <w:rPr>
                <w:rFonts w:cs="Times New Roman"/>
                <w:noProof/>
                <w:webHidden/>
              </w:rPr>
              <w:fldChar w:fldCharType="end"/>
            </w:r>
          </w:hyperlink>
        </w:p>
        <w:p w14:paraId="2C36B982" w14:textId="29A81126"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7" w:history="1">
            <w:r w:rsidR="00D06FD6" w:rsidRPr="00127C2D">
              <w:rPr>
                <w:rStyle w:val="Hyperlink"/>
                <w:rFonts w:cs="Times New Roman"/>
                <w:noProof/>
              </w:rPr>
              <w:t>Capital structure theory</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_Toc164452147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12</w:t>
            </w:r>
            <w:r w:rsidR="00D06FD6" w:rsidRPr="00127C2D">
              <w:rPr>
                <w:rFonts w:cs="Times New Roman"/>
                <w:noProof/>
                <w:webHidden/>
              </w:rPr>
              <w:fldChar w:fldCharType="end"/>
            </w:r>
          </w:hyperlink>
        </w:p>
        <w:p w14:paraId="4A776846" w14:textId="507FAD93"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8" w:history="1">
            <w:r w:rsidR="00D06FD6" w:rsidRPr="00127C2D">
              <w:rPr>
                <w:rStyle w:val="Hyperlink"/>
                <w:rFonts w:cs="Times New Roman"/>
                <w:noProof/>
              </w:rPr>
              <w:t>Selected capital structure theory</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_Toc164452148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13</w:t>
            </w:r>
            <w:r w:rsidR="00D06FD6" w:rsidRPr="00127C2D">
              <w:rPr>
                <w:rFonts w:cs="Times New Roman"/>
                <w:noProof/>
                <w:webHidden/>
              </w:rPr>
              <w:fldChar w:fldCharType="end"/>
            </w:r>
          </w:hyperlink>
        </w:p>
        <w:p w14:paraId="61E81A2C" w14:textId="0231C57A"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49" w:history="1">
            <w:r w:rsidR="00D06FD6" w:rsidRPr="00127C2D">
              <w:rPr>
                <w:rStyle w:val="Hyperlink"/>
                <w:rFonts w:cs="Times New Roman"/>
                <w:noProof/>
              </w:rPr>
              <w:t xml:space="preserve">Download </w:t>
            </w:r>
            <w:r w:rsidR="00CE3046" w:rsidRPr="00127C2D">
              <w:rPr>
                <w:rStyle w:val="Hyperlink"/>
                <w:rFonts w:cs="Times New Roman"/>
                <w:noProof/>
              </w:rPr>
              <w:t xml:space="preserve">the </w:t>
            </w:r>
            <w:r w:rsidR="00D06FD6" w:rsidRPr="00127C2D">
              <w:rPr>
                <w:rStyle w:val="Hyperlink"/>
                <w:rFonts w:cs="Times New Roman"/>
                <w:noProof/>
              </w:rPr>
              <w:t xml:space="preserve">monthly share prices of the company and calculate </w:t>
            </w:r>
            <w:r w:rsidR="00CE3046" w:rsidRPr="00127C2D">
              <w:rPr>
                <w:rStyle w:val="Hyperlink"/>
                <w:rFonts w:cs="Times New Roman"/>
                <w:noProof/>
              </w:rPr>
              <w:t xml:space="preserve">the </w:t>
            </w:r>
            <w:r w:rsidR="00D06FD6" w:rsidRPr="00127C2D">
              <w:rPr>
                <w:rStyle w:val="Hyperlink"/>
                <w:rFonts w:cs="Times New Roman"/>
                <w:noProof/>
              </w:rPr>
              <w:t>average annual</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_Toc164452149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15</w:t>
            </w:r>
            <w:r w:rsidR="00D06FD6" w:rsidRPr="00127C2D">
              <w:rPr>
                <w:rFonts w:cs="Times New Roman"/>
                <w:noProof/>
                <w:webHidden/>
              </w:rPr>
              <w:fldChar w:fldCharType="end"/>
            </w:r>
          </w:hyperlink>
        </w:p>
        <w:p w14:paraId="2040F489" w14:textId="71D019C0" w:rsidR="00D06FD6" w:rsidRPr="00127C2D" w:rsidRDefault="00000000" w:rsidP="00127C2D">
          <w:pPr>
            <w:pStyle w:val="TOC1"/>
            <w:tabs>
              <w:tab w:val="right" w:leader="dot" w:pos="9350"/>
            </w:tabs>
            <w:spacing w:before="240"/>
            <w:rPr>
              <w:rFonts w:eastAsiaTheme="minorEastAsia" w:cs="Times New Roman"/>
              <w:noProof/>
              <w:sz w:val="22"/>
              <w:lang w:val="en-IN" w:eastAsia="en-IN"/>
            </w:rPr>
          </w:pPr>
          <w:hyperlink w:anchor="_Toc164452150" w:history="1">
            <w:r w:rsidR="00D06FD6" w:rsidRPr="00127C2D">
              <w:rPr>
                <w:rStyle w:val="Hyperlink"/>
                <w:rFonts w:cs="Times New Roman"/>
                <w:noProof/>
              </w:rPr>
              <w:t>Part C</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_Toc164452150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17</w:t>
            </w:r>
            <w:r w:rsidR="00D06FD6" w:rsidRPr="00127C2D">
              <w:rPr>
                <w:rFonts w:cs="Times New Roman"/>
                <w:noProof/>
                <w:webHidden/>
              </w:rPr>
              <w:fldChar w:fldCharType="end"/>
            </w:r>
          </w:hyperlink>
        </w:p>
        <w:p w14:paraId="76F1EA7B" w14:textId="3FCB3788"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51" w:history="1">
            <w:r w:rsidR="00D06FD6" w:rsidRPr="00127C2D">
              <w:rPr>
                <w:rStyle w:val="Hyperlink"/>
                <w:rFonts w:cs="Times New Roman"/>
                <w:noProof/>
              </w:rPr>
              <w:t>The purpose(s), aims and expected outcomes of this investment.</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_Toc164452151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17</w:t>
            </w:r>
            <w:r w:rsidR="00D06FD6" w:rsidRPr="00127C2D">
              <w:rPr>
                <w:rFonts w:cs="Times New Roman"/>
                <w:noProof/>
                <w:webHidden/>
              </w:rPr>
              <w:fldChar w:fldCharType="end"/>
            </w:r>
          </w:hyperlink>
        </w:p>
        <w:p w14:paraId="39BD7229" w14:textId="18DB9BB0"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52" w:history="1">
            <w:r w:rsidR="00D06FD6" w:rsidRPr="00127C2D">
              <w:rPr>
                <w:rStyle w:val="Hyperlink"/>
                <w:rFonts w:cs="Times New Roman"/>
                <w:noProof/>
              </w:rPr>
              <w:t>The size of the investment, and how it was financed.</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_Toc164452152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19</w:t>
            </w:r>
            <w:r w:rsidR="00D06FD6" w:rsidRPr="00127C2D">
              <w:rPr>
                <w:rFonts w:cs="Times New Roman"/>
                <w:noProof/>
                <w:webHidden/>
              </w:rPr>
              <w:fldChar w:fldCharType="end"/>
            </w:r>
          </w:hyperlink>
        </w:p>
        <w:p w14:paraId="33D163F0" w14:textId="5CF2BCC7"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53" w:history="1">
            <w:r w:rsidR="00D06FD6" w:rsidRPr="00127C2D">
              <w:rPr>
                <w:rStyle w:val="Hyperlink"/>
                <w:rFonts w:cs="Times New Roman"/>
                <w:noProof/>
              </w:rPr>
              <w:t>The feasibility of the investment, in terms of its current business</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_Toc164452153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20</w:t>
            </w:r>
            <w:r w:rsidR="00D06FD6" w:rsidRPr="00127C2D">
              <w:rPr>
                <w:rFonts w:cs="Times New Roman"/>
                <w:noProof/>
                <w:webHidden/>
              </w:rPr>
              <w:fldChar w:fldCharType="end"/>
            </w:r>
          </w:hyperlink>
        </w:p>
        <w:p w14:paraId="02F3CE40" w14:textId="571DDFE4" w:rsidR="00D06FD6" w:rsidRPr="00127C2D" w:rsidRDefault="00000000" w:rsidP="00127C2D">
          <w:pPr>
            <w:pStyle w:val="TOC2"/>
            <w:tabs>
              <w:tab w:val="right" w:leader="dot" w:pos="9350"/>
            </w:tabs>
            <w:spacing w:before="240"/>
            <w:rPr>
              <w:rFonts w:eastAsiaTheme="minorEastAsia" w:cs="Times New Roman"/>
              <w:noProof/>
              <w:sz w:val="22"/>
              <w:lang w:val="en-IN" w:eastAsia="en-IN"/>
            </w:rPr>
          </w:pPr>
          <w:hyperlink w:anchor="_Toc164452154" w:history="1">
            <w:r w:rsidR="00D06FD6" w:rsidRPr="00127C2D">
              <w:rPr>
                <w:rStyle w:val="Hyperlink"/>
                <w:rFonts w:cs="Times New Roman"/>
                <w:noProof/>
              </w:rPr>
              <w:t>Current outcome of the investment: i.e. why it is successful (and/or what went wrong)</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_Toc164452154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20</w:t>
            </w:r>
            <w:r w:rsidR="00D06FD6" w:rsidRPr="00127C2D">
              <w:rPr>
                <w:rFonts w:cs="Times New Roman"/>
                <w:noProof/>
                <w:webHidden/>
              </w:rPr>
              <w:fldChar w:fldCharType="end"/>
            </w:r>
          </w:hyperlink>
        </w:p>
        <w:p w14:paraId="5E3C1B7B" w14:textId="0EDF23AB" w:rsidR="00D06FD6" w:rsidRPr="00127C2D" w:rsidRDefault="00000000" w:rsidP="00127C2D">
          <w:pPr>
            <w:pStyle w:val="TOC1"/>
            <w:tabs>
              <w:tab w:val="right" w:leader="dot" w:pos="9350"/>
            </w:tabs>
            <w:spacing w:before="240"/>
            <w:rPr>
              <w:rFonts w:eastAsiaTheme="minorEastAsia" w:cs="Times New Roman"/>
              <w:noProof/>
              <w:sz w:val="22"/>
              <w:lang w:val="en-IN" w:eastAsia="en-IN"/>
            </w:rPr>
          </w:pPr>
          <w:hyperlink w:anchor="_Toc164452155" w:history="1">
            <w:r w:rsidR="00D06FD6" w:rsidRPr="00127C2D">
              <w:rPr>
                <w:rStyle w:val="Hyperlink"/>
                <w:rFonts w:cs="Times New Roman"/>
                <w:noProof/>
              </w:rPr>
              <w:t>Reference list</w:t>
            </w:r>
            <w:r w:rsidR="00D06FD6" w:rsidRPr="00127C2D">
              <w:rPr>
                <w:rFonts w:cs="Times New Roman"/>
                <w:noProof/>
                <w:webHidden/>
              </w:rPr>
              <w:tab/>
            </w:r>
            <w:r w:rsidR="00D06FD6" w:rsidRPr="00127C2D">
              <w:rPr>
                <w:rFonts w:cs="Times New Roman"/>
                <w:noProof/>
                <w:webHidden/>
              </w:rPr>
              <w:fldChar w:fldCharType="begin"/>
            </w:r>
            <w:r w:rsidR="00D06FD6" w:rsidRPr="00127C2D">
              <w:rPr>
                <w:rFonts w:cs="Times New Roman"/>
                <w:noProof/>
                <w:webHidden/>
              </w:rPr>
              <w:instrText xml:space="preserve"> PAGEREF _Toc164452155 \h </w:instrText>
            </w:r>
            <w:r w:rsidR="00D06FD6" w:rsidRPr="00127C2D">
              <w:rPr>
                <w:rFonts w:cs="Times New Roman"/>
                <w:noProof/>
                <w:webHidden/>
              </w:rPr>
            </w:r>
            <w:r w:rsidR="00D06FD6" w:rsidRPr="00127C2D">
              <w:rPr>
                <w:rFonts w:cs="Times New Roman"/>
                <w:noProof/>
                <w:webHidden/>
              </w:rPr>
              <w:fldChar w:fldCharType="separate"/>
            </w:r>
            <w:r w:rsidR="00D06FD6" w:rsidRPr="00127C2D">
              <w:rPr>
                <w:rFonts w:cs="Times New Roman"/>
                <w:noProof/>
                <w:webHidden/>
              </w:rPr>
              <w:t>23</w:t>
            </w:r>
            <w:r w:rsidR="00D06FD6" w:rsidRPr="00127C2D">
              <w:rPr>
                <w:rFonts w:cs="Times New Roman"/>
                <w:noProof/>
                <w:webHidden/>
              </w:rPr>
              <w:fldChar w:fldCharType="end"/>
            </w:r>
          </w:hyperlink>
        </w:p>
        <w:p w14:paraId="20E55DAD" w14:textId="77777777" w:rsidR="00D72937" w:rsidRPr="00127C2D" w:rsidRDefault="00941406" w:rsidP="00127C2D">
          <w:pPr>
            <w:spacing w:before="240"/>
            <w:rPr>
              <w:rFonts w:cs="Times New Roman"/>
              <w:b/>
              <w:bCs/>
              <w:noProof/>
            </w:rPr>
          </w:pPr>
          <w:r w:rsidRPr="00127C2D">
            <w:rPr>
              <w:rFonts w:cs="Times New Roman"/>
              <w:b/>
              <w:bCs/>
              <w:noProof/>
            </w:rPr>
            <w:fldChar w:fldCharType="end"/>
          </w:r>
        </w:p>
      </w:sdtContent>
    </w:sdt>
    <w:p w14:paraId="747B55EE" w14:textId="7CC807EF" w:rsidR="00941406" w:rsidRPr="00127C2D" w:rsidRDefault="00941406" w:rsidP="00127C2D">
      <w:pPr>
        <w:spacing w:before="240" w:line="360" w:lineRule="auto"/>
        <w:rPr>
          <w:rFonts w:cs="Times New Roman"/>
          <w:b/>
          <w:bCs/>
          <w:noProof/>
        </w:rPr>
      </w:pPr>
      <w:r w:rsidRPr="00127C2D">
        <w:rPr>
          <w:rFonts w:cs="Times New Roman"/>
        </w:rPr>
        <w:br w:type="page"/>
      </w:r>
    </w:p>
    <w:p w14:paraId="072776AF" w14:textId="1D37D422" w:rsidR="00127C2D" w:rsidRPr="00127C2D" w:rsidRDefault="00BE398F" w:rsidP="00127C2D">
      <w:pPr>
        <w:pStyle w:val="Heading1"/>
        <w:spacing w:before="240" w:line="360" w:lineRule="auto"/>
        <w:jc w:val="both"/>
        <w:rPr>
          <w:rFonts w:cs="Times New Roman"/>
          <w:sz w:val="52"/>
          <w:szCs w:val="52"/>
        </w:rPr>
      </w:pPr>
      <w:bookmarkStart w:id="1" w:name="_Toc164452137"/>
      <w:r w:rsidRPr="00127C2D">
        <w:rPr>
          <w:rFonts w:cs="Times New Roman"/>
          <w:sz w:val="52"/>
          <w:szCs w:val="52"/>
        </w:rPr>
        <w:lastRenderedPageBreak/>
        <w:t xml:space="preserve">Part </w:t>
      </w:r>
      <w:proofErr w:type="gramStart"/>
      <w:r w:rsidR="00127C2D" w:rsidRPr="00127C2D">
        <w:rPr>
          <w:rFonts w:cs="Times New Roman"/>
          <w:sz w:val="52"/>
          <w:szCs w:val="52"/>
        </w:rPr>
        <w:t xml:space="preserve">A </w:t>
      </w:r>
      <w:r w:rsidRPr="00127C2D">
        <w:rPr>
          <w:rFonts w:cs="Times New Roman"/>
          <w:sz w:val="52"/>
          <w:szCs w:val="52"/>
        </w:rPr>
        <w:t>:</w:t>
      </w:r>
      <w:proofErr w:type="gramEnd"/>
      <w:r w:rsidR="00127C2D">
        <w:rPr>
          <w:rFonts w:cs="Times New Roman"/>
          <w:sz w:val="52"/>
          <w:szCs w:val="52"/>
        </w:rPr>
        <w:t>-</w:t>
      </w:r>
    </w:p>
    <w:p w14:paraId="51A603D9" w14:textId="22B4A4EA" w:rsidR="00BE398F" w:rsidRPr="00127C2D" w:rsidRDefault="00BE398F" w:rsidP="00127C2D">
      <w:pPr>
        <w:pStyle w:val="Heading1"/>
        <w:spacing w:before="240" w:line="360" w:lineRule="auto"/>
        <w:jc w:val="both"/>
        <w:rPr>
          <w:rFonts w:cs="Times New Roman"/>
          <w:sz w:val="32"/>
          <w:lang w:val="en-GB"/>
        </w:rPr>
      </w:pPr>
      <w:r w:rsidRPr="00127C2D">
        <w:rPr>
          <w:rFonts w:cs="Times New Roman"/>
        </w:rPr>
        <w:t xml:space="preserve"> ExxonMobil: Shaping Energy Dynamics with Resilience and Adaptability</w:t>
      </w:r>
      <w:bookmarkEnd w:id="1"/>
    </w:p>
    <w:p w14:paraId="68EE7CF0" w14:textId="77777777" w:rsidR="00BE398F" w:rsidRPr="00127C2D" w:rsidRDefault="00BE398F" w:rsidP="00127C2D">
      <w:pPr>
        <w:spacing w:before="240" w:line="360" w:lineRule="auto"/>
        <w:rPr>
          <w:rFonts w:cs="Times New Roman"/>
        </w:rPr>
      </w:pPr>
      <w:r w:rsidRPr="00127C2D">
        <w:rPr>
          <w:rFonts w:cs="Times New Roman"/>
        </w:rPr>
        <w:t>ExxonMobil, a powerhouse in the global energy sector, boasts a legacy spanning over a century. Renowned for its comprehensive approach to oil and gas exploration, production, refining, and distribution, the company has navigated through myriad challenges and opportunities, leaving an indelible mark on the industry (Exxon Mobil Corporation, 2024).</w:t>
      </w:r>
    </w:p>
    <w:p w14:paraId="203BEC9D" w14:textId="77777777" w:rsidR="00BE398F" w:rsidRPr="00127C2D" w:rsidRDefault="00BE398F" w:rsidP="00127C2D">
      <w:pPr>
        <w:pStyle w:val="Heading2"/>
        <w:spacing w:before="240" w:line="360" w:lineRule="auto"/>
        <w:rPr>
          <w:rFonts w:cs="Times New Roman"/>
        </w:rPr>
      </w:pPr>
      <w:bookmarkStart w:id="2" w:name="_Toc164452138"/>
      <w:r w:rsidRPr="00127C2D">
        <w:rPr>
          <w:rFonts w:cs="Times New Roman"/>
        </w:rPr>
        <w:t>Industry Overview</w:t>
      </w:r>
      <w:bookmarkEnd w:id="2"/>
    </w:p>
    <w:p w14:paraId="35F10C51" w14:textId="037DA568" w:rsidR="00BE398F" w:rsidRPr="00127C2D" w:rsidRDefault="00BE398F" w:rsidP="00127C2D">
      <w:pPr>
        <w:spacing w:before="240" w:line="360" w:lineRule="auto"/>
        <w:rPr>
          <w:rFonts w:cs="Times New Roman"/>
        </w:rPr>
      </w:pPr>
      <w:r w:rsidRPr="00127C2D">
        <w:rPr>
          <w:rFonts w:cs="Times New Roman"/>
        </w:rPr>
        <w:t xml:space="preserve">Operating within the energy sphere, ExxonMobil occupies a commanding position in the oil and gas landscape. Its operations encompass upstream activities like exploration and drilling, midstream functions such as transportation and storage, and downstream </w:t>
      </w:r>
      <w:r w:rsidR="00CE3046" w:rsidRPr="00127C2D">
        <w:rPr>
          <w:rFonts w:cs="Times New Roman"/>
        </w:rPr>
        <w:t>endeavours</w:t>
      </w:r>
      <w:r w:rsidRPr="00127C2D">
        <w:rPr>
          <w:rFonts w:cs="Times New Roman"/>
        </w:rPr>
        <w:t xml:space="preserve"> including refining and marketing of petroleum products (Exxon Mobil Corporation, 2024).</w:t>
      </w:r>
    </w:p>
    <w:p w14:paraId="7B724BA0" w14:textId="77777777" w:rsidR="00BE398F" w:rsidRPr="00127C2D" w:rsidRDefault="00BE398F" w:rsidP="00127C2D">
      <w:pPr>
        <w:pStyle w:val="Heading2"/>
        <w:spacing w:before="240" w:line="360" w:lineRule="auto"/>
        <w:rPr>
          <w:rFonts w:cs="Times New Roman"/>
        </w:rPr>
      </w:pPr>
      <w:bookmarkStart w:id="3" w:name="_Toc164452139"/>
      <w:r w:rsidRPr="00127C2D">
        <w:rPr>
          <w:rFonts w:cs="Times New Roman"/>
        </w:rPr>
        <w:t>Business Model</w:t>
      </w:r>
      <w:bookmarkEnd w:id="3"/>
    </w:p>
    <w:p w14:paraId="6ACC2EE9" w14:textId="77777777" w:rsidR="00BE398F" w:rsidRPr="00127C2D" w:rsidRDefault="00BE398F" w:rsidP="00127C2D">
      <w:pPr>
        <w:spacing w:before="240" w:line="360" w:lineRule="auto"/>
        <w:rPr>
          <w:rFonts w:cs="Times New Roman"/>
        </w:rPr>
      </w:pPr>
      <w:r w:rsidRPr="00127C2D">
        <w:rPr>
          <w:rFonts w:cs="Times New Roman"/>
        </w:rPr>
        <w:t>ExxonMobil's business model revolves around vertical integration, enabling control across the energy value chain. Leveraging its technological prowess and global reach, the company ensures efficiency and reliability in meeting the world's energy needs while optimizing value creation (Exxon Mobil Corporation, 2024).</w:t>
      </w:r>
    </w:p>
    <w:p w14:paraId="36308F2A" w14:textId="77777777" w:rsidR="00BE398F" w:rsidRPr="00127C2D" w:rsidRDefault="00BE398F" w:rsidP="00127C2D">
      <w:pPr>
        <w:pStyle w:val="Heading2"/>
        <w:spacing w:before="240" w:line="360" w:lineRule="auto"/>
        <w:rPr>
          <w:rFonts w:cs="Times New Roman"/>
        </w:rPr>
      </w:pPr>
      <w:bookmarkStart w:id="4" w:name="_Toc164452140"/>
      <w:r w:rsidRPr="00127C2D">
        <w:rPr>
          <w:rFonts w:cs="Times New Roman"/>
        </w:rPr>
        <w:t>Market Position</w:t>
      </w:r>
      <w:bookmarkEnd w:id="4"/>
    </w:p>
    <w:p w14:paraId="7FF11519" w14:textId="77777777" w:rsidR="00BE398F" w:rsidRPr="00127C2D" w:rsidRDefault="00BE398F" w:rsidP="00127C2D">
      <w:pPr>
        <w:spacing w:before="240" w:line="360" w:lineRule="auto"/>
        <w:rPr>
          <w:rFonts w:cs="Times New Roman"/>
        </w:rPr>
      </w:pPr>
      <w:r w:rsidRPr="00127C2D">
        <w:rPr>
          <w:rFonts w:cs="Times New Roman"/>
        </w:rPr>
        <w:t>ExxonMobil stands tall as one of the foremost players in the global energy arena. With operations spanning six continents, the company's diversified portfolio and extensive infrastructure reinforce its position as a stalwart in the industry, catering to diverse markets and consumer demands.</w:t>
      </w:r>
    </w:p>
    <w:p w14:paraId="5EC34DED" w14:textId="77777777" w:rsidR="00BE398F" w:rsidRPr="00127C2D" w:rsidRDefault="00BE398F" w:rsidP="00127C2D">
      <w:pPr>
        <w:pStyle w:val="Heading2"/>
        <w:spacing w:before="240" w:line="360" w:lineRule="auto"/>
        <w:rPr>
          <w:rFonts w:cs="Times New Roman"/>
        </w:rPr>
      </w:pPr>
      <w:bookmarkStart w:id="5" w:name="_Toc164452141"/>
      <w:r w:rsidRPr="00127C2D">
        <w:rPr>
          <w:rFonts w:cs="Times New Roman"/>
        </w:rPr>
        <w:t>Major Competitors</w:t>
      </w:r>
      <w:bookmarkEnd w:id="5"/>
    </w:p>
    <w:p w14:paraId="05916208" w14:textId="77777777" w:rsidR="00BE398F" w:rsidRPr="00127C2D" w:rsidRDefault="00BE398F" w:rsidP="00127C2D">
      <w:pPr>
        <w:spacing w:before="240" w:line="360" w:lineRule="auto"/>
        <w:rPr>
          <w:rFonts w:cs="Times New Roman"/>
        </w:rPr>
      </w:pPr>
      <w:r w:rsidRPr="00127C2D">
        <w:rPr>
          <w:rFonts w:cs="Times New Roman"/>
        </w:rPr>
        <w:t xml:space="preserve">Competing against industry giants like Royal Dutch Shell, Chevron Corporation, BP plc, and TotalEnergies, ExxonMobil faces relentless competition. These formidable adversaries, operating </w:t>
      </w:r>
      <w:r w:rsidRPr="00127C2D">
        <w:rPr>
          <w:rFonts w:cs="Times New Roman"/>
        </w:rPr>
        <w:lastRenderedPageBreak/>
        <w:t>on a global scale, constantly innovate and strategize to maintain and enhance their market share (Exxon Mobil Corporation, 2024).</w:t>
      </w:r>
    </w:p>
    <w:p w14:paraId="356A73B8" w14:textId="77777777" w:rsidR="00BE398F" w:rsidRPr="00127C2D" w:rsidRDefault="00BE398F" w:rsidP="00127C2D">
      <w:pPr>
        <w:pStyle w:val="Heading2"/>
        <w:spacing w:before="240" w:line="360" w:lineRule="auto"/>
        <w:rPr>
          <w:rFonts w:cs="Times New Roman"/>
        </w:rPr>
      </w:pPr>
      <w:bookmarkStart w:id="6" w:name="_Toc164452142"/>
      <w:r w:rsidRPr="00127C2D">
        <w:rPr>
          <w:rFonts w:cs="Times New Roman"/>
        </w:rPr>
        <w:t>Review of Major Events (2019-2023):</w:t>
      </w:r>
      <w:bookmarkEnd w:id="6"/>
    </w:p>
    <w:p w14:paraId="4FE63721" w14:textId="77777777" w:rsidR="00BE398F" w:rsidRPr="00127C2D" w:rsidRDefault="00BE398F" w:rsidP="00127C2D">
      <w:pPr>
        <w:spacing w:before="240" w:line="360" w:lineRule="auto"/>
        <w:rPr>
          <w:rFonts w:cs="Times New Roman"/>
          <w:b/>
          <w:bCs/>
          <w:u w:val="single"/>
        </w:rPr>
      </w:pPr>
      <w:r w:rsidRPr="00127C2D">
        <w:rPr>
          <w:rFonts w:cs="Times New Roman"/>
          <w:b/>
          <w:bCs/>
          <w:u w:val="single"/>
        </w:rPr>
        <w:t>2019:</w:t>
      </w:r>
    </w:p>
    <w:p w14:paraId="4DDDCC4C" w14:textId="77777777" w:rsidR="00BE398F" w:rsidRPr="00127C2D" w:rsidRDefault="00BE398F" w:rsidP="00127C2D">
      <w:pPr>
        <w:spacing w:before="240" w:line="360" w:lineRule="auto"/>
        <w:rPr>
          <w:rFonts w:cs="Times New Roman"/>
        </w:rPr>
      </w:pPr>
      <w:r w:rsidRPr="00127C2D">
        <w:rPr>
          <w:rFonts w:cs="Times New Roman"/>
          <w:b/>
          <w:bCs/>
        </w:rPr>
        <w:t>Leadership Transition</w:t>
      </w:r>
      <w:r w:rsidRPr="00127C2D">
        <w:rPr>
          <w:rFonts w:cs="Times New Roman"/>
        </w:rPr>
        <w:t>: Darren Woods, Chairman and CEO since 2017, guided ExxonMobil through stormy waters. He kept the company focused on operational efficiency and strategic investments amid market turbulence.</w:t>
      </w:r>
    </w:p>
    <w:p w14:paraId="50F35B3F" w14:textId="77777777" w:rsidR="00BE398F" w:rsidRPr="00127C2D" w:rsidRDefault="00BE398F" w:rsidP="00127C2D">
      <w:pPr>
        <w:spacing w:before="240" w:line="360" w:lineRule="auto"/>
        <w:rPr>
          <w:rFonts w:cs="Times New Roman"/>
        </w:rPr>
      </w:pPr>
      <w:r w:rsidRPr="00127C2D">
        <w:rPr>
          <w:rFonts w:cs="Times New Roman"/>
          <w:b/>
          <w:bCs/>
        </w:rPr>
        <w:t>Financial Snapshot</w:t>
      </w:r>
      <w:r w:rsidRPr="00127C2D">
        <w:rPr>
          <w:rFonts w:cs="Times New Roman"/>
        </w:rPr>
        <w:t>: ExxonMobil earned $14.3 billion on $255.6 billion in revenue in 2019 (Stock Analysis, 2023).</w:t>
      </w:r>
    </w:p>
    <w:p w14:paraId="23005F59" w14:textId="77777777" w:rsidR="00BE398F" w:rsidRPr="00127C2D" w:rsidRDefault="00BE398F" w:rsidP="00127C2D">
      <w:pPr>
        <w:spacing w:before="240" w:line="360" w:lineRule="auto"/>
        <w:rPr>
          <w:rFonts w:cs="Times New Roman"/>
          <w:b/>
          <w:bCs/>
          <w:u w:val="single"/>
        </w:rPr>
      </w:pPr>
      <w:r w:rsidRPr="00127C2D">
        <w:rPr>
          <w:rFonts w:cs="Times New Roman"/>
          <w:b/>
          <w:bCs/>
          <w:u w:val="single"/>
        </w:rPr>
        <w:t>2020:</w:t>
      </w:r>
    </w:p>
    <w:p w14:paraId="60569C8B" w14:textId="77777777" w:rsidR="00BE398F" w:rsidRPr="00127C2D" w:rsidRDefault="00BE398F" w:rsidP="00127C2D">
      <w:pPr>
        <w:spacing w:before="240" w:line="360" w:lineRule="auto"/>
        <w:rPr>
          <w:rFonts w:cs="Times New Roman"/>
        </w:rPr>
      </w:pPr>
      <w:r w:rsidRPr="00127C2D">
        <w:rPr>
          <w:rFonts w:cs="Times New Roman"/>
          <w:b/>
          <w:bCs/>
        </w:rPr>
        <w:t>COVID-19 Pandemic</w:t>
      </w:r>
      <w:r w:rsidRPr="00127C2D">
        <w:rPr>
          <w:rFonts w:cs="Times New Roman"/>
        </w:rPr>
        <w:t>: The global pandemic slashed oil demand and prices, hurting ExxonMobil. The corporation slashed costs and changed methods to weather the storm.</w:t>
      </w:r>
    </w:p>
    <w:p w14:paraId="75C057B6" w14:textId="77777777" w:rsidR="00BE398F" w:rsidRPr="00127C2D" w:rsidRDefault="00BE398F" w:rsidP="00127C2D">
      <w:pPr>
        <w:spacing w:before="240" w:line="360" w:lineRule="auto"/>
        <w:rPr>
          <w:rFonts w:cs="Times New Roman"/>
        </w:rPr>
      </w:pPr>
      <w:r w:rsidRPr="00127C2D">
        <w:rPr>
          <w:rFonts w:cs="Times New Roman"/>
          <w:b/>
          <w:bCs/>
        </w:rPr>
        <w:t>Financial Snapshot</w:t>
      </w:r>
      <w:r w:rsidRPr="00127C2D">
        <w:rPr>
          <w:rFonts w:cs="Times New Roman"/>
        </w:rPr>
        <w:t>: ExxonMobil's sales dropped to $181.5 billion and its net loss was $22.4 billion during the pandemic, highlighting the industry's unparalleled hardships.</w:t>
      </w:r>
    </w:p>
    <w:p w14:paraId="6EF1CB70" w14:textId="77777777" w:rsidR="00BE398F" w:rsidRPr="00127C2D" w:rsidRDefault="00BE398F" w:rsidP="00127C2D">
      <w:pPr>
        <w:spacing w:before="240" w:line="360" w:lineRule="auto"/>
        <w:rPr>
          <w:rFonts w:cs="Times New Roman"/>
        </w:rPr>
      </w:pPr>
      <w:r w:rsidRPr="00127C2D">
        <w:rPr>
          <w:rFonts w:cs="Times New Roman"/>
          <w:b/>
          <w:bCs/>
          <w:u w:val="single"/>
        </w:rPr>
        <w:t>2021</w:t>
      </w:r>
      <w:r w:rsidRPr="00127C2D">
        <w:rPr>
          <w:rFonts w:cs="Times New Roman"/>
        </w:rPr>
        <w:t>:</w:t>
      </w:r>
    </w:p>
    <w:p w14:paraId="4D167E4C" w14:textId="77777777" w:rsidR="00BE398F" w:rsidRPr="00127C2D" w:rsidRDefault="00BE398F" w:rsidP="00127C2D">
      <w:pPr>
        <w:spacing w:before="240" w:line="360" w:lineRule="auto"/>
        <w:rPr>
          <w:rFonts w:cs="Times New Roman"/>
        </w:rPr>
      </w:pPr>
      <w:r w:rsidRPr="00127C2D">
        <w:rPr>
          <w:rFonts w:cs="Times New Roman"/>
          <w:b/>
          <w:bCs/>
        </w:rPr>
        <w:t>Emissions Reduction Initiative</w:t>
      </w:r>
      <w:r w:rsidRPr="00127C2D">
        <w:rPr>
          <w:rFonts w:cs="Times New Roman"/>
        </w:rPr>
        <w:t>: ExxonMobil announced greenhouse gas emission reductions in response to environmental demands. The corporation pledged to fund renewable energy and cleaner technology.</w:t>
      </w:r>
    </w:p>
    <w:p w14:paraId="72F81820" w14:textId="77777777" w:rsidR="00BE398F" w:rsidRPr="00127C2D" w:rsidRDefault="00BE398F" w:rsidP="00127C2D">
      <w:pPr>
        <w:spacing w:before="240" w:line="360" w:lineRule="auto"/>
        <w:rPr>
          <w:rFonts w:cs="Times New Roman"/>
        </w:rPr>
      </w:pPr>
      <w:r w:rsidRPr="00127C2D">
        <w:rPr>
          <w:rFonts w:cs="Times New Roman"/>
          <w:b/>
          <w:bCs/>
        </w:rPr>
        <w:t>Financial Snapshot</w:t>
      </w:r>
      <w:r w:rsidRPr="00127C2D">
        <w:rPr>
          <w:rFonts w:cs="Times New Roman"/>
        </w:rPr>
        <w:t>: ExxonMobil's revenue rose to $265.1 billion in 2021, with a net income of $13.8 billion, despite continued issues (Stock Analysis, 2023).</w:t>
      </w:r>
    </w:p>
    <w:p w14:paraId="32C280C2" w14:textId="77777777" w:rsidR="00BE398F" w:rsidRPr="00127C2D" w:rsidRDefault="00BE398F" w:rsidP="00127C2D">
      <w:pPr>
        <w:spacing w:before="240" w:line="360" w:lineRule="auto"/>
        <w:rPr>
          <w:rFonts w:cs="Times New Roman"/>
          <w:b/>
          <w:bCs/>
          <w:u w:val="single"/>
        </w:rPr>
      </w:pPr>
      <w:r w:rsidRPr="00127C2D">
        <w:rPr>
          <w:rFonts w:cs="Times New Roman"/>
          <w:b/>
          <w:bCs/>
          <w:u w:val="single"/>
        </w:rPr>
        <w:t>2022:</w:t>
      </w:r>
    </w:p>
    <w:p w14:paraId="6AD25323" w14:textId="77777777" w:rsidR="00BE398F" w:rsidRPr="00127C2D" w:rsidRDefault="00BE398F" w:rsidP="00127C2D">
      <w:pPr>
        <w:spacing w:before="240" w:line="360" w:lineRule="auto"/>
        <w:rPr>
          <w:rFonts w:cs="Times New Roman"/>
        </w:rPr>
      </w:pPr>
      <w:r w:rsidRPr="00127C2D">
        <w:rPr>
          <w:rFonts w:cs="Times New Roman"/>
          <w:b/>
          <w:bCs/>
        </w:rPr>
        <w:t>Legal Challenges</w:t>
      </w:r>
      <w:r w:rsidRPr="00127C2D">
        <w:rPr>
          <w:rFonts w:cs="Times New Roman"/>
        </w:rPr>
        <w:t>: ExxonMobil fought climate change and environmental lawsuits. Several lawsuits accused the firm of deceiving the public and downplaying its risks.</w:t>
      </w:r>
    </w:p>
    <w:p w14:paraId="21CC5C8E" w14:textId="063F2DBF" w:rsidR="00BE398F" w:rsidRPr="00127C2D" w:rsidRDefault="00BE398F" w:rsidP="00127C2D">
      <w:pPr>
        <w:spacing w:before="240" w:line="360" w:lineRule="auto"/>
        <w:rPr>
          <w:rFonts w:cs="Times New Roman"/>
        </w:rPr>
      </w:pPr>
      <w:r w:rsidRPr="00127C2D">
        <w:rPr>
          <w:rFonts w:cs="Times New Roman"/>
          <w:b/>
          <w:bCs/>
        </w:rPr>
        <w:lastRenderedPageBreak/>
        <w:t>Financial Snapshot</w:t>
      </w:r>
      <w:r w:rsidRPr="00127C2D">
        <w:rPr>
          <w:rFonts w:cs="Times New Roman"/>
        </w:rPr>
        <w:t xml:space="preserve">: In 2022, ExxonMobil reported </w:t>
      </w:r>
      <w:r w:rsidR="00CE3046" w:rsidRPr="00127C2D">
        <w:rPr>
          <w:rFonts w:cs="Times New Roman"/>
        </w:rPr>
        <w:t xml:space="preserve">a </w:t>
      </w:r>
      <w:r w:rsidRPr="00127C2D">
        <w:rPr>
          <w:rFonts w:cs="Times New Roman"/>
        </w:rPr>
        <w:t>total revenue of approximately $275.5 billion, with a net income of $16.2 billion, demonstrating resilience amidst legal challenges (Stock Analysis, 2023).</w:t>
      </w:r>
    </w:p>
    <w:p w14:paraId="38076A5C" w14:textId="77777777" w:rsidR="00BE398F" w:rsidRPr="00127C2D" w:rsidRDefault="00BE398F" w:rsidP="00127C2D">
      <w:pPr>
        <w:spacing w:before="240" w:line="360" w:lineRule="auto"/>
        <w:rPr>
          <w:rFonts w:cs="Times New Roman"/>
          <w:b/>
          <w:bCs/>
          <w:u w:val="single"/>
        </w:rPr>
      </w:pPr>
      <w:r w:rsidRPr="00127C2D">
        <w:rPr>
          <w:rFonts w:cs="Times New Roman"/>
          <w:b/>
          <w:bCs/>
          <w:u w:val="single"/>
        </w:rPr>
        <w:t>2023:</w:t>
      </w:r>
    </w:p>
    <w:p w14:paraId="0F881CCC" w14:textId="77777777" w:rsidR="00BE398F" w:rsidRPr="00127C2D" w:rsidRDefault="00BE398F" w:rsidP="00127C2D">
      <w:pPr>
        <w:spacing w:before="240" w:line="360" w:lineRule="auto"/>
        <w:rPr>
          <w:rFonts w:cs="Times New Roman"/>
        </w:rPr>
      </w:pPr>
      <w:r w:rsidRPr="00127C2D">
        <w:rPr>
          <w:rFonts w:cs="Times New Roman"/>
          <w:b/>
          <w:bCs/>
        </w:rPr>
        <w:t>Strategic Divestments</w:t>
      </w:r>
      <w:r w:rsidRPr="00127C2D">
        <w:rPr>
          <w:rFonts w:cs="Times New Roman"/>
        </w:rPr>
        <w:t>: For strategic realignment, ExxonMobil sold non-core assets. Resource optimization and focus on high-growth, profitable markets were the goals.</w:t>
      </w:r>
    </w:p>
    <w:p w14:paraId="73C57B9F" w14:textId="77777777" w:rsidR="00BE398F" w:rsidRPr="00127C2D" w:rsidRDefault="00BE398F" w:rsidP="00127C2D">
      <w:pPr>
        <w:spacing w:before="240" w:line="360" w:lineRule="auto"/>
        <w:rPr>
          <w:rFonts w:cs="Times New Roman"/>
        </w:rPr>
      </w:pPr>
      <w:r w:rsidRPr="00127C2D">
        <w:rPr>
          <w:rFonts w:cs="Times New Roman"/>
          <w:b/>
          <w:bCs/>
        </w:rPr>
        <w:t>Financial Snapshot</w:t>
      </w:r>
      <w:r w:rsidRPr="00127C2D">
        <w:rPr>
          <w:rFonts w:cs="Times New Roman"/>
        </w:rPr>
        <w:t>: Based on strategic divestments, ExxonMobil's 2023 revenue was $260.8 billion, with a net income of $15.6 billion, indicating aggressive portfolio optimization (Stock Analysis, 2023).</w:t>
      </w:r>
    </w:p>
    <w:p w14:paraId="7A75D384" w14:textId="0839672D" w:rsidR="00941406" w:rsidRPr="00127C2D" w:rsidRDefault="00941406" w:rsidP="00127C2D">
      <w:pPr>
        <w:pStyle w:val="Heading1"/>
        <w:spacing w:before="240" w:line="360" w:lineRule="auto"/>
        <w:jc w:val="both"/>
        <w:rPr>
          <w:rFonts w:cs="Times New Roman"/>
          <w:sz w:val="52"/>
          <w:szCs w:val="52"/>
        </w:rPr>
      </w:pPr>
      <w:bookmarkStart w:id="7" w:name="_Toc164452143"/>
      <w:r w:rsidRPr="00127C2D">
        <w:rPr>
          <w:rFonts w:cs="Times New Roman"/>
          <w:sz w:val="52"/>
          <w:szCs w:val="52"/>
        </w:rPr>
        <w:t xml:space="preserve">Part </w:t>
      </w:r>
      <w:bookmarkEnd w:id="7"/>
      <w:proofErr w:type="gramStart"/>
      <w:r w:rsidR="00127C2D" w:rsidRPr="00127C2D">
        <w:rPr>
          <w:rFonts w:cs="Times New Roman"/>
          <w:sz w:val="52"/>
          <w:szCs w:val="52"/>
        </w:rPr>
        <w:t xml:space="preserve">B </w:t>
      </w:r>
      <w:r w:rsidR="00127C2D">
        <w:rPr>
          <w:rFonts w:cs="Times New Roman"/>
          <w:sz w:val="52"/>
          <w:szCs w:val="52"/>
        </w:rPr>
        <w:t>:</w:t>
      </w:r>
      <w:proofErr w:type="gramEnd"/>
      <w:r w:rsidR="00127C2D">
        <w:rPr>
          <w:rFonts w:cs="Times New Roman"/>
          <w:sz w:val="52"/>
          <w:szCs w:val="52"/>
        </w:rPr>
        <w:t>-</w:t>
      </w:r>
    </w:p>
    <w:p w14:paraId="1540650B" w14:textId="77777777" w:rsidR="00941406" w:rsidRPr="00127C2D" w:rsidRDefault="00941406" w:rsidP="00127C2D">
      <w:pPr>
        <w:pStyle w:val="Heading2"/>
        <w:spacing w:before="240" w:line="360" w:lineRule="auto"/>
        <w:rPr>
          <w:rFonts w:cs="Times New Roman"/>
        </w:rPr>
      </w:pPr>
      <w:bookmarkStart w:id="8" w:name="_Toc164452144"/>
      <w:r w:rsidRPr="00127C2D">
        <w:rPr>
          <w:rFonts w:cs="Times New Roman"/>
        </w:rPr>
        <w:t xml:space="preserve">Evaluate the corporation’s liquidity and leverage ratios for the past five </w:t>
      </w:r>
      <w:proofErr w:type="gramStart"/>
      <w:r w:rsidRPr="00127C2D">
        <w:rPr>
          <w:rFonts w:cs="Times New Roman"/>
        </w:rPr>
        <w:t>years</w:t>
      </w:r>
      <w:bookmarkEnd w:id="8"/>
      <w:proofErr w:type="gramEnd"/>
    </w:p>
    <w:p w14:paraId="35C0652A" w14:textId="77777777" w:rsidR="00BE398F" w:rsidRPr="00127C2D" w:rsidRDefault="00BE398F" w:rsidP="00127C2D">
      <w:pPr>
        <w:spacing w:before="240" w:line="360" w:lineRule="auto"/>
        <w:rPr>
          <w:rFonts w:cs="Times New Roman"/>
        </w:rPr>
      </w:pPr>
      <w:r w:rsidRPr="00127C2D">
        <w:rPr>
          <w:rFonts w:cs="Times New Roman"/>
        </w:rPr>
        <w:t>Over the past five years, Exxon Mobil Corporation's liquidity and leverage ratios have given us important information about the company's financial health and risk management.</w:t>
      </w:r>
    </w:p>
    <w:p w14:paraId="6068A2AB" w14:textId="7593A374" w:rsidR="00BE398F" w:rsidRPr="00127C2D" w:rsidRDefault="00BE398F" w:rsidP="00127C2D">
      <w:pPr>
        <w:spacing w:before="240" w:line="360" w:lineRule="auto"/>
        <w:rPr>
          <w:rFonts w:cs="Times New Roman"/>
        </w:rPr>
      </w:pPr>
      <w:r w:rsidRPr="00127C2D">
        <w:rPr>
          <w:rFonts w:cs="Times New Roman"/>
        </w:rPr>
        <w:t xml:space="preserve">There are good signs for both the current ratio and the quick ratio when it comes to cash. Over the years, the current ratio, which shows how well a company can cover its short-term debts with its short-term assets, has usually gotten better. This means that Exxon has had more and more current assets on hand to meet its immediate responsibilities. These assets have been acting as a safety net against financial uncertainty. </w:t>
      </w:r>
      <w:r w:rsidR="00D35791" w:rsidRPr="00127C2D">
        <w:rPr>
          <w:rFonts w:cs="Times New Roman"/>
        </w:rPr>
        <w:t xml:space="preserve">Another indicator that makes us happy is the reflected rise in the quick ratio. </w:t>
      </w:r>
      <w:r w:rsidR="00184EEA" w:rsidRPr="00127C2D">
        <w:rPr>
          <w:rFonts w:cs="Times New Roman"/>
        </w:rPr>
        <w:t>The turnover</w:t>
      </w:r>
      <w:r w:rsidR="00D35791" w:rsidRPr="00127C2D">
        <w:rPr>
          <w:rFonts w:cs="Times New Roman"/>
        </w:rPr>
        <w:t xml:space="preserve"> ratio, which is calculated as the current assets over inventory gives a more concrete look at </w:t>
      </w:r>
      <w:r w:rsidR="00184EEA" w:rsidRPr="00127C2D">
        <w:rPr>
          <w:rFonts w:cs="Times New Roman"/>
        </w:rPr>
        <w:t xml:space="preserve">the </w:t>
      </w:r>
      <w:r w:rsidR="00D35791" w:rsidRPr="00127C2D">
        <w:rPr>
          <w:rFonts w:cs="Times New Roman"/>
        </w:rPr>
        <w:t>liquidity level considering the current assets. This is what makes Exxon a better creditor in the short term because it does not have to depend on sales of oil; which, though readily available, might not always be sold off easily.</w:t>
      </w:r>
    </w:p>
    <w:p w14:paraId="07CE9F0E" w14:textId="77777777" w:rsidR="000376CF" w:rsidRPr="00127C2D" w:rsidRDefault="000376CF" w:rsidP="00127C2D">
      <w:pPr>
        <w:keepNext/>
        <w:spacing w:before="240" w:line="360" w:lineRule="auto"/>
        <w:rPr>
          <w:rFonts w:cs="Times New Roman"/>
        </w:rPr>
      </w:pPr>
      <w:r w:rsidRPr="00127C2D">
        <w:rPr>
          <w:rFonts w:cs="Times New Roman"/>
          <w:noProof/>
        </w:rPr>
        <w:lastRenderedPageBreak/>
        <w:drawing>
          <wp:inline distT="0" distB="0" distL="0" distR="0" wp14:anchorId="06373446" wp14:editId="15F6C391">
            <wp:extent cx="5938221" cy="1979295"/>
            <wp:effectExtent l="0" t="0" r="5715" b="1905"/>
            <wp:docPr id="1502727535" name="Chart 1">
              <a:extLst xmlns:a="http://schemas.openxmlformats.org/drawingml/2006/main">
                <a:ext uri="{FF2B5EF4-FFF2-40B4-BE49-F238E27FC236}">
                  <a16:creationId xmlns:a16="http://schemas.microsoft.com/office/drawing/2014/main" id="{1CECA965-013C-8E6C-7874-BE488432C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9356858" w14:textId="549C785A" w:rsidR="00BE398F" w:rsidRPr="00127C2D" w:rsidRDefault="000376CF" w:rsidP="00127C2D">
      <w:pPr>
        <w:pStyle w:val="Caption"/>
        <w:spacing w:before="240" w:line="360" w:lineRule="auto"/>
        <w:rPr>
          <w:rFonts w:cs="Times New Roman"/>
        </w:rPr>
      </w:pPr>
      <w:r w:rsidRPr="00127C2D">
        <w:rPr>
          <w:rFonts w:cs="Times New Roman"/>
        </w:rPr>
        <w:t xml:space="preserve">Figure </w:t>
      </w:r>
      <w:r w:rsidRPr="00127C2D">
        <w:rPr>
          <w:rFonts w:cs="Times New Roman"/>
        </w:rPr>
        <w:fldChar w:fldCharType="begin"/>
      </w:r>
      <w:r w:rsidRPr="00127C2D">
        <w:rPr>
          <w:rFonts w:cs="Times New Roman"/>
        </w:rPr>
        <w:instrText xml:space="preserve"> SEQ Figure \* ARABIC </w:instrText>
      </w:r>
      <w:r w:rsidRPr="00127C2D">
        <w:rPr>
          <w:rFonts w:cs="Times New Roman"/>
        </w:rPr>
        <w:fldChar w:fldCharType="separate"/>
      </w:r>
      <w:r w:rsidR="0004044A" w:rsidRPr="00127C2D">
        <w:rPr>
          <w:rFonts w:cs="Times New Roman"/>
          <w:noProof/>
        </w:rPr>
        <w:t>1</w:t>
      </w:r>
      <w:r w:rsidRPr="00127C2D">
        <w:rPr>
          <w:rFonts w:cs="Times New Roman"/>
        </w:rPr>
        <w:fldChar w:fldCharType="end"/>
      </w:r>
      <w:r w:rsidRPr="00127C2D">
        <w:rPr>
          <w:rFonts w:cs="Times New Roman"/>
        </w:rPr>
        <w:t xml:space="preserve"> Liquidity Ratio (Self Created)</w:t>
      </w:r>
    </w:p>
    <w:p w14:paraId="00F0B2DE" w14:textId="77777777" w:rsidR="00BE398F" w:rsidRPr="00127C2D" w:rsidRDefault="00BE398F" w:rsidP="00127C2D">
      <w:pPr>
        <w:spacing w:before="240" w:line="360" w:lineRule="auto"/>
        <w:rPr>
          <w:rFonts w:cs="Times New Roman"/>
        </w:rPr>
      </w:pPr>
      <w:r w:rsidRPr="00127C2D">
        <w:rPr>
          <w:rFonts w:cs="Times New Roman"/>
        </w:rPr>
        <w:t>Exxon has had a wider range of results when it comes to pressure. There have been changes in the debt-to-equity ratio, which shows how much debt there is compared to stock financing. From 2021 to 2023, it went down. This drop shows that Exxon has been relying less on debt financing and more on equity financing, which could lower the financial risks that come with using a lot of debt. In the same way, the debt ratio, which shows how much of an asset's value is supported by debt, has been going down from 2020 to 2023. This means that Exxon has been slowly lowering the amount of debt it has. This could make its finances more stable and help it handle economic downturns better.</w:t>
      </w:r>
    </w:p>
    <w:p w14:paraId="667C9E7C" w14:textId="5DDAC935" w:rsidR="00D35791" w:rsidRPr="00127C2D" w:rsidRDefault="00D35791" w:rsidP="00127C2D">
      <w:pPr>
        <w:spacing w:before="240" w:line="360" w:lineRule="auto"/>
        <w:rPr>
          <w:rFonts w:cs="Times New Roman"/>
        </w:rPr>
      </w:pPr>
      <w:r w:rsidRPr="00127C2D">
        <w:rPr>
          <w:rFonts w:cs="Times New Roman"/>
        </w:rPr>
        <w:t xml:space="preserve">Exxon's values, especially the pressure, suffer more range. This ratio of debt to equity, which measures the exact number of debt to the amount financed by the equity, has been modified as well. Pakistan has gone through a decrease in the country's annual GDP during this period from 2021 to 2023. This decline indicates that Exxon Mobil Corporation has begun using more equity financing and less debt capital which might shift financial risks away. The debt ratio, </w:t>
      </w:r>
      <w:r w:rsidR="00184EEA" w:rsidRPr="00127C2D">
        <w:rPr>
          <w:rFonts w:cs="Times New Roman"/>
        </w:rPr>
        <w:t>which</w:t>
      </w:r>
      <w:r w:rsidRPr="00127C2D">
        <w:rPr>
          <w:rFonts w:cs="Times New Roman"/>
        </w:rPr>
        <w:t xml:space="preserve"> </w:t>
      </w:r>
      <w:r w:rsidR="00184EEA" w:rsidRPr="00127C2D">
        <w:rPr>
          <w:rFonts w:cs="Times New Roman"/>
        </w:rPr>
        <w:t>shows</w:t>
      </w:r>
      <w:r w:rsidRPr="00127C2D">
        <w:rPr>
          <w:rFonts w:cs="Times New Roman"/>
        </w:rPr>
        <w:t xml:space="preserve"> us the limit of debt to </w:t>
      </w:r>
      <w:r w:rsidR="00184EEA" w:rsidRPr="00127C2D">
        <w:rPr>
          <w:rFonts w:cs="Times New Roman"/>
        </w:rPr>
        <w:t>support</w:t>
      </w:r>
      <w:r w:rsidRPr="00127C2D">
        <w:rPr>
          <w:rFonts w:cs="Times New Roman"/>
        </w:rPr>
        <w:t xml:space="preserve"> an asset, also declined from 2020 to 2023. To say it, Exxon has been bringing down its debt by doing so in a slow manner. It could do so of course which implied that it would be less vulnerable to bad times in the economy.</w:t>
      </w:r>
    </w:p>
    <w:p w14:paraId="7C024E19" w14:textId="77777777" w:rsidR="000376CF" w:rsidRPr="00127C2D" w:rsidRDefault="000376CF" w:rsidP="00127C2D">
      <w:pPr>
        <w:keepNext/>
        <w:spacing w:before="240" w:line="360" w:lineRule="auto"/>
        <w:rPr>
          <w:rFonts w:cs="Times New Roman"/>
        </w:rPr>
      </w:pPr>
      <w:r w:rsidRPr="00127C2D">
        <w:rPr>
          <w:rFonts w:cs="Times New Roman"/>
          <w:noProof/>
        </w:rPr>
        <w:lastRenderedPageBreak/>
        <w:drawing>
          <wp:inline distT="0" distB="0" distL="0" distR="0" wp14:anchorId="6CE828E6" wp14:editId="465613DD">
            <wp:extent cx="6131560" cy="2097742"/>
            <wp:effectExtent l="0" t="0" r="2540" b="17145"/>
            <wp:docPr id="687787869" name="Chart 1">
              <a:extLst xmlns:a="http://schemas.openxmlformats.org/drawingml/2006/main">
                <a:ext uri="{FF2B5EF4-FFF2-40B4-BE49-F238E27FC236}">
                  <a16:creationId xmlns:a16="http://schemas.microsoft.com/office/drawing/2014/main" id="{3456BCAB-CF1A-F574-B4F0-83345E1418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16433A5" w14:textId="396C0966" w:rsidR="000376CF" w:rsidRPr="00127C2D" w:rsidRDefault="000376CF" w:rsidP="00127C2D">
      <w:pPr>
        <w:pStyle w:val="Caption"/>
        <w:spacing w:before="240" w:line="360" w:lineRule="auto"/>
        <w:rPr>
          <w:rFonts w:cs="Times New Roman"/>
        </w:rPr>
      </w:pPr>
      <w:r w:rsidRPr="00127C2D">
        <w:rPr>
          <w:rFonts w:cs="Times New Roman"/>
        </w:rPr>
        <w:t xml:space="preserve">Figure </w:t>
      </w:r>
      <w:r w:rsidRPr="00127C2D">
        <w:rPr>
          <w:rFonts w:cs="Times New Roman"/>
        </w:rPr>
        <w:fldChar w:fldCharType="begin"/>
      </w:r>
      <w:r w:rsidRPr="00127C2D">
        <w:rPr>
          <w:rFonts w:cs="Times New Roman"/>
        </w:rPr>
        <w:instrText xml:space="preserve"> SEQ Figure \* ARABIC </w:instrText>
      </w:r>
      <w:r w:rsidRPr="00127C2D">
        <w:rPr>
          <w:rFonts w:cs="Times New Roman"/>
        </w:rPr>
        <w:fldChar w:fldCharType="separate"/>
      </w:r>
      <w:r w:rsidR="0004044A" w:rsidRPr="00127C2D">
        <w:rPr>
          <w:rFonts w:cs="Times New Roman"/>
          <w:noProof/>
        </w:rPr>
        <w:t>2</w:t>
      </w:r>
      <w:r w:rsidRPr="00127C2D">
        <w:rPr>
          <w:rFonts w:cs="Times New Roman"/>
        </w:rPr>
        <w:fldChar w:fldCharType="end"/>
      </w:r>
      <w:r w:rsidRPr="00127C2D">
        <w:rPr>
          <w:rFonts w:cs="Times New Roman"/>
        </w:rPr>
        <w:t xml:space="preserve"> Gearing Ratio (Self Created)</w:t>
      </w:r>
    </w:p>
    <w:p w14:paraId="5F812661" w14:textId="646C9750" w:rsidR="00D35791" w:rsidRPr="00127C2D" w:rsidRDefault="00D35791" w:rsidP="00127C2D">
      <w:pPr>
        <w:spacing w:before="240" w:line="360" w:lineRule="auto"/>
        <w:rPr>
          <w:rFonts w:cs="Times New Roman"/>
        </w:rPr>
      </w:pPr>
      <w:r w:rsidRPr="00127C2D">
        <w:rPr>
          <w:rFonts w:cs="Times New Roman"/>
        </w:rPr>
        <w:t xml:space="preserve">The increase in ratios in recent years proves a satisfactory position of the company in terms of higher liquidity in comparison with the earlier situation. These means indicate that the organization have a greater chance to repay its short-term financial obligations, hence performing its activities more solidly. On top of that, LIFA amounts changed, but they dropped from 2021 through 2023. Such may indicate that Exxon is very critical in its debt management thereby </w:t>
      </w:r>
      <w:r w:rsidR="00184EEA" w:rsidRPr="00127C2D">
        <w:rPr>
          <w:rFonts w:cs="Times New Roman"/>
        </w:rPr>
        <w:t>mitigating</w:t>
      </w:r>
      <w:r w:rsidRPr="00127C2D">
        <w:rPr>
          <w:rFonts w:cs="Times New Roman"/>
        </w:rPr>
        <w:t xml:space="preserve"> the risks are thus </w:t>
      </w:r>
      <w:r w:rsidR="00184EEA" w:rsidRPr="00127C2D">
        <w:rPr>
          <w:rFonts w:cs="Times New Roman"/>
        </w:rPr>
        <w:t>becoming</w:t>
      </w:r>
      <w:r w:rsidRPr="00127C2D">
        <w:rPr>
          <w:rFonts w:cs="Times New Roman"/>
        </w:rPr>
        <w:t xml:space="preserve"> more stable.</w:t>
      </w:r>
    </w:p>
    <w:p w14:paraId="512B4C9D" w14:textId="15D02DB9" w:rsidR="00D35791" w:rsidRPr="00127C2D" w:rsidRDefault="00D35791" w:rsidP="00127C2D">
      <w:pPr>
        <w:spacing w:before="240" w:line="360" w:lineRule="auto"/>
        <w:rPr>
          <w:rFonts w:cs="Times New Roman"/>
        </w:rPr>
      </w:pPr>
      <w:r w:rsidRPr="00127C2D">
        <w:rPr>
          <w:rFonts w:cs="Times New Roman"/>
        </w:rPr>
        <w:t xml:space="preserve">Exxon Mobil’s liquidity and current ratio </w:t>
      </w:r>
      <w:r w:rsidR="00184EEA" w:rsidRPr="00127C2D">
        <w:rPr>
          <w:rFonts w:cs="Times New Roman"/>
        </w:rPr>
        <w:t>show</w:t>
      </w:r>
      <w:r w:rsidRPr="00127C2D">
        <w:rPr>
          <w:rFonts w:cs="Times New Roman"/>
        </w:rPr>
        <w:t xml:space="preserve"> that the business has </w:t>
      </w:r>
      <w:r w:rsidR="00184EEA" w:rsidRPr="00127C2D">
        <w:rPr>
          <w:rFonts w:cs="Times New Roman"/>
        </w:rPr>
        <w:t>made</w:t>
      </w:r>
      <w:r w:rsidRPr="00127C2D">
        <w:rPr>
          <w:rFonts w:cs="Times New Roman"/>
        </w:rPr>
        <w:t xml:space="preserve"> its all efforts to improve its financial performance these last five years. By taking the measures that Exxon has taken, the company has bettered its resilience against economic dips and also has been able to sustain</w:t>
      </w:r>
      <w:r w:rsidR="00184EEA" w:rsidRPr="00127C2D">
        <w:rPr>
          <w:rFonts w:cs="Times New Roman"/>
        </w:rPr>
        <w:t xml:space="preserve"> itself</w:t>
      </w:r>
      <w:r w:rsidRPr="00127C2D">
        <w:rPr>
          <w:rFonts w:cs="Times New Roman"/>
        </w:rPr>
        <w:t xml:space="preserve">. Exxon’s main responsibility is to keep eyes open, what will be the fate of the company highly </w:t>
      </w:r>
      <w:r w:rsidR="00184EEA" w:rsidRPr="00127C2D">
        <w:rPr>
          <w:rFonts w:cs="Times New Roman"/>
        </w:rPr>
        <w:t>depends</w:t>
      </w:r>
      <w:r w:rsidRPr="00127C2D">
        <w:rPr>
          <w:rFonts w:cs="Times New Roman"/>
        </w:rPr>
        <w:t xml:space="preserve"> on how well it </w:t>
      </w:r>
      <w:r w:rsidR="00184EEA" w:rsidRPr="00127C2D">
        <w:rPr>
          <w:rFonts w:cs="Times New Roman"/>
        </w:rPr>
        <w:t>handles</w:t>
      </w:r>
      <w:r w:rsidRPr="00127C2D">
        <w:rPr>
          <w:rFonts w:cs="Times New Roman"/>
        </w:rPr>
        <w:t xml:space="preserve"> money, in other words how the company makes profits and expend them.</w:t>
      </w:r>
    </w:p>
    <w:p w14:paraId="3589C52C" w14:textId="2252894B" w:rsidR="00941406" w:rsidRPr="00127C2D" w:rsidRDefault="000376CF" w:rsidP="00127C2D">
      <w:pPr>
        <w:pStyle w:val="Heading2"/>
        <w:spacing w:before="240" w:line="360" w:lineRule="auto"/>
        <w:rPr>
          <w:rFonts w:cs="Times New Roman"/>
        </w:rPr>
      </w:pPr>
      <w:bookmarkStart w:id="9" w:name="_Toc164452145"/>
      <w:r w:rsidRPr="00127C2D">
        <w:rPr>
          <w:rFonts w:cs="Times New Roman"/>
        </w:rPr>
        <w:t>F</w:t>
      </w:r>
      <w:r w:rsidR="00941406" w:rsidRPr="00127C2D">
        <w:rPr>
          <w:rFonts w:cs="Times New Roman"/>
        </w:rPr>
        <w:t>inancial performance</w:t>
      </w:r>
      <w:bookmarkEnd w:id="9"/>
      <w:r w:rsidR="00941406" w:rsidRPr="00127C2D">
        <w:rPr>
          <w:rFonts w:cs="Times New Roman"/>
        </w:rPr>
        <w:t xml:space="preserve"> </w:t>
      </w:r>
    </w:p>
    <w:p w14:paraId="7A67C62E" w14:textId="77777777" w:rsidR="00D35791" w:rsidRPr="00127C2D" w:rsidRDefault="00D35791" w:rsidP="00127C2D">
      <w:pPr>
        <w:spacing w:before="240" w:line="360" w:lineRule="auto"/>
        <w:rPr>
          <w:rFonts w:cs="Times New Roman"/>
        </w:rPr>
      </w:pPr>
      <w:r w:rsidRPr="00127C2D">
        <w:rPr>
          <w:rFonts w:cs="Times New Roman"/>
        </w:rPr>
        <w:t>The last five years have been a mixed bag for Exxon Mobil Corporation's finances, as shown by its liquidity and debt ratios.</w:t>
      </w:r>
    </w:p>
    <w:p w14:paraId="7A2AC306" w14:textId="77777777" w:rsidR="00D35791" w:rsidRPr="00127C2D" w:rsidRDefault="00D35791" w:rsidP="00127C2D">
      <w:pPr>
        <w:spacing w:before="240" w:line="360" w:lineRule="auto"/>
        <w:rPr>
          <w:rFonts w:cs="Times New Roman"/>
        </w:rPr>
      </w:pPr>
      <w:r w:rsidRPr="00127C2D">
        <w:rPr>
          <w:rFonts w:cs="Times New Roman"/>
        </w:rPr>
        <w:t xml:space="preserve">Cash flow has made it easier for Exxon to pay its short-term debts. The current ratio and the quick ratio are both going up, which means that the firm has more cash on hand. This number went up from 0.78 in 2019 to 1.48 in 2023. This means that for every dollar that Exxon owes by 2023, it has about $1.48 in present assets. The company's quick ratio went from 0.49 in 2019 to 1.09 in </w:t>
      </w:r>
      <w:r w:rsidRPr="00127C2D">
        <w:rPr>
          <w:rFonts w:cs="Times New Roman"/>
        </w:rPr>
        <w:lastRenderedPageBreak/>
        <w:t>2023, which means it doesn't need to keep any inventory on hand to meet its immediate commitments. This shows that Exxon did a good job of managing its working capital to pay off its short-term loans. Please keep in mind that both rates went down in 2020. This could be because of the economy or problems with how things are run.</w:t>
      </w:r>
    </w:p>
    <w:p w14:paraId="5588C82C" w14:textId="77777777" w:rsidR="00D35791" w:rsidRPr="00127C2D" w:rsidRDefault="00D35791" w:rsidP="00127C2D">
      <w:pPr>
        <w:spacing w:before="240" w:line="360" w:lineRule="auto"/>
        <w:rPr>
          <w:rFonts w:cs="Times New Roman"/>
        </w:rPr>
      </w:pPr>
      <w:r w:rsidRPr="00127C2D">
        <w:rPr>
          <w:rFonts w:cs="Times New Roman"/>
        </w:rPr>
        <w:t>It's harder for Exxon to be successful with pressure. Even with some changes, power has gone down from 2021 to 2023. Because the debt-to-equity ratio went down from 2.70 in 2019 to 0.56 in 2023, equity financing has become more important than debt financing. The debt ratio went down from 0.12 in 2019 to 0.03 in 2023, which means that assets were supported by less debt. These drops show that Exxon has been very good at managing its debt, which has made it less risky for the company's finances. Paying off debt may have given Exxon more options, cut down on interest costs, and made it better able to handle economic downturns.</w:t>
      </w:r>
    </w:p>
    <w:p w14:paraId="7B7417B9" w14:textId="42E799AB" w:rsidR="00D35791" w:rsidRPr="00127C2D" w:rsidRDefault="00D35791" w:rsidP="00127C2D">
      <w:pPr>
        <w:spacing w:before="240" w:line="360" w:lineRule="auto"/>
        <w:rPr>
          <w:rFonts w:cs="Times New Roman"/>
        </w:rPr>
      </w:pPr>
      <w:r w:rsidRPr="00127C2D">
        <w:rPr>
          <w:rFonts w:cs="Times New Roman"/>
        </w:rPr>
        <w:t xml:space="preserve">The way Exxon makes money isn't perfect. Profitability is still a problem, even though cash and debt have gotten better. ROA and net profit percentage have changed over time. It went from a high point of 13.98% in 2022 to a low point of 10.76% in 2023. The ROA was bad in 2020 and 2023, but it was good </w:t>
      </w:r>
      <w:r w:rsidR="00184EEA" w:rsidRPr="00127C2D">
        <w:rPr>
          <w:rFonts w:cs="Times New Roman"/>
        </w:rPr>
        <w:t xml:space="preserve">in </w:t>
      </w:r>
      <w:r w:rsidRPr="00127C2D">
        <w:rPr>
          <w:rFonts w:cs="Times New Roman"/>
        </w:rPr>
        <w:t xml:space="preserve">other years. Because of these changes, it might be hard to keep up </w:t>
      </w:r>
      <w:r w:rsidR="00184EEA" w:rsidRPr="00127C2D">
        <w:rPr>
          <w:rFonts w:cs="Times New Roman"/>
        </w:rPr>
        <w:t xml:space="preserve">with </w:t>
      </w:r>
      <w:r w:rsidRPr="00127C2D">
        <w:rPr>
          <w:rFonts w:cs="Times New Roman"/>
        </w:rPr>
        <w:t>earnings compared to sales and investments. Changing prices for commodities, businesses that aren't working well, or pressure from regulators may cause this.</w:t>
      </w:r>
    </w:p>
    <w:p w14:paraId="0D04F3DA" w14:textId="586F4ABA" w:rsidR="00D35791" w:rsidRPr="00127C2D" w:rsidRDefault="00D35791" w:rsidP="00127C2D">
      <w:pPr>
        <w:spacing w:before="240" w:line="360" w:lineRule="auto"/>
        <w:rPr>
          <w:rFonts w:cs="Times New Roman"/>
        </w:rPr>
      </w:pPr>
      <w:r w:rsidRPr="00127C2D">
        <w:rPr>
          <w:rFonts w:cs="Times New Roman"/>
        </w:rPr>
        <w:t xml:space="preserve">In conclusion, there are pros and cons to Exxon Mobil Corporation's financial success. Better cash and leverage are signs of better money management and lower risk, but making money is still a problem. Exxon may need to find new ways to make money, improve working efficiency, and make the best use of its capital </w:t>
      </w:r>
      <w:r w:rsidR="00184EEA" w:rsidRPr="00127C2D">
        <w:rPr>
          <w:rFonts w:cs="Times New Roman"/>
        </w:rPr>
        <w:t>to</w:t>
      </w:r>
      <w:r w:rsidRPr="00127C2D">
        <w:rPr>
          <w:rFonts w:cs="Times New Roman"/>
        </w:rPr>
        <w:t xml:space="preserve"> keep growing and making money. When business conditions are unstable, keeping an eye on liquidity and debt levels will help keep money in the bank and lower risk.</w:t>
      </w:r>
    </w:p>
    <w:p w14:paraId="7418AE6A" w14:textId="10007932" w:rsidR="00941406" w:rsidRPr="00127C2D" w:rsidRDefault="000376CF" w:rsidP="00127C2D">
      <w:pPr>
        <w:pStyle w:val="Heading2"/>
        <w:spacing w:before="240" w:line="360" w:lineRule="auto"/>
        <w:rPr>
          <w:rFonts w:cs="Times New Roman"/>
        </w:rPr>
      </w:pPr>
      <w:bookmarkStart w:id="10" w:name="_Toc164452146"/>
      <w:r w:rsidRPr="00127C2D">
        <w:rPr>
          <w:rFonts w:cs="Times New Roman"/>
        </w:rPr>
        <w:t>F</w:t>
      </w:r>
      <w:r w:rsidR="00941406" w:rsidRPr="00127C2D">
        <w:rPr>
          <w:rFonts w:cs="Times New Roman"/>
        </w:rPr>
        <w:t>inancial ratios</w:t>
      </w:r>
      <w:bookmarkEnd w:id="10"/>
      <w:r w:rsidR="00941406" w:rsidRPr="00127C2D">
        <w:rPr>
          <w:rFonts w:cs="Times New Roman"/>
        </w:rPr>
        <w:t xml:space="preserve"> </w:t>
      </w:r>
    </w:p>
    <w:p w14:paraId="631B07CA" w14:textId="77777777" w:rsidR="00BE398F" w:rsidRPr="00127C2D" w:rsidRDefault="00BE398F" w:rsidP="00127C2D">
      <w:pPr>
        <w:spacing w:before="240" w:line="360" w:lineRule="auto"/>
        <w:rPr>
          <w:rFonts w:cs="Times New Roman"/>
        </w:rPr>
      </w:pPr>
      <w:r w:rsidRPr="00127C2D">
        <w:rPr>
          <w:rFonts w:cs="Times New Roman"/>
        </w:rPr>
        <w:t>Two big names in the oil business, Exxon Mobil Corporation and Shell, have had very different financial years over the past five years. Looking at their financial statistics shows both the similarities and differences between them, which gives us information about how well they run their businesses, how profitable they are, and how healthy their finances are.</w:t>
      </w:r>
    </w:p>
    <w:p w14:paraId="5FD3C653" w14:textId="77777777" w:rsidR="00BE398F" w:rsidRPr="00127C2D" w:rsidRDefault="00BE398F" w:rsidP="00127C2D">
      <w:pPr>
        <w:spacing w:before="240" w:line="360" w:lineRule="auto"/>
        <w:rPr>
          <w:rFonts w:cs="Times New Roman"/>
          <w:b/>
          <w:bCs/>
          <w:i/>
          <w:iCs/>
        </w:rPr>
      </w:pPr>
      <w:r w:rsidRPr="00127C2D">
        <w:rPr>
          <w:rFonts w:cs="Times New Roman"/>
          <w:b/>
          <w:bCs/>
          <w:i/>
          <w:iCs/>
        </w:rPr>
        <w:lastRenderedPageBreak/>
        <w:t>Ratios of Profitability:</w:t>
      </w:r>
    </w:p>
    <w:p w14:paraId="5A6C384A" w14:textId="260D7BD0" w:rsidR="00BE398F" w:rsidRPr="00127C2D" w:rsidRDefault="00BE398F" w:rsidP="00127C2D">
      <w:pPr>
        <w:spacing w:before="240" w:line="360" w:lineRule="auto"/>
        <w:rPr>
          <w:rFonts w:cs="Times New Roman"/>
        </w:rPr>
      </w:pPr>
      <w:r w:rsidRPr="00127C2D">
        <w:rPr>
          <w:rFonts w:cs="Times New Roman"/>
        </w:rPr>
        <w:t xml:space="preserve">During the </w:t>
      </w:r>
      <w:r w:rsidR="00CE3046" w:rsidRPr="00127C2D">
        <w:rPr>
          <w:rFonts w:cs="Times New Roman"/>
        </w:rPr>
        <w:t>period</w:t>
      </w:r>
      <w:r w:rsidRPr="00127C2D">
        <w:rPr>
          <w:rFonts w:cs="Times New Roman"/>
        </w:rPr>
        <w:t>, Exxon Mobil and Shell's profitability measures, like net profit margin and return on assets (ROA), went up and down. In terms of net profit margin, Exxon usually did better than Shell</w:t>
      </w:r>
      <w:r w:rsidR="009E1413" w:rsidRPr="00127C2D">
        <w:rPr>
          <w:rFonts w:cs="Times New Roman"/>
        </w:rPr>
        <w:t xml:space="preserve"> (Mao 2023)</w:t>
      </w:r>
      <w:r w:rsidRPr="00127C2D">
        <w:rPr>
          <w:rFonts w:cs="Times New Roman"/>
        </w:rPr>
        <w:t>. In 2022 and 2023, they had higher margins. In 2023, for example, Exxon had a net profit margin of 10.76% while Shell only had an 8.64% margin. In the same way, both Exxon and Shell had negative net profit margins in 2020, but Exxon's was smaller (-12.57%) than Shell's (-12.01%). However, when ROA was taken into account, Shell did better overall, with reliably higher ratios than Exxon. For instance, Shell's ROA in 2023 was 83.49%, which was much higher than Exxon's 9.57%</w:t>
      </w:r>
      <w:r w:rsidR="009E1413" w:rsidRPr="00127C2D">
        <w:rPr>
          <w:rFonts w:cs="Times New Roman"/>
        </w:rPr>
        <w:t xml:space="preserve"> (Wang et al. 2018)</w:t>
      </w:r>
      <w:r w:rsidRPr="00127C2D">
        <w:rPr>
          <w:rFonts w:cs="Times New Roman"/>
        </w:rPr>
        <w:t>.</w:t>
      </w:r>
    </w:p>
    <w:p w14:paraId="25DD789B" w14:textId="38CC2F49" w:rsidR="000376CF" w:rsidRPr="00127C2D" w:rsidRDefault="000376CF" w:rsidP="00127C2D">
      <w:pPr>
        <w:spacing w:before="240" w:line="360" w:lineRule="auto"/>
        <w:rPr>
          <w:rFonts w:cs="Times New Roman"/>
        </w:rPr>
      </w:pPr>
      <w:r w:rsidRPr="00127C2D">
        <w:rPr>
          <w:rFonts w:cs="Times New Roman"/>
          <w:noProof/>
        </w:rPr>
        <w:drawing>
          <wp:inline distT="0" distB="0" distL="0" distR="0" wp14:anchorId="0C3EDA97" wp14:editId="78ADFC4B">
            <wp:extent cx="5916706" cy="2743200"/>
            <wp:effectExtent l="0" t="0" r="8255" b="0"/>
            <wp:docPr id="1172133332" name="Chart 1">
              <a:extLst xmlns:a="http://schemas.openxmlformats.org/drawingml/2006/main">
                <a:ext uri="{FF2B5EF4-FFF2-40B4-BE49-F238E27FC236}">
                  <a16:creationId xmlns:a16="http://schemas.microsoft.com/office/drawing/2014/main" id="{E27D96EB-A751-39F0-FCF0-9B7C891946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BEB0DE" w14:textId="77777777" w:rsidR="00BE398F" w:rsidRPr="00127C2D" w:rsidRDefault="00BE398F" w:rsidP="00127C2D">
      <w:pPr>
        <w:spacing w:before="240" w:line="360" w:lineRule="auto"/>
        <w:rPr>
          <w:rFonts w:cs="Times New Roman"/>
          <w:b/>
          <w:bCs/>
          <w:i/>
          <w:iCs/>
        </w:rPr>
      </w:pPr>
      <w:r w:rsidRPr="00127C2D">
        <w:rPr>
          <w:rFonts w:cs="Times New Roman"/>
          <w:b/>
          <w:bCs/>
          <w:i/>
          <w:iCs/>
        </w:rPr>
        <w:t>Ratios of liquidity:</w:t>
      </w:r>
    </w:p>
    <w:p w14:paraId="4194045F" w14:textId="375183D8" w:rsidR="00BE398F" w:rsidRPr="00127C2D" w:rsidRDefault="00BE398F" w:rsidP="00127C2D">
      <w:pPr>
        <w:spacing w:before="240" w:line="360" w:lineRule="auto"/>
        <w:rPr>
          <w:rFonts w:cs="Times New Roman"/>
        </w:rPr>
      </w:pPr>
      <w:r w:rsidRPr="00127C2D">
        <w:rPr>
          <w:rFonts w:cs="Times New Roman"/>
        </w:rPr>
        <w:t>When it comes to liquidity, Exxon and Shell kept their current ratios about the same, which means they had about the same amount of cash on hand to meet their short-term commitments. However, Shell consistently showed a better ability to meet its immediate responsibilities without relying on its inventory. This was shown by its higher quick ratio. In 2023, for example, Exxon's quick ratio was 1.09, while Shell's was 3.98, which is a lot higher</w:t>
      </w:r>
      <w:r w:rsidR="009E1413" w:rsidRPr="00127C2D">
        <w:rPr>
          <w:rFonts w:cs="Times New Roman"/>
        </w:rPr>
        <w:t xml:space="preserve"> (Kim &amp; Kim 2020)</w:t>
      </w:r>
      <w:r w:rsidRPr="00127C2D">
        <w:rPr>
          <w:rFonts w:cs="Times New Roman"/>
        </w:rPr>
        <w:t>.</w:t>
      </w:r>
    </w:p>
    <w:p w14:paraId="3AE75EC8" w14:textId="77777777" w:rsidR="00BE398F" w:rsidRPr="00127C2D" w:rsidRDefault="00BE398F" w:rsidP="00127C2D">
      <w:pPr>
        <w:spacing w:before="240" w:line="360" w:lineRule="auto"/>
        <w:rPr>
          <w:rFonts w:cs="Times New Roman"/>
          <w:b/>
          <w:bCs/>
          <w:i/>
          <w:iCs/>
        </w:rPr>
      </w:pPr>
      <w:r w:rsidRPr="00127C2D">
        <w:rPr>
          <w:rFonts w:cs="Times New Roman"/>
          <w:b/>
          <w:bCs/>
          <w:i/>
          <w:iCs/>
        </w:rPr>
        <w:t>Ratios of efficiency:</w:t>
      </w:r>
    </w:p>
    <w:p w14:paraId="592BE0AB" w14:textId="2AFD8E2E" w:rsidR="00BE398F" w:rsidRPr="00127C2D" w:rsidRDefault="00BE398F" w:rsidP="00127C2D">
      <w:pPr>
        <w:spacing w:before="240" w:line="360" w:lineRule="auto"/>
        <w:rPr>
          <w:rFonts w:cs="Times New Roman"/>
        </w:rPr>
      </w:pPr>
      <w:r w:rsidRPr="00127C2D">
        <w:rPr>
          <w:rFonts w:cs="Times New Roman"/>
        </w:rPr>
        <w:lastRenderedPageBreak/>
        <w:t>The asset turnover ratios of both businesses went up and down, which shows that they were able to make different amounts of money from their assets. Both Exxon and Shell had similar trends, with changes seen over the years, but Shell usually had higher asset turnover ratios than Exxon. This means that Shell was probably better at making money per unit of assets</w:t>
      </w:r>
      <w:r w:rsidR="009E1413" w:rsidRPr="00127C2D">
        <w:rPr>
          <w:rFonts w:cs="Times New Roman"/>
        </w:rPr>
        <w:t xml:space="preserve"> (Akman, Shehab &amp; Kizil 2020)</w:t>
      </w:r>
      <w:r w:rsidRPr="00127C2D">
        <w:rPr>
          <w:rFonts w:cs="Times New Roman"/>
        </w:rPr>
        <w:t>.</w:t>
      </w:r>
    </w:p>
    <w:p w14:paraId="2EB36F74" w14:textId="74B39A59" w:rsidR="000376CF" w:rsidRPr="00127C2D" w:rsidRDefault="00C41B78" w:rsidP="00127C2D">
      <w:pPr>
        <w:spacing w:before="240" w:line="360" w:lineRule="auto"/>
        <w:rPr>
          <w:rFonts w:cs="Times New Roman"/>
        </w:rPr>
      </w:pPr>
      <w:r w:rsidRPr="00127C2D">
        <w:rPr>
          <w:rFonts w:cs="Times New Roman"/>
          <w:noProof/>
        </w:rPr>
        <w:drawing>
          <wp:inline distT="0" distB="0" distL="0" distR="0" wp14:anchorId="29353475" wp14:editId="792A242C">
            <wp:extent cx="4572000" cy="2743200"/>
            <wp:effectExtent l="0" t="0" r="0" b="0"/>
            <wp:docPr id="1099701408" name="Chart 1">
              <a:extLst xmlns:a="http://schemas.openxmlformats.org/drawingml/2006/main">
                <a:ext uri="{FF2B5EF4-FFF2-40B4-BE49-F238E27FC236}">
                  <a16:creationId xmlns:a16="http://schemas.microsoft.com/office/drawing/2014/main" id="{D8751D22-21A3-8884-4E48-91E3B95CC4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713CD3" w14:textId="77777777" w:rsidR="00C41B78" w:rsidRPr="00127C2D" w:rsidRDefault="00C41B78" w:rsidP="00127C2D">
      <w:pPr>
        <w:spacing w:before="240" w:line="360" w:lineRule="auto"/>
        <w:rPr>
          <w:rFonts w:cs="Times New Roman"/>
          <w:b/>
          <w:bCs/>
          <w:i/>
          <w:iCs/>
        </w:rPr>
      </w:pPr>
      <w:r w:rsidRPr="00127C2D">
        <w:rPr>
          <w:rFonts w:cs="Times New Roman"/>
          <w:b/>
          <w:bCs/>
          <w:i/>
          <w:iCs/>
        </w:rPr>
        <w:t xml:space="preserve">Gearing Ratio: </w:t>
      </w:r>
    </w:p>
    <w:p w14:paraId="1A0DAD9B" w14:textId="622DE661" w:rsidR="00BE398F" w:rsidRPr="00127C2D" w:rsidRDefault="00BE398F" w:rsidP="00127C2D">
      <w:pPr>
        <w:spacing w:before="240" w:line="360" w:lineRule="auto"/>
        <w:rPr>
          <w:rFonts w:cs="Times New Roman"/>
        </w:rPr>
      </w:pPr>
      <w:r w:rsidRPr="00127C2D">
        <w:rPr>
          <w:rFonts w:cs="Times New Roman"/>
        </w:rPr>
        <w:t>The fact that Exxon had bigger debt-to-equity and debt ratios than Shell shows that it operated with more debt</w:t>
      </w:r>
      <w:r w:rsidR="007C70AD" w:rsidRPr="00127C2D">
        <w:rPr>
          <w:rFonts w:cs="Times New Roman"/>
        </w:rPr>
        <w:t xml:space="preserve"> (Shell Annual Report and Accounts 2022 - Shell plc Annual Report and Accounts 2022 </w:t>
      </w:r>
      <w:r w:rsidR="006556A7" w:rsidRPr="00127C2D">
        <w:rPr>
          <w:rFonts w:cs="Times New Roman"/>
        </w:rPr>
        <w:t>2024</w:t>
      </w:r>
      <w:r w:rsidR="007C70AD" w:rsidRPr="00127C2D">
        <w:rPr>
          <w:rFonts w:cs="Times New Roman"/>
        </w:rPr>
        <w:t>.)</w:t>
      </w:r>
      <w:r w:rsidRPr="00127C2D">
        <w:rPr>
          <w:rFonts w:cs="Times New Roman"/>
        </w:rPr>
        <w:t>. In 2023, Exxon's debt-to-equity ratio was 0.56, while Shell's was only 0.23, which is a much smaller number. In the same way, Exxon's debt ratio was 0.03 in 2023, while Shell's was 0.11. Based on these numbers, it looks like Exxon depended more on debt financing than Shell, which could have put it at greater financial risk</w:t>
      </w:r>
      <w:r w:rsidR="009E1413" w:rsidRPr="00127C2D">
        <w:rPr>
          <w:rFonts w:cs="Times New Roman"/>
        </w:rPr>
        <w:t xml:space="preserve"> (Sunaryo &amp; Lestari 2022)</w:t>
      </w:r>
      <w:r w:rsidRPr="00127C2D">
        <w:rPr>
          <w:rFonts w:cs="Times New Roman"/>
        </w:rPr>
        <w:t>.</w:t>
      </w:r>
    </w:p>
    <w:p w14:paraId="6BD92A54" w14:textId="3FFB6F8F" w:rsidR="00BE398F" w:rsidRPr="00127C2D" w:rsidRDefault="00C41B78" w:rsidP="00127C2D">
      <w:pPr>
        <w:spacing w:before="240" w:line="360" w:lineRule="auto"/>
        <w:rPr>
          <w:rFonts w:cs="Times New Roman"/>
          <w:b/>
          <w:bCs/>
          <w:i/>
          <w:iCs/>
        </w:rPr>
      </w:pPr>
      <w:r w:rsidRPr="00127C2D">
        <w:rPr>
          <w:rFonts w:cs="Times New Roman"/>
          <w:b/>
          <w:bCs/>
          <w:i/>
          <w:iCs/>
        </w:rPr>
        <w:t>I</w:t>
      </w:r>
      <w:r w:rsidR="00BE398F" w:rsidRPr="00127C2D">
        <w:rPr>
          <w:rFonts w:cs="Times New Roman"/>
          <w:b/>
          <w:bCs/>
          <w:i/>
          <w:iCs/>
        </w:rPr>
        <w:t>nvestment</w:t>
      </w:r>
      <w:r w:rsidRPr="00127C2D">
        <w:rPr>
          <w:rFonts w:cs="Times New Roman"/>
          <w:b/>
          <w:bCs/>
          <w:i/>
          <w:iCs/>
        </w:rPr>
        <w:t xml:space="preserve"> Ratio:</w:t>
      </w:r>
    </w:p>
    <w:p w14:paraId="0539CB89" w14:textId="6B34D533" w:rsidR="00BE398F" w:rsidRPr="00127C2D" w:rsidRDefault="00BE398F" w:rsidP="00127C2D">
      <w:pPr>
        <w:spacing w:before="240" w:line="360" w:lineRule="auto"/>
        <w:rPr>
          <w:rFonts w:cs="Times New Roman"/>
        </w:rPr>
      </w:pPr>
      <w:r w:rsidRPr="00127C2D">
        <w:rPr>
          <w:rFonts w:cs="Times New Roman"/>
        </w:rPr>
        <w:t>Investment ratios like the price/earnings ratio and the dividend yield changed for both businesses. Price/earnings ratios for Exxon were usually higher than those for Shell. This meant that investors were ready to pay more for Exxon's earnings. But Shell had higher dividend yields, which meant that it would give more of its profits to owners than Exxon</w:t>
      </w:r>
      <w:r w:rsidR="009E1413" w:rsidRPr="00127C2D">
        <w:rPr>
          <w:rFonts w:cs="Times New Roman"/>
        </w:rPr>
        <w:t xml:space="preserve"> (Mardawiyah et al. 2020)</w:t>
      </w:r>
      <w:r w:rsidRPr="00127C2D">
        <w:rPr>
          <w:rFonts w:cs="Times New Roman"/>
        </w:rPr>
        <w:t>.</w:t>
      </w:r>
      <w:r w:rsidR="009E1413" w:rsidRPr="00127C2D">
        <w:rPr>
          <w:rFonts w:cs="Times New Roman"/>
        </w:rPr>
        <w:t xml:space="preserve"> </w:t>
      </w:r>
    </w:p>
    <w:p w14:paraId="1E21A075" w14:textId="17FC78E6" w:rsidR="00BE398F" w:rsidRPr="00127C2D" w:rsidRDefault="00BE398F" w:rsidP="00127C2D">
      <w:pPr>
        <w:spacing w:before="240" w:line="360" w:lineRule="auto"/>
        <w:rPr>
          <w:rFonts w:cs="Times New Roman"/>
        </w:rPr>
      </w:pPr>
      <w:r w:rsidRPr="00127C2D">
        <w:rPr>
          <w:rFonts w:cs="Times New Roman"/>
        </w:rPr>
        <w:lastRenderedPageBreak/>
        <w:t>Exxon Mobil Corporation and Shell are similar in some ways, such as their liquidity and efficiency. However, they are not the same when it comes to revenue and leverage</w:t>
      </w:r>
      <w:r w:rsidR="007C70AD" w:rsidRPr="00127C2D">
        <w:rPr>
          <w:rFonts w:cs="Times New Roman"/>
        </w:rPr>
        <w:t xml:space="preserve"> (Shell plc (SHEL) Income Statement - Yahoo Finance </w:t>
      </w:r>
      <w:r w:rsidR="006556A7" w:rsidRPr="00127C2D">
        <w:rPr>
          <w:rFonts w:cs="Times New Roman"/>
        </w:rPr>
        <w:t>2024</w:t>
      </w:r>
      <w:r w:rsidR="007C70AD" w:rsidRPr="00127C2D">
        <w:rPr>
          <w:rFonts w:cs="Times New Roman"/>
        </w:rPr>
        <w:t>.)</w:t>
      </w:r>
      <w:r w:rsidRPr="00127C2D">
        <w:rPr>
          <w:rFonts w:cs="Times New Roman"/>
        </w:rPr>
        <w:t>. In general, Exxon had a better net profit margin than Shell, but its leverage ratios were higher, which means it was taking on more financial risk. On the other hand, Shell did better in ROA and kept its levels of debt lower, which shows that it manages its money more conservatively</w:t>
      </w:r>
      <w:r w:rsidR="009E1413" w:rsidRPr="00127C2D">
        <w:rPr>
          <w:rFonts w:cs="Times New Roman"/>
        </w:rPr>
        <w:t xml:space="preserve"> (Better Buy: ExxonMobil vs. Royal Dutch Shell 2020)</w:t>
      </w:r>
      <w:r w:rsidRPr="00127C2D">
        <w:rPr>
          <w:rFonts w:cs="Times New Roman"/>
        </w:rPr>
        <w:t>.</w:t>
      </w:r>
    </w:p>
    <w:p w14:paraId="3B145164" w14:textId="501A276E" w:rsidR="000376CF" w:rsidRPr="00127C2D" w:rsidRDefault="00D0438E" w:rsidP="00127C2D">
      <w:pPr>
        <w:keepNext/>
        <w:spacing w:before="240" w:line="360" w:lineRule="auto"/>
        <w:rPr>
          <w:rFonts w:cs="Times New Roman"/>
        </w:rPr>
      </w:pPr>
      <w:r w:rsidRPr="00127C2D">
        <w:rPr>
          <w:rFonts w:cs="Times New Roman"/>
          <w:noProof/>
        </w:rPr>
        <w:drawing>
          <wp:inline distT="0" distB="0" distL="0" distR="0" wp14:anchorId="16678E4A" wp14:editId="70DE5F7A">
            <wp:extent cx="5943600" cy="3005455"/>
            <wp:effectExtent l="0" t="0" r="0" b="4445"/>
            <wp:docPr id="2115771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71550" name=""/>
                    <pic:cNvPicPr/>
                  </pic:nvPicPr>
                  <pic:blipFill>
                    <a:blip r:embed="rId11"/>
                    <a:stretch>
                      <a:fillRect/>
                    </a:stretch>
                  </pic:blipFill>
                  <pic:spPr>
                    <a:xfrm>
                      <a:off x="0" y="0"/>
                      <a:ext cx="5943600" cy="3005455"/>
                    </a:xfrm>
                    <a:prstGeom prst="rect">
                      <a:avLst/>
                    </a:prstGeom>
                  </pic:spPr>
                </pic:pic>
              </a:graphicData>
            </a:graphic>
          </wp:inline>
        </w:drawing>
      </w:r>
    </w:p>
    <w:p w14:paraId="2C89E050" w14:textId="1C08E76C" w:rsidR="00941406" w:rsidRPr="00127C2D" w:rsidRDefault="000376CF" w:rsidP="00127C2D">
      <w:pPr>
        <w:pStyle w:val="Caption"/>
        <w:spacing w:before="240" w:line="360" w:lineRule="auto"/>
        <w:rPr>
          <w:rFonts w:cs="Times New Roman"/>
        </w:rPr>
      </w:pPr>
      <w:r w:rsidRPr="00127C2D">
        <w:rPr>
          <w:rFonts w:cs="Times New Roman"/>
        </w:rPr>
        <w:t xml:space="preserve">Figure </w:t>
      </w:r>
      <w:r w:rsidRPr="00127C2D">
        <w:rPr>
          <w:rFonts w:cs="Times New Roman"/>
        </w:rPr>
        <w:fldChar w:fldCharType="begin"/>
      </w:r>
      <w:r w:rsidRPr="00127C2D">
        <w:rPr>
          <w:rFonts w:cs="Times New Roman"/>
        </w:rPr>
        <w:instrText xml:space="preserve"> SEQ Figure \* ARABIC </w:instrText>
      </w:r>
      <w:r w:rsidRPr="00127C2D">
        <w:rPr>
          <w:rFonts w:cs="Times New Roman"/>
        </w:rPr>
        <w:fldChar w:fldCharType="separate"/>
      </w:r>
      <w:r w:rsidR="0004044A" w:rsidRPr="00127C2D">
        <w:rPr>
          <w:rFonts w:cs="Times New Roman"/>
          <w:noProof/>
        </w:rPr>
        <w:t>3</w:t>
      </w:r>
      <w:r w:rsidRPr="00127C2D">
        <w:rPr>
          <w:rFonts w:cs="Times New Roman"/>
        </w:rPr>
        <w:fldChar w:fldCharType="end"/>
      </w:r>
      <w:r w:rsidRPr="00127C2D">
        <w:rPr>
          <w:rFonts w:cs="Times New Roman"/>
        </w:rPr>
        <w:t xml:space="preserve"> Financial </w:t>
      </w:r>
      <w:r w:rsidR="00CE3046" w:rsidRPr="00127C2D">
        <w:rPr>
          <w:rFonts w:cs="Times New Roman"/>
        </w:rPr>
        <w:t>Performance</w:t>
      </w:r>
      <w:r w:rsidRPr="00127C2D">
        <w:rPr>
          <w:rFonts w:cs="Times New Roman"/>
        </w:rPr>
        <w:t xml:space="preserve"> (fullratio.com, </w:t>
      </w:r>
      <w:r w:rsidR="006556A7" w:rsidRPr="00127C2D">
        <w:rPr>
          <w:rFonts w:cs="Times New Roman"/>
        </w:rPr>
        <w:t>2024</w:t>
      </w:r>
      <w:r w:rsidRPr="00127C2D">
        <w:rPr>
          <w:rFonts w:cs="Times New Roman"/>
        </w:rPr>
        <w:t>.)</w:t>
      </w:r>
    </w:p>
    <w:tbl>
      <w:tblPr>
        <w:tblW w:w="5000" w:type="pct"/>
        <w:tblLook w:val="04A0" w:firstRow="1" w:lastRow="0" w:firstColumn="1" w:lastColumn="0" w:noHBand="0" w:noVBand="1"/>
      </w:tblPr>
      <w:tblGrid>
        <w:gridCol w:w="2209"/>
        <w:gridCol w:w="2225"/>
        <w:gridCol w:w="1058"/>
        <w:gridCol w:w="965"/>
        <w:gridCol w:w="965"/>
        <w:gridCol w:w="965"/>
        <w:gridCol w:w="963"/>
      </w:tblGrid>
      <w:tr w:rsidR="000376CF" w:rsidRPr="00127C2D" w14:paraId="1D06B39E" w14:textId="77777777" w:rsidTr="001C2439">
        <w:trPr>
          <w:trHeight w:val="310"/>
        </w:trPr>
        <w:tc>
          <w:tcPr>
            <w:tcW w:w="1181"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5E8EF61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Category</w:t>
            </w:r>
          </w:p>
        </w:tc>
        <w:tc>
          <w:tcPr>
            <w:tcW w:w="1190" w:type="pct"/>
            <w:tcBorders>
              <w:top w:val="single" w:sz="4" w:space="0" w:color="auto"/>
              <w:left w:val="nil"/>
              <w:bottom w:val="single" w:sz="4" w:space="0" w:color="auto"/>
              <w:right w:val="single" w:sz="4" w:space="0" w:color="auto"/>
            </w:tcBorders>
            <w:shd w:val="clear" w:color="000000" w:fill="FFFFFF"/>
            <w:vAlign w:val="bottom"/>
            <w:hideMark/>
          </w:tcPr>
          <w:p w14:paraId="2D84C98C"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Ratio</w:t>
            </w:r>
          </w:p>
        </w:tc>
        <w:tc>
          <w:tcPr>
            <w:tcW w:w="1597" w:type="pct"/>
            <w:gridSpan w:val="3"/>
            <w:tcBorders>
              <w:top w:val="single" w:sz="4" w:space="0" w:color="auto"/>
              <w:left w:val="nil"/>
              <w:bottom w:val="single" w:sz="4" w:space="0" w:color="auto"/>
              <w:right w:val="single" w:sz="4" w:space="0" w:color="auto"/>
            </w:tcBorders>
            <w:shd w:val="clear" w:color="auto" w:fill="auto"/>
            <w:noWrap/>
            <w:vAlign w:val="bottom"/>
            <w:hideMark/>
          </w:tcPr>
          <w:p w14:paraId="5A34C1DF" w14:textId="77777777" w:rsidR="000376CF" w:rsidRPr="00127C2D" w:rsidRDefault="000376CF" w:rsidP="00127C2D">
            <w:pPr>
              <w:spacing w:before="240" w:line="360" w:lineRule="auto"/>
              <w:rPr>
                <w:rFonts w:eastAsia="Times New Roman" w:cs="Times New Roman"/>
                <w:color w:val="000000"/>
                <w:kern w:val="0"/>
                <w:sz w:val="22"/>
                <w:lang w:val="en-IN" w:eastAsia="en-IN"/>
                <w14:ligatures w14:val="none"/>
              </w:rPr>
            </w:pPr>
            <w:r w:rsidRPr="00127C2D">
              <w:rPr>
                <w:rFonts w:eastAsia="Times New Roman" w:cs="Times New Roman"/>
                <w:color w:val="000000"/>
                <w:kern w:val="0"/>
                <w:sz w:val="22"/>
                <w:lang w:val="en-IN" w:eastAsia="en-IN"/>
                <w14:ligatures w14:val="none"/>
              </w:rPr>
              <w:t>Exxon</w:t>
            </w:r>
          </w:p>
        </w:tc>
        <w:tc>
          <w:tcPr>
            <w:tcW w:w="516" w:type="pct"/>
            <w:tcBorders>
              <w:top w:val="single" w:sz="4" w:space="0" w:color="auto"/>
              <w:left w:val="nil"/>
              <w:bottom w:val="single" w:sz="4" w:space="0" w:color="auto"/>
              <w:right w:val="single" w:sz="4" w:space="0" w:color="auto"/>
            </w:tcBorders>
            <w:shd w:val="clear" w:color="auto" w:fill="auto"/>
            <w:noWrap/>
            <w:vAlign w:val="bottom"/>
            <w:hideMark/>
          </w:tcPr>
          <w:p w14:paraId="34FE62D3" w14:textId="77777777" w:rsidR="000376CF" w:rsidRPr="00127C2D" w:rsidRDefault="000376CF" w:rsidP="00127C2D">
            <w:pPr>
              <w:spacing w:before="240" w:line="360" w:lineRule="auto"/>
              <w:rPr>
                <w:rFonts w:eastAsia="Times New Roman" w:cs="Times New Roman"/>
                <w:color w:val="000000"/>
                <w:kern w:val="0"/>
                <w:sz w:val="22"/>
                <w:lang w:val="en-IN" w:eastAsia="en-IN"/>
                <w14:ligatures w14:val="none"/>
              </w:rPr>
            </w:pPr>
            <w:r w:rsidRPr="00127C2D">
              <w:rPr>
                <w:rFonts w:eastAsia="Times New Roman" w:cs="Times New Roman"/>
                <w:color w:val="000000"/>
                <w:kern w:val="0"/>
                <w:sz w:val="22"/>
                <w:lang w:val="en-IN" w:eastAsia="en-IN"/>
                <w14:ligatures w14:val="none"/>
              </w:rPr>
              <w:t> </w:t>
            </w:r>
          </w:p>
        </w:tc>
        <w:tc>
          <w:tcPr>
            <w:tcW w:w="516" w:type="pct"/>
            <w:tcBorders>
              <w:top w:val="single" w:sz="4" w:space="0" w:color="auto"/>
              <w:left w:val="nil"/>
              <w:bottom w:val="single" w:sz="4" w:space="0" w:color="auto"/>
              <w:right w:val="single" w:sz="4" w:space="0" w:color="auto"/>
            </w:tcBorders>
            <w:shd w:val="clear" w:color="auto" w:fill="auto"/>
            <w:noWrap/>
            <w:vAlign w:val="bottom"/>
            <w:hideMark/>
          </w:tcPr>
          <w:p w14:paraId="1E221830" w14:textId="77777777" w:rsidR="000376CF" w:rsidRPr="00127C2D" w:rsidRDefault="000376CF" w:rsidP="00127C2D">
            <w:pPr>
              <w:spacing w:before="240" w:line="360" w:lineRule="auto"/>
              <w:rPr>
                <w:rFonts w:eastAsia="Times New Roman" w:cs="Times New Roman"/>
                <w:color w:val="000000"/>
                <w:kern w:val="0"/>
                <w:sz w:val="22"/>
                <w:lang w:val="en-IN" w:eastAsia="en-IN"/>
                <w14:ligatures w14:val="none"/>
              </w:rPr>
            </w:pPr>
            <w:r w:rsidRPr="00127C2D">
              <w:rPr>
                <w:rFonts w:eastAsia="Times New Roman" w:cs="Times New Roman"/>
                <w:color w:val="000000"/>
                <w:kern w:val="0"/>
                <w:sz w:val="22"/>
                <w:lang w:val="en-IN" w:eastAsia="en-IN"/>
                <w14:ligatures w14:val="none"/>
              </w:rPr>
              <w:t> </w:t>
            </w:r>
          </w:p>
        </w:tc>
      </w:tr>
      <w:tr w:rsidR="000376CF" w:rsidRPr="00127C2D" w14:paraId="0C74EE4E" w14:textId="77777777" w:rsidTr="001C2439">
        <w:trPr>
          <w:trHeight w:val="310"/>
        </w:trPr>
        <w:tc>
          <w:tcPr>
            <w:tcW w:w="2371" w:type="pct"/>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2525877F"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Profitability Ratios</w:t>
            </w:r>
          </w:p>
        </w:tc>
        <w:tc>
          <w:tcPr>
            <w:tcW w:w="566" w:type="pct"/>
            <w:tcBorders>
              <w:top w:val="nil"/>
              <w:left w:val="nil"/>
              <w:bottom w:val="single" w:sz="4" w:space="0" w:color="auto"/>
              <w:right w:val="single" w:sz="4" w:space="0" w:color="auto"/>
            </w:tcBorders>
            <w:shd w:val="clear" w:color="auto" w:fill="auto"/>
            <w:noWrap/>
            <w:vAlign w:val="bottom"/>
            <w:hideMark/>
          </w:tcPr>
          <w:p w14:paraId="2BCBD779"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2023</w:t>
            </w:r>
          </w:p>
        </w:tc>
        <w:tc>
          <w:tcPr>
            <w:tcW w:w="516" w:type="pct"/>
            <w:tcBorders>
              <w:top w:val="nil"/>
              <w:left w:val="nil"/>
              <w:bottom w:val="single" w:sz="4" w:space="0" w:color="auto"/>
              <w:right w:val="single" w:sz="4" w:space="0" w:color="auto"/>
            </w:tcBorders>
            <w:shd w:val="clear" w:color="auto" w:fill="auto"/>
            <w:noWrap/>
            <w:vAlign w:val="bottom"/>
            <w:hideMark/>
          </w:tcPr>
          <w:p w14:paraId="4616099C"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2022</w:t>
            </w:r>
          </w:p>
        </w:tc>
        <w:tc>
          <w:tcPr>
            <w:tcW w:w="516" w:type="pct"/>
            <w:tcBorders>
              <w:top w:val="nil"/>
              <w:left w:val="nil"/>
              <w:bottom w:val="single" w:sz="4" w:space="0" w:color="auto"/>
              <w:right w:val="single" w:sz="4" w:space="0" w:color="auto"/>
            </w:tcBorders>
            <w:shd w:val="clear" w:color="auto" w:fill="auto"/>
            <w:noWrap/>
            <w:vAlign w:val="bottom"/>
            <w:hideMark/>
          </w:tcPr>
          <w:p w14:paraId="567B788B"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2021</w:t>
            </w:r>
          </w:p>
        </w:tc>
        <w:tc>
          <w:tcPr>
            <w:tcW w:w="516" w:type="pct"/>
            <w:tcBorders>
              <w:top w:val="nil"/>
              <w:left w:val="nil"/>
              <w:bottom w:val="single" w:sz="4" w:space="0" w:color="auto"/>
              <w:right w:val="single" w:sz="4" w:space="0" w:color="auto"/>
            </w:tcBorders>
            <w:shd w:val="clear" w:color="auto" w:fill="auto"/>
            <w:noWrap/>
            <w:vAlign w:val="bottom"/>
            <w:hideMark/>
          </w:tcPr>
          <w:p w14:paraId="59CC424A"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2020</w:t>
            </w:r>
          </w:p>
        </w:tc>
        <w:tc>
          <w:tcPr>
            <w:tcW w:w="516" w:type="pct"/>
            <w:tcBorders>
              <w:top w:val="nil"/>
              <w:left w:val="nil"/>
              <w:bottom w:val="single" w:sz="4" w:space="0" w:color="auto"/>
              <w:right w:val="single" w:sz="4" w:space="0" w:color="auto"/>
            </w:tcBorders>
            <w:shd w:val="clear" w:color="auto" w:fill="auto"/>
            <w:noWrap/>
            <w:vAlign w:val="bottom"/>
            <w:hideMark/>
          </w:tcPr>
          <w:p w14:paraId="0C17E9E7"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2019</w:t>
            </w:r>
          </w:p>
        </w:tc>
      </w:tr>
      <w:tr w:rsidR="00822D78" w:rsidRPr="00127C2D" w14:paraId="58D142AF" w14:textId="77777777" w:rsidTr="001C2439">
        <w:trPr>
          <w:trHeight w:val="62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7CE6E054"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 Net Profit Margin</w:t>
            </w:r>
          </w:p>
        </w:tc>
        <w:tc>
          <w:tcPr>
            <w:tcW w:w="1190" w:type="pct"/>
            <w:tcBorders>
              <w:top w:val="nil"/>
              <w:left w:val="nil"/>
              <w:bottom w:val="single" w:sz="4" w:space="0" w:color="auto"/>
              <w:right w:val="single" w:sz="4" w:space="0" w:color="auto"/>
            </w:tcBorders>
            <w:shd w:val="clear" w:color="000000" w:fill="FFFFFF"/>
            <w:vAlign w:val="center"/>
            <w:hideMark/>
          </w:tcPr>
          <w:p w14:paraId="4038E6FC"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(Net Profit / Revenue) * 100</w:t>
            </w:r>
          </w:p>
        </w:tc>
        <w:tc>
          <w:tcPr>
            <w:tcW w:w="566" w:type="pct"/>
            <w:tcBorders>
              <w:top w:val="nil"/>
              <w:left w:val="nil"/>
              <w:bottom w:val="single" w:sz="4" w:space="0" w:color="auto"/>
              <w:right w:val="single" w:sz="4" w:space="0" w:color="auto"/>
            </w:tcBorders>
            <w:shd w:val="clear" w:color="000000" w:fill="FFFFFF"/>
            <w:vAlign w:val="center"/>
            <w:hideMark/>
          </w:tcPr>
          <w:p w14:paraId="62021DBF"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10.76%</w:t>
            </w:r>
          </w:p>
        </w:tc>
        <w:tc>
          <w:tcPr>
            <w:tcW w:w="516" w:type="pct"/>
            <w:tcBorders>
              <w:top w:val="nil"/>
              <w:left w:val="nil"/>
              <w:bottom w:val="single" w:sz="4" w:space="0" w:color="auto"/>
              <w:right w:val="single" w:sz="4" w:space="0" w:color="auto"/>
            </w:tcBorders>
            <w:shd w:val="clear" w:color="000000" w:fill="FFFFFF"/>
            <w:vAlign w:val="center"/>
            <w:hideMark/>
          </w:tcPr>
          <w:p w14:paraId="063C1E2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13.98%</w:t>
            </w:r>
          </w:p>
        </w:tc>
        <w:tc>
          <w:tcPr>
            <w:tcW w:w="516" w:type="pct"/>
            <w:tcBorders>
              <w:top w:val="nil"/>
              <w:left w:val="nil"/>
              <w:bottom w:val="single" w:sz="4" w:space="0" w:color="auto"/>
              <w:right w:val="single" w:sz="4" w:space="0" w:color="auto"/>
            </w:tcBorders>
            <w:shd w:val="clear" w:color="000000" w:fill="FFFFFF"/>
            <w:vAlign w:val="center"/>
            <w:hideMark/>
          </w:tcPr>
          <w:p w14:paraId="4B5E6C81"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8.33%</w:t>
            </w:r>
          </w:p>
        </w:tc>
        <w:tc>
          <w:tcPr>
            <w:tcW w:w="516" w:type="pct"/>
            <w:tcBorders>
              <w:top w:val="nil"/>
              <w:left w:val="nil"/>
              <w:bottom w:val="single" w:sz="4" w:space="0" w:color="auto"/>
              <w:right w:val="single" w:sz="4" w:space="0" w:color="auto"/>
            </w:tcBorders>
            <w:shd w:val="clear" w:color="000000" w:fill="FFFFFF"/>
            <w:vAlign w:val="center"/>
            <w:hideMark/>
          </w:tcPr>
          <w:p w14:paraId="007567A2"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-12.57%</w:t>
            </w:r>
          </w:p>
        </w:tc>
        <w:tc>
          <w:tcPr>
            <w:tcW w:w="516" w:type="pct"/>
            <w:tcBorders>
              <w:top w:val="nil"/>
              <w:left w:val="nil"/>
              <w:bottom w:val="single" w:sz="4" w:space="0" w:color="auto"/>
              <w:right w:val="single" w:sz="4" w:space="0" w:color="auto"/>
            </w:tcBorders>
            <w:shd w:val="clear" w:color="000000" w:fill="FFFFFF"/>
            <w:vAlign w:val="center"/>
            <w:hideMark/>
          </w:tcPr>
          <w:p w14:paraId="3315725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5.61%</w:t>
            </w:r>
          </w:p>
        </w:tc>
      </w:tr>
      <w:tr w:rsidR="00822D78" w:rsidRPr="00127C2D" w14:paraId="50F8BF00" w14:textId="77777777" w:rsidTr="001C2439">
        <w:trPr>
          <w:trHeight w:val="62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6EF8244D"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2. Return on Assets (ROA)</w:t>
            </w:r>
          </w:p>
        </w:tc>
        <w:tc>
          <w:tcPr>
            <w:tcW w:w="1190" w:type="pct"/>
            <w:tcBorders>
              <w:top w:val="nil"/>
              <w:left w:val="nil"/>
              <w:bottom w:val="single" w:sz="4" w:space="0" w:color="auto"/>
              <w:right w:val="single" w:sz="4" w:space="0" w:color="auto"/>
            </w:tcBorders>
            <w:shd w:val="clear" w:color="000000" w:fill="FFFFFF"/>
            <w:vAlign w:val="center"/>
            <w:hideMark/>
          </w:tcPr>
          <w:p w14:paraId="409595B5"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(Net Income / Average Total Assets) * 100</w:t>
            </w:r>
          </w:p>
        </w:tc>
        <w:tc>
          <w:tcPr>
            <w:tcW w:w="566" w:type="pct"/>
            <w:tcBorders>
              <w:top w:val="nil"/>
              <w:left w:val="nil"/>
              <w:bottom w:val="single" w:sz="4" w:space="0" w:color="auto"/>
              <w:right w:val="single" w:sz="4" w:space="0" w:color="auto"/>
            </w:tcBorders>
            <w:shd w:val="clear" w:color="000000" w:fill="FFFFFF"/>
            <w:vAlign w:val="center"/>
            <w:hideMark/>
          </w:tcPr>
          <w:p w14:paraId="459D24C8"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9.57%</w:t>
            </w:r>
          </w:p>
        </w:tc>
        <w:tc>
          <w:tcPr>
            <w:tcW w:w="516" w:type="pct"/>
            <w:tcBorders>
              <w:top w:val="nil"/>
              <w:left w:val="nil"/>
              <w:bottom w:val="single" w:sz="4" w:space="0" w:color="auto"/>
              <w:right w:val="single" w:sz="4" w:space="0" w:color="auto"/>
            </w:tcBorders>
            <w:shd w:val="clear" w:color="000000" w:fill="FFFFFF"/>
            <w:vAlign w:val="center"/>
            <w:hideMark/>
          </w:tcPr>
          <w:p w14:paraId="3898F94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15.10%</w:t>
            </w:r>
          </w:p>
        </w:tc>
        <w:tc>
          <w:tcPr>
            <w:tcW w:w="516" w:type="pct"/>
            <w:tcBorders>
              <w:top w:val="nil"/>
              <w:left w:val="nil"/>
              <w:bottom w:val="single" w:sz="4" w:space="0" w:color="auto"/>
              <w:right w:val="single" w:sz="4" w:space="0" w:color="auto"/>
            </w:tcBorders>
            <w:shd w:val="clear" w:color="000000" w:fill="FFFFFF"/>
            <w:vAlign w:val="center"/>
            <w:hideMark/>
          </w:tcPr>
          <w:p w14:paraId="5FA0E759"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6.80%</w:t>
            </w:r>
          </w:p>
        </w:tc>
        <w:tc>
          <w:tcPr>
            <w:tcW w:w="516" w:type="pct"/>
            <w:tcBorders>
              <w:top w:val="nil"/>
              <w:left w:val="nil"/>
              <w:bottom w:val="single" w:sz="4" w:space="0" w:color="auto"/>
              <w:right w:val="single" w:sz="4" w:space="0" w:color="auto"/>
            </w:tcBorders>
            <w:shd w:val="clear" w:color="000000" w:fill="FFFFFF"/>
            <w:vAlign w:val="center"/>
            <w:hideMark/>
          </w:tcPr>
          <w:p w14:paraId="3AD81C25"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-6.74%</w:t>
            </w:r>
          </w:p>
        </w:tc>
        <w:tc>
          <w:tcPr>
            <w:tcW w:w="516" w:type="pct"/>
            <w:tcBorders>
              <w:top w:val="nil"/>
              <w:left w:val="nil"/>
              <w:bottom w:val="single" w:sz="4" w:space="0" w:color="auto"/>
              <w:right w:val="single" w:sz="4" w:space="0" w:color="auto"/>
            </w:tcBorders>
            <w:shd w:val="clear" w:color="000000" w:fill="FFFFFF"/>
            <w:vAlign w:val="center"/>
            <w:hideMark/>
          </w:tcPr>
          <w:p w14:paraId="0FBC96FA"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3.95%</w:t>
            </w:r>
          </w:p>
        </w:tc>
      </w:tr>
      <w:tr w:rsidR="000376CF" w:rsidRPr="00127C2D" w14:paraId="63D5FB36" w14:textId="77777777" w:rsidTr="001C2439">
        <w:trPr>
          <w:trHeight w:val="310"/>
        </w:trPr>
        <w:tc>
          <w:tcPr>
            <w:tcW w:w="2371" w:type="pct"/>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71C43618"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Liquidity Ratios</w:t>
            </w:r>
          </w:p>
        </w:tc>
        <w:tc>
          <w:tcPr>
            <w:tcW w:w="566" w:type="pct"/>
            <w:tcBorders>
              <w:top w:val="nil"/>
              <w:left w:val="nil"/>
              <w:bottom w:val="single" w:sz="4" w:space="0" w:color="auto"/>
              <w:right w:val="single" w:sz="4" w:space="0" w:color="auto"/>
            </w:tcBorders>
            <w:shd w:val="clear" w:color="auto" w:fill="auto"/>
            <w:noWrap/>
            <w:vAlign w:val="bottom"/>
            <w:hideMark/>
          </w:tcPr>
          <w:p w14:paraId="0F5C216C"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5C7AD285"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6EEB318C"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4FD8C404"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49E4A68B"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r>
      <w:tr w:rsidR="00822D78" w:rsidRPr="00127C2D" w14:paraId="7AFB8F8A" w14:textId="77777777" w:rsidTr="001C2439">
        <w:trPr>
          <w:trHeight w:val="62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231322DB"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lastRenderedPageBreak/>
              <w:t>1. Current Ratio</w:t>
            </w:r>
          </w:p>
        </w:tc>
        <w:tc>
          <w:tcPr>
            <w:tcW w:w="1190" w:type="pct"/>
            <w:tcBorders>
              <w:top w:val="nil"/>
              <w:left w:val="nil"/>
              <w:bottom w:val="single" w:sz="4" w:space="0" w:color="auto"/>
              <w:right w:val="single" w:sz="4" w:space="0" w:color="auto"/>
            </w:tcBorders>
            <w:shd w:val="clear" w:color="000000" w:fill="FFFFFF"/>
            <w:vAlign w:val="center"/>
            <w:hideMark/>
          </w:tcPr>
          <w:p w14:paraId="302CF60A"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Current Assets / Current Liabilities</w:t>
            </w:r>
          </w:p>
        </w:tc>
        <w:tc>
          <w:tcPr>
            <w:tcW w:w="566" w:type="pct"/>
            <w:tcBorders>
              <w:top w:val="nil"/>
              <w:left w:val="nil"/>
              <w:bottom w:val="single" w:sz="4" w:space="0" w:color="auto"/>
              <w:right w:val="single" w:sz="4" w:space="0" w:color="auto"/>
            </w:tcBorders>
            <w:shd w:val="clear" w:color="000000" w:fill="FFFFFF"/>
            <w:vAlign w:val="center"/>
            <w:hideMark/>
          </w:tcPr>
          <w:p w14:paraId="47E7A63D"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1.48</w:t>
            </w:r>
          </w:p>
        </w:tc>
        <w:tc>
          <w:tcPr>
            <w:tcW w:w="516" w:type="pct"/>
            <w:tcBorders>
              <w:top w:val="nil"/>
              <w:left w:val="nil"/>
              <w:bottom w:val="single" w:sz="4" w:space="0" w:color="auto"/>
              <w:right w:val="single" w:sz="4" w:space="0" w:color="auto"/>
            </w:tcBorders>
            <w:shd w:val="clear" w:color="000000" w:fill="FFFFFF"/>
            <w:vAlign w:val="center"/>
            <w:hideMark/>
          </w:tcPr>
          <w:p w14:paraId="1CE14C60"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1.41</w:t>
            </w:r>
          </w:p>
        </w:tc>
        <w:tc>
          <w:tcPr>
            <w:tcW w:w="516" w:type="pct"/>
            <w:tcBorders>
              <w:top w:val="nil"/>
              <w:left w:val="nil"/>
              <w:bottom w:val="single" w:sz="4" w:space="0" w:color="auto"/>
              <w:right w:val="single" w:sz="4" w:space="0" w:color="auto"/>
            </w:tcBorders>
            <w:shd w:val="clear" w:color="000000" w:fill="FFFFFF"/>
            <w:vAlign w:val="center"/>
            <w:hideMark/>
          </w:tcPr>
          <w:p w14:paraId="0A3BCD07"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1.04</w:t>
            </w:r>
          </w:p>
        </w:tc>
        <w:tc>
          <w:tcPr>
            <w:tcW w:w="516" w:type="pct"/>
            <w:tcBorders>
              <w:top w:val="nil"/>
              <w:left w:val="nil"/>
              <w:bottom w:val="single" w:sz="4" w:space="0" w:color="auto"/>
              <w:right w:val="single" w:sz="4" w:space="0" w:color="auto"/>
            </w:tcBorders>
            <w:shd w:val="clear" w:color="000000" w:fill="FFFFFF"/>
            <w:vAlign w:val="center"/>
            <w:hideMark/>
          </w:tcPr>
          <w:p w14:paraId="33354A54"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0.80</w:t>
            </w:r>
          </w:p>
        </w:tc>
        <w:tc>
          <w:tcPr>
            <w:tcW w:w="516" w:type="pct"/>
            <w:tcBorders>
              <w:top w:val="nil"/>
              <w:left w:val="nil"/>
              <w:bottom w:val="single" w:sz="4" w:space="0" w:color="auto"/>
              <w:right w:val="single" w:sz="4" w:space="0" w:color="auto"/>
            </w:tcBorders>
            <w:shd w:val="clear" w:color="000000" w:fill="FFFFFF"/>
            <w:vAlign w:val="center"/>
            <w:hideMark/>
          </w:tcPr>
          <w:p w14:paraId="1E71489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0.78</w:t>
            </w:r>
          </w:p>
        </w:tc>
      </w:tr>
      <w:tr w:rsidR="00822D78" w:rsidRPr="00127C2D" w14:paraId="383B2C33" w14:textId="77777777" w:rsidTr="001C2439">
        <w:trPr>
          <w:trHeight w:val="93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1FBE9F8A"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2. Quick Ratio</w:t>
            </w:r>
          </w:p>
        </w:tc>
        <w:tc>
          <w:tcPr>
            <w:tcW w:w="1190" w:type="pct"/>
            <w:tcBorders>
              <w:top w:val="nil"/>
              <w:left w:val="nil"/>
              <w:bottom w:val="single" w:sz="4" w:space="0" w:color="auto"/>
              <w:right w:val="single" w:sz="4" w:space="0" w:color="auto"/>
            </w:tcBorders>
            <w:shd w:val="clear" w:color="000000" w:fill="FFFFFF"/>
            <w:vAlign w:val="center"/>
            <w:hideMark/>
          </w:tcPr>
          <w:p w14:paraId="6EFB3517"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(Current Assets - Inventory) / Current Liabilities</w:t>
            </w:r>
          </w:p>
        </w:tc>
        <w:tc>
          <w:tcPr>
            <w:tcW w:w="566" w:type="pct"/>
            <w:tcBorders>
              <w:top w:val="nil"/>
              <w:left w:val="nil"/>
              <w:bottom w:val="single" w:sz="4" w:space="0" w:color="auto"/>
              <w:right w:val="single" w:sz="4" w:space="0" w:color="auto"/>
            </w:tcBorders>
            <w:shd w:val="clear" w:color="000000" w:fill="FFFFFF"/>
            <w:vAlign w:val="center"/>
            <w:hideMark/>
          </w:tcPr>
          <w:p w14:paraId="3630A9E5"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1.09</w:t>
            </w:r>
          </w:p>
        </w:tc>
        <w:tc>
          <w:tcPr>
            <w:tcW w:w="516" w:type="pct"/>
            <w:tcBorders>
              <w:top w:val="nil"/>
              <w:left w:val="nil"/>
              <w:bottom w:val="single" w:sz="4" w:space="0" w:color="auto"/>
              <w:right w:val="single" w:sz="4" w:space="0" w:color="auto"/>
            </w:tcBorders>
            <w:shd w:val="clear" w:color="000000" w:fill="FFFFFF"/>
            <w:vAlign w:val="center"/>
            <w:hideMark/>
          </w:tcPr>
          <w:p w14:paraId="03F27775"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1.06</w:t>
            </w:r>
          </w:p>
        </w:tc>
        <w:tc>
          <w:tcPr>
            <w:tcW w:w="516" w:type="pct"/>
            <w:tcBorders>
              <w:top w:val="nil"/>
              <w:left w:val="nil"/>
              <w:bottom w:val="single" w:sz="4" w:space="0" w:color="auto"/>
              <w:right w:val="single" w:sz="4" w:space="0" w:color="auto"/>
            </w:tcBorders>
            <w:shd w:val="clear" w:color="000000" w:fill="FFFFFF"/>
            <w:vAlign w:val="center"/>
            <w:hideMark/>
          </w:tcPr>
          <w:p w14:paraId="07DD7F00"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0.71</w:t>
            </w:r>
          </w:p>
        </w:tc>
        <w:tc>
          <w:tcPr>
            <w:tcW w:w="516" w:type="pct"/>
            <w:tcBorders>
              <w:top w:val="nil"/>
              <w:left w:val="nil"/>
              <w:bottom w:val="single" w:sz="4" w:space="0" w:color="auto"/>
              <w:right w:val="single" w:sz="4" w:space="0" w:color="auto"/>
            </w:tcBorders>
            <w:shd w:val="clear" w:color="000000" w:fill="FFFFFF"/>
            <w:vAlign w:val="center"/>
            <w:hideMark/>
          </w:tcPr>
          <w:p w14:paraId="575DDF04"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0.46</w:t>
            </w:r>
          </w:p>
        </w:tc>
        <w:tc>
          <w:tcPr>
            <w:tcW w:w="516" w:type="pct"/>
            <w:tcBorders>
              <w:top w:val="nil"/>
              <w:left w:val="nil"/>
              <w:bottom w:val="single" w:sz="4" w:space="0" w:color="auto"/>
              <w:right w:val="single" w:sz="4" w:space="0" w:color="auto"/>
            </w:tcBorders>
            <w:shd w:val="clear" w:color="000000" w:fill="FFFFFF"/>
            <w:vAlign w:val="center"/>
            <w:hideMark/>
          </w:tcPr>
          <w:p w14:paraId="47418940"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0.49</w:t>
            </w:r>
          </w:p>
        </w:tc>
      </w:tr>
      <w:tr w:rsidR="000376CF" w:rsidRPr="00127C2D" w14:paraId="42E78C71" w14:textId="77777777" w:rsidTr="001C2439">
        <w:trPr>
          <w:trHeight w:val="310"/>
        </w:trPr>
        <w:tc>
          <w:tcPr>
            <w:tcW w:w="2371" w:type="pct"/>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511B7319"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Efficiency Ratios</w:t>
            </w:r>
          </w:p>
        </w:tc>
        <w:tc>
          <w:tcPr>
            <w:tcW w:w="566" w:type="pct"/>
            <w:tcBorders>
              <w:top w:val="nil"/>
              <w:left w:val="nil"/>
              <w:bottom w:val="single" w:sz="4" w:space="0" w:color="auto"/>
              <w:right w:val="single" w:sz="4" w:space="0" w:color="auto"/>
            </w:tcBorders>
            <w:shd w:val="clear" w:color="auto" w:fill="auto"/>
            <w:noWrap/>
            <w:vAlign w:val="bottom"/>
            <w:hideMark/>
          </w:tcPr>
          <w:p w14:paraId="251B665E"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2732E749"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66DFABC4"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2DCD6CA6"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3CCDEC1B"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r>
      <w:tr w:rsidR="00822D78" w:rsidRPr="00127C2D" w14:paraId="501F7509" w14:textId="77777777" w:rsidTr="001C2439">
        <w:trPr>
          <w:trHeight w:val="62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4803B393"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 Asset Turnover Ratio</w:t>
            </w:r>
          </w:p>
        </w:tc>
        <w:tc>
          <w:tcPr>
            <w:tcW w:w="1190" w:type="pct"/>
            <w:tcBorders>
              <w:top w:val="nil"/>
              <w:left w:val="nil"/>
              <w:bottom w:val="single" w:sz="4" w:space="0" w:color="auto"/>
              <w:right w:val="single" w:sz="4" w:space="0" w:color="auto"/>
            </w:tcBorders>
            <w:shd w:val="clear" w:color="000000" w:fill="FFFFFF"/>
            <w:vAlign w:val="center"/>
            <w:hideMark/>
          </w:tcPr>
          <w:p w14:paraId="510CF727"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Revenue / Average Total Assets</w:t>
            </w:r>
          </w:p>
        </w:tc>
        <w:tc>
          <w:tcPr>
            <w:tcW w:w="566" w:type="pct"/>
            <w:tcBorders>
              <w:top w:val="nil"/>
              <w:left w:val="nil"/>
              <w:bottom w:val="single" w:sz="4" w:space="0" w:color="auto"/>
              <w:right w:val="single" w:sz="4" w:space="0" w:color="auto"/>
            </w:tcBorders>
            <w:shd w:val="clear" w:color="000000" w:fill="FFFFFF"/>
            <w:vAlign w:val="center"/>
            <w:hideMark/>
          </w:tcPr>
          <w:p w14:paraId="79726A75"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0.89</w:t>
            </w:r>
          </w:p>
        </w:tc>
        <w:tc>
          <w:tcPr>
            <w:tcW w:w="516" w:type="pct"/>
            <w:tcBorders>
              <w:top w:val="nil"/>
              <w:left w:val="nil"/>
              <w:bottom w:val="single" w:sz="4" w:space="0" w:color="auto"/>
              <w:right w:val="single" w:sz="4" w:space="0" w:color="auto"/>
            </w:tcBorders>
            <w:shd w:val="clear" w:color="000000" w:fill="FFFFFF"/>
            <w:vAlign w:val="center"/>
            <w:hideMark/>
          </w:tcPr>
          <w:p w14:paraId="356AFBCC"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1.08</w:t>
            </w:r>
          </w:p>
        </w:tc>
        <w:tc>
          <w:tcPr>
            <w:tcW w:w="516" w:type="pct"/>
            <w:tcBorders>
              <w:top w:val="nil"/>
              <w:left w:val="nil"/>
              <w:bottom w:val="single" w:sz="4" w:space="0" w:color="auto"/>
              <w:right w:val="single" w:sz="4" w:space="0" w:color="auto"/>
            </w:tcBorders>
            <w:shd w:val="clear" w:color="000000" w:fill="FFFFFF"/>
            <w:vAlign w:val="center"/>
            <w:hideMark/>
          </w:tcPr>
          <w:p w14:paraId="644A8D29"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0.82</w:t>
            </w:r>
          </w:p>
        </w:tc>
        <w:tc>
          <w:tcPr>
            <w:tcW w:w="516" w:type="pct"/>
            <w:tcBorders>
              <w:top w:val="nil"/>
              <w:left w:val="nil"/>
              <w:bottom w:val="single" w:sz="4" w:space="0" w:color="auto"/>
              <w:right w:val="single" w:sz="4" w:space="0" w:color="auto"/>
            </w:tcBorders>
            <w:shd w:val="clear" w:color="000000" w:fill="FFFFFF"/>
            <w:vAlign w:val="center"/>
            <w:hideMark/>
          </w:tcPr>
          <w:p w14:paraId="1B1645BF"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0.54</w:t>
            </w:r>
          </w:p>
        </w:tc>
        <w:tc>
          <w:tcPr>
            <w:tcW w:w="516" w:type="pct"/>
            <w:tcBorders>
              <w:top w:val="nil"/>
              <w:left w:val="nil"/>
              <w:bottom w:val="single" w:sz="4" w:space="0" w:color="auto"/>
              <w:right w:val="single" w:sz="4" w:space="0" w:color="auto"/>
            </w:tcBorders>
            <w:shd w:val="clear" w:color="000000" w:fill="FFFFFF"/>
            <w:vAlign w:val="center"/>
            <w:hideMark/>
          </w:tcPr>
          <w:p w14:paraId="407E80C9"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0.70</w:t>
            </w:r>
          </w:p>
        </w:tc>
      </w:tr>
      <w:tr w:rsidR="00822D78" w:rsidRPr="00127C2D" w14:paraId="346A7677" w14:textId="77777777" w:rsidTr="001C2439">
        <w:trPr>
          <w:trHeight w:val="62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61D9C830"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2. Inventory Turnover Ratio</w:t>
            </w:r>
          </w:p>
        </w:tc>
        <w:tc>
          <w:tcPr>
            <w:tcW w:w="1190" w:type="pct"/>
            <w:tcBorders>
              <w:top w:val="nil"/>
              <w:left w:val="nil"/>
              <w:bottom w:val="single" w:sz="4" w:space="0" w:color="auto"/>
              <w:right w:val="single" w:sz="4" w:space="0" w:color="auto"/>
            </w:tcBorders>
            <w:shd w:val="clear" w:color="000000" w:fill="FFFFFF"/>
            <w:vAlign w:val="center"/>
            <w:hideMark/>
          </w:tcPr>
          <w:p w14:paraId="7AE1C52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Cost of Goods Sold / Average Inventory</w:t>
            </w:r>
          </w:p>
        </w:tc>
        <w:tc>
          <w:tcPr>
            <w:tcW w:w="566" w:type="pct"/>
            <w:tcBorders>
              <w:top w:val="nil"/>
              <w:left w:val="nil"/>
              <w:bottom w:val="single" w:sz="4" w:space="0" w:color="auto"/>
              <w:right w:val="single" w:sz="4" w:space="0" w:color="auto"/>
            </w:tcBorders>
            <w:shd w:val="clear" w:color="000000" w:fill="FFFFFF"/>
            <w:vAlign w:val="center"/>
            <w:hideMark/>
          </w:tcPr>
          <w:p w14:paraId="42567D8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10.14</w:t>
            </w:r>
          </w:p>
        </w:tc>
        <w:tc>
          <w:tcPr>
            <w:tcW w:w="516" w:type="pct"/>
            <w:tcBorders>
              <w:top w:val="nil"/>
              <w:left w:val="nil"/>
              <w:bottom w:val="single" w:sz="4" w:space="0" w:color="auto"/>
              <w:right w:val="single" w:sz="4" w:space="0" w:color="auto"/>
            </w:tcBorders>
            <w:shd w:val="clear" w:color="000000" w:fill="FFFFFF"/>
            <w:vAlign w:val="center"/>
            <w:hideMark/>
          </w:tcPr>
          <w:p w14:paraId="0B1B9691"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13.68</w:t>
            </w:r>
          </w:p>
        </w:tc>
        <w:tc>
          <w:tcPr>
            <w:tcW w:w="516" w:type="pct"/>
            <w:tcBorders>
              <w:top w:val="nil"/>
              <w:left w:val="nil"/>
              <w:bottom w:val="single" w:sz="4" w:space="0" w:color="auto"/>
              <w:right w:val="single" w:sz="4" w:space="0" w:color="auto"/>
            </w:tcBorders>
            <w:shd w:val="clear" w:color="000000" w:fill="FFFFFF"/>
            <w:vAlign w:val="center"/>
            <w:hideMark/>
          </w:tcPr>
          <w:p w14:paraId="3C6BF452"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11.26</w:t>
            </w:r>
          </w:p>
        </w:tc>
        <w:tc>
          <w:tcPr>
            <w:tcW w:w="516" w:type="pct"/>
            <w:tcBorders>
              <w:top w:val="nil"/>
              <w:left w:val="nil"/>
              <w:bottom w:val="single" w:sz="4" w:space="0" w:color="auto"/>
              <w:right w:val="single" w:sz="4" w:space="0" w:color="auto"/>
            </w:tcBorders>
            <w:shd w:val="clear" w:color="000000" w:fill="FFFFFF"/>
            <w:vAlign w:val="center"/>
            <w:hideMark/>
          </w:tcPr>
          <w:p w14:paraId="1488B7BF"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9.12</w:t>
            </w:r>
          </w:p>
        </w:tc>
        <w:tc>
          <w:tcPr>
            <w:tcW w:w="516" w:type="pct"/>
            <w:tcBorders>
              <w:top w:val="nil"/>
              <w:left w:val="nil"/>
              <w:bottom w:val="single" w:sz="4" w:space="0" w:color="auto"/>
              <w:right w:val="single" w:sz="4" w:space="0" w:color="auto"/>
            </w:tcBorders>
            <w:shd w:val="clear" w:color="000000" w:fill="FFFFFF"/>
            <w:vAlign w:val="center"/>
            <w:hideMark/>
          </w:tcPr>
          <w:p w14:paraId="5BFDD893"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10.68</w:t>
            </w:r>
          </w:p>
        </w:tc>
      </w:tr>
      <w:tr w:rsidR="000376CF" w:rsidRPr="00127C2D" w14:paraId="4242BCA7" w14:textId="77777777" w:rsidTr="001C2439">
        <w:trPr>
          <w:trHeight w:val="310"/>
        </w:trPr>
        <w:tc>
          <w:tcPr>
            <w:tcW w:w="2371" w:type="pct"/>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734F7EC1"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Gearing Ratios</w:t>
            </w:r>
          </w:p>
        </w:tc>
        <w:tc>
          <w:tcPr>
            <w:tcW w:w="566" w:type="pct"/>
            <w:tcBorders>
              <w:top w:val="nil"/>
              <w:left w:val="nil"/>
              <w:bottom w:val="single" w:sz="4" w:space="0" w:color="auto"/>
              <w:right w:val="single" w:sz="4" w:space="0" w:color="auto"/>
            </w:tcBorders>
            <w:shd w:val="clear" w:color="auto" w:fill="auto"/>
            <w:noWrap/>
            <w:vAlign w:val="bottom"/>
            <w:hideMark/>
          </w:tcPr>
          <w:p w14:paraId="4BBEB5E9"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6E5598F6"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64DA1618"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1D8E72F5"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7CDCEB7B"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r>
      <w:tr w:rsidR="00822D78" w:rsidRPr="00127C2D" w14:paraId="7049FFAE" w14:textId="77777777" w:rsidTr="001C2439">
        <w:trPr>
          <w:trHeight w:val="31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154C2CF6"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 Debt-to-Equity Ratio</w:t>
            </w:r>
          </w:p>
        </w:tc>
        <w:tc>
          <w:tcPr>
            <w:tcW w:w="1190" w:type="pct"/>
            <w:tcBorders>
              <w:top w:val="nil"/>
              <w:left w:val="nil"/>
              <w:bottom w:val="single" w:sz="4" w:space="0" w:color="auto"/>
              <w:right w:val="single" w:sz="4" w:space="0" w:color="auto"/>
            </w:tcBorders>
            <w:shd w:val="clear" w:color="000000" w:fill="FFFFFF"/>
            <w:vAlign w:val="center"/>
            <w:hideMark/>
          </w:tcPr>
          <w:p w14:paraId="26658820"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Total Debt / Total Equity</w:t>
            </w:r>
          </w:p>
        </w:tc>
        <w:tc>
          <w:tcPr>
            <w:tcW w:w="566" w:type="pct"/>
            <w:tcBorders>
              <w:top w:val="nil"/>
              <w:left w:val="nil"/>
              <w:bottom w:val="single" w:sz="4" w:space="0" w:color="auto"/>
              <w:right w:val="single" w:sz="4" w:space="0" w:color="auto"/>
            </w:tcBorders>
            <w:shd w:val="clear" w:color="000000" w:fill="FFFFFF"/>
            <w:vAlign w:val="center"/>
            <w:hideMark/>
          </w:tcPr>
          <w:p w14:paraId="2023F44A"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0.56</w:t>
            </w:r>
          </w:p>
        </w:tc>
        <w:tc>
          <w:tcPr>
            <w:tcW w:w="516" w:type="pct"/>
            <w:tcBorders>
              <w:top w:val="nil"/>
              <w:left w:val="nil"/>
              <w:bottom w:val="single" w:sz="4" w:space="0" w:color="auto"/>
              <w:right w:val="single" w:sz="4" w:space="0" w:color="auto"/>
            </w:tcBorders>
            <w:shd w:val="clear" w:color="000000" w:fill="FFFFFF"/>
            <w:vAlign w:val="center"/>
            <w:hideMark/>
          </w:tcPr>
          <w:p w14:paraId="1E5F8B5C"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0.73</w:t>
            </w:r>
          </w:p>
        </w:tc>
        <w:tc>
          <w:tcPr>
            <w:tcW w:w="516" w:type="pct"/>
            <w:tcBorders>
              <w:top w:val="nil"/>
              <w:left w:val="nil"/>
              <w:bottom w:val="single" w:sz="4" w:space="0" w:color="auto"/>
              <w:right w:val="single" w:sz="4" w:space="0" w:color="auto"/>
            </w:tcBorders>
            <w:shd w:val="clear" w:color="000000" w:fill="FFFFFF"/>
            <w:vAlign w:val="center"/>
            <w:hideMark/>
          </w:tcPr>
          <w:p w14:paraId="5271FF0B"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2.60</w:t>
            </w:r>
          </w:p>
        </w:tc>
        <w:tc>
          <w:tcPr>
            <w:tcW w:w="516" w:type="pct"/>
            <w:tcBorders>
              <w:top w:val="nil"/>
              <w:left w:val="nil"/>
              <w:bottom w:val="single" w:sz="4" w:space="0" w:color="auto"/>
              <w:right w:val="single" w:sz="4" w:space="0" w:color="auto"/>
            </w:tcBorders>
            <w:shd w:val="clear" w:color="000000" w:fill="FFFFFF"/>
            <w:vAlign w:val="center"/>
            <w:hideMark/>
          </w:tcPr>
          <w:p w14:paraId="7A5232CB"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3.93</w:t>
            </w:r>
          </w:p>
        </w:tc>
        <w:tc>
          <w:tcPr>
            <w:tcW w:w="516" w:type="pct"/>
            <w:tcBorders>
              <w:top w:val="nil"/>
              <w:left w:val="nil"/>
              <w:bottom w:val="single" w:sz="4" w:space="0" w:color="auto"/>
              <w:right w:val="single" w:sz="4" w:space="0" w:color="auto"/>
            </w:tcBorders>
            <w:shd w:val="clear" w:color="000000" w:fill="FFFFFF"/>
            <w:vAlign w:val="center"/>
            <w:hideMark/>
          </w:tcPr>
          <w:p w14:paraId="3E7381DE"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2.70</w:t>
            </w:r>
          </w:p>
        </w:tc>
      </w:tr>
      <w:tr w:rsidR="00822D78" w:rsidRPr="00127C2D" w14:paraId="54B42B2C" w14:textId="77777777" w:rsidTr="001C2439">
        <w:trPr>
          <w:trHeight w:val="31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61E2B4D7"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2. Debt Ratio</w:t>
            </w:r>
          </w:p>
        </w:tc>
        <w:tc>
          <w:tcPr>
            <w:tcW w:w="1190" w:type="pct"/>
            <w:tcBorders>
              <w:top w:val="nil"/>
              <w:left w:val="nil"/>
              <w:bottom w:val="single" w:sz="4" w:space="0" w:color="auto"/>
              <w:right w:val="single" w:sz="4" w:space="0" w:color="auto"/>
            </w:tcBorders>
            <w:shd w:val="clear" w:color="000000" w:fill="FFFFFF"/>
            <w:vAlign w:val="center"/>
            <w:hideMark/>
          </w:tcPr>
          <w:p w14:paraId="5140750B"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Total Debt / Total Assets</w:t>
            </w:r>
          </w:p>
        </w:tc>
        <w:tc>
          <w:tcPr>
            <w:tcW w:w="566" w:type="pct"/>
            <w:tcBorders>
              <w:top w:val="nil"/>
              <w:left w:val="nil"/>
              <w:bottom w:val="single" w:sz="4" w:space="0" w:color="auto"/>
              <w:right w:val="single" w:sz="4" w:space="0" w:color="auto"/>
            </w:tcBorders>
            <w:shd w:val="clear" w:color="000000" w:fill="FFFFFF"/>
            <w:vAlign w:val="center"/>
            <w:hideMark/>
          </w:tcPr>
          <w:p w14:paraId="30D71824"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0.03</w:t>
            </w:r>
          </w:p>
        </w:tc>
        <w:tc>
          <w:tcPr>
            <w:tcW w:w="516" w:type="pct"/>
            <w:tcBorders>
              <w:top w:val="nil"/>
              <w:left w:val="nil"/>
              <w:bottom w:val="single" w:sz="4" w:space="0" w:color="auto"/>
              <w:right w:val="single" w:sz="4" w:space="0" w:color="auto"/>
            </w:tcBorders>
            <w:shd w:val="clear" w:color="000000" w:fill="FFFFFF"/>
            <w:vAlign w:val="center"/>
            <w:hideMark/>
          </w:tcPr>
          <w:p w14:paraId="46C5DB32"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0.03</w:t>
            </w:r>
          </w:p>
        </w:tc>
        <w:tc>
          <w:tcPr>
            <w:tcW w:w="516" w:type="pct"/>
            <w:tcBorders>
              <w:top w:val="nil"/>
              <w:left w:val="nil"/>
              <w:bottom w:val="single" w:sz="4" w:space="0" w:color="auto"/>
              <w:right w:val="single" w:sz="4" w:space="0" w:color="auto"/>
            </w:tcBorders>
            <w:shd w:val="clear" w:color="000000" w:fill="FFFFFF"/>
            <w:vAlign w:val="center"/>
            <w:hideMark/>
          </w:tcPr>
          <w:p w14:paraId="2F76D6E5"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0.12</w:t>
            </w:r>
          </w:p>
        </w:tc>
        <w:tc>
          <w:tcPr>
            <w:tcW w:w="516" w:type="pct"/>
            <w:tcBorders>
              <w:top w:val="nil"/>
              <w:left w:val="nil"/>
              <w:bottom w:val="single" w:sz="4" w:space="0" w:color="auto"/>
              <w:right w:val="single" w:sz="4" w:space="0" w:color="auto"/>
            </w:tcBorders>
            <w:shd w:val="clear" w:color="000000" w:fill="FFFFFF"/>
            <w:vAlign w:val="center"/>
            <w:hideMark/>
          </w:tcPr>
          <w:p w14:paraId="7D1EDED6"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0.19</w:t>
            </w:r>
          </w:p>
        </w:tc>
        <w:tc>
          <w:tcPr>
            <w:tcW w:w="516" w:type="pct"/>
            <w:tcBorders>
              <w:top w:val="nil"/>
              <w:left w:val="nil"/>
              <w:bottom w:val="single" w:sz="4" w:space="0" w:color="auto"/>
              <w:right w:val="single" w:sz="4" w:space="0" w:color="auto"/>
            </w:tcBorders>
            <w:shd w:val="clear" w:color="000000" w:fill="FFFFFF"/>
            <w:vAlign w:val="center"/>
            <w:hideMark/>
          </w:tcPr>
          <w:p w14:paraId="2457BB2B"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0.12</w:t>
            </w:r>
          </w:p>
        </w:tc>
      </w:tr>
      <w:tr w:rsidR="000376CF" w:rsidRPr="00127C2D" w14:paraId="3B4596C6" w14:textId="77777777" w:rsidTr="001C2439">
        <w:trPr>
          <w:trHeight w:val="310"/>
        </w:trPr>
        <w:tc>
          <w:tcPr>
            <w:tcW w:w="2371" w:type="pct"/>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1EE92CED"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Investment Ratios</w:t>
            </w:r>
          </w:p>
        </w:tc>
        <w:tc>
          <w:tcPr>
            <w:tcW w:w="566" w:type="pct"/>
            <w:tcBorders>
              <w:top w:val="nil"/>
              <w:left w:val="nil"/>
              <w:bottom w:val="single" w:sz="4" w:space="0" w:color="auto"/>
              <w:right w:val="single" w:sz="4" w:space="0" w:color="auto"/>
            </w:tcBorders>
            <w:shd w:val="clear" w:color="000000" w:fill="FFFFFF"/>
            <w:vAlign w:val="center"/>
            <w:hideMark/>
          </w:tcPr>
          <w:p w14:paraId="726D2FD3"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61D0A68A"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1C91E3C3"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23DB6B56"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c>
          <w:tcPr>
            <w:tcW w:w="516" w:type="pct"/>
            <w:tcBorders>
              <w:top w:val="nil"/>
              <w:left w:val="nil"/>
              <w:bottom w:val="single" w:sz="4" w:space="0" w:color="auto"/>
              <w:right w:val="single" w:sz="4" w:space="0" w:color="auto"/>
            </w:tcBorders>
            <w:shd w:val="clear" w:color="auto" w:fill="auto"/>
            <w:noWrap/>
            <w:vAlign w:val="bottom"/>
            <w:hideMark/>
          </w:tcPr>
          <w:p w14:paraId="33B17E43"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 </w:t>
            </w:r>
          </w:p>
        </w:tc>
      </w:tr>
      <w:tr w:rsidR="000376CF" w:rsidRPr="00127C2D" w14:paraId="3B94A117" w14:textId="77777777" w:rsidTr="001C2439">
        <w:trPr>
          <w:trHeight w:val="62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77B5F9E0"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1. Price/Earnings Ratio</w:t>
            </w:r>
          </w:p>
        </w:tc>
        <w:tc>
          <w:tcPr>
            <w:tcW w:w="1190" w:type="pct"/>
            <w:tcBorders>
              <w:top w:val="nil"/>
              <w:left w:val="nil"/>
              <w:bottom w:val="single" w:sz="4" w:space="0" w:color="auto"/>
              <w:right w:val="single" w:sz="4" w:space="0" w:color="auto"/>
            </w:tcBorders>
            <w:shd w:val="clear" w:color="000000" w:fill="FFFFFF"/>
            <w:vAlign w:val="center"/>
            <w:hideMark/>
          </w:tcPr>
          <w:p w14:paraId="1B3FFF50"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Market Price per Share / Earnings per Share</w:t>
            </w:r>
          </w:p>
        </w:tc>
        <w:tc>
          <w:tcPr>
            <w:tcW w:w="566" w:type="pct"/>
            <w:tcBorders>
              <w:top w:val="nil"/>
              <w:left w:val="nil"/>
              <w:bottom w:val="single" w:sz="4" w:space="0" w:color="auto"/>
              <w:right w:val="single" w:sz="4" w:space="0" w:color="auto"/>
            </w:tcBorders>
            <w:shd w:val="clear" w:color="auto" w:fill="auto"/>
            <w:noWrap/>
            <w:vAlign w:val="bottom"/>
            <w:hideMark/>
          </w:tcPr>
          <w:p w14:paraId="01325A23"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11.25</w:t>
            </w:r>
          </w:p>
        </w:tc>
        <w:tc>
          <w:tcPr>
            <w:tcW w:w="516" w:type="pct"/>
            <w:tcBorders>
              <w:top w:val="nil"/>
              <w:left w:val="nil"/>
              <w:bottom w:val="single" w:sz="4" w:space="0" w:color="auto"/>
              <w:right w:val="single" w:sz="4" w:space="0" w:color="auto"/>
            </w:tcBorders>
            <w:shd w:val="clear" w:color="auto" w:fill="auto"/>
            <w:noWrap/>
            <w:vAlign w:val="bottom"/>
            <w:hideMark/>
          </w:tcPr>
          <w:p w14:paraId="03B89B6E"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8.32</w:t>
            </w:r>
          </w:p>
        </w:tc>
        <w:tc>
          <w:tcPr>
            <w:tcW w:w="516" w:type="pct"/>
            <w:tcBorders>
              <w:top w:val="nil"/>
              <w:left w:val="nil"/>
              <w:bottom w:val="single" w:sz="4" w:space="0" w:color="auto"/>
              <w:right w:val="single" w:sz="4" w:space="0" w:color="auto"/>
            </w:tcBorders>
            <w:shd w:val="clear" w:color="auto" w:fill="auto"/>
            <w:noWrap/>
            <w:vAlign w:val="bottom"/>
            <w:hideMark/>
          </w:tcPr>
          <w:p w14:paraId="5C2F6C9B"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11.35</w:t>
            </w:r>
          </w:p>
        </w:tc>
        <w:tc>
          <w:tcPr>
            <w:tcW w:w="516" w:type="pct"/>
            <w:tcBorders>
              <w:top w:val="nil"/>
              <w:left w:val="nil"/>
              <w:bottom w:val="single" w:sz="4" w:space="0" w:color="auto"/>
              <w:right w:val="single" w:sz="4" w:space="0" w:color="auto"/>
            </w:tcBorders>
            <w:shd w:val="clear" w:color="auto" w:fill="auto"/>
            <w:noWrap/>
            <w:vAlign w:val="bottom"/>
            <w:hideMark/>
          </w:tcPr>
          <w:p w14:paraId="22664AA3"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0</w:t>
            </w:r>
          </w:p>
        </w:tc>
        <w:tc>
          <w:tcPr>
            <w:tcW w:w="516" w:type="pct"/>
            <w:tcBorders>
              <w:top w:val="nil"/>
              <w:left w:val="nil"/>
              <w:bottom w:val="single" w:sz="4" w:space="0" w:color="auto"/>
              <w:right w:val="single" w:sz="4" w:space="0" w:color="auto"/>
            </w:tcBorders>
            <w:shd w:val="clear" w:color="auto" w:fill="auto"/>
            <w:noWrap/>
            <w:vAlign w:val="bottom"/>
            <w:hideMark/>
          </w:tcPr>
          <w:p w14:paraId="494A1F03"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20.77</w:t>
            </w:r>
          </w:p>
        </w:tc>
      </w:tr>
      <w:tr w:rsidR="000376CF" w:rsidRPr="00127C2D" w14:paraId="6D62802C" w14:textId="77777777" w:rsidTr="001C2439">
        <w:trPr>
          <w:trHeight w:val="620"/>
        </w:trPr>
        <w:tc>
          <w:tcPr>
            <w:tcW w:w="1181" w:type="pct"/>
            <w:tcBorders>
              <w:top w:val="nil"/>
              <w:left w:val="single" w:sz="4" w:space="0" w:color="auto"/>
              <w:bottom w:val="single" w:sz="4" w:space="0" w:color="auto"/>
              <w:right w:val="single" w:sz="4" w:space="0" w:color="auto"/>
            </w:tcBorders>
            <w:shd w:val="clear" w:color="000000" w:fill="FFFFFF"/>
            <w:vAlign w:val="center"/>
            <w:hideMark/>
          </w:tcPr>
          <w:p w14:paraId="4FF4B184"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2. Dividend Yield</w:t>
            </w:r>
          </w:p>
        </w:tc>
        <w:tc>
          <w:tcPr>
            <w:tcW w:w="1190" w:type="pct"/>
            <w:tcBorders>
              <w:top w:val="nil"/>
              <w:left w:val="nil"/>
              <w:bottom w:val="single" w:sz="4" w:space="0" w:color="auto"/>
              <w:right w:val="single" w:sz="4" w:space="0" w:color="auto"/>
            </w:tcBorders>
            <w:shd w:val="clear" w:color="000000" w:fill="FFFFFF"/>
            <w:vAlign w:val="center"/>
            <w:hideMark/>
          </w:tcPr>
          <w:p w14:paraId="794AFDB3" w14:textId="77777777" w:rsidR="000376CF" w:rsidRPr="00127C2D" w:rsidRDefault="000376CF" w:rsidP="00127C2D">
            <w:pPr>
              <w:spacing w:before="240" w:line="360" w:lineRule="auto"/>
              <w:rPr>
                <w:rFonts w:eastAsia="Times New Roman" w:cs="Times New Roman"/>
                <w:color w:val="0D0D0D"/>
                <w:kern w:val="0"/>
                <w:szCs w:val="24"/>
                <w:lang w:val="en-IN" w:eastAsia="en-IN"/>
                <w14:ligatures w14:val="none"/>
              </w:rPr>
            </w:pPr>
            <w:r w:rsidRPr="00127C2D">
              <w:rPr>
                <w:rFonts w:eastAsia="Times New Roman" w:cs="Times New Roman"/>
                <w:color w:val="0D0D0D"/>
                <w:kern w:val="0"/>
                <w:szCs w:val="24"/>
                <w:lang w:val="en-IN" w:eastAsia="en-IN"/>
                <w14:ligatures w14:val="none"/>
              </w:rPr>
              <w:t>Dividend per Share / Market Price per Share</w:t>
            </w:r>
          </w:p>
        </w:tc>
        <w:tc>
          <w:tcPr>
            <w:tcW w:w="566" w:type="pct"/>
            <w:tcBorders>
              <w:top w:val="nil"/>
              <w:left w:val="nil"/>
              <w:bottom w:val="single" w:sz="4" w:space="0" w:color="auto"/>
              <w:right w:val="single" w:sz="4" w:space="0" w:color="auto"/>
            </w:tcBorders>
            <w:shd w:val="clear" w:color="auto" w:fill="auto"/>
            <w:noWrap/>
            <w:vAlign w:val="bottom"/>
            <w:hideMark/>
          </w:tcPr>
          <w:p w14:paraId="4CF3B9AE"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3.68</w:t>
            </w:r>
          </w:p>
        </w:tc>
        <w:tc>
          <w:tcPr>
            <w:tcW w:w="516" w:type="pct"/>
            <w:tcBorders>
              <w:top w:val="nil"/>
              <w:left w:val="nil"/>
              <w:bottom w:val="single" w:sz="4" w:space="0" w:color="auto"/>
              <w:right w:val="single" w:sz="4" w:space="0" w:color="auto"/>
            </w:tcBorders>
            <w:shd w:val="clear" w:color="auto" w:fill="auto"/>
            <w:noWrap/>
            <w:vAlign w:val="bottom"/>
            <w:hideMark/>
          </w:tcPr>
          <w:p w14:paraId="3D273994" w14:textId="77777777" w:rsidR="000376CF" w:rsidRPr="00127C2D" w:rsidRDefault="000376CF" w:rsidP="00127C2D">
            <w:pPr>
              <w:spacing w:before="240" w:line="360" w:lineRule="auto"/>
              <w:rPr>
                <w:rFonts w:eastAsia="Times New Roman" w:cs="Times New Roman"/>
                <w:color w:val="333333"/>
                <w:kern w:val="0"/>
                <w:szCs w:val="24"/>
                <w:lang w:val="en-IN" w:eastAsia="en-IN"/>
                <w14:ligatures w14:val="none"/>
              </w:rPr>
            </w:pPr>
            <w:r w:rsidRPr="00127C2D">
              <w:rPr>
                <w:rFonts w:eastAsia="Times New Roman" w:cs="Times New Roman"/>
                <w:color w:val="333333"/>
                <w:kern w:val="0"/>
                <w:szCs w:val="24"/>
                <w:lang w:val="en-IN" w:eastAsia="en-IN"/>
                <w14:ligatures w14:val="none"/>
              </w:rPr>
              <w:t>3.20%</w:t>
            </w:r>
          </w:p>
        </w:tc>
        <w:tc>
          <w:tcPr>
            <w:tcW w:w="516" w:type="pct"/>
            <w:tcBorders>
              <w:top w:val="nil"/>
              <w:left w:val="nil"/>
              <w:bottom w:val="single" w:sz="4" w:space="0" w:color="auto"/>
              <w:right w:val="single" w:sz="4" w:space="0" w:color="auto"/>
            </w:tcBorders>
            <w:shd w:val="clear" w:color="auto" w:fill="auto"/>
            <w:noWrap/>
            <w:vAlign w:val="bottom"/>
            <w:hideMark/>
          </w:tcPr>
          <w:p w14:paraId="24D8B5CA"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5.40%</w:t>
            </w:r>
          </w:p>
        </w:tc>
        <w:tc>
          <w:tcPr>
            <w:tcW w:w="516" w:type="pct"/>
            <w:tcBorders>
              <w:top w:val="nil"/>
              <w:left w:val="nil"/>
              <w:bottom w:val="single" w:sz="4" w:space="0" w:color="auto"/>
              <w:right w:val="single" w:sz="4" w:space="0" w:color="auto"/>
            </w:tcBorders>
            <w:shd w:val="clear" w:color="auto" w:fill="auto"/>
            <w:noWrap/>
            <w:vAlign w:val="bottom"/>
            <w:hideMark/>
          </w:tcPr>
          <w:p w14:paraId="28C2C3C0" w14:textId="77777777" w:rsidR="000376CF" w:rsidRPr="00127C2D" w:rsidRDefault="000376CF"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9.50%</w:t>
            </w:r>
          </w:p>
        </w:tc>
        <w:tc>
          <w:tcPr>
            <w:tcW w:w="516" w:type="pct"/>
            <w:tcBorders>
              <w:top w:val="nil"/>
              <w:left w:val="nil"/>
              <w:bottom w:val="single" w:sz="4" w:space="0" w:color="auto"/>
              <w:right w:val="single" w:sz="4" w:space="0" w:color="auto"/>
            </w:tcBorders>
            <w:shd w:val="clear" w:color="auto" w:fill="auto"/>
            <w:noWrap/>
            <w:vAlign w:val="bottom"/>
            <w:hideMark/>
          </w:tcPr>
          <w:p w14:paraId="52DC6D86" w14:textId="77777777" w:rsidR="000376CF" w:rsidRPr="00127C2D" w:rsidRDefault="000376CF" w:rsidP="00127C2D">
            <w:pPr>
              <w:keepNext/>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4.90%</w:t>
            </w:r>
          </w:p>
        </w:tc>
      </w:tr>
    </w:tbl>
    <w:p w14:paraId="406F1A81" w14:textId="5A803CF6" w:rsidR="00941406" w:rsidRPr="00127C2D" w:rsidRDefault="000376CF" w:rsidP="00127C2D">
      <w:pPr>
        <w:pStyle w:val="Caption"/>
        <w:spacing w:before="240" w:line="360" w:lineRule="auto"/>
        <w:rPr>
          <w:rFonts w:cs="Times New Roman"/>
        </w:rPr>
      </w:pPr>
      <w:r w:rsidRPr="00127C2D">
        <w:rPr>
          <w:rFonts w:cs="Times New Roman"/>
        </w:rPr>
        <w:t xml:space="preserve">Figure </w:t>
      </w:r>
      <w:r w:rsidRPr="00127C2D">
        <w:rPr>
          <w:rFonts w:cs="Times New Roman"/>
        </w:rPr>
        <w:fldChar w:fldCharType="begin"/>
      </w:r>
      <w:r w:rsidRPr="00127C2D">
        <w:rPr>
          <w:rFonts w:cs="Times New Roman"/>
        </w:rPr>
        <w:instrText xml:space="preserve"> SEQ Figure \* ARABIC </w:instrText>
      </w:r>
      <w:r w:rsidRPr="00127C2D">
        <w:rPr>
          <w:rFonts w:cs="Times New Roman"/>
        </w:rPr>
        <w:fldChar w:fldCharType="separate"/>
      </w:r>
      <w:r w:rsidR="0004044A" w:rsidRPr="00127C2D">
        <w:rPr>
          <w:rFonts w:cs="Times New Roman"/>
          <w:noProof/>
        </w:rPr>
        <w:t>4</w:t>
      </w:r>
      <w:r w:rsidRPr="00127C2D">
        <w:rPr>
          <w:rFonts w:cs="Times New Roman"/>
        </w:rPr>
        <w:fldChar w:fldCharType="end"/>
      </w:r>
      <w:r w:rsidRPr="00127C2D">
        <w:rPr>
          <w:rFonts w:cs="Times New Roman"/>
        </w:rPr>
        <w:t xml:space="preserve"> Ratio (Self Created)</w:t>
      </w:r>
    </w:p>
    <w:p w14:paraId="0158ACFF" w14:textId="77777777" w:rsidR="00941406" w:rsidRPr="00127C2D" w:rsidRDefault="00941406" w:rsidP="00127C2D">
      <w:pPr>
        <w:spacing w:before="240" w:line="360" w:lineRule="auto"/>
        <w:rPr>
          <w:rFonts w:cs="Times New Roman"/>
        </w:rPr>
      </w:pPr>
    </w:p>
    <w:p w14:paraId="41F155DA" w14:textId="5365120C" w:rsidR="00941406" w:rsidRPr="00127C2D" w:rsidRDefault="000376CF" w:rsidP="00127C2D">
      <w:pPr>
        <w:pStyle w:val="Heading2"/>
        <w:spacing w:before="240" w:line="360" w:lineRule="auto"/>
        <w:rPr>
          <w:rFonts w:cs="Times New Roman"/>
        </w:rPr>
      </w:pPr>
      <w:bookmarkStart w:id="11" w:name="_Toc164452147"/>
      <w:r w:rsidRPr="00127C2D">
        <w:rPr>
          <w:rFonts w:cs="Times New Roman"/>
        </w:rPr>
        <w:lastRenderedPageBreak/>
        <w:t>C</w:t>
      </w:r>
      <w:r w:rsidR="00941406" w:rsidRPr="00127C2D">
        <w:rPr>
          <w:rFonts w:cs="Times New Roman"/>
        </w:rPr>
        <w:t>apital structure theory</w:t>
      </w:r>
      <w:bookmarkEnd w:id="11"/>
      <w:r w:rsidR="00941406" w:rsidRPr="00127C2D">
        <w:rPr>
          <w:rFonts w:cs="Times New Roman"/>
        </w:rPr>
        <w:t xml:space="preserve"> </w:t>
      </w:r>
    </w:p>
    <w:p w14:paraId="62777445" w14:textId="77777777" w:rsidR="00941406" w:rsidRPr="00127C2D" w:rsidRDefault="00941406" w:rsidP="00127C2D">
      <w:pPr>
        <w:spacing w:before="240" w:line="360" w:lineRule="auto"/>
        <w:rPr>
          <w:rFonts w:cs="Times New Roman"/>
        </w:rPr>
      </w:pPr>
      <w:r w:rsidRPr="00127C2D">
        <w:rPr>
          <w:rFonts w:cs="Times New Roman"/>
        </w:rPr>
        <w:t>One of the prominent theories in capital structure is the Modigliani-Miller (MM) theorem, proposed by Franco Modigliani and Merton Miller in the 1950s. This theorem revolutionized the understanding of capital structure by asserting that, under certain assumptions, the value of a firm is independent of its capital structure. MM's proposition holds significance in corporate finance and has far-reaching implications for financial decision-making.</w:t>
      </w:r>
    </w:p>
    <w:p w14:paraId="4BAC95C5" w14:textId="6EAF7B4C" w:rsidR="00D35791" w:rsidRPr="00127C2D" w:rsidRDefault="00D35791" w:rsidP="00127C2D">
      <w:pPr>
        <w:spacing w:before="240" w:line="360" w:lineRule="auto"/>
        <w:rPr>
          <w:rFonts w:cs="Times New Roman"/>
        </w:rPr>
      </w:pPr>
      <w:r w:rsidRPr="00127C2D">
        <w:rPr>
          <w:rFonts w:cs="Times New Roman"/>
        </w:rPr>
        <w:t>According to the MM</w:t>
      </w:r>
      <w:r w:rsidR="00184EEA" w:rsidRPr="00127C2D">
        <w:rPr>
          <w:rFonts w:cs="Times New Roman"/>
        </w:rPr>
        <w:t>,</w:t>
      </w:r>
      <w:r w:rsidRPr="00127C2D">
        <w:rPr>
          <w:rFonts w:cs="Times New Roman"/>
        </w:rPr>
        <w:t xml:space="preserve"> the assumption of ideal capital markets is valid, and there is no information asymmetry among players, as all the investors may exchange securities and there are no transaction costs. ​ In a perfect world therefore, MM illustrated that the value of a firm is solely a cash flow from the underlying assets figured out only from market evaluation of risk and not the component of how it is financed (Sankarayana June </w:t>
      </w:r>
      <w:r w:rsidR="00184EEA" w:rsidRPr="00127C2D">
        <w:rPr>
          <w:rFonts w:cs="Times New Roman"/>
        </w:rPr>
        <w:t>Board</w:t>
      </w:r>
      <w:r w:rsidRPr="00127C2D">
        <w:rPr>
          <w:rFonts w:cs="Times New Roman"/>
        </w:rPr>
        <w:t xml:space="preserve"> 2019).</w:t>
      </w:r>
    </w:p>
    <w:p w14:paraId="457E4C09" w14:textId="77777777" w:rsidR="00D35791" w:rsidRPr="00127C2D" w:rsidRDefault="00D35791" w:rsidP="00127C2D">
      <w:pPr>
        <w:spacing w:before="240" w:line="360" w:lineRule="auto"/>
        <w:rPr>
          <w:rFonts w:cs="Times New Roman"/>
        </w:rPr>
      </w:pPr>
      <w:r w:rsidRPr="00127C2D">
        <w:rPr>
          <w:rFonts w:cs="Times New Roman"/>
        </w:rPr>
        <w:t>MM's initial notion, the "no-arbitrage principle," implies that the decision about capital structure will not determine the firm value in the hypothetical perfect stock market. This view is opposite to the argument that the debt income tax exemption lowers the overall capital costs. For them, taxes might be insured, but the risk remains financial as it shifts corresponding tax advantages by MM. Thus the capital structure adjustments don’t have any impact on the firm’s value.</w:t>
      </w:r>
    </w:p>
    <w:p w14:paraId="0E4D689F" w14:textId="313B0A95" w:rsidR="00D35791" w:rsidRPr="00127C2D" w:rsidRDefault="00D35791" w:rsidP="00127C2D">
      <w:pPr>
        <w:spacing w:before="240" w:line="360" w:lineRule="auto"/>
        <w:rPr>
          <w:rFonts w:cs="Times New Roman"/>
        </w:rPr>
      </w:pPr>
      <w:r w:rsidRPr="00127C2D">
        <w:rPr>
          <w:rFonts w:cs="Times New Roman"/>
        </w:rPr>
        <w:t xml:space="preserve">Hence, the second "leverage" elements, according to MM, argue that it is possible to implement leverage </w:t>
      </w:r>
      <w:r w:rsidR="00184EEA" w:rsidRPr="00127C2D">
        <w:rPr>
          <w:rFonts w:cs="Times New Roman"/>
        </w:rPr>
        <w:t>by</w:t>
      </w:r>
      <w:r w:rsidRPr="00127C2D">
        <w:rPr>
          <w:rFonts w:cs="Times New Roman"/>
        </w:rPr>
        <w:t xml:space="preserve"> altering portfolio. So, a firm investing out of their equity (rather than borrowing) allows investors with a higher tolerance for leverage to borrow against their portfolios (whereas investors who prefer lesser leverage can invest in the firm equity), but who borrow less. So the capital structure of the company will not influence investor </w:t>
      </w:r>
      <w:r w:rsidR="00184EEA" w:rsidRPr="00127C2D">
        <w:rPr>
          <w:rFonts w:cs="Times New Roman"/>
        </w:rPr>
        <w:t>assumptions</w:t>
      </w:r>
      <w:r w:rsidRPr="00127C2D">
        <w:rPr>
          <w:rFonts w:cs="Times New Roman"/>
        </w:rPr>
        <w:t xml:space="preserve"> about the risk and return preferences.</w:t>
      </w:r>
    </w:p>
    <w:p w14:paraId="5CF09D73" w14:textId="4B6DE281" w:rsidR="00D35791" w:rsidRPr="00127C2D" w:rsidRDefault="00D35791" w:rsidP="00127C2D">
      <w:pPr>
        <w:spacing w:before="240" w:line="360" w:lineRule="auto"/>
        <w:rPr>
          <w:rFonts w:cs="Times New Roman"/>
        </w:rPr>
      </w:pPr>
      <w:r w:rsidRPr="00127C2D">
        <w:rPr>
          <w:rFonts w:cs="Times New Roman"/>
        </w:rPr>
        <w:t xml:space="preserve">Recognizing the MM theorem's restrictions and the fact that the new company departs from its assumptions is paramount in making such decisions about capital structure. MM theory does not describe the real-world capital markets totally, and there are some shortcomings. </w:t>
      </w:r>
      <w:r w:rsidR="00184EEA" w:rsidRPr="00127C2D">
        <w:rPr>
          <w:rFonts w:cs="Times New Roman"/>
        </w:rPr>
        <w:t>Transaction</w:t>
      </w:r>
      <w:r w:rsidRPr="00127C2D">
        <w:rPr>
          <w:rFonts w:cs="Times New Roman"/>
        </w:rPr>
        <w:t xml:space="preserve"> costs, taxes, bankruptcy costs, and information asymmetries, influence the capital structure and the market value of a company in an actual market setting.</w:t>
      </w:r>
    </w:p>
    <w:p w14:paraId="2F1801A3" w14:textId="05CD9CC0" w:rsidR="00D35791" w:rsidRPr="00127C2D" w:rsidRDefault="00D35791" w:rsidP="00127C2D">
      <w:pPr>
        <w:spacing w:before="240" w:line="360" w:lineRule="auto"/>
        <w:rPr>
          <w:rFonts w:cs="Times New Roman"/>
        </w:rPr>
      </w:pPr>
      <w:r w:rsidRPr="00127C2D">
        <w:rPr>
          <w:rFonts w:cs="Times New Roman"/>
        </w:rPr>
        <w:lastRenderedPageBreak/>
        <w:t xml:space="preserve">The management costs, inefficiencies in the market and managerial may exist in the capital structure decisions but the MM theorem does not. Responsible managers can firstly have their motives which </w:t>
      </w:r>
      <w:r w:rsidR="00184EEA" w:rsidRPr="00127C2D">
        <w:rPr>
          <w:rFonts w:cs="Times New Roman"/>
        </w:rPr>
        <w:t>are</w:t>
      </w:r>
      <w:r w:rsidRPr="00127C2D">
        <w:rPr>
          <w:rFonts w:cs="Times New Roman"/>
        </w:rPr>
        <w:t xml:space="preserve"> not within </w:t>
      </w:r>
      <w:r w:rsidR="00184EEA" w:rsidRPr="00127C2D">
        <w:rPr>
          <w:rFonts w:cs="Times New Roman"/>
        </w:rPr>
        <w:t xml:space="preserve">the </w:t>
      </w:r>
      <w:r w:rsidRPr="00127C2D">
        <w:rPr>
          <w:rFonts w:cs="Times New Roman"/>
        </w:rPr>
        <w:t xml:space="preserve">scope of MM and they deviate from the ideal than </w:t>
      </w:r>
      <w:r w:rsidR="00184EEA" w:rsidRPr="00127C2D">
        <w:rPr>
          <w:rFonts w:cs="Times New Roman"/>
        </w:rPr>
        <w:t xml:space="preserve">the </w:t>
      </w:r>
      <w:r w:rsidRPr="00127C2D">
        <w:rPr>
          <w:rFonts w:cs="Times New Roman"/>
        </w:rPr>
        <w:t>actual capital structure.</w:t>
      </w:r>
    </w:p>
    <w:p w14:paraId="6F2A1C3E" w14:textId="4ACED83C" w:rsidR="00D35791" w:rsidRPr="00127C2D" w:rsidRDefault="00D35791" w:rsidP="00127C2D">
      <w:pPr>
        <w:spacing w:before="240" w:line="360" w:lineRule="auto"/>
        <w:rPr>
          <w:rFonts w:cs="Times New Roman"/>
        </w:rPr>
      </w:pPr>
      <w:r w:rsidRPr="00127C2D">
        <w:rPr>
          <w:rFonts w:cs="Times New Roman"/>
        </w:rPr>
        <w:t>Despite some presumably negative points</w:t>
      </w:r>
      <w:r w:rsidR="00184EEA" w:rsidRPr="00127C2D">
        <w:rPr>
          <w:rFonts w:cs="Times New Roman"/>
        </w:rPr>
        <w:t>,</w:t>
      </w:r>
      <w:r w:rsidRPr="00127C2D">
        <w:rPr>
          <w:rFonts w:cs="Times New Roman"/>
        </w:rPr>
        <w:t xml:space="preserve"> </w:t>
      </w:r>
      <w:r w:rsidR="00184EEA" w:rsidRPr="00127C2D">
        <w:rPr>
          <w:rFonts w:cs="Times New Roman"/>
        </w:rPr>
        <w:t>MPT is indeed</w:t>
      </w:r>
      <w:r w:rsidRPr="00127C2D">
        <w:rPr>
          <w:rFonts w:cs="Times New Roman"/>
        </w:rPr>
        <w:t xml:space="preserve"> the most important principle of ambiguous capital structure theory, as it provides the rationale for corporate finance. While the actual problems in the </w:t>
      </w:r>
      <w:r w:rsidR="00184EEA" w:rsidRPr="00127C2D">
        <w:rPr>
          <w:rFonts w:cs="Times New Roman"/>
        </w:rPr>
        <w:t>real-life</w:t>
      </w:r>
      <w:r w:rsidRPr="00127C2D">
        <w:rPr>
          <w:rFonts w:cs="Times New Roman"/>
        </w:rPr>
        <w:t xml:space="preserve"> capital structure decision frequency </w:t>
      </w:r>
      <w:r w:rsidR="00184EEA" w:rsidRPr="00127C2D">
        <w:rPr>
          <w:rFonts w:cs="Times New Roman"/>
        </w:rPr>
        <w:t>do</w:t>
      </w:r>
      <w:r w:rsidRPr="00127C2D">
        <w:rPr>
          <w:rFonts w:cs="Times New Roman"/>
        </w:rPr>
        <w:t xml:space="preserve"> not follow the perfect-market assumption recommendations of the MM theorem, this theorem inspires financial academician research and financial </w:t>
      </w:r>
      <w:r w:rsidR="00184EEA" w:rsidRPr="00127C2D">
        <w:rPr>
          <w:rFonts w:cs="Times New Roman"/>
        </w:rPr>
        <w:t>decision-making</w:t>
      </w:r>
      <w:r w:rsidRPr="00127C2D">
        <w:rPr>
          <w:rFonts w:cs="Times New Roman"/>
        </w:rPr>
        <w:t xml:space="preserve"> in every industry and every field.</w:t>
      </w:r>
    </w:p>
    <w:p w14:paraId="52084406" w14:textId="05F00359" w:rsidR="00941406" w:rsidRPr="00127C2D" w:rsidRDefault="00D06FD6" w:rsidP="00127C2D">
      <w:pPr>
        <w:pStyle w:val="Heading2"/>
        <w:spacing w:before="240" w:line="360" w:lineRule="auto"/>
        <w:rPr>
          <w:rFonts w:cs="Times New Roman"/>
        </w:rPr>
      </w:pPr>
      <w:bookmarkStart w:id="12" w:name="_Toc164452148"/>
      <w:r w:rsidRPr="00127C2D">
        <w:rPr>
          <w:rFonts w:cs="Times New Roman"/>
        </w:rPr>
        <w:t>S</w:t>
      </w:r>
      <w:r w:rsidR="00941406" w:rsidRPr="00127C2D">
        <w:rPr>
          <w:rFonts w:cs="Times New Roman"/>
        </w:rPr>
        <w:t>elected capital structure theory</w:t>
      </w:r>
      <w:bookmarkEnd w:id="12"/>
      <w:r w:rsidR="00941406" w:rsidRPr="00127C2D">
        <w:rPr>
          <w:rFonts w:cs="Times New Roman"/>
        </w:rPr>
        <w:t xml:space="preserve"> </w:t>
      </w:r>
    </w:p>
    <w:p w14:paraId="36A5D294" w14:textId="6955B87D" w:rsidR="00D35791" w:rsidRPr="00127C2D" w:rsidRDefault="00D35791" w:rsidP="00127C2D">
      <w:pPr>
        <w:spacing w:before="240" w:line="360" w:lineRule="auto"/>
        <w:rPr>
          <w:rFonts w:cs="Times New Roman"/>
        </w:rPr>
      </w:pPr>
      <w:r w:rsidRPr="00127C2D">
        <w:rPr>
          <w:rFonts w:cs="Times New Roman"/>
        </w:rPr>
        <w:t xml:space="preserve">Please allow me to address Exxon Mobil Corporation from the perspective of capital structure as described by the Modigliani-Miller (MM) theorem. </w:t>
      </w:r>
      <w:r w:rsidR="00184EEA" w:rsidRPr="00127C2D">
        <w:rPr>
          <w:rFonts w:cs="Times New Roman"/>
        </w:rPr>
        <w:t>By</w:t>
      </w:r>
      <w:r w:rsidRPr="00127C2D">
        <w:rPr>
          <w:rFonts w:cs="Times New Roman"/>
        </w:rPr>
        <w:t xml:space="preserve"> the MM theorem, a firm's value is not affected by its choice of capital structure, considering certain assumptions accountant for the situation. In this part we'll investigate Exxon's capital structure through the balance sheet figures and whether it follows the propositions of the MM theorem.</w:t>
      </w:r>
    </w:p>
    <w:p w14:paraId="160FD017" w14:textId="128C4000" w:rsidR="00D35791" w:rsidRPr="00127C2D" w:rsidRDefault="00D35791" w:rsidP="00127C2D">
      <w:pPr>
        <w:spacing w:before="240" w:line="360" w:lineRule="auto"/>
        <w:rPr>
          <w:rFonts w:cs="Times New Roman"/>
        </w:rPr>
      </w:pPr>
      <w:r w:rsidRPr="00127C2D">
        <w:rPr>
          <w:rFonts w:cs="Times New Roman"/>
        </w:rPr>
        <w:t>The debt and equity acquisition pattern of Exxon is one of the critical points that can be seen in its balance sheet structure. A simple reading of the balance sheet statistics would tell if the choices of the capital structure of Exxon are in line with what the MM theory points to.</w:t>
      </w:r>
    </w:p>
    <w:p w14:paraId="1F51296F" w14:textId="4E92543C" w:rsidR="00941406" w:rsidRPr="00127C2D" w:rsidRDefault="00941406" w:rsidP="00127C2D">
      <w:pPr>
        <w:spacing w:before="240" w:line="360" w:lineRule="auto"/>
        <w:rPr>
          <w:rFonts w:cs="Times New Roman"/>
          <w:b/>
          <w:bCs/>
          <w:i/>
          <w:iCs/>
        </w:rPr>
      </w:pPr>
      <w:r w:rsidRPr="00127C2D">
        <w:rPr>
          <w:rFonts w:cs="Times New Roman"/>
          <w:b/>
          <w:bCs/>
          <w:i/>
          <w:iCs/>
        </w:rPr>
        <w:t>Debt and Equity Composition:</w:t>
      </w:r>
    </w:p>
    <w:p w14:paraId="525F4BFA" w14:textId="4B193DCC" w:rsidR="00D35791" w:rsidRPr="00127C2D" w:rsidRDefault="00D35791" w:rsidP="00127C2D">
      <w:pPr>
        <w:spacing w:before="240" w:line="360" w:lineRule="auto"/>
        <w:rPr>
          <w:rFonts w:cs="Times New Roman"/>
        </w:rPr>
      </w:pPr>
      <w:r w:rsidRPr="00127C2D">
        <w:rPr>
          <w:rFonts w:cs="Times New Roman"/>
        </w:rPr>
        <w:t>When looking at Exxon's balance sheet, we can decide the degree of debt and equity financing. Debt is most often portrayed in terms of long-term debts and non-current liabilities while equity consists of common stocks, retained earnings, and other equity capital.</w:t>
      </w:r>
    </w:p>
    <w:p w14:paraId="0D127BE5" w14:textId="694D9BFC" w:rsidR="00941406" w:rsidRPr="00127C2D" w:rsidRDefault="00941406" w:rsidP="00127C2D">
      <w:pPr>
        <w:spacing w:before="240" w:line="360" w:lineRule="auto"/>
        <w:rPr>
          <w:rFonts w:cs="Times New Roman"/>
          <w:b/>
          <w:bCs/>
          <w:i/>
          <w:iCs/>
        </w:rPr>
      </w:pPr>
      <w:r w:rsidRPr="00127C2D">
        <w:rPr>
          <w:rFonts w:cs="Times New Roman"/>
          <w:b/>
          <w:bCs/>
          <w:i/>
          <w:iCs/>
        </w:rPr>
        <w:t>MM Proposition 1</w:t>
      </w:r>
      <w:r w:rsidR="00C41B78" w:rsidRPr="00127C2D">
        <w:rPr>
          <w:rFonts w:cs="Times New Roman"/>
          <w:b/>
          <w:bCs/>
          <w:i/>
          <w:iCs/>
        </w:rPr>
        <w:t>:</w:t>
      </w:r>
    </w:p>
    <w:p w14:paraId="1927C3EE" w14:textId="2264A49C" w:rsidR="00941406" w:rsidRPr="00127C2D" w:rsidRDefault="00941406" w:rsidP="00127C2D">
      <w:pPr>
        <w:spacing w:before="240" w:line="360" w:lineRule="auto"/>
        <w:rPr>
          <w:rFonts w:cs="Times New Roman"/>
        </w:rPr>
      </w:pPr>
      <w:r w:rsidRPr="00127C2D">
        <w:rPr>
          <w:rFonts w:cs="Times New Roman"/>
        </w:rPr>
        <w:t>Looking at Exxon's balance sheet figures over the years, we can assess whether changes in its capital structure have had any discernible effect on its total value.</w:t>
      </w:r>
    </w:p>
    <w:p w14:paraId="42EA9F69" w14:textId="77777777" w:rsidR="00941406" w:rsidRPr="00127C2D" w:rsidRDefault="00941406" w:rsidP="00127C2D">
      <w:pPr>
        <w:spacing w:before="240" w:line="360" w:lineRule="auto"/>
        <w:rPr>
          <w:rFonts w:cs="Times New Roman"/>
        </w:rPr>
      </w:pPr>
      <w:r w:rsidRPr="00127C2D">
        <w:rPr>
          <w:rFonts w:cs="Times New Roman"/>
        </w:rPr>
        <w:lastRenderedPageBreak/>
        <w:t>For example, if Exxon increases its debt levels significantly, according to MM, this should not impact its total value. Therefore, we would expect to see fluctuations in the debt-to-equity ratio over time without a corresponding impact on the company's overall value.</w:t>
      </w:r>
    </w:p>
    <w:p w14:paraId="143E5961" w14:textId="33036067" w:rsidR="00941406" w:rsidRPr="00127C2D" w:rsidRDefault="00941406" w:rsidP="00127C2D">
      <w:pPr>
        <w:spacing w:before="240" w:line="360" w:lineRule="auto"/>
        <w:rPr>
          <w:rFonts w:cs="Times New Roman"/>
          <w:b/>
          <w:bCs/>
          <w:i/>
          <w:iCs/>
        </w:rPr>
      </w:pPr>
      <w:r w:rsidRPr="00127C2D">
        <w:rPr>
          <w:rFonts w:cs="Times New Roman"/>
          <w:b/>
          <w:bCs/>
          <w:i/>
          <w:iCs/>
        </w:rPr>
        <w:t>MM Proposition 2:</w:t>
      </w:r>
    </w:p>
    <w:p w14:paraId="36F79503" w14:textId="5150E325" w:rsidR="00941406" w:rsidRPr="00127C2D" w:rsidRDefault="00941406" w:rsidP="00127C2D">
      <w:pPr>
        <w:spacing w:before="240" w:line="360" w:lineRule="auto"/>
        <w:rPr>
          <w:rFonts w:cs="Times New Roman"/>
        </w:rPr>
      </w:pPr>
      <w:r w:rsidRPr="00127C2D">
        <w:rPr>
          <w:rFonts w:cs="Times New Roman"/>
        </w:rPr>
        <w:t>MM Proposition 2 suggests that investors can adjust their leverage levels to offset changes in a firm's capital structure. In other words, changes in a firm's leverage should not affect investors' overall risk and return preferences.</w:t>
      </w:r>
    </w:p>
    <w:p w14:paraId="036D43C0" w14:textId="650105DF" w:rsidR="00941406" w:rsidRPr="00127C2D" w:rsidRDefault="00941406" w:rsidP="00127C2D">
      <w:pPr>
        <w:spacing w:before="240" w:line="360" w:lineRule="auto"/>
        <w:rPr>
          <w:rFonts w:cs="Times New Roman"/>
        </w:rPr>
      </w:pPr>
      <w:r w:rsidRPr="00127C2D">
        <w:rPr>
          <w:rFonts w:cs="Times New Roman"/>
        </w:rPr>
        <w:t>By examining Exxon's balance sheet and market data, we can evaluate whether investors react to changes in the company's capital structure</w:t>
      </w:r>
      <w:r w:rsidR="0004044A" w:rsidRPr="00127C2D">
        <w:rPr>
          <w:rFonts w:cs="Times New Roman"/>
        </w:rPr>
        <w:t xml:space="preserve"> (ExxonMobil details plans to lead in earnings and cash flow growth, energy transition </w:t>
      </w:r>
      <w:r w:rsidR="006556A7" w:rsidRPr="00127C2D">
        <w:rPr>
          <w:rFonts w:cs="Times New Roman"/>
        </w:rPr>
        <w:t>2024</w:t>
      </w:r>
      <w:r w:rsidR="0004044A" w:rsidRPr="00127C2D">
        <w:rPr>
          <w:rFonts w:cs="Times New Roman"/>
        </w:rPr>
        <w:t>.)</w:t>
      </w:r>
      <w:r w:rsidRPr="00127C2D">
        <w:rPr>
          <w:rFonts w:cs="Times New Roman"/>
        </w:rPr>
        <w:t>. If Exxon increases its leverage, investors who prefer higher leverage can adjust their portfolios accordingly, while those who prefer lower leverage can make corresponding adjustments. This principle underscores the notion that changes in a firm's capital structure should not alter the risk and return profiles available to investors.</w:t>
      </w:r>
    </w:p>
    <w:p w14:paraId="7A17EA55" w14:textId="745C1C8D" w:rsidR="00941406" w:rsidRPr="00127C2D" w:rsidRDefault="00941406" w:rsidP="00127C2D">
      <w:pPr>
        <w:spacing w:before="240" w:line="360" w:lineRule="auto"/>
        <w:rPr>
          <w:rFonts w:cs="Times New Roman"/>
          <w:b/>
          <w:bCs/>
          <w:i/>
          <w:iCs/>
        </w:rPr>
      </w:pPr>
      <w:r w:rsidRPr="00127C2D">
        <w:rPr>
          <w:rFonts w:cs="Times New Roman"/>
          <w:b/>
          <w:bCs/>
          <w:i/>
          <w:iCs/>
        </w:rPr>
        <w:t>Practical Considerations:</w:t>
      </w:r>
    </w:p>
    <w:p w14:paraId="0874F977" w14:textId="219443B9" w:rsidR="00D35791" w:rsidRPr="00127C2D" w:rsidRDefault="00D35791" w:rsidP="00127C2D">
      <w:pPr>
        <w:spacing w:before="240" w:line="360" w:lineRule="auto"/>
        <w:rPr>
          <w:rFonts w:cs="Times New Roman"/>
        </w:rPr>
      </w:pPr>
      <w:r w:rsidRPr="00127C2D">
        <w:rPr>
          <w:rFonts w:cs="Times New Roman"/>
        </w:rPr>
        <w:t xml:space="preserve">The MM theorem gives a framework to approach issues underlying capital structure decisions, but it should be acknowledged that the real world is far more complex and that </w:t>
      </w:r>
      <w:r w:rsidR="00184EEA" w:rsidRPr="00127C2D">
        <w:rPr>
          <w:rFonts w:cs="Times New Roman"/>
        </w:rPr>
        <w:t>many factors might</w:t>
      </w:r>
      <w:r w:rsidRPr="00127C2D">
        <w:rPr>
          <w:rFonts w:cs="Times New Roman"/>
        </w:rPr>
        <w:t xml:space="preserve"> affect the outcome. Issues like taxes, transaction costs, and market failures could influence a company’s capital structure choices and lead to a stark difference from the ideal assumptions of efficient capital markets.</w:t>
      </w:r>
    </w:p>
    <w:p w14:paraId="1A29DC33" w14:textId="23B85720" w:rsidR="00C60B8C" w:rsidRPr="00127C2D" w:rsidRDefault="00C60B8C" w:rsidP="00127C2D">
      <w:pPr>
        <w:spacing w:before="240" w:line="360" w:lineRule="auto"/>
        <w:rPr>
          <w:rFonts w:cs="Times New Roman"/>
        </w:rPr>
      </w:pPr>
      <w:r w:rsidRPr="00127C2D">
        <w:rPr>
          <w:rFonts w:cs="Times New Roman"/>
        </w:rPr>
        <w:t xml:space="preserve">In addition, the wide variety of risk-related issues can also be applied to the decision-making, such as those related to risk management strategies. To illustrate, the top level for Exxon might be to structure capital towards the short-term </w:t>
      </w:r>
      <w:r w:rsidR="00D0438E" w:rsidRPr="00127C2D">
        <w:rPr>
          <w:rFonts w:cs="Times New Roman"/>
        </w:rPr>
        <w:t>family-controlled</w:t>
      </w:r>
      <w:r w:rsidRPr="00127C2D">
        <w:rPr>
          <w:rFonts w:cs="Times New Roman"/>
        </w:rPr>
        <w:t xml:space="preserve"> system although it does not correlate with the theoretical predictions based on </w:t>
      </w:r>
      <w:r w:rsidR="00D0438E" w:rsidRPr="00127C2D">
        <w:rPr>
          <w:rFonts w:cs="Times New Roman"/>
        </w:rPr>
        <w:t xml:space="preserve">the </w:t>
      </w:r>
      <w:r w:rsidRPr="00127C2D">
        <w:rPr>
          <w:rFonts w:cs="Times New Roman"/>
        </w:rPr>
        <w:t>MM theorem.</w:t>
      </w:r>
    </w:p>
    <w:p w14:paraId="53722179" w14:textId="17D556C1" w:rsidR="00D35791" w:rsidRPr="00127C2D" w:rsidRDefault="00C60B8C" w:rsidP="00127C2D">
      <w:pPr>
        <w:spacing w:before="240" w:line="360" w:lineRule="auto"/>
        <w:rPr>
          <w:rFonts w:cs="Times New Roman"/>
        </w:rPr>
      </w:pPr>
      <w:r w:rsidRPr="00127C2D">
        <w:rPr>
          <w:rFonts w:cs="Times New Roman"/>
        </w:rPr>
        <w:t xml:space="preserve">For the last thought, based on the inspection of the Exxon Mobil corporation’s capital structure from the viewpoint of Modigliani-Miller theorem is beneficial for financing decisions and thereafter consequences comprehension. Providing a theoretical framework, the MM theorem helps investors to comprehend </w:t>
      </w:r>
      <w:r w:rsidR="00D0438E" w:rsidRPr="00127C2D">
        <w:rPr>
          <w:rFonts w:cs="Times New Roman"/>
        </w:rPr>
        <w:t xml:space="preserve">the </w:t>
      </w:r>
      <w:r w:rsidRPr="00127C2D">
        <w:rPr>
          <w:rFonts w:cs="Times New Roman"/>
        </w:rPr>
        <w:t xml:space="preserve">capital structure, but in case of the real-world empirical </w:t>
      </w:r>
      <w:r w:rsidRPr="00127C2D">
        <w:rPr>
          <w:rFonts w:cs="Times New Roman"/>
        </w:rPr>
        <w:lastRenderedPageBreak/>
        <w:t>findings</w:t>
      </w:r>
      <w:r w:rsidR="00D0438E" w:rsidRPr="00127C2D">
        <w:rPr>
          <w:rFonts w:cs="Times New Roman"/>
        </w:rPr>
        <w:t>,</w:t>
      </w:r>
      <w:r w:rsidRPr="00127C2D">
        <w:rPr>
          <w:rFonts w:cs="Times New Roman"/>
        </w:rPr>
        <w:t xml:space="preserve"> an diverge from the model may occur. </w:t>
      </w:r>
      <w:r w:rsidR="00D35791" w:rsidRPr="00127C2D">
        <w:rPr>
          <w:rFonts w:cs="Times New Roman"/>
        </w:rPr>
        <w:t xml:space="preserve">Thus, we have to consider market dynamics and managerial issues together when we evaluate a company’s capital structure composition using </w:t>
      </w:r>
      <w:r w:rsidR="00184EEA" w:rsidRPr="00127C2D">
        <w:rPr>
          <w:rFonts w:cs="Times New Roman"/>
        </w:rPr>
        <w:t xml:space="preserve">the </w:t>
      </w:r>
      <w:r w:rsidR="00D35791" w:rsidRPr="00127C2D">
        <w:rPr>
          <w:rFonts w:cs="Times New Roman"/>
        </w:rPr>
        <w:t>balance sheet.</w:t>
      </w:r>
    </w:p>
    <w:p w14:paraId="069B397F" w14:textId="38D2224D" w:rsidR="00941406" w:rsidRPr="00127C2D" w:rsidRDefault="00941406" w:rsidP="00127C2D">
      <w:pPr>
        <w:pStyle w:val="Heading2"/>
        <w:spacing w:before="240" w:line="360" w:lineRule="auto"/>
        <w:rPr>
          <w:rFonts w:cs="Times New Roman"/>
        </w:rPr>
      </w:pPr>
      <w:bookmarkStart w:id="13" w:name="_Toc164452149"/>
      <w:r w:rsidRPr="00127C2D">
        <w:rPr>
          <w:rFonts w:cs="Times New Roman"/>
        </w:rPr>
        <w:t xml:space="preserve">Download </w:t>
      </w:r>
      <w:r w:rsidR="00CE3046" w:rsidRPr="00127C2D">
        <w:rPr>
          <w:rFonts w:cs="Times New Roman"/>
        </w:rPr>
        <w:t xml:space="preserve">the </w:t>
      </w:r>
      <w:r w:rsidRPr="00127C2D">
        <w:rPr>
          <w:rFonts w:cs="Times New Roman"/>
        </w:rPr>
        <w:t xml:space="preserve">monthly share prices of the company and calculate </w:t>
      </w:r>
      <w:r w:rsidR="00CE3046" w:rsidRPr="00127C2D">
        <w:rPr>
          <w:rFonts w:cs="Times New Roman"/>
        </w:rPr>
        <w:t xml:space="preserve">the </w:t>
      </w:r>
      <w:r w:rsidRPr="00127C2D">
        <w:rPr>
          <w:rFonts w:cs="Times New Roman"/>
        </w:rPr>
        <w:t>average annual</w:t>
      </w:r>
      <w:bookmarkEnd w:id="13"/>
    </w:p>
    <w:p w14:paraId="37EFF091" w14:textId="5915F459" w:rsidR="00941406" w:rsidRPr="00127C2D" w:rsidRDefault="00941406" w:rsidP="00127C2D">
      <w:pPr>
        <w:spacing w:before="240" w:line="360" w:lineRule="auto"/>
        <w:rPr>
          <w:rFonts w:cs="Times New Roman"/>
          <w:b/>
          <w:bCs/>
          <w:i/>
          <w:iCs/>
        </w:rPr>
      </w:pPr>
      <w:r w:rsidRPr="00127C2D">
        <w:rPr>
          <w:rFonts w:cs="Times New Roman"/>
          <w:b/>
          <w:bCs/>
          <w:i/>
          <w:iCs/>
        </w:rPr>
        <w:t>Trend Analysis:</w:t>
      </w:r>
    </w:p>
    <w:p w14:paraId="4CFA3CAA" w14:textId="23138F0D" w:rsidR="00941406" w:rsidRPr="00127C2D" w:rsidRDefault="00941406" w:rsidP="00127C2D">
      <w:pPr>
        <w:spacing w:before="240" w:line="360" w:lineRule="auto"/>
        <w:rPr>
          <w:rFonts w:cs="Times New Roman"/>
        </w:rPr>
      </w:pPr>
      <w:r w:rsidRPr="00127C2D">
        <w:rPr>
          <w:rFonts w:cs="Times New Roman"/>
        </w:rPr>
        <w:t>The stock price fluctuated over the period, indicating volatility in the market.</w:t>
      </w:r>
      <w:r w:rsidR="00C41B78" w:rsidRPr="00127C2D">
        <w:rPr>
          <w:rFonts w:cs="Times New Roman"/>
        </w:rPr>
        <w:t xml:space="preserve"> </w:t>
      </w:r>
      <w:r w:rsidRPr="00127C2D">
        <w:rPr>
          <w:rFonts w:cs="Times New Roman"/>
        </w:rPr>
        <w:t>From May 2018 to April 2019, the stock price experienced ups and downs, with a significant decrease from December 2018 to January 2019.</w:t>
      </w:r>
      <w:r w:rsidR="00C41B78" w:rsidRPr="00127C2D">
        <w:rPr>
          <w:rFonts w:cs="Times New Roman"/>
        </w:rPr>
        <w:t xml:space="preserve"> </w:t>
      </w:r>
      <w:r w:rsidRPr="00127C2D">
        <w:rPr>
          <w:rFonts w:cs="Times New Roman"/>
        </w:rPr>
        <w:t>In early 2020, the stock price plummeted sharply, likely due to the COVID-19 pandemic's onset, hitting its lowest point in March 2020.</w:t>
      </w:r>
      <w:r w:rsidR="00C41B78" w:rsidRPr="00127C2D">
        <w:rPr>
          <w:rFonts w:cs="Times New Roman"/>
        </w:rPr>
        <w:t xml:space="preserve"> </w:t>
      </w:r>
      <w:r w:rsidRPr="00127C2D">
        <w:rPr>
          <w:rFonts w:cs="Times New Roman"/>
        </w:rPr>
        <w:t>Subsequently, the stock price showed signs of recovery from mid-2020 onwards, reaching new highs by the end of 2022</w:t>
      </w:r>
      <w:r w:rsidR="0004044A" w:rsidRPr="00127C2D">
        <w:rPr>
          <w:rFonts w:cs="Times New Roman"/>
        </w:rPr>
        <w:t xml:space="preserve"> (Exxon Mobil Corporation (XOM) Stock Historical Prices &amp; Data - Yahoo Finance </w:t>
      </w:r>
      <w:r w:rsidR="006556A7" w:rsidRPr="00127C2D">
        <w:rPr>
          <w:rFonts w:cs="Times New Roman"/>
        </w:rPr>
        <w:t>2024</w:t>
      </w:r>
      <w:r w:rsidR="0004044A" w:rsidRPr="00127C2D">
        <w:rPr>
          <w:rFonts w:cs="Times New Roman"/>
        </w:rPr>
        <w:t>.)</w:t>
      </w:r>
      <w:r w:rsidRPr="00127C2D">
        <w:rPr>
          <w:rFonts w:cs="Times New Roman"/>
        </w:rPr>
        <w:t>.</w:t>
      </w:r>
    </w:p>
    <w:p w14:paraId="36F63733" w14:textId="77777777" w:rsidR="00941406" w:rsidRPr="00127C2D" w:rsidRDefault="00941406" w:rsidP="00127C2D">
      <w:pPr>
        <w:spacing w:before="240" w:line="360" w:lineRule="auto"/>
        <w:rPr>
          <w:rFonts w:cs="Times New Roman"/>
          <w:b/>
          <w:bCs/>
          <w:i/>
          <w:iCs/>
        </w:rPr>
      </w:pPr>
      <w:r w:rsidRPr="00127C2D">
        <w:rPr>
          <w:rFonts w:cs="Times New Roman"/>
          <w:b/>
          <w:bCs/>
          <w:i/>
          <w:iCs/>
        </w:rPr>
        <w:t>Return Analysis:</w:t>
      </w:r>
    </w:p>
    <w:p w14:paraId="6740C51F" w14:textId="6687B3D8" w:rsidR="00941406" w:rsidRPr="00127C2D" w:rsidRDefault="00941406" w:rsidP="00127C2D">
      <w:pPr>
        <w:spacing w:before="240" w:line="360" w:lineRule="auto"/>
        <w:rPr>
          <w:rFonts w:cs="Times New Roman"/>
        </w:rPr>
      </w:pPr>
      <w:r w:rsidRPr="00127C2D">
        <w:rPr>
          <w:rFonts w:cs="Times New Roman"/>
        </w:rPr>
        <w:t>The provided return figures reveal the monthly percentage change in the stock price.</w:t>
      </w:r>
      <w:r w:rsidR="00C41B78" w:rsidRPr="00127C2D">
        <w:rPr>
          <w:rFonts w:cs="Times New Roman"/>
        </w:rPr>
        <w:t xml:space="preserve"> </w:t>
      </w:r>
      <w:r w:rsidRPr="00127C2D">
        <w:rPr>
          <w:rFonts w:cs="Times New Roman"/>
        </w:rPr>
        <w:t>Positive returns indicate price appreciation, while negative returns signify price depreciation.</w:t>
      </w:r>
      <w:r w:rsidR="00C41B78" w:rsidRPr="00127C2D">
        <w:rPr>
          <w:rFonts w:cs="Times New Roman"/>
        </w:rPr>
        <w:t xml:space="preserve"> </w:t>
      </w:r>
      <w:r w:rsidRPr="00127C2D">
        <w:rPr>
          <w:rFonts w:cs="Times New Roman"/>
        </w:rPr>
        <w:t>Notable positive returns occurred in March 2020, March 2021, and December 2021, suggesting periods of significant price gains.</w:t>
      </w:r>
      <w:r w:rsidR="00C41B78" w:rsidRPr="00127C2D">
        <w:rPr>
          <w:rFonts w:cs="Times New Roman"/>
        </w:rPr>
        <w:t xml:space="preserve"> </w:t>
      </w:r>
    </w:p>
    <w:p w14:paraId="3AD7289A" w14:textId="77777777" w:rsidR="00941406" w:rsidRPr="00127C2D" w:rsidRDefault="00941406" w:rsidP="00127C2D">
      <w:pPr>
        <w:spacing w:before="240" w:line="360" w:lineRule="auto"/>
        <w:rPr>
          <w:rFonts w:cs="Times New Roman"/>
          <w:b/>
          <w:bCs/>
          <w:i/>
          <w:iCs/>
        </w:rPr>
      </w:pPr>
      <w:r w:rsidRPr="00127C2D">
        <w:rPr>
          <w:rFonts w:cs="Times New Roman"/>
          <w:b/>
          <w:bCs/>
          <w:i/>
          <w:iCs/>
        </w:rPr>
        <w:t>Volatility and Risk:</w:t>
      </w:r>
    </w:p>
    <w:p w14:paraId="1F0DBD63" w14:textId="4B1A2ED1" w:rsidR="00D35791" w:rsidRPr="00127C2D" w:rsidRDefault="00D35791" w:rsidP="00127C2D">
      <w:pPr>
        <w:spacing w:before="240" w:line="360" w:lineRule="auto"/>
        <w:rPr>
          <w:rFonts w:cs="Times New Roman"/>
        </w:rPr>
      </w:pPr>
      <w:r w:rsidRPr="00127C2D">
        <w:rPr>
          <w:rFonts w:cs="Times New Roman"/>
        </w:rPr>
        <w:t xml:space="preserve">The turbulence of stock prices, which is accompanied by inconstant returns and noticeable spikes, demonstrates the degree of risk and uncertainty </w:t>
      </w:r>
      <w:r w:rsidR="00184EEA" w:rsidRPr="00127C2D">
        <w:rPr>
          <w:rFonts w:cs="Times New Roman"/>
        </w:rPr>
        <w:t>in investing</w:t>
      </w:r>
      <w:r w:rsidRPr="00127C2D">
        <w:rPr>
          <w:rFonts w:cs="Times New Roman"/>
        </w:rPr>
        <w:t xml:space="preserve"> in the company's stock. Times dictating high volatility may indicate waning market sentiment or external issues influencing the performance of the organization. Risk-conscience investors ought to engage with the tradeoff of risk and return when choosing investment possibilities, contemplating whether or not a particular return level worth the risk level they can handle.</w:t>
      </w:r>
    </w:p>
    <w:p w14:paraId="4C946B7B" w14:textId="4BE15885" w:rsidR="00941406" w:rsidRPr="00127C2D" w:rsidRDefault="00941406" w:rsidP="00127C2D">
      <w:pPr>
        <w:spacing w:before="240" w:line="360" w:lineRule="auto"/>
        <w:rPr>
          <w:rFonts w:cs="Times New Roman"/>
          <w:b/>
          <w:bCs/>
          <w:i/>
          <w:iCs/>
        </w:rPr>
      </w:pPr>
      <w:r w:rsidRPr="00127C2D">
        <w:rPr>
          <w:rFonts w:cs="Times New Roman"/>
          <w:b/>
          <w:bCs/>
          <w:i/>
          <w:iCs/>
        </w:rPr>
        <w:t>Market Sentiment:</w:t>
      </w:r>
    </w:p>
    <w:p w14:paraId="5730CD55" w14:textId="6DA48175" w:rsidR="00D35791" w:rsidRPr="00127C2D" w:rsidRDefault="00D35791" w:rsidP="00127C2D">
      <w:pPr>
        <w:spacing w:before="240" w:line="360" w:lineRule="auto"/>
        <w:rPr>
          <w:rFonts w:cs="Times New Roman"/>
        </w:rPr>
      </w:pPr>
      <w:r w:rsidRPr="00127C2D">
        <w:rPr>
          <w:rFonts w:cs="Times New Roman"/>
        </w:rPr>
        <w:t xml:space="preserve">Sentiments of a market, which </w:t>
      </w:r>
      <w:r w:rsidR="00184EEA" w:rsidRPr="00127C2D">
        <w:rPr>
          <w:rFonts w:cs="Times New Roman"/>
        </w:rPr>
        <w:t>are</w:t>
      </w:r>
      <w:r w:rsidRPr="00127C2D">
        <w:rPr>
          <w:rFonts w:cs="Times New Roman"/>
        </w:rPr>
        <w:t xml:space="preserve"> depicted by a stock price movement and the following stock returns can be affected by different things, including the macroeconomic situation, industry trends, </w:t>
      </w:r>
      <w:r w:rsidR="00184EEA" w:rsidRPr="00127C2D">
        <w:rPr>
          <w:rFonts w:cs="Times New Roman"/>
        </w:rPr>
        <w:lastRenderedPageBreak/>
        <w:t>company news</w:t>
      </w:r>
      <w:r w:rsidRPr="00127C2D">
        <w:rPr>
          <w:rFonts w:cs="Times New Roman"/>
        </w:rPr>
        <w:t xml:space="preserve"> and investors' sentiments. Besides its relationship with good and bad news, a firm’s financial stability or vision of the future is also significantly influenced by the financial markets’ sentiment.</w:t>
      </w:r>
    </w:p>
    <w:p w14:paraId="7713B0B3" w14:textId="77777777" w:rsidR="00941406" w:rsidRPr="00127C2D" w:rsidRDefault="00941406" w:rsidP="00127C2D">
      <w:pPr>
        <w:spacing w:before="240" w:line="360" w:lineRule="auto"/>
        <w:rPr>
          <w:rFonts w:cs="Times New Roman"/>
          <w:b/>
          <w:bCs/>
          <w:i/>
          <w:iCs/>
        </w:rPr>
      </w:pPr>
      <w:r w:rsidRPr="00127C2D">
        <w:rPr>
          <w:rFonts w:cs="Times New Roman"/>
          <w:b/>
          <w:bCs/>
          <w:i/>
          <w:iCs/>
        </w:rPr>
        <w:t>Investment Implications:</w:t>
      </w:r>
    </w:p>
    <w:p w14:paraId="54E57546" w14:textId="266A0848" w:rsidR="00941406" w:rsidRPr="00127C2D" w:rsidRDefault="00D35791" w:rsidP="00127C2D">
      <w:pPr>
        <w:spacing w:before="240" w:line="360" w:lineRule="auto"/>
        <w:rPr>
          <w:rFonts w:cs="Times New Roman"/>
        </w:rPr>
      </w:pPr>
      <w:r w:rsidRPr="00127C2D">
        <w:rPr>
          <w:rFonts w:cs="Times New Roman"/>
        </w:rPr>
        <w:t xml:space="preserve">Investors have to make conscious </w:t>
      </w:r>
      <w:r w:rsidR="00184EEA" w:rsidRPr="00127C2D">
        <w:rPr>
          <w:rFonts w:cs="Times New Roman"/>
        </w:rPr>
        <w:t>judgments</w:t>
      </w:r>
      <w:r w:rsidRPr="00127C2D">
        <w:rPr>
          <w:rFonts w:cs="Times New Roman"/>
        </w:rPr>
        <w:t xml:space="preserve"> on the health of the </w:t>
      </w:r>
      <w:r w:rsidR="00184EEA" w:rsidRPr="00127C2D">
        <w:rPr>
          <w:rFonts w:cs="Times New Roman"/>
        </w:rPr>
        <w:t>company's</w:t>
      </w:r>
      <w:r w:rsidRPr="00127C2D">
        <w:rPr>
          <w:rFonts w:cs="Times New Roman"/>
        </w:rPr>
        <w:t xml:space="preserve"> balance sheet, future growth, strength of competition, and overall market dynamics before making investment decisions. Historical stock price data and a myriad of other fundamental and technical analysis tools may guide an investor's strategy as well as risk management initiatives. </w:t>
      </w:r>
      <w:r w:rsidR="00941406" w:rsidRPr="00127C2D">
        <w:rPr>
          <w:rFonts w:cs="Times New Roman"/>
        </w:rPr>
        <w:t>Diversification across asset classes and sectors can help mitigate risks associated with individual stock investments and enhance portfolio resilience.</w:t>
      </w:r>
    </w:p>
    <w:p w14:paraId="44F43601" w14:textId="42B7843D" w:rsidR="00941406" w:rsidRPr="00127C2D" w:rsidRDefault="00C41B78" w:rsidP="00127C2D">
      <w:pPr>
        <w:spacing w:before="240" w:line="360" w:lineRule="auto"/>
        <w:rPr>
          <w:rFonts w:cs="Times New Roman"/>
        </w:rPr>
      </w:pPr>
      <w:r w:rsidRPr="00127C2D">
        <w:rPr>
          <w:rFonts w:cs="Times New Roman"/>
        </w:rPr>
        <w:t>T</w:t>
      </w:r>
      <w:r w:rsidR="00941406" w:rsidRPr="00127C2D">
        <w:rPr>
          <w:rFonts w:cs="Times New Roman"/>
        </w:rPr>
        <w:t xml:space="preserve">he analysis of the provided stock price data offers valuable insights into the company's performance, market </w:t>
      </w:r>
      <w:r w:rsidR="00CE3046" w:rsidRPr="00127C2D">
        <w:rPr>
          <w:rFonts w:cs="Times New Roman"/>
        </w:rPr>
        <w:t>behaviour</w:t>
      </w:r>
      <w:r w:rsidR="00941406" w:rsidRPr="00127C2D">
        <w:rPr>
          <w:rFonts w:cs="Times New Roman"/>
        </w:rPr>
        <w:t>, and investment implications. Understanding the trends, returns, volatility, and market sentiment can guide investors in making informed decisions and navigating the dynamic landscape of the stock market. It's essential to conduct thorough research, assess risk factors, and align investment strategies with individual financial goals and risk tolerance levels.</w:t>
      </w:r>
    </w:p>
    <w:p w14:paraId="1546292A" w14:textId="25348CD5" w:rsidR="0004044A" w:rsidRPr="00127C2D" w:rsidRDefault="00D0438E" w:rsidP="00127C2D">
      <w:pPr>
        <w:keepNext/>
        <w:spacing w:before="240" w:line="360" w:lineRule="auto"/>
        <w:rPr>
          <w:rFonts w:cs="Times New Roman"/>
        </w:rPr>
      </w:pPr>
      <w:r w:rsidRPr="00127C2D">
        <w:rPr>
          <w:rFonts w:cs="Times New Roman"/>
          <w:noProof/>
        </w:rPr>
        <w:drawing>
          <wp:inline distT="0" distB="0" distL="0" distR="0" wp14:anchorId="6C0B9BBF" wp14:editId="11197560">
            <wp:extent cx="5943600" cy="2442210"/>
            <wp:effectExtent l="0" t="0" r="0" b="0"/>
            <wp:docPr id="1083498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98248" name=""/>
                    <pic:cNvPicPr/>
                  </pic:nvPicPr>
                  <pic:blipFill>
                    <a:blip r:embed="rId12"/>
                    <a:stretch>
                      <a:fillRect/>
                    </a:stretch>
                  </pic:blipFill>
                  <pic:spPr>
                    <a:xfrm>
                      <a:off x="0" y="0"/>
                      <a:ext cx="5943600" cy="2442210"/>
                    </a:xfrm>
                    <a:prstGeom prst="rect">
                      <a:avLst/>
                    </a:prstGeom>
                  </pic:spPr>
                </pic:pic>
              </a:graphicData>
            </a:graphic>
          </wp:inline>
        </w:drawing>
      </w:r>
    </w:p>
    <w:p w14:paraId="22B509B6" w14:textId="71FE3968" w:rsidR="0004044A" w:rsidRPr="00127C2D" w:rsidRDefault="0004044A" w:rsidP="00127C2D">
      <w:pPr>
        <w:pStyle w:val="Caption"/>
        <w:spacing w:before="240" w:line="360" w:lineRule="auto"/>
        <w:rPr>
          <w:rFonts w:cs="Times New Roman"/>
        </w:rPr>
      </w:pPr>
      <w:r w:rsidRPr="00127C2D">
        <w:rPr>
          <w:rFonts w:cs="Times New Roman"/>
        </w:rPr>
        <w:t xml:space="preserve">Figure </w:t>
      </w:r>
      <w:r w:rsidRPr="00127C2D">
        <w:rPr>
          <w:rFonts w:cs="Times New Roman"/>
        </w:rPr>
        <w:fldChar w:fldCharType="begin"/>
      </w:r>
      <w:r w:rsidRPr="00127C2D">
        <w:rPr>
          <w:rFonts w:cs="Times New Roman"/>
        </w:rPr>
        <w:instrText xml:space="preserve"> SEQ Figure \* ARABIC </w:instrText>
      </w:r>
      <w:r w:rsidRPr="00127C2D">
        <w:rPr>
          <w:rFonts w:cs="Times New Roman"/>
        </w:rPr>
        <w:fldChar w:fldCharType="separate"/>
      </w:r>
      <w:r w:rsidRPr="00127C2D">
        <w:rPr>
          <w:rFonts w:cs="Times New Roman"/>
          <w:noProof/>
        </w:rPr>
        <w:t>5</w:t>
      </w:r>
      <w:r w:rsidRPr="00127C2D">
        <w:rPr>
          <w:rFonts w:cs="Times New Roman"/>
        </w:rPr>
        <w:fldChar w:fldCharType="end"/>
      </w:r>
      <w:r w:rsidRPr="00127C2D">
        <w:rPr>
          <w:rFonts w:cs="Times New Roman"/>
        </w:rPr>
        <w:t xml:space="preserve"> (NASDAQ: </w:t>
      </w:r>
      <w:r w:rsidR="00D0438E" w:rsidRPr="00127C2D">
        <w:rPr>
          <w:rFonts w:cs="Times New Roman"/>
        </w:rPr>
        <w:t>EXXON</w:t>
      </w:r>
      <w:r w:rsidRPr="00127C2D">
        <w:rPr>
          <w:rFonts w:cs="Times New Roman"/>
        </w:rPr>
        <w:t xml:space="preserve"> - </w:t>
      </w:r>
      <w:r w:rsidR="00D0438E" w:rsidRPr="00127C2D">
        <w:rPr>
          <w:rFonts w:cs="Times New Roman"/>
        </w:rPr>
        <w:t>Exxon</w:t>
      </w:r>
      <w:r w:rsidRPr="00127C2D">
        <w:rPr>
          <w:rFonts w:cs="Times New Roman"/>
        </w:rPr>
        <w:t xml:space="preserve"> stock analysis and financials </w:t>
      </w:r>
      <w:r w:rsidR="006556A7" w:rsidRPr="00127C2D">
        <w:rPr>
          <w:rFonts w:cs="Times New Roman"/>
        </w:rPr>
        <w:t>2024</w:t>
      </w:r>
      <w:r w:rsidRPr="00127C2D">
        <w:rPr>
          <w:rFonts w:cs="Times New Roman"/>
        </w:rPr>
        <w:t>.)</w:t>
      </w:r>
    </w:p>
    <w:p w14:paraId="67C8A0FA" w14:textId="77777777" w:rsidR="00941406" w:rsidRPr="00127C2D" w:rsidRDefault="00941406" w:rsidP="00127C2D">
      <w:pPr>
        <w:spacing w:before="240" w:line="360" w:lineRule="auto"/>
        <w:rPr>
          <w:rFonts w:cs="Times New Roman"/>
        </w:rPr>
      </w:pPr>
    </w:p>
    <w:p w14:paraId="6C59610E" w14:textId="77777777" w:rsidR="0004044A" w:rsidRPr="00127C2D" w:rsidRDefault="0004044A" w:rsidP="00127C2D">
      <w:pPr>
        <w:keepNext/>
        <w:spacing w:before="240" w:line="360" w:lineRule="auto"/>
        <w:rPr>
          <w:rFonts w:cs="Times New Roman"/>
        </w:rPr>
      </w:pPr>
      <w:r w:rsidRPr="00127C2D">
        <w:rPr>
          <w:rFonts w:cs="Times New Roman"/>
          <w:noProof/>
        </w:rPr>
        <w:lastRenderedPageBreak/>
        <w:drawing>
          <wp:inline distT="0" distB="0" distL="0" distR="0" wp14:anchorId="65DD461C" wp14:editId="2A33E549">
            <wp:extent cx="4916245" cy="2764155"/>
            <wp:effectExtent l="0" t="0" r="17780" b="17145"/>
            <wp:docPr id="507430753" name="Chart 1">
              <a:extLst xmlns:a="http://schemas.openxmlformats.org/drawingml/2006/main">
                <a:ext uri="{FF2B5EF4-FFF2-40B4-BE49-F238E27FC236}">
                  <a16:creationId xmlns:a16="http://schemas.microsoft.com/office/drawing/2014/main" id="{ED5568EC-A900-E9F2-75B6-6C90110CCA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A39CF3" w14:textId="599D1288" w:rsidR="0004044A" w:rsidRPr="00127C2D" w:rsidRDefault="0004044A" w:rsidP="00127C2D">
      <w:pPr>
        <w:pStyle w:val="Caption"/>
        <w:spacing w:before="240" w:line="360" w:lineRule="auto"/>
        <w:rPr>
          <w:rFonts w:cs="Times New Roman"/>
        </w:rPr>
      </w:pPr>
      <w:r w:rsidRPr="00127C2D">
        <w:rPr>
          <w:rFonts w:cs="Times New Roman"/>
        </w:rPr>
        <w:t xml:space="preserve">Figure </w:t>
      </w:r>
      <w:r w:rsidRPr="00127C2D">
        <w:rPr>
          <w:rFonts w:cs="Times New Roman"/>
        </w:rPr>
        <w:fldChar w:fldCharType="begin"/>
      </w:r>
      <w:r w:rsidRPr="00127C2D">
        <w:rPr>
          <w:rFonts w:cs="Times New Roman"/>
        </w:rPr>
        <w:instrText xml:space="preserve"> SEQ Figure \* ARABIC </w:instrText>
      </w:r>
      <w:r w:rsidRPr="00127C2D">
        <w:rPr>
          <w:rFonts w:cs="Times New Roman"/>
        </w:rPr>
        <w:fldChar w:fldCharType="separate"/>
      </w:r>
      <w:r w:rsidRPr="00127C2D">
        <w:rPr>
          <w:rFonts w:cs="Times New Roman"/>
          <w:noProof/>
        </w:rPr>
        <w:t>6</w:t>
      </w:r>
      <w:r w:rsidRPr="00127C2D">
        <w:rPr>
          <w:rFonts w:cs="Times New Roman"/>
        </w:rPr>
        <w:fldChar w:fldCharType="end"/>
      </w:r>
      <w:r w:rsidRPr="00127C2D">
        <w:rPr>
          <w:rFonts w:cs="Times New Roman"/>
        </w:rPr>
        <w:t xml:space="preserve"> Stock Analysis</w:t>
      </w:r>
    </w:p>
    <w:p w14:paraId="205044B5" w14:textId="15E41F1C" w:rsidR="006556A7" w:rsidRPr="00127C2D" w:rsidRDefault="006556A7" w:rsidP="00127C2D">
      <w:pPr>
        <w:pStyle w:val="Heading1"/>
        <w:spacing w:before="240" w:line="360" w:lineRule="auto"/>
        <w:jc w:val="both"/>
        <w:rPr>
          <w:rFonts w:cs="Times New Roman"/>
          <w:sz w:val="52"/>
          <w:szCs w:val="52"/>
        </w:rPr>
      </w:pPr>
      <w:bookmarkStart w:id="14" w:name="_Toc164452150"/>
      <w:r w:rsidRPr="00127C2D">
        <w:rPr>
          <w:rFonts w:cs="Times New Roman"/>
          <w:sz w:val="52"/>
          <w:szCs w:val="52"/>
        </w:rPr>
        <w:t>Part C</w:t>
      </w:r>
      <w:bookmarkEnd w:id="14"/>
      <w:r w:rsidR="00127C2D">
        <w:rPr>
          <w:rFonts w:cs="Times New Roman"/>
          <w:sz w:val="52"/>
          <w:szCs w:val="52"/>
        </w:rPr>
        <w:t xml:space="preserve"> :-</w:t>
      </w:r>
    </w:p>
    <w:p w14:paraId="275DA152" w14:textId="70536800" w:rsidR="00941406" w:rsidRPr="00127C2D" w:rsidRDefault="00941406" w:rsidP="00127C2D">
      <w:pPr>
        <w:pStyle w:val="Heading2"/>
        <w:spacing w:before="240" w:line="360" w:lineRule="auto"/>
        <w:rPr>
          <w:rFonts w:cs="Times New Roman"/>
        </w:rPr>
      </w:pPr>
      <w:bookmarkStart w:id="15" w:name="_Toc164452151"/>
      <w:r w:rsidRPr="00127C2D">
        <w:rPr>
          <w:rFonts w:cs="Times New Roman"/>
        </w:rPr>
        <w:t>The purpose(s), aims and expected outcomes of this investment.</w:t>
      </w:r>
      <w:bookmarkEnd w:id="15"/>
    </w:p>
    <w:p w14:paraId="4E0298E9" w14:textId="1558FBF8" w:rsidR="00941406" w:rsidRPr="00127C2D" w:rsidRDefault="00941406" w:rsidP="00127C2D">
      <w:pPr>
        <w:spacing w:before="240" w:line="360" w:lineRule="auto"/>
        <w:rPr>
          <w:rFonts w:cs="Times New Roman"/>
        </w:rPr>
      </w:pPr>
      <w:r w:rsidRPr="00127C2D">
        <w:rPr>
          <w:rFonts w:cs="Times New Roman"/>
        </w:rPr>
        <w:t>The purpose aims, and expected outcomes of the investment activities for Exxon, as shown in the table, are not explicitly stated. However, based on the data provided and the broader context of energy sector investment, several observations can be made.</w:t>
      </w:r>
    </w:p>
    <w:p w14:paraId="54B0FF7B" w14:textId="77777777" w:rsidR="00941406" w:rsidRPr="00127C2D" w:rsidRDefault="00941406" w:rsidP="00127C2D">
      <w:pPr>
        <w:spacing w:before="240" w:line="360" w:lineRule="auto"/>
        <w:rPr>
          <w:rFonts w:cs="Times New Roman"/>
        </w:rPr>
      </w:pPr>
      <w:r w:rsidRPr="00127C2D">
        <w:rPr>
          <w:rFonts w:cs="Times New Roman"/>
        </w:rPr>
        <w:t>Capital Expenditures: The company has been reducing its capital expenditures since 2019, with a significant drop in 2020 due to the pandemic. The growth in capital expenditures has been negative since 2019, indicating a shift in investment strategy. This could be a response to the global energy transition and a move towards more sustainable energy sources.</w:t>
      </w:r>
    </w:p>
    <w:p w14:paraId="2545ED8C" w14:textId="6350474A" w:rsidR="00941406" w:rsidRPr="00127C2D" w:rsidRDefault="00941406" w:rsidP="00127C2D">
      <w:pPr>
        <w:spacing w:before="240" w:line="360" w:lineRule="auto"/>
        <w:rPr>
          <w:rFonts w:cs="Times New Roman"/>
        </w:rPr>
      </w:pPr>
      <w:r w:rsidRPr="00127C2D">
        <w:rPr>
          <w:rFonts w:cs="Times New Roman"/>
        </w:rPr>
        <w:t>Fixed Assets: The company's capital expenditures on fixed assets have followed a similar trend to overall capital expenditures, with a significant drop in 2020 and a gradual recovery since then. This could indicate a shift in investment towards more modern, efficient, and sustainable energy infrastructure</w:t>
      </w:r>
      <w:r w:rsidR="0004044A" w:rsidRPr="00127C2D">
        <w:rPr>
          <w:rFonts w:cs="Times New Roman"/>
        </w:rPr>
        <w:t xml:space="preserve"> (Washington 2023)</w:t>
      </w:r>
      <w:r w:rsidRPr="00127C2D">
        <w:rPr>
          <w:rFonts w:cs="Times New Roman"/>
        </w:rPr>
        <w:t>.</w:t>
      </w:r>
    </w:p>
    <w:p w14:paraId="4B8A2E8D" w14:textId="77777777" w:rsidR="00184EEA" w:rsidRPr="00127C2D" w:rsidRDefault="00184EEA" w:rsidP="00127C2D">
      <w:pPr>
        <w:spacing w:before="240" w:line="360" w:lineRule="auto"/>
        <w:rPr>
          <w:rFonts w:cs="Times New Roman"/>
        </w:rPr>
      </w:pPr>
      <w:r w:rsidRPr="00127C2D">
        <w:rPr>
          <w:rFonts w:cs="Times New Roman"/>
        </w:rPr>
        <w:lastRenderedPageBreak/>
        <w:t>Net Assets from Acquisitions: In 2021 as well as 2022 the company has been building up assets, in which net assets acquired were increased. This speaks to the changes we will be making and the new direction of our energy business (The Complete Toolbox For Investors | finbox.com 2024).</w:t>
      </w:r>
    </w:p>
    <w:p w14:paraId="2554790D" w14:textId="5A8BB0B1" w:rsidR="00184EEA" w:rsidRPr="00127C2D" w:rsidRDefault="00184EEA" w:rsidP="00127C2D">
      <w:pPr>
        <w:spacing w:before="240" w:line="360" w:lineRule="auto"/>
        <w:rPr>
          <w:rFonts w:cs="Times New Roman"/>
        </w:rPr>
      </w:pPr>
      <w:r w:rsidRPr="00127C2D">
        <w:rPr>
          <w:rFonts w:cs="Times New Roman"/>
        </w:rPr>
        <w:t>Sale of Fixed Assets &amp; Businesses: Besides that, the company has got rid of fixed assets that it does not need as well as non-core businesses with notable sales in 2019, 2021, and 2022. This latest move may portray the trend of making the strategic exit of the non-core and less efficient assets or the move to sophisticated resources.</w:t>
      </w:r>
    </w:p>
    <w:p w14:paraId="101760AD" w14:textId="3DF8FCCE" w:rsidR="00184EEA" w:rsidRPr="00127C2D" w:rsidRDefault="00184EEA" w:rsidP="00127C2D">
      <w:pPr>
        <w:spacing w:before="240" w:line="360" w:lineRule="auto"/>
        <w:rPr>
          <w:rFonts w:cs="Times New Roman"/>
        </w:rPr>
      </w:pPr>
      <w:r w:rsidRPr="00127C2D">
        <w:rPr>
          <w:rFonts w:cs="Times New Roman"/>
        </w:rPr>
        <w:t>Purchase/Sale of Investments: The company has been actively buying and selling investments during the past four years, with a greater-than-average volume made in 2019 and sales in 2021 and 2022. This might be an indicative sign that the company would be deciding to build up its investment profile in green energy having an intention to make it the energy source of the next decade (Exxon Mobil Financial Dictionary(XOM) 2024.).</w:t>
      </w:r>
    </w:p>
    <w:p w14:paraId="396C12B2" w14:textId="7316B2B8" w:rsidR="00184EEA" w:rsidRPr="00127C2D" w:rsidRDefault="00184EEA" w:rsidP="00127C2D">
      <w:pPr>
        <w:spacing w:before="240" w:line="360" w:lineRule="auto"/>
        <w:rPr>
          <w:rFonts w:cs="Times New Roman"/>
        </w:rPr>
      </w:pPr>
      <w:r w:rsidRPr="00127C2D">
        <w:rPr>
          <w:rFonts w:cs="Times New Roman"/>
        </w:rPr>
        <w:t>Other Sources: Along with this major income, the company has had another source of income, and the observation of a considerable rise in 2019 and 2022 is another noticeable fact. This essentially shows the other revenue points that may flow from different avenues or financial assistance from external bodies.</w:t>
      </w:r>
    </w:p>
    <w:p w14:paraId="20311CD1" w14:textId="45FB00BF" w:rsidR="00184EEA" w:rsidRPr="00127C2D" w:rsidRDefault="00184EEA" w:rsidP="00127C2D">
      <w:pPr>
        <w:spacing w:before="240" w:line="360" w:lineRule="auto"/>
        <w:rPr>
          <w:rFonts w:cs="Times New Roman"/>
        </w:rPr>
      </w:pPr>
      <w:r w:rsidRPr="00127C2D">
        <w:rPr>
          <w:rFonts w:cs="Times New Roman"/>
        </w:rPr>
        <w:t>Net Investing Cash Flow: The cash profile has been negative for a few years, and there has been an average selloff amounting to about -$75,218,273 since 2019. This would likely mean shifting investments to less pollution-generating sources or a reaction to the worldwide energy transition.</w:t>
      </w:r>
    </w:p>
    <w:p w14:paraId="3ED7EC3E" w14:textId="1F15D243" w:rsidR="00941406" w:rsidRPr="00127C2D" w:rsidRDefault="00941406" w:rsidP="00127C2D">
      <w:pPr>
        <w:spacing w:before="240" w:line="360" w:lineRule="auto"/>
        <w:rPr>
          <w:rFonts w:cs="Times New Roman"/>
        </w:rPr>
      </w:pPr>
      <w:r w:rsidRPr="00127C2D">
        <w:rPr>
          <w:rFonts w:cs="Times New Roman"/>
        </w:rPr>
        <w:t>In the broader context of energy sector investment, the IEA's World Energy Investment 2023 report highlights several trends that could be relevant to Exxon's investment activities. These include a shift towards clean energy, with investments in renewable power, energy efficiency, and low-emissions sources of energy increasing. The report also notes that investment in coal supply is expected to rise, but investment in new coal-fired power plants is on a declining trend. Additionally, the report highlights the importance of critical minerals and batteries for clean technology manufacturing and deployment, and the need for clean technology innovation</w:t>
      </w:r>
      <w:r w:rsidR="0004044A" w:rsidRPr="00127C2D">
        <w:rPr>
          <w:rFonts w:cs="Times New Roman"/>
        </w:rPr>
        <w:t xml:space="preserve"> (IEA 2023)</w:t>
      </w:r>
      <w:r w:rsidRPr="00127C2D">
        <w:rPr>
          <w:rFonts w:cs="Times New Roman"/>
        </w:rPr>
        <w:t>.</w:t>
      </w:r>
    </w:p>
    <w:tbl>
      <w:tblPr>
        <w:tblW w:w="5000" w:type="pct"/>
        <w:tblLook w:val="04A0" w:firstRow="1" w:lastRow="0" w:firstColumn="1" w:lastColumn="0" w:noHBand="0" w:noVBand="1"/>
      </w:tblPr>
      <w:tblGrid>
        <w:gridCol w:w="4316"/>
        <w:gridCol w:w="974"/>
        <w:gridCol w:w="1040"/>
        <w:gridCol w:w="1004"/>
        <w:gridCol w:w="1040"/>
        <w:gridCol w:w="976"/>
      </w:tblGrid>
      <w:tr w:rsidR="000D332C" w:rsidRPr="00127C2D" w14:paraId="3F101AA0" w14:textId="77777777" w:rsidTr="000D332C">
        <w:trPr>
          <w:trHeight w:val="29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9C2A50"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lastRenderedPageBreak/>
              <w:t xml:space="preserve">Investment Activities </w:t>
            </w:r>
          </w:p>
        </w:tc>
      </w:tr>
      <w:tr w:rsidR="000D332C" w:rsidRPr="00127C2D" w14:paraId="2EDA0A96"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67DA449D"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All values USD Millions.</w:t>
            </w:r>
          </w:p>
        </w:tc>
        <w:tc>
          <w:tcPr>
            <w:tcW w:w="521" w:type="pct"/>
            <w:tcBorders>
              <w:top w:val="nil"/>
              <w:left w:val="nil"/>
              <w:bottom w:val="single" w:sz="4" w:space="0" w:color="auto"/>
              <w:right w:val="single" w:sz="4" w:space="0" w:color="auto"/>
            </w:tcBorders>
            <w:shd w:val="clear" w:color="auto" w:fill="auto"/>
            <w:noWrap/>
            <w:vAlign w:val="bottom"/>
            <w:hideMark/>
          </w:tcPr>
          <w:p w14:paraId="3B8728BB"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2023</w:t>
            </w:r>
          </w:p>
        </w:tc>
        <w:tc>
          <w:tcPr>
            <w:tcW w:w="556" w:type="pct"/>
            <w:tcBorders>
              <w:top w:val="nil"/>
              <w:left w:val="nil"/>
              <w:bottom w:val="single" w:sz="4" w:space="0" w:color="auto"/>
              <w:right w:val="single" w:sz="4" w:space="0" w:color="auto"/>
            </w:tcBorders>
            <w:shd w:val="clear" w:color="auto" w:fill="auto"/>
            <w:noWrap/>
            <w:vAlign w:val="bottom"/>
            <w:hideMark/>
          </w:tcPr>
          <w:p w14:paraId="4B3264C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2022</w:t>
            </w:r>
          </w:p>
        </w:tc>
        <w:tc>
          <w:tcPr>
            <w:tcW w:w="537" w:type="pct"/>
            <w:tcBorders>
              <w:top w:val="nil"/>
              <w:left w:val="nil"/>
              <w:bottom w:val="single" w:sz="4" w:space="0" w:color="auto"/>
              <w:right w:val="single" w:sz="4" w:space="0" w:color="auto"/>
            </w:tcBorders>
            <w:shd w:val="clear" w:color="auto" w:fill="auto"/>
            <w:noWrap/>
            <w:vAlign w:val="bottom"/>
            <w:hideMark/>
          </w:tcPr>
          <w:p w14:paraId="6750EDC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2021</w:t>
            </w:r>
          </w:p>
        </w:tc>
        <w:tc>
          <w:tcPr>
            <w:tcW w:w="556" w:type="pct"/>
            <w:tcBorders>
              <w:top w:val="nil"/>
              <w:left w:val="nil"/>
              <w:bottom w:val="single" w:sz="4" w:space="0" w:color="auto"/>
              <w:right w:val="single" w:sz="4" w:space="0" w:color="auto"/>
            </w:tcBorders>
            <w:shd w:val="clear" w:color="auto" w:fill="auto"/>
            <w:noWrap/>
            <w:vAlign w:val="bottom"/>
            <w:hideMark/>
          </w:tcPr>
          <w:p w14:paraId="26BEA9B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2020</w:t>
            </w:r>
          </w:p>
        </w:tc>
        <w:tc>
          <w:tcPr>
            <w:tcW w:w="521" w:type="pct"/>
            <w:tcBorders>
              <w:top w:val="nil"/>
              <w:left w:val="nil"/>
              <w:bottom w:val="single" w:sz="4" w:space="0" w:color="auto"/>
              <w:right w:val="single" w:sz="4" w:space="0" w:color="auto"/>
            </w:tcBorders>
            <w:shd w:val="clear" w:color="auto" w:fill="auto"/>
            <w:noWrap/>
            <w:vAlign w:val="bottom"/>
            <w:hideMark/>
          </w:tcPr>
          <w:p w14:paraId="7B816A5A"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2019</w:t>
            </w:r>
          </w:p>
        </w:tc>
      </w:tr>
      <w:tr w:rsidR="000D332C" w:rsidRPr="00127C2D" w14:paraId="09AB4661"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7DD4FB20"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Capital Expenditures</w:t>
            </w:r>
          </w:p>
        </w:tc>
        <w:tc>
          <w:tcPr>
            <w:tcW w:w="521" w:type="pct"/>
            <w:tcBorders>
              <w:top w:val="nil"/>
              <w:left w:val="nil"/>
              <w:bottom w:val="single" w:sz="4" w:space="0" w:color="auto"/>
              <w:right w:val="single" w:sz="4" w:space="0" w:color="auto"/>
            </w:tcBorders>
            <w:shd w:val="clear" w:color="auto" w:fill="auto"/>
            <w:noWrap/>
            <w:vAlign w:val="bottom"/>
            <w:hideMark/>
          </w:tcPr>
          <w:p w14:paraId="6EB2E445"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w:t>
            </w:r>
          </w:p>
        </w:tc>
        <w:tc>
          <w:tcPr>
            <w:tcW w:w="556" w:type="pct"/>
            <w:tcBorders>
              <w:top w:val="nil"/>
              <w:left w:val="nil"/>
              <w:bottom w:val="single" w:sz="4" w:space="0" w:color="auto"/>
              <w:right w:val="single" w:sz="4" w:space="0" w:color="auto"/>
            </w:tcBorders>
            <w:shd w:val="clear" w:color="auto" w:fill="auto"/>
            <w:noWrap/>
            <w:vAlign w:val="bottom"/>
            <w:hideMark/>
          </w:tcPr>
          <w:p w14:paraId="5FEC2FC3"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-18,407</w:t>
            </w:r>
          </w:p>
        </w:tc>
        <w:tc>
          <w:tcPr>
            <w:tcW w:w="537" w:type="pct"/>
            <w:tcBorders>
              <w:top w:val="nil"/>
              <w:left w:val="nil"/>
              <w:bottom w:val="single" w:sz="4" w:space="0" w:color="auto"/>
              <w:right w:val="single" w:sz="4" w:space="0" w:color="auto"/>
            </w:tcBorders>
            <w:shd w:val="clear" w:color="auto" w:fill="auto"/>
            <w:noWrap/>
            <w:vAlign w:val="bottom"/>
            <w:hideMark/>
          </w:tcPr>
          <w:p w14:paraId="02F1400F"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-12,076</w:t>
            </w:r>
          </w:p>
        </w:tc>
        <w:tc>
          <w:tcPr>
            <w:tcW w:w="556" w:type="pct"/>
            <w:tcBorders>
              <w:top w:val="nil"/>
              <w:left w:val="nil"/>
              <w:bottom w:val="single" w:sz="4" w:space="0" w:color="auto"/>
              <w:right w:val="single" w:sz="4" w:space="0" w:color="auto"/>
            </w:tcBorders>
            <w:shd w:val="clear" w:color="auto" w:fill="auto"/>
            <w:noWrap/>
            <w:vAlign w:val="bottom"/>
            <w:hideMark/>
          </w:tcPr>
          <w:p w14:paraId="7C33285B"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-17,282</w:t>
            </w:r>
          </w:p>
        </w:tc>
        <w:tc>
          <w:tcPr>
            <w:tcW w:w="521" w:type="pct"/>
            <w:tcBorders>
              <w:top w:val="nil"/>
              <w:left w:val="nil"/>
              <w:bottom w:val="single" w:sz="4" w:space="0" w:color="auto"/>
              <w:right w:val="single" w:sz="4" w:space="0" w:color="auto"/>
            </w:tcBorders>
            <w:shd w:val="clear" w:color="auto" w:fill="auto"/>
            <w:noWrap/>
            <w:vAlign w:val="bottom"/>
            <w:hideMark/>
          </w:tcPr>
          <w:p w14:paraId="51A03202"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-24,361</w:t>
            </w:r>
          </w:p>
        </w:tc>
      </w:tr>
      <w:tr w:rsidR="000D332C" w:rsidRPr="00127C2D" w14:paraId="2406AAC3"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0AB7ADF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Capital Expenditures (Fixed Assets)</w:t>
            </w:r>
          </w:p>
        </w:tc>
        <w:tc>
          <w:tcPr>
            <w:tcW w:w="521" w:type="pct"/>
            <w:tcBorders>
              <w:top w:val="nil"/>
              <w:left w:val="nil"/>
              <w:bottom w:val="single" w:sz="4" w:space="0" w:color="auto"/>
              <w:right w:val="single" w:sz="4" w:space="0" w:color="auto"/>
            </w:tcBorders>
            <w:shd w:val="clear" w:color="auto" w:fill="auto"/>
            <w:noWrap/>
            <w:vAlign w:val="bottom"/>
            <w:hideMark/>
          </w:tcPr>
          <w:p w14:paraId="43989A97"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-21,919</w:t>
            </w:r>
          </w:p>
        </w:tc>
        <w:tc>
          <w:tcPr>
            <w:tcW w:w="556" w:type="pct"/>
            <w:tcBorders>
              <w:top w:val="nil"/>
              <w:left w:val="nil"/>
              <w:bottom w:val="single" w:sz="4" w:space="0" w:color="auto"/>
              <w:right w:val="single" w:sz="4" w:space="0" w:color="auto"/>
            </w:tcBorders>
            <w:shd w:val="clear" w:color="auto" w:fill="auto"/>
            <w:noWrap/>
            <w:vAlign w:val="bottom"/>
            <w:hideMark/>
          </w:tcPr>
          <w:p w14:paraId="506F7ADB"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-18,407</w:t>
            </w:r>
          </w:p>
        </w:tc>
        <w:tc>
          <w:tcPr>
            <w:tcW w:w="537" w:type="pct"/>
            <w:tcBorders>
              <w:top w:val="nil"/>
              <w:left w:val="nil"/>
              <w:bottom w:val="single" w:sz="4" w:space="0" w:color="auto"/>
              <w:right w:val="single" w:sz="4" w:space="0" w:color="auto"/>
            </w:tcBorders>
            <w:shd w:val="clear" w:color="auto" w:fill="auto"/>
            <w:noWrap/>
            <w:vAlign w:val="bottom"/>
            <w:hideMark/>
          </w:tcPr>
          <w:p w14:paraId="5FC901E4"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-12,076</w:t>
            </w:r>
          </w:p>
        </w:tc>
        <w:tc>
          <w:tcPr>
            <w:tcW w:w="556" w:type="pct"/>
            <w:tcBorders>
              <w:top w:val="nil"/>
              <w:left w:val="nil"/>
              <w:bottom w:val="single" w:sz="4" w:space="0" w:color="auto"/>
              <w:right w:val="single" w:sz="4" w:space="0" w:color="auto"/>
            </w:tcBorders>
            <w:shd w:val="clear" w:color="auto" w:fill="auto"/>
            <w:noWrap/>
            <w:vAlign w:val="bottom"/>
            <w:hideMark/>
          </w:tcPr>
          <w:p w14:paraId="3D5A7BF8"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-17,282</w:t>
            </w:r>
          </w:p>
        </w:tc>
        <w:tc>
          <w:tcPr>
            <w:tcW w:w="521" w:type="pct"/>
            <w:tcBorders>
              <w:top w:val="nil"/>
              <w:left w:val="nil"/>
              <w:bottom w:val="single" w:sz="4" w:space="0" w:color="auto"/>
              <w:right w:val="single" w:sz="4" w:space="0" w:color="auto"/>
            </w:tcBorders>
            <w:shd w:val="clear" w:color="auto" w:fill="auto"/>
            <w:noWrap/>
            <w:vAlign w:val="bottom"/>
            <w:hideMark/>
          </w:tcPr>
          <w:p w14:paraId="5352A16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-24,361</w:t>
            </w:r>
          </w:p>
        </w:tc>
      </w:tr>
      <w:tr w:rsidR="000D332C" w:rsidRPr="00127C2D" w14:paraId="7D33E80A"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2ED1B31D"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Capital Expenditures Growth</w:t>
            </w:r>
          </w:p>
        </w:tc>
        <w:tc>
          <w:tcPr>
            <w:tcW w:w="521" w:type="pct"/>
            <w:tcBorders>
              <w:top w:val="nil"/>
              <w:left w:val="nil"/>
              <w:bottom w:val="single" w:sz="4" w:space="0" w:color="auto"/>
              <w:right w:val="single" w:sz="4" w:space="0" w:color="auto"/>
            </w:tcBorders>
            <w:shd w:val="clear" w:color="auto" w:fill="auto"/>
            <w:noWrap/>
            <w:vAlign w:val="bottom"/>
            <w:hideMark/>
          </w:tcPr>
          <w:p w14:paraId="3DD122D2"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0.00%</w:t>
            </w:r>
          </w:p>
        </w:tc>
        <w:tc>
          <w:tcPr>
            <w:tcW w:w="556" w:type="pct"/>
            <w:tcBorders>
              <w:top w:val="nil"/>
              <w:left w:val="nil"/>
              <w:bottom w:val="single" w:sz="4" w:space="0" w:color="auto"/>
              <w:right w:val="single" w:sz="4" w:space="0" w:color="auto"/>
            </w:tcBorders>
            <w:shd w:val="clear" w:color="auto" w:fill="auto"/>
            <w:noWrap/>
            <w:vAlign w:val="bottom"/>
            <w:hideMark/>
          </w:tcPr>
          <w:p w14:paraId="1B31B07A"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-52.43%</w:t>
            </w:r>
          </w:p>
        </w:tc>
        <w:tc>
          <w:tcPr>
            <w:tcW w:w="537" w:type="pct"/>
            <w:tcBorders>
              <w:top w:val="nil"/>
              <w:left w:val="nil"/>
              <w:bottom w:val="single" w:sz="4" w:space="0" w:color="auto"/>
              <w:right w:val="single" w:sz="4" w:space="0" w:color="auto"/>
            </w:tcBorders>
            <w:shd w:val="clear" w:color="auto" w:fill="auto"/>
            <w:noWrap/>
            <w:vAlign w:val="bottom"/>
            <w:hideMark/>
          </w:tcPr>
          <w:p w14:paraId="5C4BF828"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30.12%</w:t>
            </w:r>
          </w:p>
        </w:tc>
        <w:tc>
          <w:tcPr>
            <w:tcW w:w="556" w:type="pct"/>
            <w:tcBorders>
              <w:top w:val="nil"/>
              <w:left w:val="nil"/>
              <w:bottom w:val="single" w:sz="4" w:space="0" w:color="auto"/>
              <w:right w:val="single" w:sz="4" w:space="0" w:color="auto"/>
            </w:tcBorders>
            <w:shd w:val="clear" w:color="auto" w:fill="auto"/>
            <w:noWrap/>
            <w:vAlign w:val="bottom"/>
            <w:hideMark/>
          </w:tcPr>
          <w:p w14:paraId="697C0D7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29.06%</w:t>
            </w:r>
          </w:p>
        </w:tc>
        <w:tc>
          <w:tcPr>
            <w:tcW w:w="521" w:type="pct"/>
            <w:tcBorders>
              <w:top w:val="nil"/>
              <w:left w:val="nil"/>
              <w:bottom w:val="single" w:sz="4" w:space="0" w:color="auto"/>
              <w:right w:val="single" w:sz="4" w:space="0" w:color="auto"/>
            </w:tcBorders>
            <w:shd w:val="clear" w:color="auto" w:fill="auto"/>
            <w:noWrap/>
            <w:vAlign w:val="bottom"/>
            <w:hideMark/>
          </w:tcPr>
          <w:p w14:paraId="571C8C0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w:t>
            </w:r>
          </w:p>
        </w:tc>
      </w:tr>
      <w:tr w:rsidR="000D332C" w:rsidRPr="00127C2D" w14:paraId="61D20385"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4B59B42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Capital Expenditures / Sales</w:t>
            </w:r>
          </w:p>
        </w:tc>
        <w:tc>
          <w:tcPr>
            <w:tcW w:w="521" w:type="pct"/>
            <w:tcBorders>
              <w:top w:val="nil"/>
              <w:left w:val="nil"/>
              <w:bottom w:val="single" w:sz="4" w:space="0" w:color="auto"/>
              <w:right w:val="single" w:sz="4" w:space="0" w:color="auto"/>
            </w:tcBorders>
            <w:shd w:val="clear" w:color="auto" w:fill="auto"/>
            <w:noWrap/>
            <w:vAlign w:val="bottom"/>
            <w:hideMark/>
          </w:tcPr>
          <w:p w14:paraId="4B60306D"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0.00%</w:t>
            </w:r>
          </w:p>
        </w:tc>
        <w:tc>
          <w:tcPr>
            <w:tcW w:w="556" w:type="pct"/>
            <w:tcBorders>
              <w:top w:val="nil"/>
              <w:left w:val="nil"/>
              <w:bottom w:val="single" w:sz="4" w:space="0" w:color="auto"/>
              <w:right w:val="single" w:sz="4" w:space="0" w:color="auto"/>
            </w:tcBorders>
            <w:shd w:val="clear" w:color="auto" w:fill="auto"/>
            <w:noWrap/>
            <w:vAlign w:val="bottom"/>
            <w:hideMark/>
          </w:tcPr>
          <w:p w14:paraId="442EA8A7"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-4.60%</w:t>
            </w:r>
          </w:p>
        </w:tc>
        <w:tc>
          <w:tcPr>
            <w:tcW w:w="537" w:type="pct"/>
            <w:tcBorders>
              <w:top w:val="nil"/>
              <w:left w:val="nil"/>
              <w:bottom w:val="single" w:sz="4" w:space="0" w:color="auto"/>
              <w:right w:val="single" w:sz="4" w:space="0" w:color="auto"/>
            </w:tcBorders>
            <w:shd w:val="clear" w:color="auto" w:fill="auto"/>
            <w:noWrap/>
            <w:vAlign w:val="bottom"/>
            <w:hideMark/>
          </w:tcPr>
          <w:p w14:paraId="4D08ED74"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-4.31%</w:t>
            </w:r>
          </w:p>
        </w:tc>
        <w:tc>
          <w:tcPr>
            <w:tcW w:w="556" w:type="pct"/>
            <w:tcBorders>
              <w:top w:val="nil"/>
              <w:left w:val="nil"/>
              <w:bottom w:val="single" w:sz="4" w:space="0" w:color="auto"/>
              <w:right w:val="single" w:sz="4" w:space="0" w:color="auto"/>
            </w:tcBorders>
            <w:shd w:val="clear" w:color="auto" w:fill="auto"/>
            <w:noWrap/>
            <w:vAlign w:val="bottom"/>
            <w:hideMark/>
          </w:tcPr>
          <w:p w14:paraId="6A8A4C5C"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-9.70%</w:t>
            </w:r>
          </w:p>
        </w:tc>
        <w:tc>
          <w:tcPr>
            <w:tcW w:w="521" w:type="pct"/>
            <w:tcBorders>
              <w:top w:val="nil"/>
              <w:left w:val="nil"/>
              <w:bottom w:val="single" w:sz="4" w:space="0" w:color="auto"/>
              <w:right w:val="single" w:sz="4" w:space="0" w:color="auto"/>
            </w:tcBorders>
            <w:shd w:val="clear" w:color="auto" w:fill="auto"/>
            <w:noWrap/>
            <w:vAlign w:val="bottom"/>
            <w:hideMark/>
          </w:tcPr>
          <w:p w14:paraId="56A061BA"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-9.52%</w:t>
            </w:r>
          </w:p>
        </w:tc>
      </w:tr>
      <w:tr w:rsidR="000D332C" w:rsidRPr="00127C2D" w14:paraId="03B750C5"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50DDF52F"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Net Assets from Acquisitions</w:t>
            </w:r>
          </w:p>
        </w:tc>
        <w:tc>
          <w:tcPr>
            <w:tcW w:w="521" w:type="pct"/>
            <w:tcBorders>
              <w:top w:val="nil"/>
              <w:left w:val="nil"/>
              <w:bottom w:val="single" w:sz="4" w:space="0" w:color="auto"/>
              <w:right w:val="single" w:sz="4" w:space="0" w:color="auto"/>
            </w:tcBorders>
            <w:shd w:val="clear" w:color="auto" w:fill="auto"/>
            <w:noWrap/>
            <w:vAlign w:val="bottom"/>
            <w:hideMark/>
          </w:tcPr>
          <w:p w14:paraId="6E13ED2E"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-770</w:t>
            </w:r>
          </w:p>
        </w:tc>
        <w:tc>
          <w:tcPr>
            <w:tcW w:w="556" w:type="pct"/>
            <w:tcBorders>
              <w:top w:val="nil"/>
              <w:left w:val="nil"/>
              <w:bottom w:val="single" w:sz="4" w:space="0" w:color="auto"/>
              <w:right w:val="single" w:sz="4" w:space="0" w:color="auto"/>
            </w:tcBorders>
            <w:shd w:val="clear" w:color="auto" w:fill="auto"/>
            <w:noWrap/>
            <w:vAlign w:val="bottom"/>
            <w:hideMark/>
          </w:tcPr>
          <w:p w14:paraId="0D7EE723"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-1,475</w:t>
            </w:r>
          </w:p>
        </w:tc>
        <w:tc>
          <w:tcPr>
            <w:tcW w:w="537" w:type="pct"/>
            <w:tcBorders>
              <w:top w:val="nil"/>
              <w:left w:val="nil"/>
              <w:bottom w:val="single" w:sz="4" w:space="0" w:color="auto"/>
              <w:right w:val="single" w:sz="4" w:space="0" w:color="auto"/>
            </w:tcBorders>
            <w:shd w:val="clear" w:color="auto" w:fill="auto"/>
            <w:noWrap/>
            <w:vAlign w:val="bottom"/>
            <w:hideMark/>
          </w:tcPr>
          <w:p w14:paraId="5875F312"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-436</w:t>
            </w:r>
          </w:p>
        </w:tc>
        <w:tc>
          <w:tcPr>
            <w:tcW w:w="556" w:type="pct"/>
            <w:tcBorders>
              <w:top w:val="nil"/>
              <w:left w:val="nil"/>
              <w:bottom w:val="single" w:sz="4" w:space="0" w:color="auto"/>
              <w:right w:val="single" w:sz="4" w:space="0" w:color="auto"/>
            </w:tcBorders>
            <w:shd w:val="clear" w:color="auto" w:fill="auto"/>
            <w:noWrap/>
            <w:vAlign w:val="bottom"/>
            <w:hideMark/>
          </w:tcPr>
          <w:p w14:paraId="3FFACCB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w:t>
            </w:r>
          </w:p>
        </w:tc>
        <w:tc>
          <w:tcPr>
            <w:tcW w:w="521" w:type="pct"/>
            <w:tcBorders>
              <w:top w:val="nil"/>
              <w:left w:val="nil"/>
              <w:bottom w:val="single" w:sz="4" w:space="0" w:color="auto"/>
              <w:right w:val="single" w:sz="4" w:space="0" w:color="auto"/>
            </w:tcBorders>
            <w:shd w:val="clear" w:color="auto" w:fill="auto"/>
            <w:noWrap/>
            <w:vAlign w:val="bottom"/>
            <w:hideMark/>
          </w:tcPr>
          <w:p w14:paraId="138C2D6C"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w:t>
            </w:r>
          </w:p>
        </w:tc>
      </w:tr>
      <w:tr w:rsidR="000D332C" w:rsidRPr="00127C2D" w14:paraId="189A0CBB"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2AA24273"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Sale of Fixed Assets &amp; Businesses</w:t>
            </w:r>
          </w:p>
        </w:tc>
        <w:tc>
          <w:tcPr>
            <w:tcW w:w="521" w:type="pct"/>
            <w:tcBorders>
              <w:top w:val="nil"/>
              <w:left w:val="nil"/>
              <w:bottom w:val="single" w:sz="4" w:space="0" w:color="auto"/>
              <w:right w:val="single" w:sz="4" w:space="0" w:color="auto"/>
            </w:tcBorders>
            <w:shd w:val="clear" w:color="auto" w:fill="auto"/>
            <w:noWrap/>
            <w:vAlign w:val="bottom"/>
            <w:hideMark/>
          </w:tcPr>
          <w:p w14:paraId="2DDC080D"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4,078</w:t>
            </w:r>
          </w:p>
        </w:tc>
        <w:tc>
          <w:tcPr>
            <w:tcW w:w="556" w:type="pct"/>
            <w:tcBorders>
              <w:top w:val="nil"/>
              <w:left w:val="nil"/>
              <w:bottom w:val="single" w:sz="4" w:space="0" w:color="auto"/>
              <w:right w:val="single" w:sz="4" w:space="0" w:color="auto"/>
            </w:tcBorders>
            <w:shd w:val="clear" w:color="auto" w:fill="auto"/>
            <w:noWrap/>
            <w:vAlign w:val="bottom"/>
            <w:hideMark/>
          </w:tcPr>
          <w:p w14:paraId="6D2D9F2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5,247</w:t>
            </w:r>
          </w:p>
        </w:tc>
        <w:tc>
          <w:tcPr>
            <w:tcW w:w="537" w:type="pct"/>
            <w:tcBorders>
              <w:top w:val="nil"/>
              <w:left w:val="nil"/>
              <w:bottom w:val="single" w:sz="4" w:space="0" w:color="auto"/>
              <w:right w:val="single" w:sz="4" w:space="0" w:color="auto"/>
            </w:tcBorders>
            <w:shd w:val="clear" w:color="auto" w:fill="auto"/>
            <w:noWrap/>
            <w:vAlign w:val="bottom"/>
            <w:hideMark/>
          </w:tcPr>
          <w:p w14:paraId="0A3EAEFA"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3,176</w:t>
            </w:r>
          </w:p>
        </w:tc>
        <w:tc>
          <w:tcPr>
            <w:tcW w:w="556" w:type="pct"/>
            <w:tcBorders>
              <w:top w:val="nil"/>
              <w:left w:val="nil"/>
              <w:bottom w:val="single" w:sz="4" w:space="0" w:color="auto"/>
              <w:right w:val="single" w:sz="4" w:space="0" w:color="auto"/>
            </w:tcBorders>
            <w:shd w:val="clear" w:color="auto" w:fill="auto"/>
            <w:noWrap/>
            <w:vAlign w:val="bottom"/>
            <w:hideMark/>
          </w:tcPr>
          <w:p w14:paraId="21CB5535"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1,622</w:t>
            </w:r>
          </w:p>
        </w:tc>
        <w:tc>
          <w:tcPr>
            <w:tcW w:w="521" w:type="pct"/>
            <w:tcBorders>
              <w:top w:val="nil"/>
              <w:left w:val="nil"/>
              <w:bottom w:val="single" w:sz="4" w:space="0" w:color="auto"/>
              <w:right w:val="single" w:sz="4" w:space="0" w:color="auto"/>
            </w:tcBorders>
            <w:shd w:val="clear" w:color="auto" w:fill="auto"/>
            <w:noWrap/>
            <w:vAlign w:val="bottom"/>
            <w:hideMark/>
          </w:tcPr>
          <w:p w14:paraId="1090A86D"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3,850</w:t>
            </w:r>
          </w:p>
        </w:tc>
      </w:tr>
      <w:tr w:rsidR="000D332C" w:rsidRPr="00127C2D" w14:paraId="7CCB436C"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68E71F13"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Purchase/Sale of Investments</w:t>
            </w:r>
          </w:p>
        </w:tc>
        <w:tc>
          <w:tcPr>
            <w:tcW w:w="521" w:type="pct"/>
            <w:tcBorders>
              <w:top w:val="nil"/>
              <w:left w:val="nil"/>
              <w:bottom w:val="single" w:sz="4" w:space="0" w:color="auto"/>
              <w:right w:val="single" w:sz="4" w:space="0" w:color="auto"/>
            </w:tcBorders>
            <w:shd w:val="clear" w:color="auto" w:fill="auto"/>
            <w:noWrap/>
            <w:vAlign w:val="bottom"/>
            <w:hideMark/>
          </w:tcPr>
          <w:p w14:paraId="059FFE23"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w:t>
            </w:r>
          </w:p>
        </w:tc>
        <w:tc>
          <w:tcPr>
            <w:tcW w:w="556" w:type="pct"/>
            <w:tcBorders>
              <w:top w:val="nil"/>
              <w:left w:val="nil"/>
              <w:bottom w:val="single" w:sz="4" w:space="0" w:color="auto"/>
              <w:right w:val="single" w:sz="4" w:space="0" w:color="auto"/>
            </w:tcBorders>
            <w:shd w:val="clear" w:color="auto" w:fill="auto"/>
            <w:noWrap/>
            <w:vAlign w:val="bottom"/>
            <w:hideMark/>
          </w:tcPr>
          <w:p w14:paraId="65E53D35"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-3,090</w:t>
            </w:r>
          </w:p>
        </w:tc>
        <w:tc>
          <w:tcPr>
            <w:tcW w:w="537" w:type="pct"/>
            <w:tcBorders>
              <w:top w:val="nil"/>
              <w:left w:val="nil"/>
              <w:bottom w:val="single" w:sz="4" w:space="0" w:color="auto"/>
              <w:right w:val="single" w:sz="4" w:space="0" w:color="auto"/>
            </w:tcBorders>
            <w:shd w:val="clear" w:color="auto" w:fill="auto"/>
            <w:noWrap/>
            <w:vAlign w:val="bottom"/>
            <w:hideMark/>
          </w:tcPr>
          <w:p w14:paraId="266A18CF"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-2,817</w:t>
            </w:r>
          </w:p>
        </w:tc>
        <w:tc>
          <w:tcPr>
            <w:tcW w:w="556" w:type="pct"/>
            <w:tcBorders>
              <w:top w:val="nil"/>
              <w:left w:val="nil"/>
              <w:bottom w:val="single" w:sz="4" w:space="0" w:color="auto"/>
              <w:right w:val="single" w:sz="4" w:space="0" w:color="auto"/>
            </w:tcBorders>
            <w:shd w:val="clear" w:color="auto" w:fill="auto"/>
            <w:noWrap/>
            <w:vAlign w:val="bottom"/>
            <w:hideMark/>
          </w:tcPr>
          <w:p w14:paraId="4F468F05"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-4,857</w:t>
            </w:r>
          </w:p>
        </w:tc>
        <w:tc>
          <w:tcPr>
            <w:tcW w:w="521" w:type="pct"/>
            <w:tcBorders>
              <w:top w:val="nil"/>
              <w:left w:val="nil"/>
              <w:bottom w:val="single" w:sz="4" w:space="0" w:color="auto"/>
              <w:right w:val="single" w:sz="4" w:space="0" w:color="auto"/>
            </w:tcBorders>
            <w:shd w:val="clear" w:color="auto" w:fill="auto"/>
            <w:noWrap/>
            <w:vAlign w:val="bottom"/>
            <w:hideMark/>
          </w:tcPr>
          <w:p w14:paraId="60E99A24"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-3,905</w:t>
            </w:r>
          </w:p>
        </w:tc>
      </w:tr>
      <w:tr w:rsidR="000D332C" w:rsidRPr="00127C2D" w14:paraId="17B9D099"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1CE6791A"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Purchase of Investments</w:t>
            </w:r>
          </w:p>
        </w:tc>
        <w:tc>
          <w:tcPr>
            <w:tcW w:w="521" w:type="pct"/>
            <w:tcBorders>
              <w:top w:val="nil"/>
              <w:left w:val="nil"/>
              <w:bottom w:val="single" w:sz="4" w:space="0" w:color="auto"/>
              <w:right w:val="single" w:sz="4" w:space="0" w:color="auto"/>
            </w:tcBorders>
            <w:shd w:val="clear" w:color="auto" w:fill="auto"/>
            <w:noWrap/>
            <w:vAlign w:val="bottom"/>
            <w:hideMark/>
          </w:tcPr>
          <w:p w14:paraId="50C09F74"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-2,995</w:t>
            </w:r>
          </w:p>
        </w:tc>
        <w:tc>
          <w:tcPr>
            <w:tcW w:w="556" w:type="pct"/>
            <w:tcBorders>
              <w:top w:val="nil"/>
              <w:left w:val="nil"/>
              <w:bottom w:val="single" w:sz="4" w:space="0" w:color="auto"/>
              <w:right w:val="single" w:sz="4" w:space="0" w:color="auto"/>
            </w:tcBorders>
            <w:shd w:val="clear" w:color="auto" w:fill="auto"/>
            <w:noWrap/>
            <w:vAlign w:val="bottom"/>
            <w:hideMark/>
          </w:tcPr>
          <w:p w14:paraId="08B20A2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-3,090</w:t>
            </w:r>
          </w:p>
        </w:tc>
        <w:tc>
          <w:tcPr>
            <w:tcW w:w="537" w:type="pct"/>
            <w:tcBorders>
              <w:top w:val="nil"/>
              <w:left w:val="nil"/>
              <w:bottom w:val="single" w:sz="4" w:space="0" w:color="auto"/>
              <w:right w:val="single" w:sz="4" w:space="0" w:color="auto"/>
            </w:tcBorders>
            <w:shd w:val="clear" w:color="auto" w:fill="auto"/>
            <w:noWrap/>
            <w:vAlign w:val="bottom"/>
            <w:hideMark/>
          </w:tcPr>
          <w:p w14:paraId="313C019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-2,817</w:t>
            </w:r>
          </w:p>
        </w:tc>
        <w:tc>
          <w:tcPr>
            <w:tcW w:w="556" w:type="pct"/>
            <w:tcBorders>
              <w:top w:val="nil"/>
              <w:left w:val="nil"/>
              <w:bottom w:val="single" w:sz="4" w:space="0" w:color="auto"/>
              <w:right w:val="single" w:sz="4" w:space="0" w:color="auto"/>
            </w:tcBorders>
            <w:shd w:val="clear" w:color="auto" w:fill="auto"/>
            <w:noWrap/>
            <w:vAlign w:val="bottom"/>
            <w:hideMark/>
          </w:tcPr>
          <w:p w14:paraId="6615B0A8"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-4,857</w:t>
            </w:r>
          </w:p>
        </w:tc>
        <w:tc>
          <w:tcPr>
            <w:tcW w:w="521" w:type="pct"/>
            <w:tcBorders>
              <w:top w:val="nil"/>
              <w:left w:val="nil"/>
              <w:bottom w:val="single" w:sz="4" w:space="0" w:color="auto"/>
              <w:right w:val="single" w:sz="4" w:space="0" w:color="auto"/>
            </w:tcBorders>
            <w:shd w:val="clear" w:color="auto" w:fill="auto"/>
            <w:noWrap/>
            <w:vAlign w:val="bottom"/>
            <w:hideMark/>
          </w:tcPr>
          <w:p w14:paraId="6926FCB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-3,905</w:t>
            </w:r>
          </w:p>
        </w:tc>
      </w:tr>
      <w:tr w:rsidR="000D332C" w:rsidRPr="00127C2D" w14:paraId="30AD32E7"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4E84486F"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Other Sources</w:t>
            </w:r>
          </w:p>
        </w:tc>
        <w:tc>
          <w:tcPr>
            <w:tcW w:w="521" w:type="pct"/>
            <w:tcBorders>
              <w:top w:val="nil"/>
              <w:left w:val="nil"/>
              <w:bottom w:val="single" w:sz="4" w:space="0" w:color="auto"/>
              <w:right w:val="single" w:sz="4" w:space="0" w:color="auto"/>
            </w:tcBorders>
            <w:shd w:val="clear" w:color="auto" w:fill="auto"/>
            <w:noWrap/>
            <w:vAlign w:val="bottom"/>
            <w:hideMark/>
          </w:tcPr>
          <w:p w14:paraId="43DBB5C5"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1,562</w:t>
            </w:r>
          </w:p>
        </w:tc>
        <w:tc>
          <w:tcPr>
            <w:tcW w:w="556" w:type="pct"/>
            <w:tcBorders>
              <w:top w:val="nil"/>
              <w:left w:val="nil"/>
              <w:bottom w:val="single" w:sz="4" w:space="0" w:color="auto"/>
              <w:right w:val="single" w:sz="4" w:space="0" w:color="auto"/>
            </w:tcBorders>
            <w:shd w:val="clear" w:color="auto" w:fill="auto"/>
            <w:noWrap/>
            <w:vAlign w:val="bottom"/>
            <w:hideMark/>
          </w:tcPr>
          <w:p w14:paraId="5ED93289"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1,508</w:t>
            </w:r>
          </w:p>
        </w:tc>
        <w:tc>
          <w:tcPr>
            <w:tcW w:w="537" w:type="pct"/>
            <w:tcBorders>
              <w:top w:val="nil"/>
              <w:left w:val="nil"/>
              <w:bottom w:val="single" w:sz="4" w:space="0" w:color="auto"/>
              <w:right w:val="single" w:sz="4" w:space="0" w:color="auto"/>
            </w:tcBorders>
            <w:shd w:val="clear" w:color="auto" w:fill="auto"/>
            <w:noWrap/>
            <w:vAlign w:val="bottom"/>
            <w:hideMark/>
          </w:tcPr>
          <w:p w14:paraId="4D74A828"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1,482</w:t>
            </w:r>
          </w:p>
        </w:tc>
        <w:tc>
          <w:tcPr>
            <w:tcW w:w="556" w:type="pct"/>
            <w:tcBorders>
              <w:top w:val="nil"/>
              <w:left w:val="nil"/>
              <w:bottom w:val="single" w:sz="4" w:space="0" w:color="auto"/>
              <w:right w:val="single" w:sz="4" w:space="0" w:color="auto"/>
            </w:tcBorders>
            <w:shd w:val="clear" w:color="auto" w:fill="auto"/>
            <w:noWrap/>
            <w:vAlign w:val="bottom"/>
            <w:hideMark/>
          </w:tcPr>
          <w:p w14:paraId="0F63E013"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2,681</w:t>
            </w:r>
          </w:p>
        </w:tc>
        <w:tc>
          <w:tcPr>
            <w:tcW w:w="521" w:type="pct"/>
            <w:tcBorders>
              <w:top w:val="nil"/>
              <w:left w:val="nil"/>
              <w:bottom w:val="single" w:sz="4" w:space="0" w:color="auto"/>
              <w:right w:val="single" w:sz="4" w:space="0" w:color="auto"/>
            </w:tcBorders>
            <w:shd w:val="clear" w:color="auto" w:fill="auto"/>
            <w:noWrap/>
            <w:vAlign w:val="bottom"/>
            <w:hideMark/>
          </w:tcPr>
          <w:p w14:paraId="0597EEB4"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1,490</w:t>
            </w:r>
          </w:p>
        </w:tc>
      </w:tr>
      <w:tr w:rsidR="000D332C" w:rsidRPr="00127C2D" w14:paraId="652EC44F"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7F8694A4"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Net Investing Cash Flow</w:t>
            </w:r>
          </w:p>
        </w:tc>
        <w:tc>
          <w:tcPr>
            <w:tcW w:w="521" w:type="pct"/>
            <w:tcBorders>
              <w:top w:val="nil"/>
              <w:left w:val="nil"/>
              <w:bottom w:val="single" w:sz="4" w:space="0" w:color="auto"/>
              <w:right w:val="single" w:sz="4" w:space="0" w:color="auto"/>
            </w:tcBorders>
            <w:shd w:val="clear" w:color="auto" w:fill="auto"/>
            <w:noWrap/>
            <w:vAlign w:val="bottom"/>
            <w:hideMark/>
          </w:tcPr>
          <w:p w14:paraId="690157C7"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w:t>
            </w:r>
          </w:p>
        </w:tc>
        <w:tc>
          <w:tcPr>
            <w:tcW w:w="556" w:type="pct"/>
            <w:tcBorders>
              <w:top w:val="nil"/>
              <w:left w:val="nil"/>
              <w:bottom w:val="single" w:sz="4" w:space="0" w:color="auto"/>
              <w:right w:val="single" w:sz="4" w:space="0" w:color="auto"/>
            </w:tcBorders>
            <w:shd w:val="clear" w:color="auto" w:fill="auto"/>
            <w:noWrap/>
            <w:vAlign w:val="bottom"/>
            <w:hideMark/>
          </w:tcPr>
          <w:p w14:paraId="73916566"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-16,217</w:t>
            </w:r>
          </w:p>
        </w:tc>
        <w:tc>
          <w:tcPr>
            <w:tcW w:w="537" w:type="pct"/>
            <w:tcBorders>
              <w:top w:val="nil"/>
              <w:left w:val="nil"/>
              <w:bottom w:val="single" w:sz="4" w:space="0" w:color="auto"/>
              <w:right w:val="single" w:sz="4" w:space="0" w:color="auto"/>
            </w:tcBorders>
            <w:shd w:val="clear" w:color="auto" w:fill="auto"/>
            <w:noWrap/>
            <w:vAlign w:val="bottom"/>
            <w:hideMark/>
          </w:tcPr>
          <w:p w14:paraId="2BEC00C7"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-10,671</w:t>
            </w:r>
          </w:p>
        </w:tc>
        <w:tc>
          <w:tcPr>
            <w:tcW w:w="556" w:type="pct"/>
            <w:tcBorders>
              <w:top w:val="nil"/>
              <w:left w:val="nil"/>
              <w:bottom w:val="single" w:sz="4" w:space="0" w:color="auto"/>
              <w:right w:val="single" w:sz="4" w:space="0" w:color="auto"/>
            </w:tcBorders>
            <w:shd w:val="clear" w:color="auto" w:fill="auto"/>
            <w:noWrap/>
            <w:vAlign w:val="bottom"/>
            <w:hideMark/>
          </w:tcPr>
          <w:p w14:paraId="17E69C8D"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-17,836</w:t>
            </w:r>
          </w:p>
        </w:tc>
        <w:tc>
          <w:tcPr>
            <w:tcW w:w="521" w:type="pct"/>
            <w:tcBorders>
              <w:top w:val="nil"/>
              <w:left w:val="nil"/>
              <w:bottom w:val="single" w:sz="4" w:space="0" w:color="auto"/>
              <w:right w:val="single" w:sz="4" w:space="0" w:color="auto"/>
            </w:tcBorders>
            <w:shd w:val="clear" w:color="auto" w:fill="auto"/>
            <w:noWrap/>
            <w:vAlign w:val="bottom"/>
            <w:hideMark/>
          </w:tcPr>
          <w:p w14:paraId="051080ED"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-22,926</w:t>
            </w:r>
          </w:p>
        </w:tc>
      </w:tr>
      <w:tr w:rsidR="000D332C" w:rsidRPr="00127C2D" w14:paraId="3E546E64"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4E2DFE17"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Net Investing Cash Flow Growth</w:t>
            </w:r>
          </w:p>
        </w:tc>
        <w:tc>
          <w:tcPr>
            <w:tcW w:w="521" w:type="pct"/>
            <w:tcBorders>
              <w:top w:val="nil"/>
              <w:left w:val="nil"/>
              <w:bottom w:val="single" w:sz="4" w:space="0" w:color="auto"/>
              <w:right w:val="single" w:sz="4" w:space="0" w:color="auto"/>
            </w:tcBorders>
            <w:shd w:val="clear" w:color="auto" w:fill="auto"/>
            <w:noWrap/>
            <w:vAlign w:val="bottom"/>
            <w:hideMark/>
          </w:tcPr>
          <w:p w14:paraId="557987B4"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0.00%</w:t>
            </w:r>
          </w:p>
        </w:tc>
        <w:tc>
          <w:tcPr>
            <w:tcW w:w="556" w:type="pct"/>
            <w:tcBorders>
              <w:top w:val="nil"/>
              <w:left w:val="nil"/>
              <w:bottom w:val="single" w:sz="4" w:space="0" w:color="auto"/>
              <w:right w:val="single" w:sz="4" w:space="0" w:color="auto"/>
            </w:tcBorders>
            <w:shd w:val="clear" w:color="auto" w:fill="auto"/>
            <w:noWrap/>
            <w:vAlign w:val="bottom"/>
            <w:hideMark/>
          </w:tcPr>
          <w:p w14:paraId="3257EBF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-51.97%</w:t>
            </w:r>
          </w:p>
        </w:tc>
        <w:tc>
          <w:tcPr>
            <w:tcW w:w="537" w:type="pct"/>
            <w:tcBorders>
              <w:top w:val="nil"/>
              <w:left w:val="nil"/>
              <w:bottom w:val="single" w:sz="4" w:space="0" w:color="auto"/>
              <w:right w:val="single" w:sz="4" w:space="0" w:color="auto"/>
            </w:tcBorders>
            <w:shd w:val="clear" w:color="auto" w:fill="auto"/>
            <w:noWrap/>
            <w:vAlign w:val="bottom"/>
            <w:hideMark/>
          </w:tcPr>
          <w:p w14:paraId="72035770"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40.17%</w:t>
            </w:r>
          </w:p>
        </w:tc>
        <w:tc>
          <w:tcPr>
            <w:tcW w:w="556" w:type="pct"/>
            <w:tcBorders>
              <w:top w:val="nil"/>
              <w:left w:val="nil"/>
              <w:bottom w:val="single" w:sz="4" w:space="0" w:color="auto"/>
              <w:right w:val="single" w:sz="4" w:space="0" w:color="auto"/>
            </w:tcBorders>
            <w:shd w:val="clear" w:color="auto" w:fill="auto"/>
            <w:noWrap/>
            <w:vAlign w:val="bottom"/>
            <w:hideMark/>
          </w:tcPr>
          <w:p w14:paraId="053E4A3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22.20%</w:t>
            </w:r>
          </w:p>
        </w:tc>
        <w:tc>
          <w:tcPr>
            <w:tcW w:w="521" w:type="pct"/>
            <w:tcBorders>
              <w:top w:val="nil"/>
              <w:left w:val="nil"/>
              <w:bottom w:val="single" w:sz="4" w:space="0" w:color="auto"/>
              <w:right w:val="single" w:sz="4" w:space="0" w:color="auto"/>
            </w:tcBorders>
            <w:shd w:val="clear" w:color="auto" w:fill="auto"/>
            <w:noWrap/>
            <w:vAlign w:val="bottom"/>
            <w:hideMark/>
          </w:tcPr>
          <w:p w14:paraId="41B0FFDC"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w:t>
            </w:r>
          </w:p>
        </w:tc>
      </w:tr>
      <w:tr w:rsidR="000D332C" w:rsidRPr="00127C2D" w14:paraId="3A7DD437" w14:textId="77777777" w:rsidTr="000D332C">
        <w:trPr>
          <w:trHeight w:val="290"/>
        </w:trPr>
        <w:tc>
          <w:tcPr>
            <w:tcW w:w="2308" w:type="pct"/>
            <w:tcBorders>
              <w:top w:val="nil"/>
              <w:left w:val="single" w:sz="4" w:space="0" w:color="auto"/>
              <w:bottom w:val="single" w:sz="4" w:space="0" w:color="auto"/>
              <w:right w:val="single" w:sz="4" w:space="0" w:color="auto"/>
            </w:tcBorders>
            <w:shd w:val="clear" w:color="auto" w:fill="auto"/>
            <w:noWrap/>
            <w:vAlign w:val="bottom"/>
            <w:hideMark/>
          </w:tcPr>
          <w:p w14:paraId="481BD981"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Net Investing Cash Flow / Sales</w:t>
            </w:r>
          </w:p>
        </w:tc>
        <w:tc>
          <w:tcPr>
            <w:tcW w:w="521" w:type="pct"/>
            <w:tcBorders>
              <w:top w:val="nil"/>
              <w:left w:val="nil"/>
              <w:bottom w:val="single" w:sz="4" w:space="0" w:color="auto"/>
              <w:right w:val="single" w:sz="4" w:space="0" w:color="auto"/>
            </w:tcBorders>
            <w:shd w:val="clear" w:color="auto" w:fill="auto"/>
            <w:noWrap/>
            <w:vAlign w:val="bottom"/>
            <w:hideMark/>
          </w:tcPr>
          <w:p w14:paraId="6F740845"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0.00%</w:t>
            </w:r>
          </w:p>
        </w:tc>
        <w:tc>
          <w:tcPr>
            <w:tcW w:w="556" w:type="pct"/>
            <w:tcBorders>
              <w:top w:val="nil"/>
              <w:left w:val="nil"/>
              <w:bottom w:val="single" w:sz="4" w:space="0" w:color="auto"/>
              <w:right w:val="single" w:sz="4" w:space="0" w:color="auto"/>
            </w:tcBorders>
            <w:shd w:val="clear" w:color="auto" w:fill="auto"/>
            <w:noWrap/>
            <w:vAlign w:val="bottom"/>
            <w:hideMark/>
          </w:tcPr>
          <w:p w14:paraId="516E3A2C"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-4.05%</w:t>
            </w:r>
          </w:p>
        </w:tc>
        <w:tc>
          <w:tcPr>
            <w:tcW w:w="537" w:type="pct"/>
            <w:tcBorders>
              <w:top w:val="nil"/>
              <w:left w:val="nil"/>
              <w:bottom w:val="single" w:sz="4" w:space="0" w:color="auto"/>
              <w:right w:val="single" w:sz="4" w:space="0" w:color="auto"/>
            </w:tcBorders>
            <w:shd w:val="clear" w:color="auto" w:fill="auto"/>
            <w:noWrap/>
            <w:vAlign w:val="bottom"/>
            <w:hideMark/>
          </w:tcPr>
          <w:p w14:paraId="0CBA949C"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-3.80%</w:t>
            </w:r>
          </w:p>
        </w:tc>
        <w:tc>
          <w:tcPr>
            <w:tcW w:w="556" w:type="pct"/>
            <w:tcBorders>
              <w:top w:val="nil"/>
              <w:left w:val="nil"/>
              <w:bottom w:val="single" w:sz="4" w:space="0" w:color="auto"/>
              <w:right w:val="single" w:sz="4" w:space="0" w:color="auto"/>
            </w:tcBorders>
            <w:shd w:val="clear" w:color="auto" w:fill="auto"/>
            <w:noWrap/>
            <w:vAlign w:val="bottom"/>
            <w:hideMark/>
          </w:tcPr>
          <w:p w14:paraId="6CE3EA5A"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-10.01%</w:t>
            </w:r>
          </w:p>
        </w:tc>
        <w:tc>
          <w:tcPr>
            <w:tcW w:w="521" w:type="pct"/>
            <w:tcBorders>
              <w:top w:val="nil"/>
              <w:left w:val="nil"/>
              <w:bottom w:val="single" w:sz="4" w:space="0" w:color="auto"/>
              <w:right w:val="single" w:sz="4" w:space="0" w:color="auto"/>
            </w:tcBorders>
            <w:shd w:val="clear" w:color="auto" w:fill="auto"/>
            <w:noWrap/>
            <w:vAlign w:val="bottom"/>
            <w:hideMark/>
          </w:tcPr>
          <w:p w14:paraId="7EA27C0C" w14:textId="77777777" w:rsidR="000D332C" w:rsidRPr="00127C2D" w:rsidRDefault="000D332C" w:rsidP="00127C2D">
            <w:pPr>
              <w:spacing w:before="240" w:line="360" w:lineRule="auto"/>
              <w:rPr>
                <w:rFonts w:eastAsia="Times New Roman" w:cs="Times New Roman"/>
                <w:color w:val="000000"/>
                <w:kern w:val="0"/>
                <w:szCs w:val="24"/>
                <w:lang w:val="en-IN" w:eastAsia="en-IN"/>
                <w14:ligatures w14:val="none"/>
              </w:rPr>
            </w:pPr>
            <w:r w:rsidRPr="00127C2D">
              <w:rPr>
                <w:rFonts w:eastAsia="Times New Roman" w:cs="Times New Roman"/>
                <w:color w:val="000000"/>
                <w:kern w:val="0"/>
                <w:szCs w:val="24"/>
                <w:lang w:val="en-IN" w:eastAsia="en-IN"/>
                <w14:ligatures w14:val="none"/>
              </w:rPr>
              <w:t>-8.96%</w:t>
            </w:r>
          </w:p>
        </w:tc>
      </w:tr>
    </w:tbl>
    <w:p w14:paraId="60465FEC" w14:textId="39D8C73A" w:rsidR="00941406" w:rsidRPr="00127C2D" w:rsidRDefault="00941406" w:rsidP="00127C2D">
      <w:pPr>
        <w:pStyle w:val="Heading2"/>
        <w:spacing w:before="240" w:line="360" w:lineRule="auto"/>
        <w:rPr>
          <w:rFonts w:cs="Times New Roman"/>
        </w:rPr>
      </w:pPr>
      <w:bookmarkStart w:id="16" w:name="_Toc164452152"/>
      <w:r w:rsidRPr="00127C2D">
        <w:rPr>
          <w:rFonts w:cs="Times New Roman"/>
        </w:rPr>
        <w:t>The size of the investment, and how it was financed.</w:t>
      </w:r>
      <w:bookmarkEnd w:id="16"/>
    </w:p>
    <w:p w14:paraId="06DAC61E" w14:textId="65265CAF" w:rsidR="00941406" w:rsidRPr="00127C2D" w:rsidRDefault="00941406" w:rsidP="00127C2D">
      <w:pPr>
        <w:spacing w:before="240" w:line="360" w:lineRule="auto"/>
        <w:rPr>
          <w:rFonts w:cs="Times New Roman"/>
        </w:rPr>
      </w:pPr>
      <w:r w:rsidRPr="00127C2D">
        <w:rPr>
          <w:rFonts w:cs="Times New Roman"/>
        </w:rPr>
        <w:t xml:space="preserve">The investment undertaken by ExxonMobil Corporation is substantial, with capital and exploration expenditures ranging from $16 billion to $19 billion in 2021 and expected to remain between $20 billion to $25 billion annually through 2025. This significant allocation of funds underscores the company's commitment to expanding its operational footprint and enhancing its asset base. ExxonMobil's strategic focus lies on high-value assets, including those in Guyana, Permian, </w:t>
      </w:r>
      <w:r w:rsidR="00CE3046" w:rsidRPr="00127C2D">
        <w:rPr>
          <w:rFonts w:cs="Times New Roman"/>
        </w:rPr>
        <w:t xml:space="preserve">and </w:t>
      </w:r>
      <w:r w:rsidRPr="00127C2D">
        <w:rPr>
          <w:rFonts w:cs="Times New Roman"/>
        </w:rPr>
        <w:t xml:space="preserve">Brazil, and </w:t>
      </w:r>
      <w:r w:rsidR="00CE3046" w:rsidRPr="00127C2D">
        <w:rPr>
          <w:rFonts w:cs="Times New Roman"/>
        </w:rPr>
        <w:t>chemical</w:t>
      </w:r>
      <w:r w:rsidRPr="00127C2D">
        <w:rPr>
          <w:rFonts w:cs="Times New Roman"/>
        </w:rPr>
        <w:t xml:space="preserve"> performance products, aiming to capitalize on lucrative opportunities within these regions and sectors.</w:t>
      </w:r>
    </w:p>
    <w:p w14:paraId="4E58E8E0" w14:textId="7C4A563A" w:rsidR="00184EEA" w:rsidRPr="00127C2D" w:rsidRDefault="00184EEA" w:rsidP="00127C2D">
      <w:pPr>
        <w:spacing w:before="240" w:line="360" w:lineRule="auto"/>
        <w:rPr>
          <w:rFonts w:cs="Times New Roman"/>
        </w:rPr>
      </w:pPr>
      <w:r w:rsidRPr="00127C2D">
        <w:rPr>
          <w:rFonts w:cs="Times New Roman"/>
        </w:rPr>
        <w:lastRenderedPageBreak/>
        <w:t>Regarding financing, ExxonMobil has redoubled its AAA credit rating and its cost of equity is 11.2%, which backs a healthy financial position. The company’s financial stability allows it to access the capital markets easily. This, in turn, provides different avenues for the business to raise funds for its expanding operations. It is worth mentioning that the company does not concentration on a single stream like upstream activities but also has a vast range of other streams like chemical products, downstream energy products and speciality products segments which enables it to manage risks better and increases the returns on its investments. The viability of the company's investment decisions is backed by the balance of business economics factors, fluctuations in the market’s trend, and the oil industry's projections, which ensures a strategic orientation towards the long-term growth objectives of the company.</w:t>
      </w:r>
    </w:p>
    <w:p w14:paraId="1C0FCBFE" w14:textId="4ADAE681" w:rsidR="00184EEA" w:rsidRPr="00127C2D" w:rsidRDefault="00184EEA" w:rsidP="00127C2D">
      <w:pPr>
        <w:spacing w:before="240" w:line="360" w:lineRule="auto"/>
        <w:rPr>
          <w:rFonts w:cs="Times New Roman"/>
        </w:rPr>
      </w:pPr>
      <w:r w:rsidRPr="00127C2D">
        <w:rPr>
          <w:rFonts w:cs="Times New Roman"/>
        </w:rPr>
        <w:t>ExxonMobil has shown an intentional approach to portfolio management; it has divested a couple of assets that seem less strategic for it while on the other hand focusing on asset areas that are more valuable in its role to create more profits and become more competitive. This strategic reorientation signifies the management's awareness of the underlying business dynamics that enable the company to build value and generate optimum shareholders' gains.</w:t>
      </w:r>
    </w:p>
    <w:p w14:paraId="65C0EFB7" w14:textId="32F6A117" w:rsidR="00184EEA" w:rsidRPr="00127C2D" w:rsidRDefault="00184EEA" w:rsidP="00127C2D">
      <w:pPr>
        <w:spacing w:before="240" w:line="360" w:lineRule="auto"/>
        <w:rPr>
          <w:rFonts w:cs="Times New Roman"/>
        </w:rPr>
      </w:pPr>
      <w:r w:rsidRPr="00127C2D">
        <w:rPr>
          <w:rFonts w:cs="Times New Roman"/>
        </w:rPr>
        <w:t>Another such activity that is made evident is the signing of an agreement by ExxonMobil, the largest international super conglomerate in the US, and Pioneer Natural Resources, the second-largest publicly traded oil and gas company in the US, for a merger deal worth $59.5 billion. The merger projected to be completed in the first half of 2024 is likely to be essential in increasing Exxon's production levels in the Permian Basin and will shape the journey for Pioneer's carbon-free future by reinforcing its environmental performance. Apart from operational synergies, the merger targets value creation and ExxonMobil's sustainable position in the energy markets through its global presence and both sides - up and down - involvement in the energy value chain.</w:t>
      </w:r>
    </w:p>
    <w:p w14:paraId="35B9235C" w14:textId="77777777" w:rsidR="00184EEA" w:rsidRPr="00127C2D" w:rsidRDefault="00184EEA" w:rsidP="00127C2D">
      <w:pPr>
        <w:spacing w:before="240" w:line="360" w:lineRule="auto"/>
        <w:rPr>
          <w:rFonts w:cs="Times New Roman"/>
        </w:rPr>
      </w:pPr>
      <w:r w:rsidRPr="00127C2D">
        <w:rPr>
          <w:rFonts w:cs="Times New Roman"/>
        </w:rPr>
        <w:t>Both ExxonMobil's huge amounts of investment and its strong financial situation backed up by the strategic asset management business paradigm confirm the intention of the organization to develop sustainable growth, innovations, and long-term value creation within the energy industry.</w:t>
      </w:r>
    </w:p>
    <w:p w14:paraId="03D16895" w14:textId="7E7DB622" w:rsidR="00941406" w:rsidRPr="00127C2D" w:rsidRDefault="00941406" w:rsidP="00127C2D">
      <w:pPr>
        <w:pStyle w:val="Heading2"/>
        <w:spacing w:before="240" w:line="360" w:lineRule="auto"/>
        <w:rPr>
          <w:rFonts w:cs="Times New Roman"/>
        </w:rPr>
      </w:pPr>
      <w:bookmarkStart w:id="17" w:name="_Toc164452153"/>
      <w:r w:rsidRPr="00127C2D">
        <w:rPr>
          <w:rFonts w:cs="Times New Roman"/>
        </w:rPr>
        <w:lastRenderedPageBreak/>
        <w:t>The feasibility of the investment, in terms of its current business</w:t>
      </w:r>
      <w:bookmarkEnd w:id="17"/>
    </w:p>
    <w:p w14:paraId="1DEA613E" w14:textId="2E479910" w:rsidR="007C70AD" w:rsidRPr="00127C2D" w:rsidRDefault="007C70AD" w:rsidP="00127C2D">
      <w:pPr>
        <w:spacing w:before="240" w:line="360" w:lineRule="auto"/>
        <w:rPr>
          <w:rFonts w:cs="Times New Roman"/>
        </w:rPr>
      </w:pPr>
      <w:r w:rsidRPr="00127C2D">
        <w:rPr>
          <w:rFonts w:cs="Times New Roman"/>
        </w:rPr>
        <w:t xml:space="preserve">ExxonMobil's investing strategy matches its corporate goals and finances. The company prioritizes high-value assets like Guyana and the U.S. Permian Basin, invests in developing technologies, and advances its portfolio with low-cost-of-supply possibilities to enhance earnings and cash flow. ExxonMobil aspires to accomplish society's net-zero emissions goals while outperforming competitors and boosting shareholder returns by using its scale, integration, technology, and functional excellence (ExxonMobil, </w:t>
      </w:r>
      <w:r w:rsidR="006556A7" w:rsidRPr="00127C2D">
        <w:rPr>
          <w:rFonts w:cs="Times New Roman"/>
        </w:rPr>
        <w:t>2024</w:t>
      </w:r>
      <w:r w:rsidRPr="00127C2D">
        <w:rPr>
          <w:rFonts w:cs="Times New Roman"/>
        </w:rPr>
        <w:t>.).</w:t>
      </w:r>
    </w:p>
    <w:p w14:paraId="43A154A0" w14:textId="77777777" w:rsidR="007C70AD" w:rsidRPr="00127C2D" w:rsidRDefault="007C70AD" w:rsidP="00127C2D">
      <w:pPr>
        <w:spacing w:before="240" w:line="360" w:lineRule="auto"/>
        <w:rPr>
          <w:rFonts w:cs="Times New Roman"/>
        </w:rPr>
      </w:pPr>
      <w:r w:rsidRPr="00127C2D">
        <w:rPr>
          <w:rFonts w:cs="Times New Roman"/>
        </w:rPr>
        <w:t>In 2021, ExxonMobil earned $23 billion and generated $48 billion in cash flow from operating activities, demonstrating its strong foundation. The company's goal of tripling earnings and cash flow potential by 2027, lowering breakeven costs, and increasing returns on capital invested emphasizes sustainable growth and value creation. ExxonMobil will boost operational efficiency and profitability with $20–25 billion in capital expenditures through 2027 for low-cost-of-supply Upstream projects, high-value products, and emission-reduction possibilities.</w:t>
      </w:r>
    </w:p>
    <w:p w14:paraId="1F385FF2" w14:textId="316E5989" w:rsidR="007C70AD" w:rsidRPr="00127C2D" w:rsidRDefault="007C70AD" w:rsidP="00127C2D">
      <w:pPr>
        <w:spacing w:before="240" w:line="360" w:lineRule="auto"/>
        <w:rPr>
          <w:rFonts w:cs="Times New Roman"/>
        </w:rPr>
      </w:pPr>
      <w:r w:rsidRPr="00127C2D">
        <w:rPr>
          <w:rFonts w:cs="Times New Roman"/>
        </w:rPr>
        <w:t xml:space="preserve">ExxonMobil invests $1 billion per year in R&amp;D to develop breakthrough technologies, demonstrating its commitment to innovation and energy sector leadership. The company invests in R&amp;D and new technology to improve operations, efficiency, and market demands. ExxonMobil's investment strategy is proactive to improve its business, </w:t>
      </w:r>
      <w:r w:rsidR="00CE3046" w:rsidRPr="00127C2D">
        <w:rPr>
          <w:rFonts w:cs="Times New Roman"/>
        </w:rPr>
        <w:t>finances</w:t>
      </w:r>
      <w:r w:rsidRPr="00127C2D">
        <w:rPr>
          <w:rFonts w:cs="Times New Roman"/>
        </w:rPr>
        <w:t>, and sustainability in the changing energy landscape.</w:t>
      </w:r>
    </w:p>
    <w:p w14:paraId="0D86C7C7" w14:textId="7E5637B6" w:rsidR="00941406" w:rsidRPr="00127C2D" w:rsidRDefault="00941406" w:rsidP="00127C2D">
      <w:pPr>
        <w:spacing w:before="240" w:line="360" w:lineRule="auto"/>
        <w:rPr>
          <w:rStyle w:val="Heading2Char"/>
          <w:rFonts w:cs="Times New Roman"/>
        </w:rPr>
      </w:pPr>
      <w:bookmarkStart w:id="18" w:name="_Toc164452154"/>
      <w:r w:rsidRPr="00127C2D">
        <w:rPr>
          <w:rStyle w:val="Heading2Char"/>
          <w:rFonts w:cs="Times New Roman"/>
        </w:rPr>
        <w:t>Current outcome of the investment: i.e. why it is successful (and/or what went wrong)</w:t>
      </w:r>
      <w:bookmarkEnd w:id="18"/>
    </w:p>
    <w:p w14:paraId="12B335C3" w14:textId="1981CAA8" w:rsidR="007C70AD" w:rsidRPr="00127C2D" w:rsidRDefault="007C70AD" w:rsidP="00127C2D">
      <w:pPr>
        <w:spacing w:before="240" w:line="360" w:lineRule="auto"/>
        <w:rPr>
          <w:rFonts w:cs="Times New Roman"/>
        </w:rPr>
      </w:pPr>
      <w:r w:rsidRPr="00127C2D">
        <w:rPr>
          <w:rFonts w:cs="Times New Roman"/>
        </w:rPr>
        <w:t xml:space="preserve">ExxonMobil's success is based on its large investment in people and communities. Recognizing the importance of human capital in driving innovation and success, the company is committed to improving quality of life by addressing essential social requirements and staying abreast of changing customer and stakeholder demands. ExxonMobil's success is based on its commitment to developing top talent and training future generations for STEM jobs. ExxonMobil creates a pipeline of qualified workers and advances society by spending extensively </w:t>
      </w:r>
      <w:r w:rsidR="00CE3046" w:rsidRPr="00127C2D">
        <w:rPr>
          <w:rFonts w:cs="Times New Roman"/>
        </w:rPr>
        <w:t>on</w:t>
      </w:r>
      <w:r w:rsidRPr="00127C2D">
        <w:rPr>
          <w:rFonts w:cs="Times New Roman"/>
        </w:rPr>
        <w:t xml:space="preserve"> education (ExxonMobil, 2023).</w:t>
      </w:r>
    </w:p>
    <w:p w14:paraId="3931799C" w14:textId="27B33550" w:rsidR="007C70AD" w:rsidRPr="00127C2D" w:rsidRDefault="007C70AD" w:rsidP="00127C2D">
      <w:pPr>
        <w:spacing w:before="240" w:line="360" w:lineRule="auto"/>
        <w:rPr>
          <w:rFonts w:cs="Times New Roman"/>
        </w:rPr>
      </w:pPr>
      <w:r w:rsidRPr="00127C2D">
        <w:rPr>
          <w:rFonts w:cs="Times New Roman"/>
        </w:rPr>
        <w:t xml:space="preserve">ExxonMobil's culture of excellence, diversity, and inclusion drives its success. The organization values its people, customers, partners, and communities and upholds high operational and business </w:t>
      </w:r>
      <w:r w:rsidRPr="00127C2D">
        <w:rPr>
          <w:rFonts w:cs="Times New Roman"/>
        </w:rPr>
        <w:lastRenderedPageBreak/>
        <w:t xml:space="preserve">standards. Based on its culture framework, "We are ExxonMobil," the firm </w:t>
      </w:r>
      <w:r w:rsidR="00CE3046" w:rsidRPr="00127C2D">
        <w:rPr>
          <w:rFonts w:cs="Times New Roman"/>
        </w:rPr>
        <w:t>instils</w:t>
      </w:r>
      <w:r w:rsidRPr="00127C2D">
        <w:rPr>
          <w:rFonts w:cs="Times New Roman"/>
        </w:rPr>
        <w:t xml:space="preserve"> key values, leadership expectations, and vital skills in its employees, encouraging a dedication to excellence and a vision for long-term success.</w:t>
      </w:r>
    </w:p>
    <w:p w14:paraId="0A7A9287" w14:textId="243CB3B8" w:rsidR="007C70AD" w:rsidRPr="00127C2D" w:rsidRDefault="007C70AD" w:rsidP="00127C2D">
      <w:pPr>
        <w:spacing w:before="240" w:line="360" w:lineRule="auto"/>
        <w:rPr>
          <w:rFonts w:cs="Times New Roman"/>
        </w:rPr>
      </w:pPr>
      <w:r w:rsidRPr="00127C2D">
        <w:rPr>
          <w:rFonts w:cs="Times New Roman"/>
        </w:rPr>
        <w:t xml:space="preserve">ExxonMobil's investment </w:t>
      </w:r>
      <w:r w:rsidR="00CE3046" w:rsidRPr="00127C2D">
        <w:rPr>
          <w:rFonts w:cs="Times New Roman"/>
        </w:rPr>
        <w:t>in</w:t>
      </w:r>
      <w:r w:rsidRPr="00127C2D">
        <w:rPr>
          <w:rFonts w:cs="Times New Roman"/>
        </w:rPr>
        <w:t xml:space="preserve"> its people paid off in 2023 with strong business results across all dimensions. These results were driven by its employees' hard work, highlighting the necessity of a motivated and empowered staff. In addition, ExxonMobil continues to build a diverse workforce and create a productive workplace where people are enabled to reach their full potential.</w:t>
      </w:r>
    </w:p>
    <w:p w14:paraId="4BFC12A5" w14:textId="47C75304" w:rsidR="00822D78" w:rsidRPr="00127C2D" w:rsidRDefault="007C70AD" w:rsidP="00127C2D">
      <w:pPr>
        <w:spacing w:before="240" w:line="360" w:lineRule="auto"/>
        <w:rPr>
          <w:rFonts w:cs="Times New Roman"/>
        </w:rPr>
      </w:pPr>
      <w:r w:rsidRPr="00127C2D">
        <w:rPr>
          <w:rFonts w:cs="Times New Roman"/>
        </w:rPr>
        <w:t>ExxonMobil's investment in new technology is another success factor. The company invests $1 billion annually in corporate R&amp;D to develop innovative technologies that improve business operations society and the environment. ExxonMobil, one of the top 100 worldwide inventors, has developed algae for biofuels, fuel cells for carbon capture, and reverse osmosis for more efficient manufacturing.</w:t>
      </w:r>
    </w:p>
    <w:p w14:paraId="6A684CBD" w14:textId="46A1E5DC" w:rsidR="007C70AD" w:rsidRPr="00127C2D" w:rsidRDefault="007C70AD" w:rsidP="00127C2D">
      <w:pPr>
        <w:spacing w:before="240" w:line="360" w:lineRule="auto"/>
        <w:rPr>
          <w:rFonts w:cs="Times New Roman"/>
        </w:rPr>
      </w:pPr>
      <w:r w:rsidRPr="00127C2D">
        <w:rPr>
          <w:rFonts w:cs="Times New Roman"/>
        </w:rPr>
        <w:t>ExxonMobil's technology investment strategy involves intensive research and development to determine technological feasibility. A stage-gate research management system helps the corporation link technologies with business and social goals from conception to commercialization. ExxonMobil innovates to solve global problems and boost its business.</w:t>
      </w:r>
    </w:p>
    <w:p w14:paraId="5A179492" w14:textId="5C7B3BF2" w:rsidR="007C70AD" w:rsidRPr="00127C2D" w:rsidRDefault="007C70AD" w:rsidP="00127C2D">
      <w:pPr>
        <w:spacing w:before="240" w:line="360" w:lineRule="auto"/>
        <w:rPr>
          <w:rFonts w:cs="Times New Roman"/>
        </w:rPr>
      </w:pPr>
      <w:r w:rsidRPr="00127C2D">
        <w:rPr>
          <w:rFonts w:cs="Times New Roman"/>
        </w:rPr>
        <w:t xml:space="preserve">ExxonMobil's success is built on its commitment to people, communities, and new technology. By promoting excellence, diversity, and inclusion and using innovation, the organization satisfies the changing requirements of its stakeholders, develops long-term shareholder value, and benefits society and the environment (Successful </w:t>
      </w:r>
      <w:r w:rsidR="00CE3046" w:rsidRPr="00127C2D">
        <w:rPr>
          <w:rFonts w:cs="Times New Roman"/>
        </w:rPr>
        <w:t>Together</w:t>
      </w:r>
      <w:r w:rsidRPr="00127C2D">
        <w:rPr>
          <w:rFonts w:cs="Times New Roman"/>
        </w:rPr>
        <w:t xml:space="preserve"> </w:t>
      </w:r>
      <w:r w:rsidR="006556A7" w:rsidRPr="00127C2D">
        <w:rPr>
          <w:rFonts w:cs="Times New Roman"/>
        </w:rPr>
        <w:t>2024</w:t>
      </w:r>
      <w:r w:rsidRPr="00127C2D">
        <w:rPr>
          <w:rFonts w:cs="Times New Roman"/>
        </w:rPr>
        <w:t>.).</w:t>
      </w:r>
    </w:p>
    <w:p w14:paraId="3B9A2DFF" w14:textId="77777777" w:rsidR="00BE398F" w:rsidRPr="00127C2D" w:rsidRDefault="00BE398F" w:rsidP="00127C2D">
      <w:pPr>
        <w:spacing w:before="240" w:line="360" w:lineRule="auto"/>
        <w:rPr>
          <w:rFonts w:cs="Times New Roman"/>
        </w:rPr>
      </w:pPr>
    </w:p>
    <w:p w14:paraId="20279123" w14:textId="77777777" w:rsidR="00BE398F" w:rsidRPr="00127C2D" w:rsidRDefault="00BE398F" w:rsidP="00127C2D">
      <w:pPr>
        <w:spacing w:before="240" w:line="360" w:lineRule="auto"/>
        <w:ind w:firstLine="567"/>
        <w:rPr>
          <w:rFonts w:cs="Times New Roman"/>
        </w:rPr>
      </w:pPr>
      <w:r w:rsidRPr="00127C2D">
        <w:rPr>
          <w:rFonts w:cs="Times New Roman"/>
        </w:rPr>
        <w:br w:type="page"/>
      </w:r>
    </w:p>
    <w:p w14:paraId="30DE3BB9" w14:textId="77777777" w:rsidR="006556A7" w:rsidRPr="00127C2D" w:rsidRDefault="006556A7" w:rsidP="00127C2D">
      <w:pPr>
        <w:pStyle w:val="Heading1"/>
        <w:spacing w:before="240" w:after="240" w:line="360" w:lineRule="auto"/>
        <w:jc w:val="both"/>
        <w:rPr>
          <w:rFonts w:cs="Times New Roman"/>
          <w:sz w:val="36"/>
          <w:szCs w:val="36"/>
        </w:rPr>
      </w:pPr>
      <w:bookmarkStart w:id="19" w:name="_Toc164452155"/>
      <w:r w:rsidRPr="00127C2D">
        <w:rPr>
          <w:rFonts w:cs="Times New Roman"/>
          <w:sz w:val="36"/>
          <w:szCs w:val="36"/>
        </w:rPr>
        <w:lastRenderedPageBreak/>
        <w:t>Reference list</w:t>
      </w:r>
      <w:bookmarkEnd w:id="19"/>
    </w:p>
    <w:p w14:paraId="5A9001D5" w14:textId="77777777" w:rsidR="006556A7" w:rsidRPr="00127C2D" w:rsidRDefault="006556A7" w:rsidP="00127C2D">
      <w:pPr>
        <w:pStyle w:val="NormalWeb"/>
        <w:spacing w:before="240" w:beforeAutospacing="0" w:after="240" w:afterAutospacing="0" w:line="360" w:lineRule="auto"/>
        <w:jc w:val="both"/>
      </w:pPr>
      <w:r w:rsidRPr="00127C2D">
        <w:t xml:space="preserve">Akman, V, Shehab, AA &amp; Kizil, C 2020, </w:t>
      </w:r>
      <w:r w:rsidRPr="00127C2D">
        <w:rPr>
          <w:i/>
          <w:iCs/>
        </w:rPr>
        <w:t>The Impact of Financial Reporting on Corporate Performance: A Study Run on Exxon Mobil</w:t>
      </w:r>
      <w:r w:rsidRPr="00127C2D">
        <w:t>, papers.ssrn.com, Rochester, NY.</w:t>
      </w:r>
    </w:p>
    <w:p w14:paraId="61A33373" w14:textId="77777777" w:rsidR="006556A7" w:rsidRPr="00127C2D" w:rsidRDefault="006556A7" w:rsidP="00127C2D">
      <w:pPr>
        <w:pStyle w:val="NormalWeb"/>
        <w:spacing w:before="240" w:beforeAutospacing="0" w:after="240" w:afterAutospacing="0" w:line="360" w:lineRule="auto"/>
        <w:jc w:val="both"/>
      </w:pPr>
      <w:r w:rsidRPr="00127C2D">
        <w:rPr>
          <w:i/>
          <w:iCs/>
        </w:rPr>
        <w:t>Better Buy: ExxonMobil vs. Royal Dutch Shell</w:t>
      </w:r>
      <w:r w:rsidRPr="00127C2D">
        <w:t xml:space="preserve"> 2020, Nasdaq.com, viewed 19 April 2024, &lt;https://www.nasdaq.com/articles/better-buy:-exxonmobil-vs.-royal-dutch-shell-2020-01-09&gt;.</w:t>
      </w:r>
    </w:p>
    <w:p w14:paraId="4CF9B245" w14:textId="35686AF9" w:rsidR="006556A7" w:rsidRPr="00127C2D" w:rsidRDefault="006556A7" w:rsidP="00127C2D">
      <w:pPr>
        <w:pStyle w:val="NormalWeb"/>
        <w:spacing w:before="240" w:beforeAutospacing="0" w:after="240" w:afterAutospacing="0" w:line="360" w:lineRule="auto"/>
        <w:jc w:val="both"/>
      </w:pPr>
      <w:r w:rsidRPr="00127C2D">
        <w:rPr>
          <w:i/>
          <w:iCs/>
        </w:rPr>
        <w:t>Exxon Mobil Corporation (XOM) Stock Historical Prices &amp; Data - Yahoo Finance</w:t>
      </w:r>
      <w:r w:rsidRPr="00127C2D">
        <w:t xml:space="preserve"> 2024., finance.yahoo.com.</w:t>
      </w:r>
    </w:p>
    <w:p w14:paraId="2238E5B2" w14:textId="77777777" w:rsidR="006556A7" w:rsidRPr="00127C2D" w:rsidRDefault="006556A7" w:rsidP="00127C2D">
      <w:pPr>
        <w:spacing w:before="240" w:line="360" w:lineRule="auto"/>
        <w:rPr>
          <w:rFonts w:cs="Times New Roman"/>
          <w:lang w:val="da-DK"/>
        </w:rPr>
      </w:pPr>
      <w:r w:rsidRPr="00127C2D">
        <w:rPr>
          <w:rFonts w:cs="Times New Roman"/>
        </w:rPr>
        <w:t xml:space="preserve">Exxon Mobil Corporation. (2024). </w:t>
      </w:r>
      <w:r w:rsidRPr="00127C2D">
        <w:rPr>
          <w:rFonts w:cs="Times New Roman"/>
          <w:i/>
          <w:iCs/>
        </w:rPr>
        <w:t>About Exxon Mobil Corporation</w:t>
      </w:r>
      <w:r w:rsidRPr="00127C2D">
        <w:rPr>
          <w:rFonts w:cs="Times New Roman"/>
        </w:rPr>
        <w:t xml:space="preserve">. </w:t>
      </w:r>
      <w:r w:rsidRPr="00127C2D">
        <w:rPr>
          <w:rFonts w:cs="Times New Roman"/>
          <w:lang w:val="da-DK"/>
        </w:rPr>
        <w:t xml:space="preserve">ExxonMobil. </w:t>
      </w:r>
      <w:hyperlink r:id="rId14" w:history="1">
        <w:r w:rsidRPr="00127C2D">
          <w:rPr>
            <w:rStyle w:val="Hyperlink"/>
            <w:rFonts w:cs="Times New Roman"/>
            <w:lang w:val="da-DK"/>
          </w:rPr>
          <w:t>https://corporate.exxonmobil.com/</w:t>
        </w:r>
      </w:hyperlink>
    </w:p>
    <w:p w14:paraId="7BD0B554" w14:textId="08A57E7A" w:rsidR="006556A7" w:rsidRPr="00127C2D" w:rsidRDefault="006556A7" w:rsidP="00127C2D">
      <w:pPr>
        <w:pStyle w:val="NormalWeb"/>
        <w:spacing w:before="240" w:beforeAutospacing="0" w:after="240" w:afterAutospacing="0" w:line="360" w:lineRule="auto"/>
        <w:jc w:val="both"/>
      </w:pPr>
      <w:r w:rsidRPr="00127C2D">
        <w:rPr>
          <w:i/>
          <w:iCs/>
        </w:rPr>
        <w:t xml:space="preserve">Exxon Mobil Financial </w:t>
      </w:r>
      <w:proofErr w:type="gramStart"/>
      <w:r w:rsidRPr="00127C2D">
        <w:rPr>
          <w:i/>
          <w:iCs/>
        </w:rPr>
        <w:t>Dictionary(</w:t>
      </w:r>
      <w:proofErr w:type="gramEnd"/>
      <w:r w:rsidRPr="00127C2D">
        <w:rPr>
          <w:i/>
          <w:iCs/>
        </w:rPr>
        <w:t>XOM)</w:t>
      </w:r>
      <w:r w:rsidRPr="00127C2D">
        <w:t xml:space="preserve"> 2024., www.gurufocus.com, viewed 19 April 2024, &lt;https://www.gurufocus.com/term/Cash%2BFlow_CPEX/XOM/Capital-Expenditure/Exxon-Mobil&gt;.</w:t>
      </w:r>
    </w:p>
    <w:p w14:paraId="10C9454A" w14:textId="77777777" w:rsidR="006556A7" w:rsidRPr="00127C2D" w:rsidRDefault="006556A7" w:rsidP="00127C2D">
      <w:pPr>
        <w:pStyle w:val="NormalWeb"/>
        <w:spacing w:before="240" w:beforeAutospacing="0" w:after="240" w:afterAutospacing="0" w:line="360" w:lineRule="auto"/>
        <w:jc w:val="both"/>
      </w:pPr>
      <w:r w:rsidRPr="00127C2D">
        <w:t xml:space="preserve">ExxonMobil 2023, </w:t>
      </w:r>
      <w:r w:rsidRPr="00127C2D">
        <w:rPr>
          <w:i/>
          <w:iCs/>
        </w:rPr>
        <w:t>ExxonMobil Corporate Plan</w:t>
      </w:r>
      <w:r w:rsidRPr="00127C2D">
        <w:t>, ExxonMobil.</w:t>
      </w:r>
    </w:p>
    <w:p w14:paraId="1473DF68" w14:textId="08541B66" w:rsidR="006556A7" w:rsidRPr="00127C2D" w:rsidRDefault="006556A7" w:rsidP="00127C2D">
      <w:pPr>
        <w:pStyle w:val="NormalWeb"/>
        <w:spacing w:before="240" w:beforeAutospacing="0" w:after="240" w:afterAutospacing="0" w:line="360" w:lineRule="auto"/>
        <w:jc w:val="both"/>
      </w:pPr>
      <w:r w:rsidRPr="00127C2D">
        <w:rPr>
          <w:i/>
          <w:iCs/>
        </w:rPr>
        <w:t>ExxonMobil announces corporate plans to 2027 – supports approximately doubling earnings and cash flow potential, reducing emissions</w:t>
      </w:r>
      <w:r w:rsidRPr="00127C2D">
        <w:t xml:space="preserve"> 2024., ExxonMobil.</w:t>
      </w:r>
    </w:p>
    <w:p w14:paraId="3C4E631C" w14:textId="64BFBA27" w:rsidR="006556A7" w:rsidRPr="00127C2D" w:rsidRDefault="006556A7" w:rsidP="00127C2D">
      <w:pPr>
        <w:pStyle w:val="NormalWeb"/>
        <w:spacing w:before="240" w:beforeAutospacing="0" w:after="240" w:afterAutospacing="0" w:line="360" w:lineRule="auto"/>
        <w:jc w:val="both"/>
      </w:pPr>
      <w:r w:rsidRPr="00127C2D">
        <w:rPr>
          <w:i/>
          <w:iCs/>
        </w:rPr>
        <w:t>ExxonMobil details plans to lead in earnings and cash flow growth, energy transition</w:t>
      </w:r>
      <w:r w:rsidRPr="00127C2D">
        <w:t xml:space="preserve"> 2024., ExxonMobil.</w:t>
      </w:r>
    </w:p>
    <w:p w14:paraId="263D0A35" w14:textId="77777777" w:rsidR="006556A7" w:rsidRPr="00127C2D" w:rsidRDefault="006556A7" w:rsidP="00127C2D">
      <w:pPr>
        <w:pStyle w:val="NormalWeb"/>
        <w:spacing w:before="240" w:beforeAutospacing="0" w:after="240" w:afterAutospacing="0" w:line="360" w:lineRule="auto"/>
        <w:jc w:val="both"/>
      </w:pPr>
      <w:r w:rsidRPr="00127C2D">
        <w:t xml:space="preserve">IEA 2023, </w:t>
      </w:r>
      <w:r w:rsidRPr="00127C2D">
        <w:rPr>
          <w:i/>
          <w:iCs/>
        </w:rPr>
        <w:t>World Energy Investment 2023 – Analysis</w:t>
      </w:r>
      <w:r w:rsidRPr="00127C2D">
        <w:t>, IEA.</w:t>
      </w:r>
    </w:p>
    <w:p w14:paraId="0EBD4F5A" w14:textId="77777777" w:rsidR="006556A7" w:rsidRPr="00127C2D" w:rsidRDefault="006556A7" w:rsidP="00127C2D">
      <w:pPr>
        <w:pStyle w:val="NormalWeb"/>
        <w:spacing w:before="240" w:beforeAutospacing="0" w:after="240" w:afterAutospacing="0" w:line="360" w:lineRule="auto"/>
        <w:jc w:val="both"/>
      </w:pPr>
      <w:r w:rsidRPr="00127C2D">
        <w:t xml:space="preserve">Kim, J &amp; Kim, J 2020, ‘A Review on the Operation Plan and Future Strategy of an Oil Major: Lessons from ExxonMobil’s’, </w:t>
      </w:r>
      <w:r w:rsidRPr="00127C2D">
        <w:rPr>
          <w:i/>
          <w:iCs/>
        </w:rPr>
        <w:t>Journal of the Korean Society of Mineral and Energy Resources Engineers</w:t>
      </w:r>
      <w:r w:rsidRPr="00127C2D">
        <w:t>, vol. 57, no. 3, pp. 286–294.</w:t>
      </w:r>
    </w:p>
    <w:p w14:paraId="0F99D6BC" w14:textId="77777777" w:rsidR="006556A7" w:rsidRPr="00127C2D" w:rsidRDefault="006556A7" w:rsidP="00127C2D">
      <w:pPr>
        <w:pStyle w:val="NormalWeb"/>
        <w:spacing w:before="240" w:beforeAutospacing="0" w:after="240" w:afterAutospacing="0" w:line="360" w:lineRule="auto"/>
        <w:jc w:val="both"/>
      </w:pPr>
      <w:r w:rsidRPr="00127C2D">
        <w:t xml:space="preserve">Mao, R 2023, ‘Verify the Relationship Between a Company’s Earning per Share, Return on Equity, Return on Asset, Sales Growth, Price to Earning Ratio, Current Ratio, Gross Profit Margin, </w:t>
      </w:r>
      <w:r w:rsidRPr="00127C2D">
        <w:lastRenderedPageBreak/>
        <w:t xml:space="preserve">Quick Ratio, Asset Turnover and Its Stock Price’, in V Erokhin, H Sun &amp; B Gaikar Vilas (eds), </w:t>
      </w:r>
      <w:r w:rsidRPr="00127C2D">
        <w:rPr>
          <w:i/>
          <w:iCs/>
        </w:rPr>
        <w:t>SHS Web of Conferences</w:t>
      </w:r>
      <w:r w:rsidRPr="00127C2D">
        <w:t>, vol. 163, p. 03003.</w:t>
      </w:r>
    </w:p>
    <w:p w14:paraId="1BCFB620" w14:textId="77777777" w:rsidR="006556A7" w:rsidRPr="00127C2D" w:rsidRDefault="006556A7" w:rsidP="00127C2D">
      <w:pPr>
        <w:pStyle w:val="NormalWeb"/>
        <w:spacing w:before="240" w:beforeAutospacing="0" w:after="240" w:afterAutospacing="0" w:line="360" w:lineRule="auto"/>
        <w:jc w:val="both"/>
      </w:pPr>
      <w:r w:rsidRPr="00127C2D">
        <w:t xml:space="preserve">Mardawiyah, W, Riasky, D, Dewanti, W &amp; Farras, R 2020, ‘Financial Ratio Analysis of PT Unilever Indonesia TBK to Measure Financial Performance’, </w:t>
      </w:r>
      <w:r w:rsidRPr="00127C2D">
        <w:rPr>
          <w:i/>
          <w:iCs/>
        </w:rPr>
        <w:t>International Journal of Business, Economics and Law</w:t>
      </w:r>
      <w:r w:rsidRPr="00127C2D">
        <w:t>, vol. 23, no. 1, p. 1.</w:t>
      </w:r>
    </w:p>
    <w:p w14:paraId="3CE04638" w14:textId="2BA5C5AB" w:rsidR="00D0438E" w:rsidRPr="00127C2D" w:rsidRDefault="00D0438E" w:rsidP="00127C2D">
      <w:pPr>
        <w:pStyle w:val="NormalWeb"/>
        <w:spacing w:before="240" w:beforeAutospacing="0" w:after="240" w:afterAutospacing="0" w:line="360" w:lineRule="auto"/>
        <w:jc w:val="both"/>
        <w:rPr>
          <w:i/>
          <w:iCs/>
        </w:rPr>
      </w:pPr>
      <w:r w:rsidRPr="00127C2D">
        <w:rPr>
          <w:i/>
          <w:iCs/>
        </w:rPr>
        <w:t>NYSE: XOM - Exxon Mobil stock analysis and financials 2024, Fullratio.com, viewed 20 April 2024, &lt;https://fullratio.com/stocks/nyse-xom/exxon-mobil&gt;.</w:t>
      </w:r>
    </w:p>
    <w:p w14:paraId="077109CE" w14:textId="2E7AECEF" w:rsidR="006556A7" w:rsidRPr="00127C2D" w:rsidRDefault="006556A7" w:rsidP="00127C2D">
      <w:pPr>
        <w:pStyle w:val="NormalWeb"/>
        <w:spacing w:before="240" w:beforeAutospacing="0" w:after="240" w:afterAutospacing="0" w:line="360" w:lineRule="auto"/>
        <w:jc w:val="both"/>
      </w:pPr>
      <w:r w:rsidRPr="00127C2D">
        <w:t xml:space="preserve">Sanjay Bulaki Borad 2019, </w:t>
      </w:r>
      <w:r w:rsidRPr="00127C2D">
        <w:rPr>
          <w:i/>
          <w:iCs/>
        </w:rPr>
        <w:t>Capital Structure Theory – Modigliani and Miller (MM) Approach</w:t>
      </w:r>
      <w:r w:rsidRPr="00127C2D">
        <w:t>, eFinanceManagement.com.</w:t>
      </w:r>
    </w:p>
    <w:p w14:paraId="1691D25F" w14:textId="2F359B9B" w:rsidR="006556A7" w:rsidRPr="00127C2D" w:rsidRDefault="006556A7" w:rsidP="00127C2D">
      <w:pPr>
        <w:pStyle w:val="NormalWeb"/>
        <w:spacing w:before="240" w:beforeAutospacing="0" w:after="240" w:afterAutospacing="0" w:line="360" w:lineRule="auto"/>
        <w:jc w:val="both"/>
      </w:pPr>
      <w:r w:rsidRPr="00127C2D">
        <w:rPr>
          <w:i/>
          <w:iCs/>
        </w:rPr>
        <w:t>Shell Annual Report and Accounts 2022 - Shell plc Annual Report and Accounts 2022</w:t>
      </w:r>
      <w:r w:rsidRPr="00127C2D">
        <w:t xml:space="preserve"> 2024., Shell Annual Report and Accounts 2022.</w:t>
      </w:r>
    </w:p>
    <w:p w14:paraId="73403244" w14:textId="7C79F99C" w:rsidR="006556A7" w:rsidRPr="00127C2D" w:rsidRDefault="006556A7" w:rsidP="00127C2D">
      <w:pPr>
        <w:pStyle w:val="NormalWeb"/>
        <w:spacing w:before="240" w:beforeAutospacing="0" w:after="240" w:afterAutospacing="0" w:line="360" w:lineRule="auto"/>
        <w:jc w:val="both"/>
      </w:pPr>
      <w:r w:rsidRPr="00127C2D">
        <w:rPr>
          <w:i/>
          <w:iCs/>
        </w:rPr>
        <w:t>Shell plc (SHEL) Income Statement - Yahoo Finance</w:t>
      </w:r>
      <w:r w:rsidRPr="00127C2D">
        <w:t xml:space="preserve"> 2024., finance.yahoo.com.</w:t>
      </w:r>
    </w:p>
    <w:p w14:paraId="00D55DE8" w14:textId="77777777" w:rsidR="006556A7" w:rsidRPr="00127C2D" w:rsidRDefault="006556A7" w:rsidP="00127C2D">
      <w:pPr>
        <w:spacing w:before="240" w:line="360" w:lineRule="auto"/>
        <w:rPr>
          <w:rFonts w:cs="Times New Roman"/>
        </w:rPr>
      </w:pPr>
      <w:r w:rsidRPr="00127C2D">
        <w:rPr>
          <w:rFonts w:cs="Times New Roman"/>
        </w:rPr>
        <w:t xml:space="preserve">Stock Analysis. (2023). </w:t>
      </w:r>
      <w:r w:rsidRPr="00127C2D">
        <w:rPr>
          <w:rFonts w:cs="Times New Roman"/>
          <w:i/>
          <w:iCs/>
        </w:rPr>
        <w:t>Exxon Mobil Revenue 1994-2023 - Stock Analysis</w:t>
      </w:r>
      <w:r w:rsidRPr="00127C2D">
        <w:rPr>
          <w:rFonts w:cs="Times New Roman"/>
        </w:rPr>
        <w:t>. [online] Available at: https://stockanalysis.com/stocks/xom/revenue/ [Accessed 17 Apr. 2024].</w:t>
      </w:r>
    </w:p>
    <w:p w14:paraId="148042DC" w14:textId="6B1F7CA3" w:rsidR="006556A7" w:rsidRPr="00127C2D" w:rsidRDefault="006556A7" w:rsidP="00127C2D">
      <w:pPr>
        <w:pStyle w:val="NormalWeb"/>
        <w:spacing w:before="240" w:beforeAutospacing="0" w:after="240" w:afterAutospacing="0" w:line="360" w:lineRule="auto"/>
        <w:jc w:val="both"/>
      </w:pPr>
      <w:r w:rsidRPr="00127C2D">
        <w:rPr>
          <w:i/>
          <w:iCs/>
        </w:rPr>
        <w:t>Successful together</w:t>
      </w:r>
      <w:r w:rsidRPr="00127C2D">
        <w:t xml:space="preserve"> 2024., viewed 19 April 2024, &lt;https://www.exxonmobil.co.uk/-/media/UnitedKingdom/Files/UK-ID-Report-2020.pdf&gt;.</w:t>
      </w:r>
    </w:p>
    <w:p w14:paraId="1791A088" w14:textId="77777777" w:rsidR="006556A7" w:rsidRPr="00127C2D" w:rsidRDefault="006556A7" w:rsidP="00127C2D">
      <w:pPr>
        <w:pStyle w:val="NormalWeb"/>
        <w:spacing w:before="240" w:beforeAutospacing="0" w:after="240" w:afterAutospacing="0" w:line="360" w:lineRule="auto"/>
        <w:jc w:val="both"/>
      </w:pPr>
      <w:r w:rsidRPr="00127C2D">
        <w:t xml:space="preserve">Sunaryo, D &amp; Lestari, EP 2022, ‘The Effect of Current Ratio, Total Assets Turn Over, Firm Size on Debt Payout Ratio with Return on Investment as Intervening Variables’, </w:t>
      </w:r>
      <w:r w:rsidRPr="00127C2D">
        <w:rPr>
          <w:i/>
          <w:iCs/>
        </w:rPr>
        <w:t>INTERNATIONAL JOURNAL OF ECONOMICS, MANAGEMENT, BUSINESS, AND SOCIAL SCIENCE (IJEMBIS)</w:t>
      </w:r>
      <w:r w:rsidRPr="00127C2D">
        <w:t>, vol. 2, no. 1, pp. 46–61.</w:t>
      </w:r>
    </w:p>
    <w:p w14:paraId="48C83FA2" w14:textId="77777777" w:rsidR="006556A7" w:rsidRPr="00127C2D" w:rsidRDefault="006556A7" w:rsidP="00127C2D">
      <w:pPr>
        <w:pStyle w:val="NormalWeb"/>
        <w:spacing w:before="240" w:beforeAutospacing="0" w:after="240" w:afterAutospacing="0" w:line="360" w:lineRule="auto"/>
        <w:jc w:val="both"/>
      </w:pPr>
      <w:r w:rsidRPr="00127C2D">
        <w:rPr>
          <w:i/>
          <w:iCs/>
        </w:rPr>
        <w:t>The Complete Toolbox For Investors | finbox.com</w:t>
      </w:r>
      <w:r w:rsidRPr="00127C2D">
        <w:t xml:space="preserve"> 2024, Finbox.com, viewed 19 April 2024, &lt;https://finbox.com/NYSE:XOM/explorer/fixed_asset_turnover&gt;.</w:t>
      </w:r>
    </w:p>
    <w:p w14:paraId="453E1137" w14:textId="77777777" w:rsidR="006556A7" w:rsidRPr="00127C2D" w:rsidRDefault="006556A7" w:rsidP="00127C2D">
      <w:pPr>
        <w:pStyle w:val="NormalWeb"/>
        <w:spacing w:before="240" w:beforeAutospacing="0" w:after="240" w:afterAutospacing="0" w:line="360" w:lineRule="auto"/>
        <w:jc w:val="both"/>
      </w:pPr>
      <w:r w:rsidRPr="00127C2D">
        <w:t xml:space="preserve">Wang, Q, Ghazali, N, Mohd Yusri, AY, Jiang, Z &amp; Tang, H 2018, ‘Firm Specific and Macroeconomic Determinants of Liquidity Risk in United States Oil and Gas Industry’, </w:t>
      </w:r>
      <w:r w:rsidRPr="00127C2D">
        <w:rPr>
          <w:i/>
          <w:iCs/>
        </w:rPr>
        <w:t>SSRN Electronic Journal</w:t>
      </w:r>
      <w:r w:rsidRPr="00127C2D">
        <w:t>.</w:t>
      </w:r>
    </w:p>
    <w:p w14:paraId="3DDA2E82" w14:textId="0E96D120" w:rsidR="0027244F" w:rsidRPr="00127C2D" w:rsidRDefault="006556A7" w:rsidP="00127C2D">
      <w:pPr>
        <w:pStyle w:val="NormalWeb"/>
        <w:spacing w:before="240" w:beforeAutospacing="0" w:after="240" w:afterAutospacing="0" w:line="360" w:lineRule="auto"/>
        <w:jc w:val="both"/>
      </w:pPr>
      <w:r w:rsidRPr="00127C2D">
        <w:lastRenderedPageBreak/>
        <w:t xml:space="preserve">Washington, D 2023, </w:t>
      </w:r>
      <w:r w:rsidRPr="00127C2D">
        <w:rPr>
          <w:i/>
          <w:iCs/>
        </w:rPr>
        <w:t>Class Outstanding as of</w:t>
      </w:r>
      <w:r w:rsidRPr="00127C2D">
        <w:t>.</w:t>
      </w:r>
      <w:bookmarkEnd w:id="0"/>
    </w:p>
    <w:sectPr w:rsidR="0027244F" w:rsidRPr="00127C2D" w:rsidSect="0006512B">
      <w:headerReference w:type="default" r:id="rId15"/>
      <w:footerReference w:type="default" r:id="rId16"/>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4E3F1" w14:textId="77777777" w:rsidR="0006512B" w:rsidRDefault="0006512B">
      <w:pPr>
        <w:spacing w:before="0" w:line="240" w:lineRule="auto"/>
      </w:pPr>
      <w:r>
        <w:separator/>
      </w:r>
    </w:p>
  </w:endnote>
  <w:endnote w:type="continuationSeparator" w:id="0">
    <w:p w14:paraId="09433609" w14:textId="77777777" w:rsidR="0006512B" w:rsidRDefault="0006512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2344976"/>
      <w:docPartObj>
        <w:docPartGallery w:val="Page Numbers (Bottom of Page)"/>
        <w:docPartUnique/>
      </w:docPartObj>
    </w:sdtPr>
    <w:sdtEndPr>
      <w:rPr>
        <w:noProof/>
      </w:rPr>
    </w:sdtEndPr>
    <w:sdtContent>
      <w:p w14:paraId="054745BD" w14:textId="77777777" w:rsidR="00051A63"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4B127E" w14:textId="77777777" w:rsidR="00051A63" w:rsidRDefault="00051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394D5" w14:textId="77777777" w:rsidR="0006512B" w:rsidRDefault="0006512B">
      <w:pPr>
        <w:spacing w:before="0" w:line="240" w:lineRule="auto"/>
      </w:pPr>
      <w:r>
        <w:separator/>
      </w:r>
    </w:p>
  </w:footnote>
  <w:footnote w:type="continuationSeparator" w:id="0">
    <w:p w14:paraId="0C2D2782" w14:textId="77777777" w:rsidR="0006512B" w:rsidRDefault="0006512B">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66612" w14:textId="77777777" w:rsidR="00051A63" w:rsidRDefault="00000000" w:rsidP="00E604E4">
    <w:pPr>
      <w:pStyle w:val="Header"/>
      <w:spacing w:line="360" w:lineRule="auto"/>
    </w:pPr>
    <w:r w:rsidRPr="00E604E4">
      <w:t>MBA- MASTERS OF BUSINESS ADMINISTRATION</w:t>
    </w:r>
  </w:p>
  <w:p w14:paraId="562693F0" w14:textId="77777777" w:rsidR="00051A63" w:rsidRDefault="00051A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oNotDisplayPageBoundarie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406"/>
    <w:rsid w:val="000376CF"/>
    <w:rsid w:val="0004044A"/>
    <w:rsid w:val="0005199A"/>
    <w:rsid w:val="00051A63"/>
    <w:rsid w:val="00051D42"/>
    <w:rsid w:val="00052899"/>
    <w:rsid w:val="0006512B"/>
    <w:rsid w:val="00080FBF"/>
    <w:rsid w:val="00084084"/>
    <w:rsid w:val="000B1A5D"/>
    <w:rsid w:val="000C55EC"/>
    <w:rsid w:val="000D332C"/>
    <w:rsid w:val="00107648"/>
    <w:rsid w:val="00127C2D"/>
    <w:rsid w:val="001803C2"/>
    <w:rsid w:val="00184EEA"/>
    <w:rsid w:val="001B6256"/>
    <w:rsid w:val="001C32A0"/>
    <w:rsid w:val="00203F0B"/>
    <w:rsid w:val="00210EF4"/>
    <w:rsid w:val="0027244F"/>
    <w:rsid w:val="00286797"/>
    <w:rsid w:val="002A3209"/>
    <w:rsid w:val="002D42C8"/>
    <w:rsid w:val="002E5015"/>
    <w:rsid w:val="002E6950"/>
    <w:rsid w:val="00301005"/>
    <w:rsid w:val="003826EF"/>
    <w:rsid w:val="003C57A9"/>
    <w:rsid w:val="00411F31"/>
    <w:rsid w:val="004526B5"/>
    <w:rsid w:val="004E6AE6"/>
    <w:rsid w:val="0052791C"/>
    <w:rsid w:val="005335F0"/>
    <w:rsid w:val="005705B5"/>
    <w:rsid w:val="00591DAA"/>
    <w:rsid w:val="005B7ED1"/>
    <w:rsid w:val="0064416B"/>
    <w:rsid w:val="006556A7"/>
    <w:rsid w:val="006810D3"/>
    <w:rsid w:val="0069455F"/>
    <w:rsid w:val="0070583F"/>
    <w:rsid w:val="00762EE6"/>
    <w:rsid w:val="007C1C49"/>
    <w:rsid w:val="007C70AD"/>
    <w:rsid w:val="007E0EF1"/>
    <w:rsid w:val="00803001"/>
    <w:rsid w:val="00822D78"/>
    <w:rsid w:val="008268B8"/>
    <w:rsid w:val="008E5045"/>
    <w:rsid w:val="008F1AB2"/>
    <w:rsid w:val="0093187A"/>
    <w:rsid w:val="00941406"/>
    <w:rsid w:val="009D4584"/>
    <w:rsid w:val="009E1413"/>
    <w:rsid w:val="009F3181"/>
    <w:rsid w:val="00A3136A"/>
    <w:rsid w:val="00A92F81"/>
    <w:rsid w:val="00B00546"/>
    <w:rsid w:val="00B32600"/>
    <w:rsid w:val="00BB2F89"/>
    <w:rsid w:val="00BE398F"/>
    <w:rsid w:val="00C41B78"/>
    <w:rsid w:val="00C60B8C"/>
    <w:rsid w:val="00CD7EB9"/>
    <w:rsid w:val="00CE3046"/>
    <w:rsid w:val="00D0438E"/>
    <w:rsid w:val="00D06FD6"/>
    <w:rsid w:val="00D35791"/>
    <w:rsid w:val="00D57355"/>
    <w:rsid w:val="00D72937"/>
    <w:rsid w:val="00DF4A2C"/>
    <w:rsid w:val="00E05991"/>
    <w:rsid w:val="00E25058"/>
    <w:rsid w:val="00E26DC7"/>
    <w:rsid w:val="00EA4B9D"/>
    <w:rsid w:val="00EA7BE1"/>
    <w:rsid w:val="00F2405F"/>
    <w:rsid w:val="00F3367F"/>
    <w:rsid w:val="00FA1ED2"/>
    <w:rsid w:val="00FA3D29"/>
    <w:rsid w:val="00FD5967"/>
    <w:rsid w:val="00FE2AC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D283F"/>
  <w15:chartTrackingRefBased/>
  <w15:docId w15:val="{96EA203A-0ADE-4DC8-B568-A2542852F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406"/>
    <w:pPr>
      <w:spacing w:before="40" w:line="276" w:lineRule="auto"/>
      <w:ind w:firstLine="0"/>
      <w:jc w:val="both"/>
    </w:pPr>
    <w:rPr>
      <w:rFonts w:ascii="Times New Roman" w:hAnsi="Times New Roman"/>
      <w:sz w:val="24"/>
      <w:lang w:val="en-US"/>
    </w:rPr>
  </w:style>
  <w:style w:type="paragraph" w:styleId="Heading1">
    <w:name w:val="heading 1"/>
    <w:basedOn w:val="Normal"/>
    <w:next w:val="Normal"/>
    <w:link w:val="Heading1Char"/>
    <w:uiPriority w:val="9"/>
    <w:qFormat/>
    <w:rsid w:val="005B7ED1"/>
    <w:pPr>
      <w:keepNext/>
      <w:keepLines/>
      <w:spacing w:line="480" w:lineRule="auto"/>
      <w:jc w:val="center"/>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9F3181"/>
    <w:pPr>
      <w:keepNext/>
      <w:keepLines/>
      <w:outlineLvl w:val="1"/>
    </w:pPr>
    <w:rPr>
      <w:rFonts w:eastAsiaTheme="majorEastAsia" w:cstheme="majorBidi"/>
      <w:b/>
      <w: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ED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F3181"/>
    <w:rPr>
      <w:rFonts w:ascii="Times New Roman" w:eastAsiaTheme="majorEastAsia" w:hAnsi="Times New Roman" w:cstheme="majorBidi"/>
      <w:b/>
      <w:i/>
      <w:sz w:val="24"/>
      <w:szCs w:val="26"/>
      <w:u w:val="single"/>
      <w:lang w:val="en-US"/>
    </w:rPr>
  </w:style>
  <w:style w:type="paragraph" w:styleId="BodyText">
    <w:name w:val="Body Text"/>
    <w:basedOn w:val="Normal"/>
    <w:link w:val="BodyTextChar"/>
    <w:uiPriority w:val="1"/>
    <w:qFormat/>
    <w:rsid w:val="0052791C"/>
    <w:pPr>
      <w:widowControl w:val="0"/>
      <w:autoSpaceDE w:val="0"/>
      <w:autoSpaceDN w:val="0"/>
    </w:pPr>
    <w:rPr>
      <w:rFonts w:eastAsia="Times New Roman" w:cs="Times New Roman"/>
      <w:szCs w:val="28"/>
    </w:rPr>
  </w:style>
  <w:style w:type="character" w:customStyle="1" w:styleId="BodyTextChar">
    <w:name w:val="Body Text Char"/>
    <w:basedOn w:val="DefaultParagraphFont"/>
    <w:link w:val="BodyText"/>
    <w:uiPriority w:val="1"/>
    <w:rsid w:val="0052791C"/>
    <w:rPr>
      <w:rFonts w:ascii="Times New Roman" w:eastAsia="Times New Roman" w:hAnsi="Times New Roman" w:cs="Times New Roman"/>
      <w:kern w:val="0"/>
      <w:sz w:val="24"/>
      <w:szCs w:val="28"/>
      <w:lang w:val="en-US"/>
    </w:rPr>
  </w:style>
  <w:style w:type="character" w:styleId="Hyperlink">
    <w:name w:val="Hyperlink"/>
    <w:basedOn w:val="DefaultParagraphFont"/>
    <w:uiPriority w:val="99"/>
    <w:unhideWhenUsed/>
    <w:rsid w:val="00941406"/>
    <w:rPr>
      <w:color w:val="0563C1" w:themeColor="hyperlink"/>
      <w:u w:val="single"/>
    </w:rPr>
  </w:style>
  <w:style w:type="paragraph" w:styleId="TOCHeading">
    <w:name w:val="TOC Heading"/>
    <w:basedOn w:val="Heading1"/>
    <w:next w:val="Normal"/>
    <w:uiPriority w:val="39"/>
    <w:unhideWhenUsed/>
    <w:qFormat/>
    <w:rsid w:val="00941406"/>
    <w:pPr>
      <w:spacing w:before="240" w:line="259" w:lineRule="auto"/>
      <w:jc w:val="left"/>
      <w:outlineLvl w:val="9"/>
    </w:pPr>
    <w:rPr>
      <w:rFonts w:asciiTheme="majorHAnsi" w:hAnsiTheme="majorHAns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941406"/>
    <w:pPr>
      <w:spacing w:after="100"/>
    </w:pPr>
  </w:style>
  <w:style w:type="paragraph" w:styleId="TOC2">
    <w:name w:val="toc 2"/>
    <w:basedOn w:val="Normal"/>
    <w:next w:val="Normal"/>
    <w:autoRedefine/>
    <w:uiPriority w:val="39"/>
    <w:unhideWhenUsed/>
    <w:rsid w:val="00941406"/>
    <w:pPr>
      <w:spacing w:after="100"/>
      <w:ind w:left="240"/>
    </w:pPr>
  </w:style>
  <w:style w:type="paragraph" w:styleId="Caption">
    <w:name w:val="caption"/>
    <w:basedOn w:val="Normal"/>
    <w:next w:val="Normal"/>
    <w:uiPriority w:val="35"/>
    <w:unhideWhenUsed/>
    <w:qFormat/>
    <w:rsid w:val="00941406"/>
    <w:pPr>
      <w:spacing w:before="0" w:after="200" w:line="240" w:lineRule="auto"/>
    </w:pPr>
    <w:rPr>
      <w:i/>
      <w:iCs/>
      <w:color w:val="44546A" w:themeColor="text2"/>
      <w:sz w:val="18"/>
      <w:szCs w:val="18"/>
    </w:rPr>
  </w:style>
  <w:style w:type="paragraph" w:styleId="NormalWeb">
    <w:name w:val="Normal (Web)"/>
    <w:basedOn w:val="Normal"/>
    <w:uiPriority w:val="99"/>
    <w:unhideWhenUsed/>
    <w:rsid w:val="00941406"/>
    <w:pPr>
      <w:spacing w:before="100" w:beforeAutospacing="1" w:after="100" w:afterAutospacing="1" w:line="240" w:lineRule="auto"/>
      <w:jc w:val="left"/>
    </w:pPr>
    <w:rPr>
      <w:rFonts w:eastAsia="Times New Roman" w:cs="Times New Roman"/>
      <w:kern w:val="0"/>
      <w:szCs w:val="24"/>
      <w:lang w:val="en-IN" w:eastAsia="en-IN"/>
    </w:rPr>
  </w:style>
  <w:style w:type="paragraph" w:styleId="Header">
    <w:name w:val="header"/>
    <w:basedOn w:val="Normal"/>
    <w:link w:val="HeaderChar"/>
    <w:uiPriority w:val="99"/>
    <w:unhideWhenUsed/>
    <w:rsid w:val="0094140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941406"/>
    <w:rPr>
      <w:rFonts w:ascii="Times New Roman" w:hAnsi="Times New Roman"/>
      <w:sz w:val="24"/>
      <w:lang w:val="en-US"/>
    </w:rPr>
  </w:style>
  <w:style w:type="paragraph" w:styleId="Footer">
    <w:name w:val="footer"/>
    <w:basedOn w:val="Normal"/>
    <w:link w:val="FooterChar"/>
    <w:uiPriority w:val="99"/>
    <w:unhideWhenUsed/>
    <w:rsid w:val="0094140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941406"/>
    <w:rPr>
      <w:rFonts w:ascii="Times New Roman" w:hAnsi="Times New Roman"/>
      <w:sz w:val="24"/>
      <w:lang w:val="en-US"/>
    </w:rPr>
  </w:style>
  <w:style w:type="paragraph" w:styleId="NoSpacing">
    <w:name w:val="No Spacing"/>
    <w:link w:val="NoSpacingChar"/>
    <w:uiPriority w:val="1"/>
    <w:qFormat/>
    <w:rsid w:val="00941406"/>
    <w:pPr>
      <w:ind w:firstLine="0"/>
    </w:pPr>
    <w:rPr>
      <w:rFonts w:eastAsiaTheme="minorEastAsia"/>
      <w:kern w:val="0"/>
      <w:lang w:val="en-US"/>
    </w:rPr>
  </w:style>
  <w:style w:type="character" w:customStyle="1" w:styleId="NoSpacingChar">
    <w:name w:val="No Spacing Char"/>
    <w:basedOn w:val="DefaultParagraphFont"/>
    <w:link w:val="NoSpacing"/>
    <w:uiPriority w:val="1"/>
    <w:rsid w:val="00941406"/>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78655">
      <w:bodyDiv w:val="1"/>
      <w:marLeft w:val="0"/>
      <w:marRight w:val="0"/>
      <w:marTop w:val="0"/>
      <w:marBottom w:val="0"/>
      <w:divBdr>
        <w:top w:val="none" w:sz="0" w:space="0" w:color="auto"/>
        <w:left w:val="none" w:sz="0" w:space="0" w:color="auto"/>
        <w:bottom w:val="none" w:sz="0" w:space="0" w:color="auto"/>
        <w:right w:val="none" w:sz="0" w:space="0" w:color="auto"/>
      </w:divBdr>
      <w:divsChild>
        <w:div w:id="425616765">
          <w:marLeft w:val="0"/>
          <w:marRight w:val="0"/>
          <w:marTop w:val="0"/>
          <w:marBottom w:val="0"/>
          <w:divBdr>
            <w:top w:val="none" w:sz="0" w:space="0" w:color="auto"/>
            <w:left w:val="none" w:sz="0" w:space="0" w:color="auto"/>
            <w:bottom w:val="none" w:sz="0" w:space="0" w:color="auto"/>
            <w:right w:val="none" w:sz="0" w:space="0" w:color="auto"/>
          </w:divBdr>
        </w:div>
      </w:divsChild>
    </w:div>
    <w:div w:id="36782149">
      <w:bodyDiv w:val="1"/>
      <w:marLeft w:val="0"/>
      <w:marRight w:val="0"/>
      <w:marTop w:val="0"/>
      <w:marBottom w:val="0"/>
      <w:divBdr>
        <w:top w:val="none" w:sz="0" w:space="0" w:color="auto"/>
        <w:left w:val="none" w:sz="0" w:space="0" w:color="auto"/>
        <w:bottom w:val="none" w:sz="0" w:space="0" w:color="auto"/>
        <w:right w:val="none" w:sz="0" w:space="0" w:color="auto"/>
      </w:divBdr>
    </w:div>
    <w:div w:id="617955156">
      <w:bodyDiv w:val="1"/>
      <w:marLeft w:val="0"/>
      <w:marRight w:val="0"/>
      <w:marTop w:val="0"/>
      <w:marBottom w:val="0"/>
      <w:divBdr>
        <w:top w:val="none" w:sz="0" w:space="0" w:color="auto"/>
        <w:left w:val="none" w:sz="0" w:space="0" w:color="auto"/>
        <w:bottom w:val="none" w:sz="0" w:space="0" w:color="auto"/>
        <w:right w:val="none" w:sz="0" w:space="0" w:color="auto"/>
      </w:divBdr>
    </w:div>
    <w:div w:id="781457169">
      <w:bodyDiv w:val="1"/>
      <w:marLeft w:val="0"/>
      <w:marRight w:val="0"/>
      <w:marTop w:val="0"/>
      <w:marBottom w:val="0"/>
      <w:divBdr>
        <w:top w:val="none" w:sz="0" w:space="0" w:color="auto"/>
        <w:left w:val="none" w:sz="0" w:space="0" w:color="auto"/>
        <w:bottom w:val="none" w:sz="0" w:space="0" w:color="auto"/>
        <w:right w:val="none" w:sz="0" w:space="0" w:color="auto"/>
      </w:divBdr>
    </w:div>
    <w:div w:id="838618631">
      <w:bodyDiv w:val="1"/>
      <w:marLeft w:val="0"/>
      <w:marRight w:val="0"/>
      <w:marTop w:val="0"/>
      <w:marBottom w:val="0"/>
      <w:divBdr>
        <w:top w:val="none" w:sz="0" w:space="0" w:color="auto"/>
        <w:left w:val="none" w:sz="0" w:space="0" w:color="auto"/>
        <w:bottom w:val="none" w:sz="0" w:space="0" w:color="auto"/>
        <w:right w:val="none" w:sz="0" w:space="0" w:color="auto"/>
      </w:divBdr>
    </w:div>
    <w:div w:id="892620699">
      <w:bodyDiv w:val="1"/>
      <w:marLeft w:val="0"/>
      <w:marRight w:val="0"/>
      <w:marTop w:val="0"/>
      <w:marBottom w:val="0"/>
      <w:divBdr>
        <w:top w:val="none" w:sz="0" w:space="0" w:color="auto"/>
        <w:left w:val="none" w:sz="0" w:space="0" w:color="auto"/>
        <w:bottom w:val="none" w:sz="0" w:space="0" w:color="auto"/>
        <w:right w:val="none" w:sz="0" w:space="0" w:color="auto"/>
      </w:divBdr>
    </w:div>
    <w:div w:id="132928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chart" Target="charts/chart4.xml"/><Relationship Id="rId4" Type="http://schemas.openxmlformats.org/officeDocument/2006/relationships/footnotes" Target="footnotes.xml"/><Relationship Id="rId9" Type="http://schemas.openxmlformats.org/officeDocument/2006/relationships/chart" Target="charts/chart3.xml"/><Relationship Id="rId14" Type="http://schemas.openxmlformats.org/officeDocument/2006/relationships/hyperlink" Target="https://corporate.exxonmobil.co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ystemJP\Documents\Freelancing\EXxon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ystemJP\Documents\Freelancing\EXxon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ystemJP\Documents\Freelancing\EXxon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ystemJP\Documents\Freelancing\EXxon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ystemJP\Documents\Freelancing\EXxonn.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Liquidity</a:t>
            </a:r>
            <a:r>
              <a:rPr lang="en-IN" baseline="0"/>
              <a:t> Ratio</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Ratio!$A$6:$B$6</c:f>
              <c:strCache>
                <c:ptCount val="2"/>
                <c:pt idx="0">
                  <c:v>1. Current Ratio</c:v>
                </c:pt>
                <c:pt idx="1">
                  <c:v>Current Assets / Current Liabilities</c:v>
                </c:pt>
              </c:strCache>
            </c:strRef>
          </c:tx>
          <c:spPr>
            <a:solidFill>
              <a:schemeClr val="accent1"/>
            </a:solidFill>
            <a:ln>
              <a:noFill/>
            </a:ln>
            <a:effectLst/>
          </c:spPr>
          <c:invertIfNegative val="0"/>
          <c:cat>
            <c:numRef>
              <c:f>Ratio!$C$2:$G$2</c:f>
              <c:numCache>
                <c:formatCode>General</c:formatCode>
                <c:ptCount val="5"/>
                <c:pt idx="0">
                  <c:v>2023</c:v>
                </c:pt>
                <c:pt idx="1">
                  <c:v>2022</c:v>
                </c:pt>
                <c:pt idx="2">
                  <c:v>2021</c:v>
                </c:pt>
                <c:pt idx="3">
                  <c:v>2020</c:v>
                </c:pt>
                <c:pt idx="4">
                  <c:v>2019</c:v>
                </c:pt>
              </c:numCache>
            </c:numRef>
          </c:cat>
          <c:val>
            <c:numRef>
              <c:f>Ratio!$C$6:$G$6</c:f>
              <c:numCache>
                <c:formatCode>#,##0.00</c:formatCode>
                <c:ptCount val="5"/>
                <c:pt idx="0">
                  <c:v>1.4791015983832445</c:v>
                </c:pt>
                <c:pt idx="1">
                  <c:v>1.414019842131943</c:v>
                </c:pt>
                <c:pt idx="2">
                  <c:v>1.0443302791165723</c:v>
                </c:pt>
                <c:pt idx="3">
                  <c:v>0.79649770239341411</c:v>
                </c:pt>
                <c:pt idx="4">
                  <c:v>0.78219694009907947</c:v>
                </c:pt>
              </c:numCache>
            </c:numRef>
          </c:val>
          <c:extLst>
            <c:ext xmlns:c16="http://schemas.microsoft.com/office/drawing/2014/chart" uri="{C3380CC4-5D6E-409C-BE32-E72D297353CC}">
              <c16:uniqueId val="{00000000-CBA0-48FC-A1E8-0CF8CA13925D}"/>
            </c:ext>
          </c:extLst>
        </c:ser>
        <c:ser>
          <c:idx val="1"/>
          <c:order val="1"/>
          <c:tx>
            <c:strRef>
              <c:f>Ratio!$A$7:$B$7</c:f>
              <c:strCache>
                <c:ptCount val="2"/>
                <c:pt idx="0">
                  <c:v>2. Quick Ratio</c:v>
                </c:pt>
                <c:pt idx="1">
                  <c:v>(Current Assets - Inventory) / Current Liabilities</c:v>
                </c:pt>
              </c:strCache>
            </c:strRef>
          </c:tx>
          <c:spPr>
            <a:solidFill>
              <a:schemeClr val="accent2"/>
            </a:solidFill>
            <a:ln>
              <a:noFill/>
            </a:ln>
            <a:effectLst/>
          </c:spPr>
          <c:invertIfNegative val="0"/>
          <c:cat>
            <c:numRef>
              <c:f>Ratio!$C$2:$G$2</c:f>
              <c:numCache>
                <c:formatCode>General</c:formatCode>
                <c:ptCount val="5"/>
                <c:pt idx="0">
                  <c:v>2023</c:v>
                </c:pt>
                <c:pt idx="1">
                  <c:v>2022</c:v>
                </c:pt>
                <c:pt idx="2">
                  <c:v>2021</c:v>
                </c:pt>
                <c:pt idx="3">
                  <c:v>2020</c:v>
                </c:pt>
                <c:pt idx="4">
                  <c:v>2019</c:v>
                </c:pt>
              </c:numCache>
            </c:numRef>
          </c:cat>
          <c:val>
            <c:numRef>
              <c:f>Ratio!$C$7:$G$7</c:f>
              <c:numCache>
                <c:formatCode>#,##0.00</c:formatCode>
                <c:ptCount val="5"/>
                <c:pt idx="0">
                  <c:v>1.0945097678976055</c:v>
                </c:pt>
                <c:pt idx="1">
                  <c:v>1.0601202114562966</c:v>
                </c:pt>
                <c:pt idx="2">
                  <c:v>0.71278004342990309</c:v>
                </c:pt>
                <c:pt idx="3">
                  <c:v>0.46205844259531964</c:v>
                </c:pt>
                <c:pt idx="4">
                  <c:v>0.49264717373298533</c:v>
                </c:pt>
              </c:numCache>
            </c:numRef>
          </c:val>
          <c:extLst>
            <c:ext xmlns:c16="http://schemas.microsoft.com/office/drawing/2014/chart" uri="{C3380CC4-5D6E-409C-BE32-E72D297353CC}">
              <c16:uniqueId val="{00000001-CBA0-48FC-A1E8-0CF8CA13925D}"/>
            </c:ext>
          </c:extLst>
        </c:ser>
        <c:dLbls>
          <c:showLegendKey val="0"/>
          <c:showVal val="0"/>
          <c:showCatName val="0"/>
          <c:showSerName val="0"/>
          <c:showPercent val="0"/>
          <c:showBubbleSize val="0"/>
        </c:dLbls>
        <c:gapWidth val="219"/>
        <c:overlap val="-27"/>
        <c:axId val="1149431200"/>
        <c:axId val="1149435520"/>
      </c:barChart>
      <c:catAx>
        <c:axId val="1149431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9435520"/>
        <c:crosses val="autoZero"/>
        <c:auto val="1"/>
        <c:lblAlgn val="ctr"/>
        <c:lblOffset val="100"/>
        <c:noMultiLvlLbl val="0"/>
      </c:catAx>
      <c:valAx>
        <c:axId val="1149435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9431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Gearing</a:t>
            </a:r>
            <a:r>
              <a:rPr lang="en-IN" baseline="0"/>
              <a:t> Ratio</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Ratio!$A$12:$B$12</c:f>
              <c:strCache>
                <c:ptCount val="2"/>
                <c:pt idx="0">
                  <c:v>1. Debt-to-Equity Ratio</c:v>
                </c:pt>
                <c:pt idx="1">
                  <c:v>Total Debt / Total Equity</c:v>
                </c:pt>
              </c:strCache>
            </c:strRef>
          </c:tx>
          <c:spPr>
            <a:solidFill>
              <a:schemeClr val="accent1"/>
            </a:solidFill>
            <a:ln>
              <a:noFill/>
            </a:ln>
            <a:effectLst/>
          </c:spPr>
          <c:invertIfNegative val="0"/>
          <c:cat>
            <c:numRef>
              <c:f>Ratio!$C$2:$G$2</c:f>
              <c:numCache>
                <c:formatCode>General</c:formatCode>
                <c:ptCount val="5"/>
                <c:pt idx="0">
                  <c:v>2023</c:v>
                </c:pt>
                <c:pt idx="1">
                  <c:v>2022</c:v>
                </c:pt>
                <c:pt idx="2">
                  <c:v>2021</c:v>
                </c:pt>
                <c:pt idx="3">
                  <c:v>2020</c:v>
                </c:pt>
                <c:pt idx="4">
                  <c:v>2019</c:v>
                </c:pt>
              </c:numCache>
            </c:numRef>
          </c:cat>
          <c:val>
            <c:numRef>
              <c:f>Ratio!$C$12:$G$12</c:f>
              <c:numCache>
                <c:formatCode>0.00</c:formatCode>
                <c:ptCount val="5"/>
                <c:pt idx="0">
                  <c:v>0.56267926438333049</c:v>
                </c:pt>
                <c:pt idx="1">
                  <c:v>0.73343067546978158</c:v>
                </c:pt>
                <c:pt idx="2">
                  <c:v>2.5976120919598626</c:v>
                </c:pt>
                <c:pt idx="3">
                  <c:v>3.9263131055583886</c:v>
                </c:pt>
                <c:pt idx="4">
                  <c:v>2.6962332928311059</c:v>
                </c:pt>
              </c:numCache>
            </c:numRef>
          </c:val>
          <c:extLst>
            <c:ext xmlns:c16="http://schemas.microsoft.com/office/drawing/2014/chart" uri="{C3380CC4-5D6E-409C-BE32-E72D297353CC}">
              <c16:uniqueId val="{00000000-BBA0-4200-AC04-5FCBA071F0CF}"/>
            </c:ext>
          </c:extLst>
        </c:ser>
        <c:ser>
          <c:idx val="1"/>
          <c:order val="1"/>
          <c:tx>
            <c:strRef>
              <c:f>Ratio!$A$13:$B$13</c:f>
              <c:strCache>
                <c:ptCount val="2"/>
                <c:pt idx="0">
                  <c:v>2. Debt Ratio</c:v>
                </c:pt>
                <c:pt idx="1">
                  <c:v>Total Debt / Total Assets</c:v>
                </c:pt>
              </c:strCache>
            </c:strRef>
          </c:tx>
          <c:spPr>
            <a:solidFill>
              <a:schemeClr val="accent2"/>
            </a:solidFill>
            <a:ln>
              <a:noFill/>
            </a:ln>
            <a:effectLst/>
          </c:spPr>
          <c:invertIfNegative val="0"/>
          <c:cat>
            <c:numRef>
              <c:f>Ratio!$C$2:$G$2</c:f>
              <c:numCache>
                <c:formatCode>General</c:formatCode>
                <c:ptCount val="5"/>
                <c:pt idx="0">
                  <c:v>2023</c:v>
                </c:pt>
                <c:pt idx="1">
                  <c:v>2022</c:v>
                </c:pt>
                <c:pt idx="2">
                  <c:v>2021</c:v>
                </c:pt>
                <c:pt idx="3">
                  <c:v>2020</c:v>
                </c:pt>
                <c:pt idx="4">
                  <c:v>2019</c:v>
                </c:pt>
              </c:numCache>
            </c:numRef>
          </c:cat>
          <c:val>
            <c:numRef>
              <c:f>Ratio!$C$13:$G$13</c:f>
              <c:numCache>
                <c:formatCode>0.00</c:formatCode>
                <c:ptCount val="5"/>
                <c:pt idx="0">
                  <c:v>2.6586627763295307E-2</c:v>
                </c:pt>
                <c:pt idx="1">
                  <c:v>3.1303259299801933E-2</c:v>
                </c:pt>
                <c:pt idx="2">
                  <c:v>0.12068227886570106</c:v>
                </c:pt>
                <c:pt idx="3">
                  <c:v>0.18511194590533434</c:v>
                </c:pt>
                <c:pt idx="4">
                  <c:v>0.11627509328538295</c:v>
                </c:pt>
              </c:numCache>
            </c:numRef>
          </c:val>
          <c:extLst>
            <c:ext xmlns:c16="http://schemas.microsoft.com/office/drawing/2014/chart" uri="{C3380CC4-5D6E-409C-BE32-E72D297353CC}">
              <c16:uniqueId val="{00000001-BBA0-4200-AC04-5FCBA071F0CF}"/>
            </c:ext>
          </c:extLst>
        </c:ser>
        <c:dLbls>
          <c:showLegendKey val="0"/>
          <c:showVal val="0"/>
          <c:showCatName val="0"/>
          <c:showSerName val="0"/>
          <c:showPercent val="0"/>
          <c:showBubbleSize val="0"/>
        </c:dLbls>
        <c:gapWidth val="219"/>
        <c:overlap val="-27"/>
        <c:axId val="1309871312"/>
        <c:axId val="1309866992"/>
      </c:barChart>
      <c:catAx>
        <c:axId val="130987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866992"/>
        <c:crosses val="autoZero"/>
        <c:auto val="1"/>
        <c:lblAlgn val="ctr"/>
        <c:lblOffset val="100"/>
        <c:noMultiLvlLbl val="0"/>
      </c:catAx>
      <c:valAx>
        <c:axId val="13098669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871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Profitability</a:t>
            </a:r>
            <a:r>
              <a:rPr lang="en-IN" baseline="0"/>
              <a:t> Ratio</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Ratio!$A$3:$B$3</c:f>
              <c:strCache>
                <c:ptCount val="2"/>
                <c:pt idx="0">
                  <c:v>1. Net Profit Margin</c:v>
                </c:pt>
                <c:pt idx="1">
                  <c:v>(Net Profit / Revenue) * 100</c:v>
                </c:pt>
              </c:strCache>
            </c:strRef>
          </c:tx>
          <c:spPr>
            <a:solidFill>
              <a:schemeClr val="accent1"/>
            </a:solidFill>
            <a:ln>
              <a:noFill/>
            </a:ln>
            <a:effectLst/>
          </c:spPr>
          <c:invertIfNegative val="0"/>
          <c:cat>
            <c:numRef>
              <c:f>Ratio!$C$2:$G$2</c:f>
              <c:numCache>
                <c:formatCode>General</c:formatCode>
                <c:ptCount val="5"/>
                <c:pt idx="0">
                  <c:v>2023</c:v>
                </c:pt>
                <c:pt idx="1">
                  <c:v>2022</c:v>
                </c:pt>
                <c:pt idx="2">
                  <c:v>2021</c:v>
                </c:pt>
                <c:pt idx="3">
                  <c:v>2020</c:v>
                </c:pt>
                <c:pt idx="4">
                  <c:v>2019</c:v>
                </c:pt>
              </c:numCache>
            </c:numRef>
          </c:cat>
          <c:val>
            <c:numRef>
              <c:f>Ratio!$C$3:$G$3</c:f>
              <c:numCache>
                <c:formatCode>0.00%</c:formatCode>
                <c:ptCount val="5"/>
                <c:pt idx="0">
                  <c:v>0.10758984992396108</c:v>
                </c:pt>
                <c:pt idx="1">
                  <c:v>0.13981313099642567</c:v>
                </c:pt>
                <c:pt idx="2">
                  <c:v>8.3269483758113716E-2</c:v>
                </c:pt>
                <c:pt idx="3">
                  <c:v>-0.12566219046445731</c:v>
                </c:pt>
                <c:pt idx="4">
                  <c:v>5.6107018072407006E-2</c:v>
                </c:pt>
              </c:numCache>
            </c:numRef>
          </c:val>
          <c:extLst>
            <c:ext xmlns:c16="http://schemas.microsoft.com/office/drawing/2014/chart" uri="{C3380CC4-5D6E-409C-BE32-E72D297353CC}">
              <c16:uniqueId val="{00000000-8663-4EDA-8985-5530D3689BA4}"/>
            </c:ext>
          </c:extLst>
        </c:ser>
        <c:ser>
          <c:idx val="1"/>
          <c:order val="1"/>
          <c:tx>
            <c:strRef>
              <c:f>Ratio!$A$4:$B$4</c:f>
              <c:strCache>
                <c:ptCount val="2"/>
                <c:pt idx="0">
                  <c:v>2. Return on Assets (ROA)</c:v>
                </c:pt>
                <c:pt idx="1">
                  <c:v>(Net Income / Average Total Assets) * 100</c:v>
                </c:pt>
              </c:strCache>
            </c:strRef>
          </c:tx>
          <c:spPr>
            <a:solidFill>
              <a:schemeClr val="accent2"/>
            </a:solidFill>
            <a:ln>
              <a:noFill/>
            </a:ln>
            <a:effectLst/>
          </c:spPr>
          <c:invertIfNegative val="0"/>
          <c:cat>
            <c:numRef>
              <c:f>Ratio!$C$2:$G$2</c:f>
              <c:numCache>
                <c:formatCode>General</c:formatCode>
                <c:ptCount val="5"/>
                <c:pt idx="0">
                  <c:v>2023</c:v>
                </c:pt>
                <c:pt idx="1">
                  <c:v>2022</c:v>
                </c:pt>
                <c:pt idx="2">
                  <c:v>2021</c:v>
                </c:pt>
                <c:pt idx="3">
                  <c:v>2020</c:v>
                </c:pt>
                <c:pt idx="4">
                  <c:v>2019</c:v>
                </c:pt>
              </c:numCache>
            </c:numRef>
          </c:cat>
          <c:val>
            <c:numRef>
              <c:f>Ratio!$C$4:$G$4</c:f>
              <c:numCache>
                <c:formatCode>0.00%</c:formatCode>
                <c:ptCount val="5"/>
                <c:pt idx="0">
                  <c:v>9.5690601274988907E-2</c:v>
                </c:pt>
                <c:pt idx="1">
                  <c:v>0.151029487870766</c:v>
                </c:pt>
                <c:pt idx="2">
                  <c:v>6.7980042664558024E-2</c:v>
                </c:pt>
                <c:pt idx="3">
                  <c:v>-6.7438016528925615E-2</c:v>
                </c:pt>
                <c:pt idx="4">
                  <c:v>3.954803818012835E-2</c:v>
                </c:pt>
              </c:numCache>
            </c:numRef>
          </c:val>
          <c:extLst>
            <c:ext xmlns:c16="http://schemas.microsoft.com/office/drawing/2014/chart" uri="{C3380CC4-5D6E-409C-BE32-E72D297353CC}">
              <c16:uniqueId val="{00000001-8663-4EDA-8985-5530D3689BA4}"/>
            </c:ext>
          </c:extLst>
        </c:ser>
        <c:dLbls>
          <c:showLegendKey val="0"/>
          <c:showVal val="0"/>
          <c:showCatName val="0"/>
          <c:showSerName val="0"/>
          <c:showPercent val="0"/>
          <c:showBubbleSize val="0"/>
        </c:dLbls>
        <c:gapWidth val="219"/>
        <c:overlap val="-27"/>
        <c:axId val="1311324368"/>
        <c:axId val="1311333968"/>
      </c:barChart>
      <c:catAx>
        <c:axId val="1311324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333968"/>
        <c:crosses val="autoZero"/>
        <c:auto val="1"/>
        <c:lblAlgn val="ctr"/>
        <c:lblOffset val="100"/>
        <c:noMultiLvlLbl val="0"/>
      </c:catAx>
      <c:valAx>
        <c:axId val="1311333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324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efficiency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Ratio!$A$9:$B$9</c:f>
              <c:strCache>
                <c:ptCount val="2"/>
                <c:pt idx="0">
                  <c:v>1. Asset Turnover Ratio</c:v>
                </c:pt>
                <c:pt idx="1">
                  <c:v>Revenue / Average Total Assets</c:v>
                </c:pt>
              </c:strCache>
            </c:strRef>
          </c:tx>
          <c:spPr>
            <a:solidFill>
              <a:schemeClr val="accent1"/>
            </a:solidFill>
            <a:ln>
              <a:noFill/>
            </a:ln>
            <a:effectLst/>
          </c:spPr>
          <c:invertIfNegative val="0"/>
          <c:val>
            <c:numRef>
              <c:f>Ratio!$C$9:$G$9</c:f>
              <c:numCache>
                <c:formatCode>0.00</c:formatCode>
                <c:ptCount val="5"/>
                <c:pt idx="0">
                  <c:v>0.88940175437197899</c:v>
                </c:pt>
                <c:pt idx="1">
                  <c:v>1.0802239159827349</c:v>
                </c:pt>
                <c:pt idx="2">
                  <c:v>0.81638602278393613</c:v>
                </c:pt>
                <c:pt idx="3">
                  <c:v>0.53666115702479333</c:v>
                </c:pt>
                <c:pt idx="4">
                  <c:v>0.70486793878603515</c:v>
                </c:pt>
              </c:numCache>
            </c:numRef>
          </c:val>
          <c:extLst>
            <c:ext xmlns:c16="http://schemas.microsoft.com/office/drawing/2014/chart" uri="{C3380CC4-5D6E-409C-BE32-E72D297353CC}">
              <c16:uniqueId val="{00000000-0E90-4720-B786-0B2A9DFEE673}"/>
            </c:ext>
          </c:extLst>
        </c:ser>
        <c:ser>
          <c:idx val="1"/>
          <c:order val="1"/>
          <c:tx>
            <c:strRef>
              <c:f>Ratio!$A$10:$B$10</c:f>
              <c:strCache>
                <c:ptCount val="2"/>
                <c:pt idx="0">
                  <c:v>2. Inventory Turnover Ratio</c:v>
                </c:pt>
                <c:pt idx="1">
                  <c:v>Cost of Goods Sold / Average Inventory</c:v>
                </c:pt>
              </c:strCache>
            </c:strRef>
          </c:tx>
          <c:spPr>
            <a:solidFill>
              <a:schemeClr val="accent2"/>
            </a:solidFill>
            <a:ln>
              <a:noFill/>
            </a:ln>
            <a:effectLst/>
          </c:spPr>
          <c:invertIfNegative val="0"/>
          <c:val>
            <c:numRef>
              <c:f>Ratio!$C$10:$G$10</c:f>
              <c:numCache>
                <c:formatCode>0.00</c:formatCode>
                <c:ptCount val="5"/>
                <c:pt idx="0">
                  <c:v>10.14250832408435</c:v>
                </c:pt>
                <c:pt idx="1">
                  <c:v>13.680805275945852</c:v>
                </c:pt>
                <c:pt idx="2">
                  <c:v>11.257294711666225</c:v>
                </c:pt>
                <c:pt idx="3">
                  <c:v>9.1201776446037783</c:v>
                </c:pt>
                <c:pt idx="4">
                  <c:v>10.680845371856607</c:v>
                </c:pt>
              </c:numCache>
            </c:numRef>
          </c:val>
          <c:extLst>
            <c:ext xmlns:c16="http://schemas.microsoft.com/office/drawing/2014/chart" uri="{C3380CC4-5D6E-409C-BE32-E72D297353CC}">
              <c16:uniqueId val="{00000001-0E90-4720-B786-0B2A9DFEE673}"/>
            </c:ext>
          </c:extLst>
        </c:ser>
        <c:dLbls>
          <c:showLegendKey val="0"/>
          <c:showVal val="0"/>
          <c:showCatName val="0"/>
          <c:showSerName val="0"/>
          <c:showPercent val="0"/>
          <c:showBubbleSize val="0"/>
        </c:dLbls>
        <c:gapWidth val="219"/>
        <c:overlap val="-27"/>
        <c:axId val="1309872272"/>
        <c:axId val="1309868432"/>
      </c:barChart>
      <c:catAx>
        <c:axId val="130987227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868432"/>
        <c:crosses val="autoZero"/>
        <c:auto val="1"/>
        <c:lblAlgn val="ctr"/>
        <c:lblOffset val="100"/>
        <c:noMultiLvlLbl val="0"/>
      </c:catAx>
      <c:valAx>
        <c:axId val="13098684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872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Stock</a:t>
            </a:r>
            <a:r>
              <a:rPr lang="en-IN" baseline="0"/>
              <a:t> Analysis</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'Price '!$B$1</c:f>
              <c:strCache>
                <c:ptCount val="1"/>
                <c:pt idx="0">
                  <c:v>Close</c:v>
                </c:pt>
              </c:strCache>
            </c:strRef>
          </c:tx>
          <c:spPr>
            <a:solidFill>
              <a:schemeClr val="accent1"/>
            </a:solidFill>
            <a:ln>
              <a:noFill/>
            </a:ln>
            <a:effectLst/>
          </c:spPr>
          <c:invertIfNegative val="0"/>
          <c:cat>
            <c:numRef>
              <c:f>'Price '!$A$2:$A$61</c:f>
              <c:numCache>
                <c:formatCode>m/d/yyyy</c:formatCode>
                <c:ptCount val="60"/>
                <c:pt idx="0">
                  <c:v>43221</c:v>
                </c:pt>
                <c:pt idx="1">
                  <c:v>43252</c:v>
                </c:pt>
                <c:pt idx="2">
                  <c:v>43282</c:v>
                </c:pt>
                <c:pt idx="3">
                  <c:v>43313</c:v>
                </c:pt>
                <c:pt idx="4">
                  <c:v>43344</c:v>
                </c:pt>
                <c:pt idx="5">
                  <c:v>43374</c:v>
                </c:pt>
                <c:pt idx="6">
                  <c:v>43405</c:v>
                </c:pt>
                <c:pt idx="7">
                  <c:v>43435</c:v>
                </c:pt>
                <c:pt idx="8">
                  <c:v>43466</c:v>
                </c:pt>
                <c:pt idx="9">
                  <c:v>43497</c:v>
                </c:pt>
                <c:pt idx="10">
                  <c:v>43525</c:v>
                </c:pt>
                <c:pt idx="11">
                  <c:v>43556</c:v>
                </c:pt>
                <c:pt idx="12">
                  <c:v>43586</c:v>
                </c:pt>
                <c:pt idx="13">
                  <c:v>43617</c:v>
                </c:pt>
                <c:pt idx="14">
                  <c:v>43647</c:v>
                </c:pt>
                <c:pt idx="15">
                  <c:v>43678</c:v>
                </c:pt>
                <c:pt idx="16">
                  <c:v>43709</c:v>
                </c:pt>
                <c:pt idx="17">
                  <c:v>43739</c:v>
                </c:pt>
                <c:pt idx="18">
                  <c:v>43770</c:v>
                </c:pt>
                <c:pt idx="19">
                  <c:v>43800</c:v>
                </c:pt>
                <c:pt idx="20">
                  <c:v>43831</c:v>
                </c:pt>
                <c:pt idx="21">
                  <c:v>43862</c:v>
                </c:pt>
                <c:pt idx="22">
                  <c:v>43891</c:v>
                </c:pt>
                <c:pt idx="23">
                  <c:v>43922</c:v>
                </c:pt>
                <c:pt idx="24">
                  <c:v>43952</c:v>
                </c:pt>
                <c:pt idx="25">
                  <c:v>43983</c:v>
                </c:pt>
                <c:pt idx="26">
                  <c:v>44013</c:v>
                </c:pt>
                <c:pt idx="27">
                  <c:v>44044</c:v>
                </c:pt>
                <c:pt idx="28">
                  <c:v>44075</c:v>
                </c:pt>
                <c:pt idx="29">
                  <c:v>44105</c:v>
                </c:pt>
                <c:pt idx="30">
                  <c:v>44136</c:v>
                </c:pt>
                <c:pt idx="31">
                  <c:v>44166</c:v>
                </c:pt>
                <c:pt idx="32">
                  <c:v>44197</c:v>
                </c:pt>
                <c:pt idx="33">
                  <c:v>44228</c:v>
                </c:pt>
                <c:pt idx="34">
                  <c:v>44256</c:v>
                </c:pt>
                <c:pt idx="35">
                  <c:v>44287</c:v>
                </c:pt>
                <c:pt idx="36">
                  <c:v>44317</c:v>
                </c:pt>
                <c:pt idx="37">
                  <c:v>44348</c:v>
                </c:pt>
                <c:pt idx="38">
                  <c:v>44378</c:v>
                </c:pt>
                <c:pt idx="39">
                  <c:v>44409</c:v>
                </c:pt>
                <c:pt idx="40">
                  <c:v>44440</c:v>
                </c:pt>
                <c:pt idx="41">
                  <c:v>44470</c:v>
                </c:pt>
                <c:pt idx="42">
                  <c:v>44501</c:v>
                </c:pt>
                <c:pt idx="43">
                  <c:v>44531</c:v>
                </c:pt>
                <c:pt idx="44">
                  <c:v>44562</c:v>
                </c:pt>
                <c:pt idx="45">
                  <c:v>44593</c:v>
                </c:pt>
                <c:pt idx="46">
                  <c:v>44621</c:v>
                </c:pt>
                <c:pt idx="47">
                  <c:v>44652</c:v>
                </c:pt>
                <c:pt idx="48">
                  <c:v>44682</c:v>
                </c:pt>
                <c:pt idx="49">
                  <c:v>44713</c:v>
                </c:pt>
                <c:pt idx="50">
                  <c:v>44743</c:v>
                </c:pt>
                <c:pt idx="51">
                  <c:v>44774</c:v>
                </c:pt>
                <c:pt idx="52">
                  <c:v>44805</c:v>
                </c:pt>
                <c:pt idx="53">
                  <c:v>44835</c:v>
                </c:pt>
                <c:pt idx="54">
                  <c:v>44866</c:v>
                </c:pt>
                <c:pt idx="55">
                  <c:v>44896</c:v>
                </c:pt>
                <c:pt idx="56">
                  <c:v>44927</c:v>
                </c:pt>
                <c:pt idx="57">
                  <c:v>44958</c:v>
                </c:pt>
                <c:pt idx="58">
                  <c:v>44986</c:v>
                </c:pt>
                <c:pt idx="59">
                  <c:v>45017</c:v>
                </c:pt>
              </c:numCache>
            </c:numRef>
          </c:cat>
          <c:val>
            <c:numRef>
              <c:f>'Price '!$B$2:$B$61</c:f>
              <c:numCache>
                <c:formatCode>General</c:formatCode>
                <c:ptCount val="60"/>
                <c:pt idx="0">
                  <c:v>81.239998</c:v>
                </c:pt>
                <c:pt idx="1">
                  <c:v>82.730002999999996</c:v>
                </c:pt>
                <c:pt idx="2">
                  <c:v>81.510002</c:v>
                </c:pt>
                <c:pt idx="3">
                  <c:v>80.169998000000007</c:v>
                </c:pt>
                <c:pt idx="4">
                  <c:v>85.019997000000004</c:v>
                </c:pt>
                <c:pt idx="5">
                  <c:v>79.680000000000007</c:v>
                </c:pt>
                <c:pt idx="6">
                  <c:v>79.5</c:v>
                </c:pt>
                <c:pt idx="7">
                  <c:v>68.190002000000007</c:v>
                </c:pt>
                <c:pt idx="8">
                  <c:v>73.279999000000004</c:v>
                </c:pt>
                <c:pt idx="9">
                  <c:v>79.029999000000004</c:v>
                </c:pt>
                <c:pt idx="10">
                  <c:v>80.800003000000004</c:v>
                </c:pt>
                <c:pt idx="11">
                  <c:v>80.279999000000004</c:v>
                </c:pt>
                <c:pt idx="12">
                  <c:v>70.769997000000004</c:v>
                </c:pt>
                <c:pt idx="13">
                  <c:v>76.629997000000003</c:v>
                </c:pt>
                <c:pt idx="14">
                  <c:v>74.360000999999997</c:v>
                </c:pt>
                <c:pt idx="15">
                  <c:v>68.480002999999996</c:v>
                </c:pt>
                <c:pt idx="16">
                  <c:v>70.610000999999997</c:v>
                </c:pt>
                <c:pt idx="17">
                  <c:v>67.569999999999993</c:v>
                </c:pt>
                <c:pt idx="18">
                  <c:v>68.129997000000003</c:v>
                </c:pt>
                <c:pt idx="19">
                  <c:v>69.779999000000004</c:v>
                </c:pt>
                <c:pt idx="20">
                  <c:v>62.119999</c:v>
                </c:pt>
                <c:pt idx="21">
                  <c:v>51.439999</c:v>
                </c:pt>
                <c:pt idx="22">
                  <c:v>37.970001000000003</c:v>
                </c:pt>
                <c:pt idx="23">
                  <c:v>46.470001000000003</c:v>
                </c:pt>
                <c:pt idx="24">
                  <c:v>45.470001000000003</c:v>
                </c:pt>
                <c:pt idx="25">
                  <c:v>44.720001000000003</c:v>
                </c:pt>
                <c:pt idx="26">
                  <c:v>42.080002</c:v>
                </c:pt>
                <c:pt idx="27">
                  <c:v>39.939999</c:v>
                </c:pt>
                <c:pt idx="28">
                  <c:v>34.330002</c:v>
                </c:pt>
                <c:pt idx="29">
                  <c:v>32.619999</c:v>
                </c:pt>
                <c:pt idx="30">
                  <c:v>38.130001</c:v>
                </c:pt>
                <c:pt idx="31">
                  <c:v>41.220001000000003</c:v>
                </c:pt>
                <c:pt idx="32">
                  <c:v>44.84</c:v>
                </c:pt>
                <c:pt idx="33">
                  <c:v>54.369999</c:v>
                </c:pt>
                <c:pt idx="34">
                  <c:v>55.830002</c:v>
                </c:pt>
                <c:pt idx="35">
                  <c:v>57.240001999999997</c:v>
                </c:pt>
                <c:pt idx="36">
                  <c:v>58.369999</c:v>
                </c:pt>
                <c:pt idx="37">
                  <c:v>63.080002</c:v>
                </c:pt>
                <c:pt idx="38">
                  <c:v>57.57</c:v>
                </c:pt>
                <c:pt idx="39">
                  <c:v>54.52</c:v>
                </c:pt>
                <c:pt idx="40">
                  <c:v>58.82</c:v>
                </c:pt>
                <c:pt idx="41">
                  <c:v>64.470000999999996</c:v>
                </c:pt>
                <c:pt idx="42">
                  <c:v>59.84</c:v>
                </c:pt>
                <c:pt idx="43">
                  <c:v>61.189999</c:v>
                </c:pt>
                <c:pt idx="44">
                  <c:v>75.959998999999996</c:v>
                </c:pt>
                <c:pt idx="45">
                  <c:v>78.419998000000007</c:v>
                </c:pt>
                <c:pt idx="46">
                  <c:v>82.589995999999999</c:v>
                </c:pt>
                <c:pt idx="47">
                  <c:v>85.25</c:v>
                </c:pt>
                <c:pt idx="48">
                  <c:v>96</c:v>
                </c:pt>
                <c:pt idx="49">
                  <c:v>85.639999000000003</c:v>
                </c:pt>
                <c:pt idx="50">
                  <c:v>96.93</c:v>
                </c:pt>
                <c:pt idx="51">
                  <c:v>95.589995999999999</c:v>
                </c:pt>
                <c:pt idx="52">
                  <c:v>87.309997999999993</c:v>
                </c:pt>
                <c:pt idx="53">
                  <c:v>110.80999799999999</c:v>
                </c:pt>
                <c:pt idx="54">
                  <c:v>111.339996</c:v>
                </c:pt>
                <c:pt idx="55">
                  <c:v>110.300003</c:v>
                </c:pt>
                <c:pt idx="56">
                  <c:v>116.010002</c:v>
                </c:pt>
                <c:pt idx="57">
                  <c:v>109.910004</c:v>
                </c:pt>
                <c:pt idx="58">
                  <c:v>109.660004</c:v>
                </c:pt>
                <c:pt idx="59">
                  <c:v>118.339996</c:v>
                </c:pt>
              </c:numCache>
            </c:numRef>
          </c:val>
          <c:extLst>
            <c:ext xmlns:c16="http://schemas.microsoft.com/office/drawing/2014/chart" uri="{C3380CC4-5D6E-409C-BE32-E72D297353CC}">
              <c16:uniqueId val="{00000000-D236-4475-B6B3-13224B7090C6}"/>
            </c:ext>
          </c:extLst>
        </c:ser>
        <c:dLbls>
          <c:showLegendKey val="0"/>
          <c:showVal val="0"/>
          <c:showCatName val="0"/>
          <c:showSerName val="0"/>
          <c:showPercent val="0"/>
          <c:showBubbleSize val="0"/>
        </c:dLbls>
        <c:gapWidth val="219"/>
        <c:overlap val="-27"/>
        <c:axId val="231859103"/>
        <c:axId val="231859583"/>
      </c:barChart>
      <c:lineChart>
        <c:grouping val="standard"/>
        <c:varyColors val="0"/>
        <c:ser>
          <c:idx val="1"/>
          <c:order val="1"/>
          <c:tx>
            <c:strRef>
              <c:f>'Price '!$C$1</c:f>
              <c:strCache>
                <c:ptCount val="1"/>
                <c:pt idx="0">
                  <c:v>Return </c:v>
                </c:pt>
              </c:strCache>
            </c:strRef>
          </c:tx>
          <c:spPr>
            <a:ln w="28575" cap="rnd">
              <a:solidFill>
                <a:schemeClr val="accent2"/>
              </a:solidFill>
              <a:round/>
            </a:ln>
            <a:effectLst/>
          </c:spPr>
          <c:marker>
            <c:symbol val="none"/>
          </c:marker>
          <c:cat>
            <c:numRef>
              <c:f>'Price '!$A$2:$A$61</c:f>
              <c:numCache>
                <c:formatCode>m/d/yyyy</c:formatCode>
                <c:ptCount val="60"/>
                <c:pt idx="0">
                  <c:v>43221</c:v>
                </c:pt>
                <c:pt idx="1">
                  <c:v>43252</c:v>
                </c:pt>
                <c:pt idx="2">
                  <c:v>43282</c:v>
                </c:pt>
                <c:pt idx="3">
                  <c:v>43313</c:v>
                </c:pt>
                <c:pt idx="4">
                  <c:v>43344</c:v>
                </c:pt>
                <c:pt idx="5">
                  <c:v>43374</c:v>
                </c:pt>
                <c:pt idx="6">
                  <c:v>43405</c:v>
                </c:pt>
                <c:pt idx="7">
                  <c:v>43435</c:v>
                </c:pt>
                <c:pt idx="8">
                  <c:v>43466</c:v>
                </c:pt>
                <c:pt idx="9">
                  <c:v>43497</c:v>
                </c:pt>
                <c:pt idx="10">
                  <c:v>43525</c:v>
                </c:pt>
                <c:pt idx="11">
                  <c:v>43556</c:v>
                </c:pt>
                <c:pt idx="12">
                  <c:v>43586</c:v>
                </c:pt>
                <c:pt idx="13">
                  <c:v>43617</c:v>
                </c:pt>
                <c:pt idx="14">
                  <c:v>43647</c:v>
                </c:pt>
                <c:pt idx="15">
                  <c:v>43678</c:v>
                </c:pt>
                <c:pt idx="16">
                  <c:v>43709</c:v>
                </c:pt>
                <c:pt idx="17">
                  <c:v>43739</c:v>
                </c:pt>
                <c:pt idx="18">
                  <c:v>43770</c:v>
                </c:pt>
                <c:pt idx="19">
                  <c:v>43800</c:v>
                </c:pt>
                <c:pt idx="20">
                  <c:v>43831</c:v>
                </c:pt>
                <c:pt idx="21">
                  <c:v>43862</c:v>
                </c:pt>
                <c:pt idx="22">
                  <c:v>43891</c:v>
                </c:pt>
                <c:pt idx="23">
                  <c:v>43922</c:v>
                </c:pt>
                <c:pt idx="24">
                  <c:v>43952</c:v>
                </c:pt>
                <c:pt idx="25">
                  <c:v>43983</c:v>
                </c:pt>
                <c:pt idx="26">
                  <c:v>44013</c:v>
                </c:pt>
                <c:pt idx="27">
                  <c:v>44044</c:v>
                </c:pt>
                <c:pt idx="28">
                  <c:v>44075</c:v>
                </c:pt>
                <c:pt idx="29">
                  <c:v>44105</c:v>
                </c:pt>
                <c:pt idx="30">
                  <c:v>44136</c:v>
                </c:pt>
                <c:pt idx="31">
                  <c:v>44166</c:v>
                </c:pt>
                <c:pt idx="32">
                  <c:v>44197</c:v>
                </c:pt>
                <c:pt idx="33">
                  <c:v>44228</c:v>
                </c:pt>
                <c:pt idx="34">
                  <c:v>44256</c:v>
                </c:pt>
                <c:pt idx="35">
                  <c:v>44287</c:v>
                </c:pt>
                <c:pt idx="36">
                  <c:v>44317</c:v>
                </c:pt>
                <c:pt idx="37">
                  <c:v>44348</c:v>
                </c:pt>
                <c:pt idx="38">
                  <c:v>44378</c:v>
                </c:pt>
                <c:pt idx="39">
                  <c:v>44409</c:v>
                </c:pt>
                <c:pt idx="40">
                  <c:v>44440</c:v>
                </c:pt>
                <c:pt idx="41">
                  <c:v>44470</c:v>
                </c:pt>
                <c:pt idx="42">
                  <c:v>44501</c:v>
                </c:pt>
                <c:pt idx="43">
                  <c:v>44531</c:v>
                </c:pt>
                <c:pt idx="44">
                  <c:v>44562</c:v>
                </c:pt>
                <c:pt idx="45">
                  <c:v>44593</c:v>
                </c:pt>
                <c:pt idx="46">
                  <c:v>44621</c:v>
                </c:pt>
                <c:pt idx="47">
                  <c:v>44652</c:v>
                </c:pt>
                <c:pt idx="48">
                  <c:v>44682</c:v>
                </c:pt>
                <c:pt idx="49">
                  <c:v>44713</c:v>
                </c:pt>
                <c:pt idx="50">
                  <c:v>44743</c:v>
                </c:pt>
                <c:pt idx="51">
                  <c:v>44774</c:v>
                </c:pt>
                <c:pt idx="52">
                  <c:v>44805</c:v>
                </c:pt>
                <c:pt idx="53">
                  <c:v>44835</c:v>
                </c:pt>
                <c:pt idx="54">
                  <c:v>44866</c:v>
                </c:pt>
                <c:pt idx="55">
                  <c:v>44896</c:v>
                </c:pt>
                <c:pt idx="56">
                  <c:v>44927</c:v>
                </c:pt>
                <c:pt idx="57">
                  <c:v>44958</c:v>
                </c:pt>
                <c:pt idx="58">
                  <c:v>44986</c:v>
                </c:pt>
                <c:pt idx="59">
                  <c:v>45017</c:v>
                </c:pt>
              </c:numCache>
            </c:numRef>
          </c:cat>
          <c:val>
            <c:numRef>
              <c:f>'Price '!$C$2:$C$61</c:f>
              <c:numCache>
                <c:formatCode>0.00</c:formatCode>
                <c:ptCount val="60"/>
                <c:pt idx="0">
                  <c:v>1.8340780855262903E-2</c:v>
                </c:pt>
                <c:pt idx="1">
                  <c:v>-1.4746778142870325E-2</c:v>
                </c:pt>
                <c:pt idx="2">
                  <c:v>-1.6439749320580233E-2</c:v>
                </c:pt>
                <c:pt idx="3">
                  <c:v>6.0496434089969624E-2</c:v>
                </c:pt>
                <c:pt idx="4">
                  <c:v>-6.2808717812587039E-2</c:v>
                </c:pt>
                <c:pt idx="5">
                  <c:v>-2.2590361445783986E-3</c:v>
                </c:pt>
                <c:pt idx="6">
                  <c:v>-0.14226412578616343</c:v>
                </c:pt>
                <c:pt idx="7">
                  <c:v>7.4644329824187367E-2</c:v>
                </c:pt>
                <c:pt idx="8">
                  <c:v>7.8466158276011985E-2</c:v>
                </c:pt>
                <c:pt idx="9">
                  <c:v>2.2396609166096537E-2</c:v>
                </c:pt>
                <c:pt idx="10">
                  <c:v>-6.4356928303579411E-3</c:v>
                </c:pt>
                <c:pt idx="11">
                  <c:v>-0.11846041502815663</c:v>
                </c:pt>
                <c:pt idx="12">
                  <c:v>8.2803451298719133E-2</c:v>
                </c:pt>
                <c:pt idx="13">
                  <c:v>-2.9622812069273682E-2</c:v>
                </c:pt>
                <c:pt idx="14">
                  <c:v>-7.9074743422878666E-2</c:v>
                </c:pt>
                <c:pt idx="15">
                  <c:v>3.1103941394395099E-2</c:v>
                </c:pt>
                <c:pt idx="16">
                  <c:v>-4.3053405423404592E-2</c:v>
                </c:pt>
                <c:pt idx="17">
                  <c:v>8.2876572443393512E-3</c:v>
                </c:pt>
                <c:pt idx="18">
                  <c:v>2.4218436410616613E-2</c:v>
                </c:pt>
                <c:pt idx="19">
                  <c:v>-0.10977357566313527</c:v>
                </c:pt>
                <c:pt idx="20">
                  <c:v>-0.17192530862725866</c:v>
                </c:pt>
                <c:pt idx="21">
                  <c:v>-0.2618584421045575</c:v>
                </c:pt>
                <c:pt idx="22">
                  <c:v>0.22386093695388629</c:v>
                </c:pt>
                <c:pt idx="23">
                  <c:v>-2.1519259274386499E-2</c:v>
                </c:pt>
                <c:pt idx="24">
                  <c:v>-1.6494391543998427E-2</c:v>
                </c:pt>
                <c:pt idx="25">
                  <c:v>-5.9033965585108171E-2</c:v>
                </c:pt>
                <c:pt idx="26">
                  <c:v>-5.0855582183670048E-2</c:v>
                </c:pt>
                <c:pt idx="27">
                  <c:v>-0.1404606194406765</c:v>
                </c:pt>
                <c:pt idx="28">
                  <c:v>-4.9810745714491955E-2</c:v>
                </c:pt>
                <c:pt idx="29">
                  <c:v>0.16891484270125207</c:v>
                </c:pt>
                <c:pt idx="30">
                  <c:v>8.1038550195684581E-2</c:v>
                </c:pt>
                <c:pt idx="31">
                  <c:v>8.7821419509426984E-2</c:v>
                </c:pt>
                <c:pt idx="32">
                  <c:v>0.2125334299732381</c:v>
                </c:pt>
                <c:pt idx="33">
                  <c:v>2.6853099629448225E-2</c:v>
                </c:pt>
                <c:pt idx="34">
                  <c:v>2.5255238214034036E-2</c:v>
                </c:pt>
                <c:pt idx="35">
                  <c:v>1.9741386452082989E-2</c:v>
                </c:pt>
                <c:pt idx="36">
                  <c:v>8.0692189150114599E-2</c:v>
                </c:pt>
                <c:pt idx="37">
                  <c:v>-8.7349426526651036E-2</c:v>
                </c:pt>
                <c:pt idx="38">
                  <c:v>-5.2978982108737138E-2</c:v>
                </c:pt>
                <c:pt idx="39">
                  <c:v>7.8870139398385858E-2</c:v>
                </c:pt>
                <c:pt idx="40">
                  <c:v>9.6055780346820746E-2</c:v>
                </c:pt>
                <c:pt idx="41">
                  <c:v>-7.1816363086453075E-2</c:v>
                </c:pt>
                <c:pt idx="42">
                  <c:v>2.2560143716577486E-2</c:v>
                </c:pt>
                <c:pt idx="43">
                  <c:v>0.24137931428957854</c:v>
                </c:pt>
                <c:pt idx="44">
                  <c:v>3.238545329628046E-2</c:v>
                </c:pt>
                <c:pt idx="45">
                  <c:v>5.3175186257974558E-2</c:v>
                </c:pt>
                <c:pt idx="46">
                  <c:v>3.2207339009920774E-2</c:v>
                </c:pt>
                <c:pt idx="47">
                  <c:v>0.12609970674486803</c:v>
                </c:pt>
                <c:pt idx="48">
                  <c:v>-0.1079166770833333</c:v>
                </c:pt>
                <c:pt idx="49">
                  <c:v>0.13183093334692828</c:v>
                </c:pt>
                <c:pt idx="50">
                  <c:v>-1.3824450634478565E-2</c:v>
                </c:pt>
                <c:pt idx="51">
                  <c:v>-8.6619922026150167E-2</c:v>
                </c:pt>
                <c:pt idx="52">
                  <c:v>0.26915588750786595</c:v>
                </c:pt>
                <c:pt idx="53">
                  <c:v>4.7829438639643892E-3</c:v>
                </c:pt>
                <c:pt idx="54">
                  <c:v>-9.3406955035277312E-3</c:v>
                </c:pt>
                <c:pt idx="55">
                  <c:v>5.1767895237500548E-2</c:v>
                </c:pt>
                <c:pt idx="56">
                  <c:v>-5.2581655847225996E-2</c:v>
                </c:pt>
                <c:pt idx="57">
                  <c:v>-2.2745882167377594E-3</c:v>
                </c:pt>
                <c:pt idx="58">
                  <c:v>7.9153672108200901E-2</c:v>
                </c:pt>
                <c:pt idx="59">
                  <c:v>-1</c:v>
                </c:pt>
              </c:numCache>
            </c:numRef>
          </c:val>
          <c:smooth val="0"/>
          <c:extLst>
            <c:ext xmlns:c16="http://schemas.microsoft.com/office/drawing/2014/chart" uri="{C3380CC4-5D6E-409C-BE32-E72D297353CC}">
              <c16:uniqueId val="{00000001-D236-4475-B6B3-13224B7090C6}"/>
            </c:ext>
          </c:extLst>
        </c:ser>
        <c:dLbls>
          <c:showLegendKey val="0"/>
          <c:showVal val="0"/>
          <c:showCatName val="0"/>
          <c:showSerName val="0"/>
          <c:showPercent val="0"/>
          <c:showBubbleSize val="0"/>
        </c:dLbls>
        <c:marker val="1"/>
        <c:smooth val="0"/>
        <c:axId val="574171967"/>
        <c:axId val="574172447"/>
      </c:lineChart>
      <c:dateAx>
        <c:axId val="231859103"/>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859583"/>
        <c:crosses val="autoZero"/>
        <c:auto val="1"/>
        <c:lblOffset val="100"/>
        <c:baseTimeUnit val="months"/>
      </c:dateAx>
      <c:valAx>
        <c:axId val="231859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859103"/>
        <c:crosses val="autoZero"/>
        <c:crossBetween val="between"/>
      </c:valAx>
      <c:valAx>
        <c:axId val="574172447"/>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171967"/>
        <c:crosses val="max"/>
        <c:crossBetween val="between"/>
      </c:valAx>
      <c:dateAx>
        <c:axId val="574171967"/>
        <c:scaling>
          <c:orientation val="minMax"/>
        </c:scaling>
        <c:delete val="1"/>
        <c:axPos val="b"/>
        <c:numFmt formatCode="m/d/yyyy" sourceLinked="1"/>
        <c:majorTickMark val="out"/>
        <c:minorTickMark val="none"/>
        <c:tickLblPos val="nextTo"/>
        <c:crossAx val="574172447"/>
        <c:crosses val="autoZero"/>
        <c:auto val="1"/>
        <c:lblOffset val="100"/>
        <c:baseTimeUnit val="months"/>
      </c:date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6155</Words>
  <Characters>35088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Deepkumar Patel</cp:lastModifiedBy>
  <cp:revision>2</cp:revision>
  <dcterms:created xsi:type="dcterms:W3CDTF">2024-04-20T08:47:00Z</dcterms:created>
  <dcterms:modified xsi:type="dcterms:W3CDTF">2024-04-20T08:47:00Z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b273e95a-2bab-47af-ae1c-e5026fd966a2</vt:lpwstr>
  </property>
</Properties>
</file>