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AF152" w14:textId="77777777" w:rsidR="00006732" w:rsidRDefault="00CF6AF6">
      <w:pPr>
        <w:spacing w:line="480" w:lineRule="auto"/>
        <w:jc w:val="center"/>
      </w:pPr>
      <w:r>
        <w:rPr>
          <w:noProof/>
        </w:rPr>
        <w:drawing>
          <wp:inline distT="0" distB="0" distL="0" distR="0" wp14:anchorId="589804FD" wp14:editId="5B0446E2">
            <wp:extent cx="3209925" cy="1428750"/>
            <wp:effectExtent l="0" t="0" r="0" b="0"/>
            <wp:docPr id="1026" name="Picture 6389424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38942447"/>
                    <pic:cNvPicPr/>
                  </pic:nvPicPr>
                  <pic:blipFill>
                    <a:blip r:embed="rId7" cstate="print"/>
                    <a:srcRect/>
                    <a:stretch/>
                  </pic:blipFill>
                  <pic:spPr>
                    <a:xfrm>
                      <a:off x="0" y="0"/>
                      <a:ext cx="3209925" cy="1428750"/>
                    </a:xfrm>
                    <a:prstGeom prst="rect">
                      <a:avLst/>
                    </a:prstGeom>
                  </pic:spPr>
                </pic:pic>
              </a:graphicData>
            </a:graphic>
          </wp:inline>
        </w:drawing>
      </w:r>
    </w:p>
    <w:p w14:paraId="199884CC" w14:textId="77777777" w:rsidR="00006732" w:rsidRDefault="00006732">
      <w:pPr>
        <w:spacing w:line="480" w:lineRule="auto"/>
        <w:jc w:val="center"/>
        <w:rPr>
          <w:rFonts w:ascii="Arial Nova" w:eastAsia="Arial Nova" w:hAnsi="Arial Nova" w:cs="Arial Nova"/>
        </w:rPr>
      </w:pPr>
    </w:p>
    <w:p w14:paraId="0B2B4DD2" w14:textId="77777777" w:rsidR="00006732" w:rsidRDefault="00CF6AF6">
      <w:pPr>
        <w:spacing w:line="480" w:lineRule="auto"/>
        <w:jc w:val="center"/>
        <w:rPr>
          <w:rFonts w:ascii="Arial Nova" w:eastAsia="Arial Nova" w:hAnsi="Arial Nova" w:cs="Arial Nova"/>
          <w:sz w:val="44"/>
          <w:szCs w:val="44"/>
        </w:rPr>
      </w:pPr>
      <w:r>
        <w:rPr>
          <w:rFonts w:ascii="Arial Nova" w:eastAsia="Arial Nova" w:hAnsi="Arial Nova" w:cs="Arial Nova"/>
          <w:sz w:val="44"/>
          <w:szCs w:val="44"/>
        </w:rPr>
        <w:t>Cover Page</w:t>
      </w:r>
    </w:p>
    <w:p w14:paraId="17551E40" w14:textId="77777777" w:rsidR="00006732" w:rsidRDefault="00CF6AF6">
      <w:pPr>
        <w:spacing w:line="480" w:lineRule="auto"/>
        <w:jc w:val="center"/>
        <w:rPr>
          <w:b/>
          <w:bCs/>
          <w:sz w:val="28"/>
          <w:szCs w:val="28"/>
        </w:rPr>
      </w:pPr>
      <w:r>
        <w:rPr>
          <w:b/>
          <w:bCs/>
          <w:sz w:val="28"/>
          <w:szCs w:val="28"/>
        </w:rPr>
        <w:t>BSc Health and Social Care</w:t>
      </w:r>
    </w:p>
    <w:p w14:paraId="37763021" w14:textId="77777777" w:rsidR="00006732" w:rsidRDefault="00CF6AF6">
      <w:pPr>
        <w:spacing w:line="480" w:lineRule="auto"/>
        <w:jc w:val="center"/>
        <w:rPr>
          <w:b/>
          <w:bCs/>
          <w:sz w:val="28"/>
          <w:szCs w:val="28"/>
        </w:rPr>
      </w:pPr>
      <w:r>
        <w:rPr>
          <w:b/>
          <w:bCs/>
          <w:sz w:val="28"/>
          <w:szCs w:val="28"/>
        </w:rPr>
        <w:t>BMHP5015: Changemakers: Building your Personal Brand for Sustainable Employment</w:t>
      </w:r>
    </w:p>
    <w:p w14:paraId="4C212247" w14:textId="77777777" w:rsidR="00006732" w:rsidRDefault="00CF6AF6">
      <w:pPr>
        <w:spacing w:line="480" w:lineRule="auto"/>
        <w:jc w:val="center"/>
        <w:rPr>
          <w:b/>
          <w:bCs/>
          <w:sz w:val="28"/>
          <w:szCs w:val="28"/>
        </w:rPr>
      </w:pPr>
      <w:r>
        <w:rPr>
          <w:b/>
          <w:bCs/>
          <w:sz w:val="28"/>
          <w:szCs w:val="28"/>
        </w:rPr>
        <w:t>Assignment Title: Component 1 – Online Portfolio of Set Exercises</w:t>
      </w:r>
    </w:p>
    <w:p w14:paraId="2E2CD1CA" w14:textId="77777777" w:rsidR="00006732" w:rsidRDefault="00CF6AF6">
      <w:pPr>
        <w:spacing w:line="480" w:lineRule="auto"/>
        <w:jc w:val="center"/>
        <w:rPr>
          <w:b/>
          <w:bCs/>
          <w:sz w:val="28"/>
          <w:szCs w:val="28"/>
        </w:rPr>
      </w:pPr>
      <w:r>
        <w:rPr>
          <w:b/>
          <w:bCs/>
          <w:sz w:val="28"/>
          <w:szCs w:val="28"/>
        </w:rPr>
        <w:t xml:space="preserve">Noreen Akhtar </w:t>
      </w:r>
    </w:p>
    <w:p w14:paraId="0878FD9D" w14:textId="153DD2D9" w:rsidR="00006732" w:rsidRDefault="00400850">
      <w:pPr>
        <w:spacing w:line="480" w:lineRule="auto"/>
        <w:jc w:val="center"/>
        <w:rPr>
          <w:b/>
          <w:bCs/>
          <w:sz w:val="28"/>
          <w:szCs w:val="28"/>
        </w:rPr>
      </w:pPr>
      <w:r>
        <w:rPr>
          <w:b/>
          <w:bCs/>
          <w:sz w:val="28"/>
          <w:szCs w:val="28"/>
        </w:rPr>
        <w:t>[23214</w:t>
      </w:r>
      <w:r w:rsidR="006D10C6">
        <w:rPr>
          <w:b/>
          <w:bCs/>
          <w:sz w:val="28"/>
          <w:szCs w:val="28"/>
        </w:rPr>
        <w:t>75</w:t>
      </w:r>
    </w:p>
    <w:p w14:paraId="24A63199" w14:textId="77777777" w:rsidR="00006732" w:rsidRDefault="00CF6AF6">
      <w:pPr>
        <w:spacing w:line="480" w:lineRule="auto"/>
        <w:jc w:val="center"/>
        <w:rPr>
          <w:b/>
          <w:bCs/>
          <w:sz w:val="28"/>
          <w:szCs w:val="28"/>
        </w:rPr>
      </w:pPr>
      <w:r>
        <w:rPr>
          <w:b/>
          <w:bCs/>
          <w:sz w:val="28"/>
          <w:szCs w:val="28"/>
        </w:rPr>
        <w:t xml:space="preserve">Word Count: </w:t>
      </w:r>
      <w:r>
        <w:rPr>
          <w:b/>
          <w:bCs/>
          <w:sz w:val="28"/>
          <w:szCs w:val="28"/>
        </w:rPr>
        <w:t>(</w:t>
      </w:r>
      <w:r>
        <w:rPr>
          <w:b/>
          <w:bCs/>
          <w:sz w:val="28"/>
          <w:szCs w:val="28"/>
        </w:rPr>
        <w:t>2,000 words +/-10%)</w:t>
      </w:r>
    </w:p>
    <w:p w14:paraId="16C991F4" w14:textId="77777777" w:rsidR="00006732" w:rsidRDefault="00CF6AF6">
      <w:pPr>
        <w:spacing w:line="480" w:lineRule="auto"/>
        <w:jc w:val="center"/>
        <w:rPr>
          <w:b/>
          <w:bCs/>
          <w:sz w:val="28"/>
          <w:szCs w:val="28"/>
        </w:rPr>
      </w:pPr>
      <w:r>
        <w:rPr>
          <w:b/>
          <w:bCs/>
          <w:sz w:val="28"/>
          <w:szCs w:val="28"/>
        </w:rPr>
        <w:t>Submission Date: Monday 26th October 2026</w:t>
      </w:r>
    </w:p>
    <w:p w14:paraId="4DF0E92C" w14:textId="77777777" w:rsidR="00006732" w:rsidRDefault="00006732">
      <w:pPr>
        <w:spacing w:line="480" w:lineRule="auto"/>
        <w:jc w:val="center"/>
        <w:rPr>
          <w:b/>
          <w:bCs/>
          <w:sz w:val="28"/>
          <w:szCs w:val="28"/>
        </w:rPr>
      </w:pPr>
    </w:p>
    <w:p w14:paraId="2E2E2B48" w14:textId="77777777" w:rsidR="00006732" w:rsidRDefault="00006732">
      <w:pPr>
        <w:spacing w:line="480" w:lineRule="auto"/>
        <w:rPr>
          <w:rFonts w:ascii="Arial Nova" w:eastAsia="Arial Nova" w:hAnsi="Arial Nova" w:cs="Arial Nova"/>
          <w:sz w:val="72"/>
          <w:szCs w:val="72"/>
        </w:rPr>
      </w:pPr>
    </w:p>
    <w:p w14:paraId="3C3F2B05" w14:textId="77777777" w:rsidR="00006732" w:rsidRDefault="00CF6AF6">
      <w:pPr>
        <w:pStyle w:val="Heading1"/>
        <w:spacing w:line="480" w:lineRule="auto"/>
      </w:pPr>
      <w:r>
        <w:t>Task 1 – Personal Brand</w:t>
      </w:r>
    </w:p>
    <w:p w14:paraId="5E622BB1" w14:textId="77777777" w:rsidR="00006732" w:rsidRDefault="00CF6AF6">
      <w:pPr>
        <w:spacing w:line="480" w:lineRule="auto"/>
      </w:pPr>
      <w:r>
        <w:rPr>
          <w:lang w:eastAsia="zh-CN"/>
        </w:rPr>
        <w:t>It's crucial that everyone in the health and social care industry has a personal brand to help them raise their profile, develop their career and demonstrate their values as a health and social care practitioner. In academic literature, the process of personal branding has been described as a strategy that aims to shape and build a professional image of the person with a clear message and values, which are presented in a positive way for both the employer and colleagues as well as their supporters – service</w:t>
      </w:r>
      <w:r>
        <w:rPr>
          <w:lang w:eastAsia="zh-CN"/>
        </w:rPr>
        <w:t xml:space="preserve"> users (Gorbatov et al., 2018</w:t>
      </w:r>
      <w:r>
        <w:rPr>
          <w:lang w:eastAsia="zh-CN"/>
        </w:rPr>
        <w:t xml:space="preserve"> p. 2238</w:t>
      </w:r>
      <w:r>
        <w:rPr>
          <w:lang w:eastAsia="zh-CN"/>
        </w:rPr>
        <w:t>). Moreover, strategic brand management in health care contexts allows practitioners to define their professional identity, to make their image relevant internally with values and to enhance their career options (Botti, 2026).</w:t>
      </w:r>
      <w:r>
        <w:rPr>
          <w:lang w:eastAsia="zh-CN"/>
        </w:rPr>
        <w:br/>
      </w:r>
      <w:r>
        <w:rPr>
          <w:lang w:eastAsia="zh-CN"/>
        </w:rPr>
        <w:t>The health and social care professional who is dedicated, compassionate, adaptable and works to improve well-being of people who use services embraces digital inclusion and positive organizational change, is emotionally intelligent and communicates and works well with others to improve well-being. The key elements of this brand identity are your image, which is professional, approachable and reliable; your mission to support high standards of care and support to drive digital and structural change; your val</w:t>
      </w:r>
      <w:r>
        <w:rPr>
          <w:lang w:eastAsia="zh-CN"/>
        </w:rPr>
        <w:t>ues of compassion, empathy, resilience, adaptability and collaboration; and your vision to become a transformative leader in health and social care, inspiring colleagues and helping to shape sustainable residential and community care systems.</w:t>
      </w:r>
    </w:p>
    <w:p w14:paraId="77330D13" w14:textId="77777777" w:rsidR="00006732" w:rsidRDefault="00006732">
      <w:pPr>
        <w:spacing w:line="480" w:lineRule="auto"/>
        <w:rPr>
          <w:rFonts w:ascii="Arial Nova" w:eastAsia="Arial Nova" w:hAnsi="Arial Nova" w:cs="Arial Nova"/>
          <w:i/>
          <w:iCs/>
          <w:color w:val="000000"/>
        </w:rPr>
      </w:pPr>
    </w:p>
    <w:p w14:paraId="7C8981B1" w14:textId="77777777" w:rsidR="00006732" w:rsidRDefault="00006732">
      <w:pPr>
        <w:spacing w:line="480" w:lineRule="auto"/>
        <w:rPr>
          <w:rFonts w:ascii="Arial Nova" w:eastAsia="Arial Nova" w:hAnsi="Arial Nova" w:cs="Arial Nova"/>
          <w:i/>
          <w:iCs/>
          <w:color w:val="000000"/>
        </w:rPr>
      </w:pPr>
    </w:p>
    <w:p w14:paraId="424163CE" w14:textId="77777777" w:rsidR="00006732" w:rsidRDefault="00006732">
      <w:pPr>
        <w:spacing w:line="480" w:lineRule="auto"/>
        <w:rPr>
          <w:rFonts w:ascii="Arial Nova" w:eastAsia="Arial Nova" w:hAnsi="Arial Nova" w:cs="Arial Nova"/>
          <w:i/>
          <w:iCs/>
          <w:color w:val="000000"/>
        </w:rPr>
      </w:pPr>
    </w:p>
    <w:p w14:paraId="619E9D17" w14:textId="77777777" w:rsidR="00006732" w:rsidRDefault="00006732">
      <w:pPr>
        <w:spacing w:line="480" w:lineRule="auto"/>
        <w:rPr>
          <w:rFonts w:ascii="Arial Nova" w:eastAsia="Arial Nova" w:hAnsi="Arial Nova" w:cs="Arial Nova"/>
          <w:i/>
          <w:iCs/>
          <w:color w:val="000000"/>
        </w:rPr>
      </w:pPr>
    </w:p>
    <w:p w14:paraId="1CFD7198" w14:textId="77777777" w:rsidR="00006732" w:rsidRDefault="00CF6AF6">
      <w:pPr>
        <w:pStyle w:val="Heading1"/>
        <w:spacing w:line="480" w:lineRule="auto"/>
        <w:rPr>
          <w:rStyle w:val="Heading2Char"/>
          <w:b/>
          <w:lang w:val="en-GB"/>
        </w:rPr>
      </w:pPr>
      <w:r>
        <w:t>Task 2 - Network Map and Rationale</w:t>
      </w:r>
      <w:r>
        <w:rPr>
          <w:rFonts w:ascii="Arial Nova" w:eastAsia="Arial Nova" w:hAnsi="Arial Nova" w:cs="Arial Nova"/>
          <w:i/>
          <w:iCs/>
          <w:color w:val="000000"/>
          <w:lang w:val="en-GB"/>
        </w:rPr>
        <w:br/>
      </w:r>
      <w:r>
        <w:rPr>
          <w:rStyle w:val="Heading2Char"/>
          <w:b/>
        </w:rPr>
        <w:t>Network Map</w:t>
      </w:r>
    </w:p>
    <w:p w14:paraId="41FB9FD2" w14:textId="77777777" w:rsidR="00006732" w:rsidRDefault="00CF6AF6">
      <w:pPr>
        <w:spacing w:line="480" w:lineRule="auto"/>
      </w:pPr>
      <w:r>
        <w:rPr>
          <w:lang w:eastAsia="zh-CN"/>
        </w:rPr>
        <w:t>Career Dimension: Line manager, senior clinical leads, multidisciplinary team members, colleagues within the health care system who are involved and assisting in the day-to-day operations and career development.</w:t>
      </w:r>
    </w:p>
    <w:p w14:paraId="6D2F1FB1" w14:textId="77777777" w:rsidR="00006732" w:rsidRDefault="00CF6AF6">
      <w:pPr>
        <w:spacing w:line="480" w:lineRule="auto"/>
      </w:pPr>
      <w:r>
        <w:rPr>
          <w:lang w:eastAsia="zh-CN"/>
        </w:rPr>
        <w:t>Support Dimension: Mentors, clinical supervisors and close peers who provide guidance, emotional support and debriefing</w:t>
      </w:r>
      <w:r>
        <w:rPr>
          <w:lang w:eastAsia="zh-CN"/>
        </w:rPr>
        <w:t xml:space="preserve"> opportunities</w:t>
      </w:r>
      <w:r>
        <w:rPr>
          <w:lang w:eastAsia="zh-CN"/>
        </w:rPr>
        <w:t xml:space="preserve"> after high stress clinical situations.</w:t>
      </w:r>
    </w:p>
    <w:p w14:paraId="43DFB26D" w14:textId="77777777" w:rsidR="00006732" w:rsidRDefault="00CF6AF6">
      <w:pPr>
        <w:spacing w:line="480" w:lineRule="auto"/>
      </w:pPr>
      <w:r>
        <w:rPr>
          <w:lang w:eastAsia="zh-CN"/>
        </w:rPr>
        <w:t>Social Dimension: Other professionals from different departments, external healthcare professionals and others with a vested interest to pass on information and anecdote from the industry in an informal way.</w:t>
      </w:r>
    </w:p>
    <w:p w14:paraId="77CCD370" w14:textId="77777777" w:rsidR="00006732" w:rsidRDefault="00CF6AF6">
      <w:pPr>
        <w:spacing w:line="480" w:lineRule="auto"/>
      </w:pPr>
      <w:r>
        <w:rPr>
          <w:lang w:eastAsia="zh-CN"/>
        </w:rPr>
        <w:t>Community Dimension: This includes community health authorities, social care sector networks, social care advocates in the community and regulatory bodies.</w:t>
      </w:r>
    </w:p>
    <w:p w14:paraId="07D879B6" w14:textId="77777777" w:rsidR="00006732" w:rsidRDefault="00CF6AF6">
      <w:pPr>
        <w:spacing w:line="480" w:lineRule="auto"/>
      </w:pPr>
      <w:r>
        <w:rPr>
          <w:rStyle w:val="Heading2Char"/>
        </w:rPr>
        <w:t>Rationale</w:t>
      </w:r>
      <w:r>
        <w:rPr>
          <w:rStyle w:val="Heading2Char"/>
          <w:lang w:eastAsia="zh-CN"/>
        </w:rPr>
        <w:br/>
      </w:r>
      <w:r>
        <w:rPr>
          <w:lang w:eastAsia="zh-CN"/>
        </w:rPr>
        <w:t xml:space="preserve">The importance of effective professional network mapping can be said to be crucial for the use of social capital, development of careers and continued development in health and social care. The notion of professional networks as instruments for resources, emotional support and innovative ideas </w:t>
      </w:r>
      <w:r>
        <w:rPr>
          <w:lang w:eastAsia="zh-CN"/>
        </w:rPr>
        <w:t xml:space="preserve">(Faizan 2025 </w:t>
      </w:r>
      <w:r>
        <w:t>p.59</w:t>
      </w:r>
      <w:r>
        <w:rPr>
          <w:lang w:eastAsia="zh-CN"/>
        </w:rPr>
        <w:t>)</w:t>
      </w:r>
      <w:r>
        <w:rPr>
          <w:lang w:eastAsia="zh-CN"/>
        </w:rPr>
        <w:t>, based on social capital theory, is discussed. In this network map, relationships are separated in terms of relationships being strong or weak. In times of complex change in organisations, there are high-trust relationships that provide guidance, emotional support and stability – such as close clinical mentors, core support systems, and more. Social/cultural weak ties, however, serve as venues for many perspectives, new opportunities and expanded industry knowledge, but are not necessarily cultivated. Furt</w:t>
      </w:r>
      <w:r>
        <w:rPr>
          <w:lang w:eastAsia="zh-CN"/>
        </w:rPr>
        <w:t>hermore, using an analytical approach will enable practitioners to implement stakeholder participation in the most appropriate manner, including closely monitoring high-influence stakeholders and keeping stakeholders in the general population informed (</w:t>
      </w:r>
      <w:r>
        <w:rPr>
          <w:rFonts w:cs="Times New Roman"/>
          <w:color w:val="222222"/>
          <w:shd w:val="clear" w:color="auto" w:fill="FFFFFF"/>
        </w:rPr>
        <w:t>Amoah</w:t>
      </w:r>
      <w:r>
        <w:rPr>
          <w:rFonts w:cs="Times New Roman"/>
          <w:color w:val="222222"/>
          <w:shd w:val="clear" w:color="auto" w:fill="FFFFFF"/>
        </w:rPr>
        <w:t xml:space="preserve"> et al., </w:t>
      </w:r>
      <w:r>
        <w:rPr>
          <w:lang w:eastAsia="zh-CN"/>
        </w:rPr>
        <w:t>2020</w:t>
      </w:r>
      <w:r>
        <w:rPr>
          <w:rFonts w:cs="Times New Roman"/>
          <w:lang w:eastAsia="zh-CN"/>
        </w:rPr>
        <w:t xml:space="preserve"> </w:t>
      </w:r>
      <w:r>
        <w:rPr>
          <w:rFonts w:cs="Times New Roman"/>
          <w:color w:val="222222"/>
          <w:shd w:val="clear" w:color="auto" w:fill="FFFFFF"/>
        </w:rPr>
        <w:t>pp.356-373</w:t>
      </w:r>
      <w:r>
        <w:rPr>
          <w:lang w:eastAsia="zh-CN"/>
        </w:rPr>
        <w:t>). Finally, a well balanced network provides a solid foundation for the ongoing multidisciplinary collaboration and professional development around health services provision.</w:t>
      </w:r>
    </w:p>
    <w:p w14:paraId="16C1DE90" w14:textId="77777777" w:rsidR="00006732" w:rsidRDefault="00006732"/>
    <w:p w14:paraId="2683EA91" w14:textId="77777777" w:rsidR="00006732" w:rsidRDefault="00006732"/>
    <w:p w14:paraId="2DCA959E" w14:textId="77777777" w:rsidR="00006732" w:rsidRDefault="00006732"/>
    <w:p w14:paraId="4FDA992D" w14:textId="77777777" w:rsidR="00006732" w:rsidRDefault="00006732"/>
    <w:p w14:paraId="103337D4" w14:textId="77777777" w:rsidR="00006732" w:rsidRDefault="00006732"/>
    <w:p w14:paraId="17F189BF" w14:textId="77777777" w:rsidR="00006732" w:rsidRDefault="00006732"/>
    <w:p w14:paraId="283E340A" w14:textId="77777777" w:rsidR="00006732" w:rsidRDefault="00006732"/>
    <w:p w14:paraId="755F1A54" w14:textId="77777777" w:rsidR="00006732" w:rsidRDefault="00006732"/>
    <w:p w14:paraId="5C81F948" w14:textId="77777777" w:rsidR="00006732" w:rsidRDefault="00006732"/>
    <w:p w14:paraId="0145273C" w14:textId="77777777" w:rsidR="00006732" w:rsidRDefault="00006732"/>
    <w:p w14:paraId="54FEE7BC" w14:textId="77777777" w:rsidR="00006732" w:rsidRDefault="00006732"/>
    <w:p w14:paraId="520D0751" w14:textId="77777777" w:rsidR="00006732" w:rsidRDefault="00006732"/>
    <w:p w14:paraId="58DE8292" w14:textId="77777777" w:rsidR="00006732" w:rsidRDefault="00006732"/>
    <w:p w14:paraId="6B43F434" w14:textId="77777777" w:rsidR="00006732" w:rsidRDefault="00006732"/>
    <w:p w14:paraId="28FC4E93" w14:textId="77777777" w:rsidR="00006732" w:rsidRDefault="00006732"/>
    <w:p w14:paraId="725F3597" w14:textId="77777777" w:rsidR="00006732" w:rsidRDefault="00006732"/>
    <w:p w14:paraId="4997DA0A" w14:textId="77777777" w:rsidR="00006732" w:rsidRDefault="00006732"/>
    <w:p w14:paraId="619498F5" w14:textId="77777777" w:rsidR="00006732" w:rsidRDefault="00006732"/>
    <w:p w14:paraId="1CBCDB5A" w14:textId="77777777" w:rsidR="00006732" w:rsidRDefault="00006732"/>
    <w:p w14:paraId="1437D833" w14:textId="77777777" w:rsidR="00006732" w:rsidRDefault="00006732"/>
    <w:p w14:paraId="3D6DE176" w14:textId="77777777" w:rsidR="00006732" w:rsidRDefault="00006732"/>
    <w:p w14:paraId="3B6F49E7" w14:textId="77777777" w:rsidR="00006732" w:rsidRDefault="00006732"/>
    <w:p w14:paraId="3772FB2F" w14:textId="77777777" w:rsidR="00006732" w:rsidRDefault="00006732"/>
    <w:p w14:paraId="511B12DD" w14:textId="77777777" w:rsidR="00006732" w:rsidRDefault="00CF6AF6">
      <w:pPr>
        <w:pStyle w:val="Heading1"/>
        <w:spacing w:line="480" w:lineRule="auto"/>
      </w:pPr>
      <w:r>
        <w:t>Task 3- Blog</w:t>
      </w:r>
    </w:p>
    <w:p w14:paraId="16AF8B7E" w14:textId="77777777" w:rsidR="00006732" w:rsidRDefault="00CF6AF6">
      <w:pPr>
        <w:pStyle w:val="Heading2"/>
        <w:spacing w:line="480" w:lineRule="auto"/>
        <w:rPr>
          <w:rFonts w:eastAsia="Arial Nova"/>
          <w:color w:val="000000"/>
          <w:sz w:val="44"/>
          <w:szCs w:val="52"/>
        </w:rPr>
      </w:pPr>
      <w:r>
        <w:rPr>
          <w:rStyle w:val="Heading2Char"/>
          <w:bCs/>
          <w:color w:val="auto"/>
          <w:szCs w:val="36"/>
        </w:rPr>
        <w:t>Title:</w:t>
      </w:r>
      <w:r>
        <w:rPr>
          <w:b w:val="0"/>
          <w:bCs/>
          <w:color w:val="auto"/>
          <w:szCs w:val="36"/>
        </w:rPr>
        <w:t xml:space="preserve"> Tackling Staff Burnout in UK Health and Social Care</w:t>
      </w:r>
      <w:r>
        <w:rPr>
          <w:b w:val="0"/>
          <w:bCs/>
          <w:color w:val="auto"/>
          <w:szCs w:val="36"/>
        </w:rPr>
        <w:br/>
      </w:r>
      <w:r>
        <w:rPr>
          <w:b w:val="0"/>
          <w:bCs/>
          <w:color w:val="auto"/>
          <w:szCs w:val="36"/>
        </w:rPr>
        <w:t xml:space="preserve">Target audience: Care sector managers, policymakers, and front-line healthcare professionals </w:t>
      </w:r>
      <w:r>
        <w:rPr>
          <w:b w:val="0"/>
          <w:bCs/>
          <w:szCs w:val="36"/>
        </w:rPr>
        <w:br/>
      </w:r>
      <w:r>
        <w:rPr>
          <w:sz w:val="44"/>
          <w:szCs w:val="52"/>
        </w:rPr>
        <w:t>Bridging the Gap: Tackling Staff Burnout in UK Health and Social Care</w:t>
      </w:r>
    </w:p>
    <w:p w14:paraId="67872721" w14:textId="77777777" w:rsidR="00006732" w:rsidRDefault="00CF6AF6">
      <w:pPr>
        <w:spacing w:line="480" w:lineRule="auto"/>
        <w:rPr>
          <w:rFonts w:eastAsia="Arial Nova" w:cs="Times New Roman"/>
          <w:color w:val="000000"/>
        </w:rPr>
      </w:pPr>
      <w:r>
        <w:rPr>
          <w:rFonts w:eastAsia="Arial Nova" w:cs="Times New Roman"/>
          <w:color w:val="000000"/>
        </w:rPr>
        <w:t>Burnout is a problem in the UK health and social care service that, if not addressed, can be a persistent issue that affects staff retention and the quality of health and social care provided to patients. Every day, front line care staff and clinical teams are facing massive system pressures; from unsustainable working loads to acute resource shortages. Too many patients taking leave does not only mean loss of employees but also a vicious circle in which the more employees take sick leave, the more stressed</w:t>
      </w:r>
      <w:r>
        <w:rPr>
          <w:rFonts w:eastAsia="Arial Nova" w:cs="Times New Roman"/>
          <w:color w:val="000000"/>
        </w:rPr>
        <w:t xml:space="preserve"> out the employees remaining at work become.</w:t>
      </w:r>
      <w:r>
        <w:rPr>
          <w:rFonts w:eastAsia="Arial Nova" w:cs="Times New Roman"/>
          <w:color w:val="000000"/>
        </w:rPr>
        <w:br/>
      </w:r>
      <w:r>
        <w:rPr>
          <w:rFonts w:eastAsia="Arial Nova" w:cs="Times New Roman"/>
          <w:color w:val="000000"/>
        </w:rPr>
        <w:br/>
      </w:r>
      <w:r>
        <w:rPr>
          <w:rFonts w:eastAsia="Arial Nova" w:cs="Times New Roman"/>
          <w:color w:val="000000"/>
        </w:rPr>
        <w:br/>
      </w:r>
      <w:r>
        <w:rPr>
          <w:noProof/>
        </w:rPr>
        <w:drawing>
          <wp:inline distT="0" distB="0" distL="0" distR="0" wp14:anchorId="4E2043C3" wp14:editId="46D46CC0">
            <wp:extent cx="5238750" cy="4086225"/>
            <wp:effectExtent l="0" t="0" r="0" b="9525"/>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srcRect/>
                    <a:stretch/>
                  </pic:blipFill>
                  <pic:spPr>
                    <a:xfrm>
                      <a:off x="0" y="0"/>
                      <a:ext cx="5238750" cy="4086225"/>
                    </a:xfrm>
                    <a:prstGeom prst="rect">
                      <a:avLst/>
                    </a:prstGeom>
                    <a:ln>
                      <a:noFill/>
                    </a:ln>
                  </pic:spPr>
                </pic:pic>
              </a:graphicData>
            </a:graphic>
          </wp:inline>
        </w:drawing>
      </w:r>
      <w:r>
        <w:rPr>
          <w:rFonts w:eastAsia="Arial Nova" w:cs="Times New Roman"/>
          <w:color w:val="000000"/>
        </w:rPr>
        <w:br/>
      </w:r>
      <w:r>
        <w:br/>
      </w:r>
      <w:r>
        <w:rPr>
          <w:i/>
          <w:iCs/>
          <w:u w:val="single"/>
        </w:rPr>
        <w:t>Figure 1: The reinforcing feedback cycle linking workforce shortages, burnout accumulation, and institutional pressure</w:t>
      </w:r>
      <w:r>
        <w:rPr>
          <w:i/>
          <w:iCs/>
          <w:sz w:val="22"/>
          <w:szCs w:val="22"/>
          <w:u w:val="single"/>
        </w:rPr>
        <w:t xml:space="preserve"> </w:t>
      </w:r>
      <w:r>
        <w:rPr>
          <w:i/>
          <w:iCs/>
          <w:sz w:val="22"/>
          <w:szCs w:val="22"/>
          <w:u w:val="single"/>
          <w:lang w:eastAsia="zh-CN"/>
        </w:rPr>
        <w:t>(MDPI, 2019)</w:t>
      </w:r>
      <w:r>
        <w:rPr>
          <w:i/>
          <w:iCs/>
          <w:u w:val="single"/>
        </w:rPr>
        <w:t>.</w:t>
      </w:r>
    </w:p>
    <w:p w14:paraId="46F50C55" w14:textId="77777777" w:rsidR="00006732" w:rsidRDefault="00CF6AF6">
      <w:pPr>
        <w:spacing w:line="480" w:lineRule="auto"/>
      </w:pPr>
      <w:r>
        <w:rPr>
          <w:rStyle w:val="Heading2Char"/>
          <w:szCs w:val="44"/>
        </w:rPr>
        <w:t xml:space="preserve">From Quick Fixes to Sustainable Solution  </w:t>
      </w:r>
      <w:r>
        <w:rPr>
          <w:rStyle w:val="Heading2Char"/>
          <w:szCs w:val="44"/>
        </w:rPr>
        <w:br/>
      </w:r>
      <w:r>
        <w:t xml:space="preserve">As indicated in Figure 1 above, workforce shortages, coupled with a growing workload, will result in employee fatigue, alienation and attrition in no time </w:t>
      </w:r>
      <w:r>
        <w:rPr>
          <w:lang w:eastAsia="zh-CN"/>
        </w:rPr>
        <w:t>(MDPI, 2019)</w:t>
      </w:r>
      <w:r>
        <w:t>. Care managers and care leaders can help to break through this cycle by shifting from superficial wellness offerings to structured, systemic support systems:</w:t>
      </w:r>
    </w:p>
    <w:p w14:paraId="41E6EF92" w14:textId="77777777" w:rsidR="00006732" w:rsidRDefault="00CF6AF6">
      <w:pPr>
        <w:pStyle w:val="ListParagraph"/>
        <w:numPr>
          <w:ilvl w:val="0"/>
          <w:numId w:val="1"/>
        </w:numPr>
        <w:spacing w:line="480" w:lineRule="auto"/>
      </w:pPr>
      <w:r>
        <w:t>Proactive Mental Health Monitoring: Non-judgemental, regular conversations to recognize early signs of emotional burn-out.</w:t>
      </w:r>
    </w:p>
    <w:p w14:paraId="538193F2" w14:textId="77777777" w:rsidR="00006732" w:rsidRDefault="00CF6AF6">
      <w:pPr>
        <w:pStyle w:val="ListParagraph"/>
        <w:numPr>
          <w:ilvl w:val="0"/>
          <w:numId w:val="3"/>
        </w:numPr>
        <w:spacing w:line="480" w:lineRule="auto"/>
      </w:pPr>
      <w:r>
        <w:t>Accessible Clinical Supervision: Provided in structured and safe environments for staff to debrief after a high stress incident.</w:t>
      </w:r>
    </w:p>
    <w:p w14:paraId="2D1597F0" w14:textId="77777777" w:rsidR="00006732" w:rsidRDefault="00CF6AF6">
      <w:pPr>
        <w:pStyle w:val="ListParagraph"/>
        <w:numPr>
          <w:ilvl w:val="0"/>
          <w:numId w:val="3"/>
        </w:numPr>
        <w:spacing w:line="480" w:lineRule="auto"/>
      </w:pPr>
      <w:r>
        <w:t>Effective Return-to-Work Plans: Gradually re-engaging over-sharp staff in the workplace.</w:t>
      </w:r>
    </w:p>
    <w:p w14:paraId="307290AE" w14:textId="77777777" w:rsidR="00006732" w:rsidRDefault="00CF6AF6">
      <w:pPr>
        <w:pStyle w:val="Heading2"/>
        <w:spacing w:line="480" w:lineRule="auto"/>
        <w:rPr>
          <w:sz w:val="32"/>
          <w:szCs w:val="40"/>
        </w:rPr>
      </w:pPr>
      <w:r>
        <w:rPr>
          <w:szCs w:val="36"/>
        </w:rPr>
        <w:t>Protecting the Core of Care Delivery</w:t>
      </w:r>
    </w:p>
    <w:p w14:paraId="3625296B" w14:textId="77777777" w:rsidR="00006732" w:rsidRDefault="00CF6AF6">
      <w:pPr>
        <w:spacing w:line="480" w:lineRule="auto"/>
      </w:pPr>
      <w:r>
        <w:t>Focusing on employee well-being is a way for healthcare organizations to safeguard what they value the most: their employees. Fewer staff turnovers mean improved continuity of care, fewer staff recruitment costs and improved safety for service users. Mental health of the workforce must be seen as an essential part of good health care, and must be part of the normal considerations of leadership.</w:t>
      </w:r>
    </w:p>
    <w:p w14:paraId="4AB2CF47" w14:textId="77777777" w:rsidR="00006732" w:rsidRDefault="00CF6AF6">
      <w:pPr>
        <w:pStyle w:val="Heading2"/>
        <w:rPr>
          <w:szCs w:val="36"/>
        </w:rPr>
      </w:pPr>
      <w:r>
        <w:rPr>
          <w:szCs w:val="36"/>
        </w:rPr>
        <w:t>Conclusion &amp; Call To Action</w:t>
      </w:r>
    </w:p>
    <w:p w14:paraId="48C6B5BA" w14:textId="77777777" w:rsidR="00006732" w:rsidRDefault="00CF6AF6">
      <w:pPr>
        <w:spacing w:line="480" w:lineRule="auto"/>
        <w:rPr>
          <w:rFonts w:eastAsia="Arial Nova" w:cs="Times New Roman"/>
          <w:color w:val="000000"/>
        </w:rPr>
      </w:pPr>
      <w:r>
        <w:t>Well-being of staff and safety of patients go hand in hand. It's time for leaders and policy makers in the sector to be seen to be putting money where their mouth is for those who operate our care system. How does your organization support employee wellbeing? Discuss ideas and approaches below or read the NHS Mental Health and Well-being Framework for further details about workplace support schemes.</w:t>
      </w:r>
      <w:r>
        <w:br/>
      </w:r>
    </w:p>
    <w:p w14:paraId="0A367FBC" w14:textId="77777777" w:rsidR="00006732" w:rsidRDefault="00CF6AF6">
      <w:pPr>
        <w:pStyle w:val="Heading1"/>
        <w:spacing w:line="480" w:lineRule="auto"/>
      </w:pPr>
      <w:r>
        <w:t xml:space="preserve">Task 4- NHS Equality, Diversity and Inclusion Quiz </w:t>
      </w:r>
    </w:p>
    <w:p w14:paraId="67CEF6A2" w14:textId="77777777" w:rsidR="00006732" w:rsidRDefault="00CF6AF6">
      <w:pPr>
        <w:pStyle w:val="Heading2"/>
        <w:numPr>
          <w:ilvl w:val="0"/>
          <w:numId w:val="2"/>
        </w:numPr>
        <w:spacing w:line="480" w:lineRule="auto"/>
      </w:pPr>
      <w:r>
        <w:t>What is the primary goal of the NHS Equality, Diversity, and Inclusion Improvement Plan?</w:t>
      </w:r>
    </w:p>
    <w:p w14:paraId="09D88C8E" w14:textId="77777777" w:rsidR="00006732" w:rsidRDefault="00CF6AF6">
      <w:pPr>
        <w:spacing w:line="480" w:lineRule="auto"/>
        <w:rPr>
          <w:rFonts w:cs="Times New Roman"/>
        </w:rPr>
      </w:pPr>
      <w:r>
        <w:rPr>
          <w:rFonts w:cs="Times New Roman"/>
        </w:rPr>
        <w:t>The key aim of the plan is to tackle direct and indirect prejudice and discrimination in the workforce to improve equality, diversity and inclusion (EDI) and reinforce a sense of belonging for NHS staff.</w:t>
      </w:r>
    </w:p>
    <w:p w14:paraId="5394E60C" w14:textId="77777777" w:rsidR="00006732" w:rsidRDefault="00CF6AF6">
      <w:pPr>
        <w:pStyle w:val="Heading2"/>
        <w:numPr>
          <w:ilvl w:val="0"/>
          <w:numId w:val="2"/>
        </w:numPr>
        <w:spacing w:line="480" w:lineRule="auto"/>
      </w:pPr>
      <w:r>
        <w:t>How does the NHS EDI Improvement Plan propose to tackle the gender pay gap?</w:t>
      </w:r>
    </w:p>
    <w:p w14:paraId="124A389F" w14:textId="77777777" w:rsidR="00006732" w:rsidRDefault="00CF6AF6">
      <w:pPr>
        <w:spacing w:line="480" w:lineRule="auto"/>
        <w:rPr>
          <w:rFonts w:cs="Times New Roman"/>
        </w:rPr>
      </w:pPr>
      <w:r>
        <w:rPr>
          <w:rFonts w:cs="Times New Roman"/>
        </w:rPr>
        <w:t xml:space="preserve">NHS </w:t>
      </w:r>
      <w:r>
        <w:rPr>
          <w:rFonts w:cs="Times New Roman"/>
        </w:rPr>
        <w:t>organizations</w:t>
      </w:r>
      <w:r>
        <w:rPr>
          <w:rFonts w:cs="Times New Roman"/>
        </w:rPr>
        <w:t xml:space="preserve"> should consider the data and identify where there is a pay disparity, then put in place an improvement plan, with targets for the pay gap by sex and race and monitor progress.</w:t>
      </w:r>
    </w:p>
    <w:p w14:paraId="446AF292" w14:textId="77777777" w:rsidR="00006732" w:rsidRDefault="00CF6AF6">
      <w:pPr>
        <w:pStyle w:val="Heading2"/>
        <w:numPr>
          <w:ilvl w:val="0"/>
          <w:numId w:val="2"/>
        </w:numPr>
        <w:spacing w:line="480" w:lineRule="auto"/>
      </w:pPr>
      <w:r>
        <w:t>What is meant by the term ‘intersectionality’ as used in the NHS EDI Improvement Plan?</w:t>
      </w:r>
    </w:p>
    <w:p w14:paraId="55E89777" w14:textId="77777777" w:rsidR="00006732" w:rsidRDefault="00CF6AF6">
      <w:pPr>
        <w:spacing w:line="480" w:lineRule="auto"/>
        <w:rPr>
          <w:rFonts w:cs="Times New Roman"/>
        </w:rPr>
      </w:pPr>
      <w:r>
        <w:rPr>
          <w:rFonts w:cs="Times New Roman"/>
        </w:rPr>
        <w:t>Internationalist</w:t>
      </w:r>
      <w:r>
        <w:rPr>
          <w:rFonts w:cs="Times New Roman"/>
        </w:rPr>
        <w:t xml:space="preserve"> </w:t>
      </w:r>
      <w:r>
        <w:rPr>
          <w:rFonts w:cs="Times New Roman"/>
        </w:rPr>
        <w:t>recognizes</w:t>
      </w:r>
      <w:r>
        <w:rPr>
          <w:rFonts w:cs="Times New Roman"/>
        </w:rPr>
        <w:t xml:space="preserve"> that experiences of discrimination and bias are complex and intertwined and that the experience varies according to the breadth of protected characteristics and social identities a person has.</w:t>
      </w:r>
    </w:p>
    <w:p w14:paraId="5707948F" w14:textId="77777777" w:rsidR="00006732" w:rsidRDefault="00CF6AF6">
      <w:pPr>
        <w:pStyle w:val="Heading2"/>
        <w:numPr>
          <w:ilvl w:val="0"/>
          <w:numId w:val="2"/>
        </w:numPr>
        <w:spacing w:line="480" w:lineRule="auto"/>
      </w:pPr>
      <w:r>
        <w:t>Why is it important for the NHS to create a psychologically safe work environment?</w:t>
      </w:r>
    </w:p>
    <w:p w14:paraId="58DB141B" w14:textId="77777777" w:rsidR="00006732" w:rsidRDefault="00CF6AF6">
      <w:pPr>
        <w:spacing w:line="480" w:lineRule="auto"/>
        <w:rPr>
          <w:rFonts w:cs="Times New Roman"/>
        </w:rPr>
      </w:pPr>
      <w:r>
        <w:rPr>
          <w:rFonts w:cs="Times New Roman"/>
        </w:rPr>
        <w:t>A psychologically safe environment is one in which each member of the staff feels treated with dignity and respect, leading to trust in the staff, decreased burnout and an improved level of safety and effectiveness in providing patient care.</w:t>
      </w:r>
    </w:p>
    <w:p w14:paraId="679F27B3" w14:textId="77777777" w:rsidR="00006732" w:rsidRDefault="00CF6AF6">
      <w:pPr>
        <w:pStyle w:val="Heading2"/>
        <w:numPr>
          <w:ilvl w:val="0"/>
          <w:numId w:val="2"/>
        </w:numPr>
        <w:spacing w:line="480" w:lineRule="auto"/>
      </w:pPr>
      <w:r>
        <w:t>How does the NHS EDI Improvement Plan suggest improving the experience of internationally recruited staff?</w:t>
      </w:r>
    </w:p>
    <w:p w14:paraId="5FC2DA56" w14:textId="77777777" w:rsidR="00006732" w:rsidRDefault="00CF6AF6">
      <w:pPr>
        <w:spacing w:line="480" w:lineRule="auto"/>
        <w:rPr>
          <w:rFonts w:cs="Times New Roman"/>
        </w:rPr>
      </w:pPr>
      <w:r>
        <w:rPr>
          <w:rFonts w:cs="Times New Roman"/>
        </w:rPr>
        <w:t>It suggests good communication before employment, an effective induction and pastoral programme for all staff and cultural awareness for all staff teams welcoming and equal opportunities for career development.</w:t>
      </w:r>
    </w:p>
    <w:p w14:paraId="513F0D0D" w14:textId="77777777" w:rsidR="00006732" w:rsidRDefault="00CF6AF6">
      <w:pPr>
        <w:pStyle w:val="Heading2"/>
        <w:numPr>
          <w:ilvl w:val="0"/>
          <w:numId w:val="2"/>
        </w:numPr>
        <w:spacing w:line="480" w:lineRule="auto"/>
      </w:pPr>
      <w:r>
        <w:t>What role does leadership play in advancing EDI objectives according to the NHS Improvement Plan?</w:t>
      </w:r>
    </w:p>
    <w:p w14:paraId="7AE49691" w14:textId="77777777" w:rsidR="00006732" w:rsidRDefault="00CF6AF6">
      <w:pPr>
        <w:spacing w:line="480" w:lineRule="auto"/>
        <w:rPr>
          <w:rFonts w:cs="Times New Roman"/>
        </w:rPr>
      </w:pPr>
      <w:r>
        <w:rPr>
          <w:rFonts w:cs="Times New Roman"/>
        </w:rPr>
        <w:t xml:space="preserve">Individual and collective accountability leaders are held accountable for specific, measurable EDI goals and accountable for culture change and discrimination through inclusion </w:t>
      </w:r>
      <w:r>
        <w:rPr>
          <w:rFonts w:cs="Times New Roman"/>
        </w:rPr>
        <w:t>behaviour</w:t>
      </w:r>
      <w:r>
        <w:rPr>
          <w:rFonts w:cs="Times New Roman"/>
        </w:rPr>
        <w:t>.</w:t>
      </w:r>
    </w:p>
    <w:p w14:paraId="2E7139A1" w14:textId="77777777" w:rsidR="00006732" w:rsidRDefault="00CF6AF6">
      <w:pPr>
        <w:pStyle w:val="Heading2"/>
        <w:numPr>
          <w:ilvl w:val="0"/>
          <w:numId w:val="2"/>
        </w:numPr>
        <w:spacing w:line="480" w:lineRule="auto"/>
      </w:pPr>
      <w:r>
        <w:t>Identify one way the NHS EDI Improvement Plan aims to reduce health inequalities within the workforce.</w:t>
      </w:r>
    </w:p>
    <w:p w14:paraId="48BCA031" w14:textId="77777777" w:rsidR="00006732" w:rsidRDefault="00CF6AF6">
      <w:pPr>
        <w:spacing w:line="480" w:lineRule="auto"/>
        <w:rPr>
          <w:rFonts w:cs="Times New Roman"/>
        </w:rPr>
      </w:pPr>
      <w:r>
        <w:rPr>
          <w:rFonts w:cs="Times New Roman"/>
        </w:rPr>
        <w:t>The plan should include specific plans for improvements that will be established, developed and implemented and which are specifically targeted to health inequalities faced by staff.</w:t>
      </w:r>
    </w:p>
    <w:p w14:paraId="075A5551" w14:textId="77777777" w:rsidR="00006732" w:rsidRDefault="00CF6AF6">
      <w:pPr>
        <w:pStyle w:val="Heading2"/>
        <w:numPr>
          <w:ilvl w:val="0"/>
          <w:numId w:val="2"/>
        </w:numPr>
        <w:spacing w:line="480" w:lineRule="auto"/>
      </w:pPr>
      <w:r>
        <w:t>Why does the NHS EDI Improvement Plan emphasise the importance of collecting and analysing data on protected characteristics?</w:t>
      </w:r>
    </w:p>
    <w:p w14:paraId="2F87ABEA" w14:textId="77777777" w:rsidR="00006732" w:rsidRDefault="00CF6AF6">
      <w:pPr>
        <w:spacing w:line="480" w:lineRule="auto"/>
        <w:rPr>
          <w:rFonts w:cs="Times New Roman"/>
        </w:rPr>
      </w:pPr>
      <w:r>
        <w:rPr>
          <w:rFonts w:cs="Times New Roman"/>
        </w:rPr>
        <w:t xml:space="preserve">Data collection and analysis can support NHS boards to identify priority areas of concern, </w:t>
      </w:r>
      <w:r>
        <w:rPr>
          <w:rFonts w:cs="Times New Roman"/>
        </w:rPr>
        <w:t>prioritize</w:t>
      </w:r>
      <w:r>
        <w:rPr>
          <w:rFonts w:cs="Times New Roman"/>
        </w:rPr>
        <w:t xml:space="preserve"> and monitor progress on staff experience over the year.</w:t>
      </w:r>
    </w:p>
    <w:p w14:paraId="02DAFF49" w14:textId="77777777" w:rsidR="00006732" w:rsidRDefault="00CF6AF6">
      <w:pPr>
        <w:pStyle w:val="Heading2"/>
        <w:numPr>
          <w:ilvl w:val="0"/>
          <w:numId w:val="2"/>
        </w:numPr>
        <w:spacing w:line="480" w:lineRule="auto"/>
      </w:pPr>
      <w:r>
        <w:t>Explain how flexible working policies can contribute to equality and inclusion in the NHS workforce.</w:t>
      </w:r>
    </w:p>
    <w:p w14:paraId="26804DBE" w14:textId="77777777" w:rsidR="00006732" w:rsidRDefault="00CF6AF6">
      <w:pPr>
        <w:spacing w:line="480" w:lineRule="auto"/>
        <w:rPr>
          <w:rFonts w:cs="Times New Roman"/>
        </w:rPr>
      </w:pPr>
      <w:r>
        <w:rPr>
          <w:rFonts w:cs="Times New Roman"/>
        </w:rPr>
        <w:t>Flexible working makes it easier to fit a variety of life and caring needs and health requirements, which enhances retention and forms a more accessible and inclusive culture for working.</w:t>
      </w:r>
    </w:p>
    <w:p w14:paraId="23332AAC" w14:textId="77777777" w:rsidR="00006732" w:rsidRDefault="00CF6AF6">
      <w:pPr>
        <w:pStyle w:val="Heading2"/>
        <w:numPr>
          <w:ilvl w:val="0"/>
          <w:numId w:val="2"/>
        </w:numPr>
        <w:spacing w:line="480" w:lineRule="auto"/>
      </w:pPr>
      <w:r>
        <w:t>What is one strategy mentioned in the NHS EDI Improvement Plan to combat bullying and harassment in the workplace?</w:t>
      </w:r>
    </w:p>
    <w:p w14:paraId="7CF8DF3F" w14:textId="77777777" w:rsidR="00006732" w:rsidRDefault="00CF6AF6">
      <w:pPr>
        <w:spacing w:line="480" w:lineRule="auto"/>
        <w:rPr>
          <w:rFonts w:cs="Times New Roman"/>
        </w:rPr>
      </w:pPr>
      <w:r>
        <w:rPr>
          <w:rFonts w:cs="Times New Roman"/>
        </w:rPr>
        <w:t>Organizations should review data to identify the prevalence of bullying, harassment and discrimination on the grounds of a protected characteristic, and aim to reduce that impact, providing complete psychological support to anyone impacted by bullying, harassment and discrimination.</w:t>
      </w:r>
    </w:p>
    <w:p w14:paraId="72998120" w14:textId="77777777" w:rsidR="00006732" w:rsidRDefault="00006732">
      <w:pPr>
        <w:spacing w:line="480" w:lineRule="auto"/>
        <w:rPr>
          <w:rFonts w:ascii="Arial Nova" w:eastAsia="Arial Nova" w:hAnsi="Arial Nova" w:cs="Arial Nova"/>
          <w:i/>
          <w:iCs/>
          <w:color w:val="000000"/>
        </w:rPr>
      </w:pPr>
    </w:p>
    <w:p w14:paraId="05FB919A" w14:textId="77777777" w:rsidR="00006732" w:rsidRDefault="00006732">
      <w:pPr>
        <w:spacing w:line="480" w:lineRule="auto"/>
        <w:rPr>
          <w:rFonts w:ascii="Arial Nova" w:eastAsia="Arial Nova" w:hAnsi="Arial Nova" w:cs="Arial Nova"/>
          <w:i/>
          <w:iCs/>
          <w:color w:val="000000"/>
        </w:rPr>
      </w:pPr>
    </w:p>
    <w:p w14:paraId="1F0D86DB" w14:textId="77777777" w:rsidR="00006732" w:rsidRDefault="00006732">
      <w:pPr>
        <w:spacing w:line="480" w:lineRule="auto"/>
        <w:rPr>
          <w:rFonts w:ascii="Arial Nova" w:eastAsia="Arial Nova" w:hAnsi="Arial Nova" w:cs="Arial Nova"/>
          <w:i/>
          <w:iCs/>
          <w:color w:val="000000"/>
        </w:rPr>
      </w:pPr>
    </w:p>
    <w:p w14:paraId="64FB4517" w14:textId="77777777" w:rsidR="00006732" w:rsidRDefault="00006732">
      <w:pPr>
        <w:spacing w:line="480" w:lineRule="auto"/>
        <w:rPr>
          <w:rFonts w:ascii="Arial Nova" w:eastAsia="Arial Nova" w:hAnsi="Arial Nova" w:cs="Arial Nova"/>
          <w:i/>
          <w:iCs/>
          <w:color w:val="000000"/>
        </w:rPr>
      </w:pPr>
    </w:p>
    <w:p w14:paraId="169672C7" w14:textId="77777777" w:rsidR="00006732" w:rsidRDefault="00006732">
      <w:pPr>
        <w:spacing w:line="480" w:lineRule="auto"/>
        <w:rPr>
          <w:rFonts w:ascii="Arial Nova" w:eastAsia="Arial Nova" w:hAnsi="Arial Nova" w:cs="Arial Nova"/>
          <w:i/>
          <w:iCs/>
          <w:color w:val="000000"/>
        </w:rPr>
      </w:pPr>
    </w:p>
    <w:p w14:paraId="24BDF398" w14:textId="77777777" w:rsidR="00006732" w:rsidRDefault="00006732">
      <w:pPr>
        <w:spacing w:line="480" w:lineRule="auto"/>
        <w:rPr>
          <w:rFonts w:ascii="Arial Nova" w:eastAsia="Arial Nova" w:hAnsi="Arial Nova" w:cs="Arial Nova"/>
          <w:i/>
          <w:iCs/>
          <w:color w:val="000000"/>
        </w:rPr>
      </w:pPr>
    </w:p>
    <w:p w14:paraId="2636C3A5" w14:textId="77777777" w:rsidR="00006732" w:rsidRDefault="00006732">
      <w:pPr>
        <w:spacing w:line="480" w:lineRule="auto"/>
        <w:rPr>
          <w:rFonts w:ascii="Arial Nova" w:eastAsia="Arial Nova" w:hAnsi="Arial Nova" w:cs="Arial Nova"/>
          <w:i/>
          <w:iCs/>
          <w:color w:val="000000"/>
        </w:rPr>
      </w:pPr>
    </w:p>
    <w:p w14:paraId="1DFC57FA" w14:textId="77777777" w:rsidR="00006732" w:rsidRDefault="00006732">
      <w:pPr>
        <w:spacing w:line="480" w:lineRule="auto"/>
        <w:rPr>
          <w:rFonts w:ascii="Arial Nova" w:eastAsia="Arial Nova" w:hAnsi="Arial Nova" w:cs="Arial Nova"/>
          <w:i/>
          <w:iCs/>
          <w:color w:val="000000"/>
        </w:rPr>
      </w:pPr>
    </w:p>
    <w:p w14:paraId="74C7CCC9" w14:textId="77777777" w:rsidR="00006732" w:rsidRDefault="00006732">
      <w:pPr>
        <w:spacing w:line="480" w:lineRule="auto"/>
        <w:rPr>
          <w:rFonts w:ascii="Arial Nova" w:eastAsia="Arial Nova" w:hAnsi="Arial Nova" w:cs="Arial Nova"/>
          <w:i/>
          <w:iCs/>
          <w:color w:val="000000"/>
        </w:rPr>
      </w:pPr>
    </w:p>
    <w:p w14:paraId="3008395A" w14:textId="77777777" w:rsidR="00006732" w:rsidRDefault="00CF6AF6">
      <w:pPr>
        <w:pStyle w:val="Heading1"/>
        <w:spacing w:line="480" w:lineRule="auto"/>
        <w:rPr>
          <w:rFonts w:ascii="Arial Nova" w:eastAsia="Arial Nova" w:hAnsi="Arial Nova" w:cs="Arial Nova"/>
          <w:i/>
          <w:iCs/>
          <w:color w:val="000000"/>
        </w:rPr>
      </w:pPr>
      <w:r>
        <w:t>Task 5- A Letter to Yourself</w:t>
      </w:r>
    </w:p>
    <w:p w14:paraId="468CEE9D" w14:textId="77777777" w:rsidR="00006732" w:rsidRDefault="00CF6AF6">
      <w:pPr>
        <w:spacing w:after="0" w:line="480" w:lineRule="auto"/>
        <w:rPr>
          <w:rFonts w:eastAsia="Arial Nova" w:cs="Times New Roman"/>
          <w:color w:val="000000"/>
        </w:rPr>
      </w:pPr>
      <w:r>
        <w:rPr>
          <w:rFonts w:eastAsia="Arial Nova" w:cs="Times New Roman"/>
          <w:color w:val="000000"/>
        </w:rPr>
        <w:t>Dear Younger Self,</w:t>
      </w:r>
    </w:p>
    <w:p w14:paraId="27AACA5D" w14:textId="77777777" w:rsidR="00006732" w:rsidRDefault="00CF6AF6">
      <w:pPr>
        <w:spacing w:after="0" w:line="480" w:lineRule="auto"/>
        <w:rPr>
          <w:rFonts w:eastAsia="Arial Nova" w:cs="Times New Roman"/>
          <w:color w:val="000000"/>
        </w:rPr>
      </w:pPr>
      <w:r>
        <w:rPr>
          <w:rFonts w:eastAsia="Arial Nova" w:cs="Times New Roman"/>
          <w:color w:val="000000"/>
        </w:rPr>
        <w:t>There is a lot that you did that involved a certain degree of responsibility and you became very stressed out when you were not sure of what you need to do and felt alone. Reflect on the events and what you now know about emotional intelligence and resilience,</w:t>
      </w:r>
      <w:r>
        <w:rPr>
          <w:rFonts w:eastAsia="Arial Nova" w:cs="Times New Roman"/>
          <w:color w:val="000000"/>
        </w:rPr>
        <w:t xml:space="preserve"> </w:t>
      </w:r>
      <w:r>
        <w:rPr>
          <w:rFonts w:eastAsia="Arial Nova" w:cs="Times New Roman"/>
          <w:color w:val="000000"/>
        </w:rPr>
        <w:t>things</w:t>
      </w:r>
      <w:r>
        <w:rPr>
          <w:rFonts w:eastAsia="Arial Nova" w:cs="Times New Roman"/>
          <w:color w:val="000000"/>
        </w:rPr>
        <w:t xml:space="preserve"> could</w:t>
      </w:r>
      <w:r>
        <w:rPr>
          <w:rFonts w:eastAsia="Arial Nova" w:cs="Times New Roman"/>
          <w:color w:val="000000"/>
        </w:rPr>
        <w:t xml:space="preserve"> have been done differently</w:t>
      </w:r>
    </w:p>
    <w:p w14:paraId="5E2216A5" w14:textId="77777777" w:rsidR="00006732" w:rsidRDefault="00CF6AF6">
      <w:pPr>
        <w:spacing w:after="0" w:line="480" w:lineRule="auto"/>
        <w:rPr>
          <w:rFonts w:eastAsia="Arial Nova" w:cs="Times New Roman"/>
          <w:color w:val="000000"/>
        </w:rPr>
      </w:pPr>
      <w:r>
        <w:rPr>
          <w:rFonts w:eastAsia="Arial Nova" w:cs="Times New Roman"/>
          <w:color w:val="000000"/>
        </w:rPr>
        <w:t>You might have been more self-aware and more likely to be able to recognize, understand and regulate your emotions than let your emotions regulate the way you see yourself. In times of stress you may have been able to express your needs by tuning into your own emotions and being empathetic to others rather than going into isolation. You'd have set up boundaries without having to bear the burden of an unsustainable weight by recognizing your inner state.</w:t>
      </w:r>
    </w:p>
    <w:p w14:paraId="5CCB8F02" w14:textId="77777777" w:rsidR="00006732" w:rsidRDefault="00CF6AF6">
      <w:pPr>
        <w:spacing w:after="0" w:line="480" w:lineRule="auto"/>
        <w:rPr>
          <w:rFonts w:eastAsia="Arial Nova" w:cs="Times New Roman"/>
          <w:color w:val="000000"/>
        </w:rPr>
      </w:pPr>
      <w:r>
        <w:rPr>
          <w:rFonts w:eastAsia="Arial Nova" w:cs="Times New Roman"/>
          <w:color w:val="000000"/>
        </w:rPr>
        <w:t>When you developed your resilience, you would have found that you could learn to see failures when they arose not as walls but as stepping stones to success, and stressor as opportunities for growth instead of walls. Resilience fosters mental agility and flexibility to unexpected changes, reduces anxiety and enhances the ability to quickly get over professional and personal setbacks.</w:t>
      </w:r>
    </w:p>
    <w:p w14:paraId="083A1C1E" w14:textId="77777777" w:rsidR="00006732" w:rsidRDefault="00CF6AF6">
      <w:pPr>
        <w:spacing w:after="0" w:line="480" w:lineRule="auto"/>
        <w:rPr>
          <w:rFonts w:eastAsia="Arial Nova" w:cs="Times New Roman"/>
          <w:color w:val="000000"/>
        </w:rPr>
      </w:pPr>
      <w:r>
        <w:rPr>
          <w:rFonts w:eastAsia="Arial Nova" w:cs="Times New Roman"/>
          <w:color w:val="000000"/>
        </w:rPr>
        <w:t>Then you would be aware of your strength when you're weak, and you would know you're strong when you seek for guidance, it's not weak. It wasn't the harsh struggles of life all on your own. Be very kind to yourself because what you have suffered and endured which you could not help is now your greatest gifts, your greatest lessons. Always keep learning, keep growing and have a full confidence in the adaptive capacity.</w:t>
      </w:r>
    </w:p>
    <w:p w14:paraId="38555CF4" w14:textId="77777777" w:rsidR="00006732" w:rsidRDefault="00CF6AF6">
      <w:pPr>
        <w:spacing w:after="0" w:line="480" w:lineRule="auto"/>
        <w:rPr>
          <w:rFonts w:eastAsia="Arial Nova" w:cs="Times New Roman"/>
          <w:color w:val="000000"/>
        </w:rPr>
      </w:pPr>
      <w:r>
        <w:rPr>
          <w:rFonts w:eastAsia="Arial Nova" w:cs="Times New Roman"/>
          <w:color w:val="000000"/>
        </w:rPr>
        <w:t>With Courage and kindness</w:t>
      </w:r>
    </w:p>
    <w:p w14:paraId="3DDBBD01" w14:textId="77777777" w:rsidR="00006732" w:rsidRDefault="00CF6AF6">
      <w:pPr>
        <w:spacing w:after="0" w:line="480" w:lineRule="auto"/>
        <w:rPr>
          <w:rFonts w:eastAsia="Arial Nova" w:cs="Times New Roman"/>
          <w:color w:val="000000"/>
        </w:rPr>
      </w:pPr>
      <w:r>
        <w:rPr>
          <w:rFonts w:eastAsia="Arial Nova" w:cs="Times New Roman"/>
          <w:color w:val="000000"/>
        </w:rPr>
        <w:t>Your Future Self</w:t>
      </w:r>
    </w:p>
    <w:p w14:paraId="31EEAA54" w14:textId="77777777" w:rsidR="00006732" w:rsidRDefault="00006732">
      <w:pPr>
        <w:pStyle w:val="Heading1"/>
        <w:spacing w:line="480" w:lineRule="auto"/>
      </w:pPr>
    </w:p>
    <w:p w14:paraId="2C091FA0" w14:textId="77777777" w:rsidR="00006732" w:rsidRDefault="00006732">
      <w:pPr>
        <w:pStyle w:val="Heading1"/>
        <w:spacing w:line="480" w:lineRule="auto"/>
      </w:pPr>
    </w:p>
    <w:p w14:paraId="750EFF0F" w14:textId="77777777" w:rsidR="00006732" w:rsidRDefault="00006732">
      <w:pPr>
        <w:pStyle w:val="Heading1"/>
        <w:spacing w:line="480" w:lineRule="auto"/>
      </w:pPr>
    </w:p>
    <w:p w14:paraId="5B5BDCA8" w14:textId="77777777" w:rsidR="00006732" w:rsidRDefault="00006732">
      <w:pPr>
        <w:pStyle w:val="Heading1"/>
        <w:spacing w:line="480" w:lineRule="auto"/>
      </w:pPr>
    </w:p>
    <w:p w14:paraId="6E2CFCC2" w14:textId="77777777" w:rsidR="00006732" w:rsidRDefault="00006732">
      <w:pPr>
        <w:pStyle w:val="Heading1"/>
        <w:spacing w:line="480" w:lineRule="auto"/>
      </w:pPr>
    </w:p>
    <w:p w14:paraId="4EE9959D" w14:textId="77777777" w:rsidR="00006732" w:rsidRDefault="00006732">
      <w:pPr>
        <w:pStyle w:val="Heading1"/>
        <w:spacing w:line="480" w:lineRule="auto"/>
      </w:pPr>
    </w:p>
    <w:p w14:paraId="721D7A87" w14:textId="77777777" w:rsidR="00006732" w:rsidRDefault="00006732">
      <w:pPr>
        <w:pStyle w:val="Heading1"/>
        <w:spacing w:line="480" w:lineRule="auto"/>
      </w:pPr>
    </w:p>
    <w:p w14:paraId="6FF28CB8" w14:textId="77777777" w:rsidR="00006732" w:rsidRDefault="00006732">
      <w:pPr>
        <w:pStyle w:val="Heading1"/>
        <w:spacing w:line="480" w:lineRule="auto"/>
      </w:pPr>
    </w:p>
    <w:p w14:paraId="470D5C77" w14:textId="77777777" w:rsidR="00006732" w:rsidRDefault="00006732">
      <w:pPr>
        <w:pStyle w:val="Heading1"/>
        <w:spacing w:line="480" w:lineRule="auto"/>
      </w:pPr>
    </w:p>
    <w:p w14:paraId="66A1112D" w14:textId="77777777" w:rsidR="00006732" w:rsidRDefault="00006732">
      <w:pPr>
        <w:pStyle w:val="Heading1"/>
        <w:spacing w:line="480" w:lineRule="auto"/>
      </w:pPr>
    </w:p>
    <w:p w14:paraId="4C1CE448" w14:textId="77777777" w:rsidR="00006732" w:rsidRDefault="00006732">
      <w:pPr>
        <w:pStyle w:val="Heading1"/>
        <w:spacing w:line="480" w:lineRule="auto"/>
      </w:pPr>
    </w:p>
    <w:p w14:paraId="0B6E7E71" w14:textId="77777777" w:rsidR="00006732" w:rsidRDefault="00006732">
      <w:pPr>
        <w:pStyle w:val="Heading1"/>
        <w:spacing w:line="480" w:lineRule="auto"/>
      </w:pPr>
    </w:p>
    <w:p w14:paraId="28F57830" w14:textId="77777777" w:rsidR="00006732" w:rsidRDefault="00CF6AF6">
      <w:pPr>
        <w:pStyle w:val="Heading1"/>
        <w:spacing w:line="480" w:lineRule="auto"/>
      </w:pPr>
      <w:r>
        <w:t>Task 6- GANTT Chart (200 words equivalent)</w:t>
      </w:r>
    </w:p>
    <w:p w14:paraId="6C1099AF" w14:textId="77777777" w:rsidR="00006732" w:rsidRDefault="00006732">
      <w:pPr>
        <w:spacing w:line="480" w:lineRule="auto"/>
        <w:rPr>
          <w:rFonts w:ascii="Arial Nova" w:eastAsia="Arial Nova" w:hAnsi="Arial Nova" w:cs="Arial Nova"/>
          <w:i/>
          <w:iCs/>
        </w:rPr>
      </w:pPr>
    </w:p>
    <w:p w14:paraId="53E4BD05" w14:textId="77777777" w:rsidR="00006732" w:rsidRDefault="00CF6AF6">
      <w:pPr>
        <w:spacing w:line="480" w:lineRule="auto"/>
        <w:rPr>
          <w:rFonts w:ascii="Arial Nova" w:eastAsia="Arial Nova" w:hAnsi="Arial Nova" w:cs="Arial Nova"/>
          <w:i/>
          <w:iCs/>
        </w:rPr>
      </w:pPr>
      <w:r>
        <w:rPr>
          <w:noProof/>
        </w:rPr>
        <w:drawing>
          <wp:inline distT="0" distB="0" distL="0" distR="0" wp14:anchorId="5E5CE494" wp14:editId="2CB9F202">
            <wp:extent cx="5960110" cy="3257550"/>
            <wp:effectExtent l="0" t="0" r="2540" b="0"/>
            <wp:docPr id="102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9" cstate="print"/>
                    <a:srcRect/>
                    <a:stretch/>
                  </pic:blipFill>
                  <pic:spPr>
                    <a:xfrm>
                      <a:off x="0" y="0"/>
                      <a:ext cx="5960110" cy="3257550"/>
                    </a:xfrm>
                    <a:prstGeom prst="rect">
                      <a:avLst/>
                    </a:prstGeom>
                    <a:ln>
                      <a:noFill/>
                    </a:ln>
                  </pic:spPr>
                </pic:pic>
              </a:graphicData>
            </a:graphic>
          </wp:inline>
        </w:drawing>
      </w:r>
    </w:p>
    <w:p w14:paraId="0934389E" w14:textId="77777777" w:rsidR="00006732" w:rsidRDefault="00CF6AF6">
      <w:pPr>
        <w:spacing w:line="480" w:lineRule="auto"/>
        <w:jc w:val="center"/>
        <w:rPr>
          <w:rFonts w:eastAsia="Arial Nova" w:cs="Times New Roman"/>
          <w:i/>
          <w:iCs/>
        </w:rPr>
      </w:pPr>
      <w:r>
        <w:rPr>
          <w:rFonts w:cs="Times New Roman"/>
          <w:i/>
          <w:iCs/>
        </w:rPr>
        <w:t>GANTT Chart</w:t>
      </w:r>
    </w:p>
    <w:p w14:paraId="336CCA09" w14:textId="77777777" w:rsidR="00006732" w:rsidRDefault="00CF6AF6">
      <w:pPr>
        <w:spacing w:line="480" w:lineRule="auto"/>
        <w:rPr>
          <w:rFonts w:eastAsia="Arial Nova" w:cs="Times New Roman"/>
        </w:rPr>
      </w:pPr>
      <w:r>
        <w:rPr>
          <w:rFonts w:eastAsia="Arial Nova" w:cs="Times New Roman"/>
        </w:rPr>
        <w:t>A logical 12 week strategic plan to support health and social care goals in the future. The timeline is designed to show task dependency and a steady progression for all tasks across the weeks, tasks are listed vertically and a progressive weekly schedule is listed across the top.</w:t>
      </w:r>
    </w:p>
    <w:p w14:paraId="6F8F7D6E" w14:textId="77777777" w:rsidR="00006732" w:rsidRDefault="00CF6AF6">
      <w:pPr>
        <w:spacing w:line="480" w:lineRule="auto"/>
        <w:rPr>
          <w:rFonts w:eastAsia="Arial Nova" w:cs="Times New Roman"/>
        </w:rPr>
      </w:pPr>
      <w:r>
        <w:rPr>
          <w:rFonts w:eastAsia="Arial Nova" w:cs="Times New Roman"/>
        </w:rPr>
        <w:t xml:space="preserve">Weeks 1-2 will include a comprehensive skills assessment and gap analysis, followed by career goal setting weeks 3-4. The core targets are set up at the same time as proactive measures such as engaging in networking, mentoring, courses or </w:t>
      </w:r>
      <w:r>
        <w:rPr>
          <w:rFonts w:eastAsia="Arial Nova" w:cs="Times New Roman"/>
        </w:rPr>
        <w:t>training</w:t>
      </w:r>
      <w:r>
        <w:rPr>
          <w:rFonts w:eastAsia="Arial Nova" w:cs="Times New Roman"/>
        </w:rPr>
        <w:t xml:space="preserve"> are taken. The critical turning point is at Week 7 (Milestone) when initial progress, networking feedback and training milestones are reviewed to ensure that it matches professional goals.</w:t>
      </w:r>
    </w:p>
    <w:p w14:paraId="6ECBCDB5" w14:textId="77777777" w:rsidR="00006732" w:rsidRDefault="00CF6AF6">
      <w:pPr>
        <w:spacing w:line="480" w:lineRule="auto"/>
        <w:rPr>
          <w:rFonts w:eastAsia="Arial Nova" w:cs="Times New Roman"/>
        </w:rPr>
      </w:pPr>
      <w:r>
        <w:rPr>
          <w:rFonts w:eastAsia="Arial Nova" w:cs="Times New Roman"/>
        </w:rPr>
        <w:t>After this milestone review, the schedule moves on to more specialized certifications and the final compilation of the portfolio in Weeks 8-12. Task dependencies are thoughtfully considered for instance, training courses and certifications chosen for first skills assessment will inform training courses and certifications for the subsequent skills assessment; and the continuous networking to ensure the development of portfolios. A process that is step-by-step, time bound and accountable; it reduces bottlenec</w:t>
      </w:r>
      <w:r>
        <w:rPr>
          <w:rFonts w:eastAsia="Arial Nova" w:cs="Times New Roman"/>
        </w:rPr>
        <w:t>ks, ensures complete preparation for competitive health care jobs.</w:t>
      </w:r>
    </w:p>
    <w:p w14:paraId="1B9F9669" w14:textId="77777777" w:rsidR="00006732" w:rsidRDefault="00006732">
      <w:pPr>
        <w:spacing w:line="480" w:lineRule="auto"/>
        <w:rPr>
          <w:rFonts w:eastAsia="Arial Nova" w:cs="Times New Roman"/>
        </w:rPr>
      </w:pPr>
    </w:p>
    <w:p w14:paraId="545A0526" w14:textId="77777777" w:rsidR="00006732" w:rsidRDefault="00006732">
      <w:pPr>
        <w:spacing w:line="480" w:lineRule="auto"/>
        <w:rPr>
          <w:rFonts w:eastAsia="Arial Nova" w:cs="Times New Roman"/>
        </w:rPr>
      </w:pPr>
    </w:p>
    <w:p w14:paraId="1C8455D4" w14:textId="77777777" w:rsidR="00006732" w:rsidRDefault="00006732">
      <w:pPr>
        <w:spacing w:line="480" w:lineRule="auto"/>
        <w:rPr>
          <w:rFonts w:eastAsia="Arial Nova" w:cs="Times New Roman"/>
        </w:rPr>
      </w:pPr>
    </w:p>
    <w:p w14:paraId="1BDD6362" w14:textId="77777777" w:rsidR="00006732" w:rsidRDefault="00006732">
      <w:pPr>
        <w:spacing w:line="480" w:lineRule="auto"/>
        <w:rPr>
          <w:rFonts w:eastAsia="Arial Nova" w:cs="Times New Roman"/>
        </w:rPr>
      </w:pPr>
    </w:p>
    <w:p w14:paraId="173A7761" w14:textId="77777777" w:rsidR="00006732" w:rsidRDefault="00006732">
      <w:pPr>
        <w:spacing w:line="480" w:lineRule="auto"/>
        <w:rPr>
          <w:rFonts w:eastAsia="Arial Nova" w:cs="Times New Roman"/>
        </w:rPr>
      </w:pPr>
    </w:p>
    <w:p w14:paraId="3902705F" w14:textId="77777777" w:rsidR="00006732" w:rsidRDefault="00006732">
      <w:pPr>
        <w:spacing w:line="480" w:lineRule="auto"/>
        <w:rPr>
          <w:rFonts w:eastAsia="Arial Nova" w:cs="Times New Roman"/>
        </w:rPr>
      </w:pPr>
    </w:p>
    <w:p w14:paraId="2D9DC5D4" w14:textId="77777777" w:rsidR="00006732" w:rsidRDefault="00006732">
      <w:pPr>
        <w:spacing w:line="480" w:lineRule="auto"/>
        <w:rPr>
          <w:rFonts w:eastAsia="Arial Nova" w:cs="Times New Roman"/>
        </w:rPr>
      </w:pPr>
    </w:p>
    <w:p w14:paraId="18BB1D46" w14:textId="77777777" w:rsidR="00006732" w:rsidRDefault="00006732">
      <w:pPr>
        <w:spacing w:line="480" w:lineRule="auto"/>
        <w:rPr>
          <w:rFonts w:eastAsia="Arial Nova" w:cs="Times New Roman"/>
        </w:rPr>
      </w:pPr>
    </w:p>
    <w:p w14:paraId="5D5ED64D" w14:textId="77777777" w:rsidR="00006732" w:rsidRDefault="00CF6AF6">
      <w:pPr>
        <w:pStyle w:val="Heading1"/>
        <w:spacing w:line="480" w:lineRule="auto"/>
        <w:rPr>
          <w:rFonts w:ascii="Arial Nova" w:eastAsia="Arial Nova" w:hAnsi="Arial Nova" w:cs="Arial Nova"/>
          <w:i/>
          <w:iCs/>
          <w:color w:val="000000"/>
        </w:rPr>
      </w:pPr>
      <w:r>
        <w:t>Task 7- Making Changes- Report</w:t>
      </w:r>
    </w:p>
    <w:p w14:paraId="1A5039F1" w14:textId="77777777" w:rsidR="00006732" w:rsidRDefault="00CF6AF6">
      <w:pPr>
        <w:spacing w:before="105" w:after="105" w:line="480" w:lineRule="auto"/>
        <w:jc w:val="left"/>
        <w:rPr>
          <w:rFonts w:cs="Times New Roman"/>
        </w:rPr>
      </w:pPr>
      <w:r>
        <w:rPr>
          <w:rStyle w:val="Heading2Char"/>
          <w:szCs w:val="36"/>
          <w:lang w:eastAsia="zh-CN"/>
        </w:rPr>
        <w:t>A Change Management Report on the use of Digital Care Planning in a Residential setting.</w:t>
      </w:r>
      <w:r>
        <w:rPr>
          <w:rStyle w:val="Heading2Char"/>
          <w:szCs w:val="36"/>
          <w:lang w:eastAsia="zh-CN"/>
        </w:rPr>
        <w:br/>
      </w:r>
      <w:r>
        <w:rPr>
          <w:rFonts w:cs="Times New Roman"/>
          <w:lang w:eastAsia="zh-CN"/>
        </w:rPr>
        <w:t>I am a Residential Care Home Manager and want to move away from a paper based care system to a paperless system. This change is being motivated by the need for safety, person-centred care, minimizing administrative workload and timely information sharing between multi-disciplinary teams.</w:t>
      </w:r>
    </w:p>
    <w:p w14:paraId="12CB9098" w14:textId="77777777" w:rsidR="00006732" w:rsidRDefault="00CF6AF6">
      <w:pPr>
        <w:spacing w:before="105" w:after="105" w:line="480" w:lineRule="auto"/>
        <w:jc w:val="left"/>
        <w:rPr>
          <w:rFonts w:cs="Times New Roman"/>
        </w:rPr>
      </w:pPr>
      <w:r>
        <w:rPr>
          <w:rStyle w:val="Heading2Char"/>
          <w:lang w:eastAsia="zh-CN"/>
        </w:rPr>
        <w:t>Change Model</w:t>
      </w:r>
      <w:r>
        <w:rPr>
          <w:rFonts w:cs="Times New Roman"/>
          <w:lang w:eastAsia="zh-CN"/>
        </w:rPr>
        <w:br/>
      </w:r>
      <w:r>
        <w:rPr>
          <w:rFonts w:cs="Times New Roman"/>
          <w:lang w:eastAsia="zh-CN"/>
        </w:rPr>
        <w:t>This shift will be achieved using Kurt Lewin's 3 Step Change Model and some of the parts of Kotter's 8-step change model.</w:t>
      </w:r>
    </w:p>
    <w:p w14:paraId="2676D9FB" w14:textId="77777777" w:rsidR="00006732" w:rsidRDefault="00CF6AF6">
      <w:pPr>
        <w:spacing w:before="105" w:after="105" w:line="480" w:lineRule="auto"/>
        <w:rPr>
          <w:rFonts w:cs="Times New Roman"/>
        </w:rPr>
      </w:pPr>
      <w:r>
        <w:rPr>
          <w:rFonts w:cs="Times New Roman"/>
          <w:lang w:eastAsia="zh-CN"/>
        </w:rPr>
        <w:t>Unfreezing: This step puts into perspective the need to change because of the inefficiencies and risks associated with paper records. Staff forums and pilot demonstrations are employed to bring awareness to the need for sustainable practices</w:t>
      </w:r>
      <w:r>
        <w:rPr>
          <w:rFonts w:cs="Times New Roman"/>
          <w:lang w:eastAsia="zh-CN"/>
        </w:rPr>
        <w:t xml:space="preserve"> </w:t>
      </w:r>
      <w:r>
        <w:rPr>
          <w:rFonts w:cs="Times New Roman"/>
          <w:lang w:eastAsia="zh-CN"/>
        </w:rPr>
        <w:t>(Makhanya, 2026</w:t>
      </w:r>
      <w:r>
        <w:rPr>
          <w:lang w:eastAsia="zh-CN"/>
        </w:rPr>
        <w:t xml:space="preserve"> </w:t>
      </w:r>
      <w:r>
        <w:t>pp.129–137</w:t>
      </w:r>
      <w:r>
        <w:rPr>
          <w:lang w:eastAsia="zh-CN"/>
        </w:rPr>
        <w:t>)</w:t>
      </w:r>
      <w:r>
        <w:rPr>
          <w:rFonts w:cs="Times New Roman"/>
          <w:lang w:eastAsia="zh-CN"/>
        </w:rPr>
        <w:t>.</w:t>
      </w:r>
    </w:p>
    <w:p w14:paraId="389545F4" w14:textId="77777777" w:rsidR="00006732" w:rsidRDefault="00CF6AF6">
      <w:pPr>
        <w:spacing w:line="480" w:lineRule="auto"/>
      </w:pPr>
      <w:r>
        <w:rPr>
          <w:lang w:eastAsia="zh-CN"/>
        </w:rPr>
        <w:t>Transition (Changing): Staff actively contribute to the design of changes to the workflow. Full training programmes and recognized ‘digital champion' peers are used to support the roll-out to staff members who are confident in their use of the new software (Solow and Perry, 2023 P.700).</w:t>
      </w:r>
    </w:p>
    <w:p w14:paraId="51A97E53" w14:textId="77777777" w:rsidR="00006732" w:rsidRDefault="00CF6AF6">
      <w:pPr>
        <w:spacing w:before="105" w:after="105" w:line="480" w:lineRule="auto"/>
        <w:jc w:val="left"/>
        <w:rPr>
          <w:rFonts w:cs="Times New Roman"/>
        </w:rPr>
      </w:pPr>
      <w:r>
        <w:rPr>
          <w:rFonts w:cs="Times New Roman"/>
          <w:lang w:eastAsia="zh-CN"/>
        </w:rPr>
        <w:t>The new digital workflow is integrated into everyday work routines and regularly included in the audit program and staff appraisal to prevent the return of old habits and ensure sustainable solutions.</w:t>
      </w:r>
    </w:p>
    <w:p w14:paraId="6E602A70" w14:textId="77777777" w:rsidR="00006732" w:rsidRDefault="00CF6AF6">
      <w:pPr>
        <w:spacing w:before="105" w:after="105" w:line="480" w:lineRule="auto"/>
        <w:jc w:val="left"/>
        <w:rPr>
          <w:rFonts w:cs="Times New Roman"/>
        </w:rPr>
      </w:pPr>
      <w:r>
        <w:rPr>
          <w:rFonts w:cs="Times New Roman"/>
          <w:lang w:eastAsia="zh-CN"/>
        </w:rPr>
        <w:t>The abilities required to drive the transformation.</w:t>
      </w:r>
      <w:r>
        <w:rPr>
          <w:rFonts w:cs="Times New Roman"/>
          <w:lang w:eastAsia="zh-CN"/>
        </w:rPr>
        <w:br/>
        <w:t>In the field of health administration, certain basic skills are required for its successful leadership in terms of published literature:</w:t>
      </w:r>
    </w:p>
    <w:p w14:paraId="7A49074A" w14:textId="77777777" w:rsidR="00006732" w:rsidRDefault="00CF6AF6">
      <w:pPr>
        <w:spacing w:line="480" w:lineRule="auto"/>
      </w:pPr>
      <w:r>
        <w:rPr>
          <w:lang w:eastAsia="zh-CN"/>
        </w:rPr>
        <w:t xml:space="preserve">Emotional Intelligence: Understanding when employees are stressed, how to respond to resistance in an empathetic way and building emotional resilience when the technical changes are underway (Mitchell, 2013 </w:t>
      </w:r>
      <w:r>
        <w:rPr>
          <w:rFonts w:cs="Times New Roman"/>
        </w:rPr>
        <w:t>pp.32–37</w:t>
      </w:r>
      <w:r>
        <w:rPr>
          <w:lang w:eastAsia="zh-CN"/>
        </w:rPr>
        <w:t>).</w:t>
      </w:r>
    </w:p>
    <w:p w14:paraId="5EA9A4C8" w14:textId="77777777" w:rsidR="00006732" w:rsidRDefault="00CF6AF6">
      <w:pPr>
        <w:spacing w:line="480" w:lineRule="auto"/>
        <w:rPr>
          <w:rFonts w:cs="Times New Roman"/>
        </w:rPr>
      </w:pPr>
      <w:r>
        <w:rPr>
          <w:lang w:eastAsia="zh-CN"/>
        </w:rPr>
        <w:t xml:space="preserve">Effective Communication: Two-way sharing of information means that vision can be clearly </w:t>
      </w:r>
      <w:r>
        <w:rPr>
          <w:rFonts w:cs="Times New Roman"/>
          <w:lang w:eastAsia="zh-CN"/>
        </w:rPr>
        <w:t>expressed, staff concerns heard, and there are continuous feedback loops.</w:t>
      </w:r>
    </w:p>
    <w:p w14:paraId="2D237316" w14:textId="77777777" w:rsidR="00006732" w:rsidRDefault="00CF6AF6">
      <w:pPr>
        <w:spacing w:before="105" w:after="105" w:line="480" w:lineRule="auto"/>
        <w:jc w:val="left"/>
        <w:rPr>
          <w:rFonts w:cs="Times New Roman"/>
        </w:rPr>
      </w:pPr>
      <w:r>
        <w:rPr>
          <w:rFonts w:cs="Times New Roman"/>
          <w:lang w:eastAsia="zh-CN"/>
        </w:rPr>
        <w:t>Transformational Leadership: Inspiring staff to lead by example, empower front-line champions and ensure a clear and shared vision for improving the quality of care.</w:t>
      </w:r>
      <w:r>
        <w:rPr>
          <w:rFonts w:cs="Times New Roman"/>
          <w:lang w:eastAsia="zh-CN"/>
        </w:rPr>
        <w:br/>
        <w:t xml:space="preserve">The barriers found in Force Field Analysis are: </w:t>
      </w:r>
    </w:p>
    <w:p w14:paraId="4402D215" w14:textId="77777777" w:rsidR="00006732" w:rsidRDefault="00CF6AF6">
      <w:pPr>
        <w:spacing w:before="105" w:after="105" w:line="480" w:lineRule="auto"/>
        <w:jc w:val="left"/>
        <w:rPr>
          <w:rFonts w:cs="Times New Roman"/>
        </w:rPr>
      </w:pPr>
      <w:r>
        <w:rPr>
          <w:rFonts w:cs="Times New Roman"/>
          <w:lang w:eastAsia="zh-CN"/>
        </w:rPr>
        <w:t>Staff resistance to technology, Digital Literacy anxiety, and Workflow disruption. The solutions are based on practical training to fill the skills gap, technical support to ensure that the technology is followed, and staff involvement in decision-making to make resistors into participants.</w:t>
      </w:r>
    </w:p>
    <w:p w14:paraId="3B424738" w14:textId="77777777" w:rsidR="00006732" w:rsidRDefault="00006732">
      <w:pPr>
        <w:spacing w:line="480" w:lineRule="auto"/>
        <w:rPr>
          <w:rFonts w:ascii="Arial Nova" w:eastAsia="Arial Nova" w:hAnsi="Arial Nova" w:cs="Arial Nova"/>
          <w:i/>
          <w:iCs/>
          <w:color w:val="000000"/>
        </w:rPr>
      </w:pPr>
    </w:p>
    <w:p w14:paraId="78B31624" w14:textId="77777777" w:rsidR="00006732" w:rsidRDefault="00CF6AF6">
      <w:pPr>
        <w:pStyle w:val="Heading1"/>
        <w:rPr>
          <w:rFonts w:ascii="Aptos" w:eastAsia="Aptos" w:hAnsi="Aptos" w:cs="Aptos"/>
          <w:color w:val="000000"/>
        </w:rPr>
      </w:pPr>
      <w:r>
        <w:t>Reference List</w:t>
      </w:r>
    </w:p>
    <w:p w14:paraId="09656B60" w14:textId="77777777" w:rsidR="00006732" w:rsidRDefault="00CF6AF6">
      <w:pPr>
        <w:pStyle w:val="NormalWeb"/>
        <w:spacing w:beforeAutospacing="0" w:after="210" w:afterAutospacing="0" w:line="480" w:lineRule="auto"/>
        <w:jc w:val="both"/>
        <w:rPr>
          <w:rStyle w:val="Hyperlink"/>
          <w:color w:val="0000FF"/>
        </w:rPr>
      </w:pPr>
      <w:r>
        <w:rPr>
          <w:color w:val="222222"/>
          <w:shd w:val="clear" w:color="auto" w:fill="FFFFFF"/>
        </w:rPr>
        <w:t xml:space="preserve">Gorbatov, S., Khapova, S.N. and Lysova, E.I., 2018. Personal branding: Interdisciplinary </w:t>
      </w:r>
      <w:r>
        <w:rPr>
          <w:color w:val="222222"/>
          <w:shd w:val="clear" w:color="auto" w:fill="FFFFFF"/>
        </w:rPr>
        <w:tab/>
      </w:r>
      <w:r>
        <w:rPr>
          <w:color w:val="222222"/>
          <w:shd w:val="clear" w:color="auto" w:fill="FFFFFF"/>
        </w:rPr>
        <w:tab/>
      </w:r>
      <w:r>
        <w:rPr>
          <w:color w:val="222222"/>
          <w:shd w:val="clear" w:color="auto" w:fill="FFFFFF"/>
        </w:rPr>
        <w:t xml:space="preserve">systematic review and research agenda. </w:t>
      </w:r>
      <w:r>
        <w:rPr>
          <w:i/>
          <w:iCs/>
          <w:color w:val="222222"/>
          <w:shd w:val="clear" w:color="auto" w:fill="FFFFFF"/>
        </w:rPr>
        <w:t>Frontiers in psychology</w:t>
      </w:r>
      <w:r>
        <w:rPr>
          <w:color w:val="222222"/>
          <w:shd w:val="clear" w:color="auto" w:fill="FFFFFF"/>
        </w:rPr>
        <w:t xml:space="preserve">, </w:t>
      </w:r>
      <w:r>
        <w:rPr>
          <w:i/>
          <w:iCs/>
          <w:color w:val="222222"/>
          <w:shd w:val="clear" w:color="auto" w:fill="FFFFFF"/>
        </w:rPr>
        <w:t>9</w:t>
      </w:r>
      <w:r>
        <w:rPr>
          <w:color w:val="222222"/>
          <w:shd w:val="clear" w:color="auto" w:fill="FFFFFF"/>
        </w:rPr>
        <w:t>, p.2238.</w:t>
      </w:r>
      <w:r>
        <w:rPr>
          <w:color w:val="222222"/>
          <w:shd w:val="clear" w:color="auto" w:fill="FFFFFF"/>
        </w:rPr>
        <w:br/>
      </w:r>
      <w:r>
        <w:t xml:space="preserve">Botti, S. (2026). </w:t>
      </w:r>
      <w:r>
        <w:rPr>
          <w:i/>
          <w:iCs/>
        </w:rPr>
        <w:t>Why personal branding matters in medical careers | London Business School</w:t>
      </w:r>
      <w:r>
        <w:t xml:space="preserve">. </w:t>
      </w:r>
      <w:r>
        <w:tab/>
      </w:r>
      <w:r>
        <w:t>London Business School.</w:t>
      </w:r>
      <w:r>
        <w:t xml:space="preserve"> </w:t>
      </w:r>
      <w:r>
        <w:rPr>
          <w:rStyle w:val="Hyperlink"/>
          <w:color w:val="0000FF"/>
        </w:rPr>
        <w:fldChar w:fldCharType="begin"/>
      </w:r>
      <w:r>
        <w:rPr>
          <w:rStyle w:val="Hyperlink"/>
          <w:color w:val="0000FF"/>
        </w:rPr>
        <w:instrText xml:space="preserve"> HYPERLINK "https://www.london.edu/faculty-and-research/research/research-highlights/personal-branding-in-medical." </w:instrText>
      </w:r>
      <w:r>
        <w:rPr>
          <w:rStyle w:val="Hyperlink"/>
          <w:color w:val="0000FF"/>
        </w:rPr>
      </w:r>
      <w:r>
        <w:rPr>
          <w:rStyle w:val="Hyperlink"/>
          <w:color w:val="0000FF"/>
        </w:rPr>
        <w:fldChar w:fldCharType="separate"/>
      </w:r>
      <w:r>
        <w:rPr>
          <w:rStyle w:val="Hyperlink"/>
          <w:color w:val="0000FF"/>
        </w:rPr>
        <w:t>https://www.london.edu/faculty-and-</w:t>
      </w:r>
      <w:r>
        <w:rPr>
          <w:rStyle w:val="Hyperlink"/>
          <w:color w:val="0000FF"/>
        </w:rPr>
        <w:tab/>
      </w:r>
      <w:r>
        <w:rPr>
          <w:rStyle w:val="Hyperlink"/>
          <w:color w:val="0000FF"/>
        </w:rPr>
        <w:t>research/research/research-highlights/personal-branding-in-medical.</w:t>
      </w:r>
      <w:r>
        <w:rPr>
          <w:rStyle w:val="Hyperlink"/>
          <w:color w:val="0000FF"/>
        </w:rPr>
        <w:br/>
      </w:r>
      <w:r>
        <w:t xml:space="preserve">Faizan, R. (2025). The importance of professional networking: A pathway to career success. </w:t>
      </w:r>
      <w:r>
        <w:tab/>
      </w:r>
      <w:r>
        <w:rPr>
          <w:i/>
          <w:iCs/>
        </w:rPr>
        <w:t>Scientific Societal and Behavioral Research Journal</w:t>
      </w:r>
      <w:r>
        <w:t xml:space="preserve"> 1(1), p.59. </w:t>
      </w:r>
      <w:r>
        <w:rPr>
          <w:rStyle w:val="Hyperlink"/>
          <w:color w:val="0000FF"/>
        </w:rPr>
        <w:t>doi:10.63329/av3nz1236.</w:t>
      </w:r>
      <w:r>
        <w:rPr>
          <w:rStyle w:val="Hyperlink"/>
          <w:color w:val="0000FF"/>
        </w:rPr>
        <w:br/>
      </w:r>
      <w:r>
        <w:rPr>
          <w:color w:val="222222"/>
          <w:shd w:val="clear" w:color="auto" w:fill="FFFFFF"/>
        </w:rPr>
        <w:t xml:space="preserve">Amoah, P.A. and Oteng, S.A., 2026. Social capital, social health insurance, and health-related </w:t>
      </w:r>
      <w:r>
        <w:rPr>
          <w:color w:val="222222"/>
          <w:shd w:val="clear" w:color="auto" w:fill="FFFFFF"/>
        </w:rPr>
        <w:tab/>
      </w:r>
      <w:r>
        <w:rPr>
          <w:color w:val="222222"/>
          <w:shd w:val="clear" w:color="auto" w:fill="FFFFFF"/>
        </w:rPr>
        <w:tab/>
      </w:r>
      <w:r>
        <w:rPr>
          <w:color w:val="222222"/>
          <w:shd w:val="clear" w:color="auto" w:fill="FFFFFF"/>
        </w:rPr>
        <w:t xml:space="preserve">quality of life among people with chronic disease: cultural and ideational perspectives. </w:t>
      </w:r>
      <w:r>
        <w:rPr>
          <w:color w:val="222222"/>
          <w:shd w:val="clear" w:color="auto" w:fill="FFFFFF"/>
        </w:rPr>
        <w:tab/>
      </w:r>
      <w:r>
        <w:rPr>
          <w:i/>
          <w:iCs/>
          <w:color w:val="222222"/>
          <w:shd w:val="clear" w:color="auto" w:fill="FFFFFF"/>
        </w:rPr>
        <w:t>Social Policy and Society</w:t>
      </w:r>
      <w:r>
        <w:rPr>
          <w:color w:val="222222"/>
          <w:shd w:val="clear" w:color="auto" w:fill="FFFFFF"/>
        </w:rPr>
        <w:t xml:space="preserve">, </w:t>
      </w:r>
      <w:r>
        <w:rPr>
          <w:i/>
          <w:iCs/>
          <w:color w:val="222222"/>
          <w:shd w:val="clear" w:color="auto" w:fill="FFFFFF"/>
        </w:rPr>
        <w:t>25</w:t>
      </w:r>
      <w:r>
        <w:rPr>
          <w:color w:val="222222"/>
          <w:shd w:val="clear" w:color="auto" w:fill="FFFFFF"/>
        </w:rPr>
        <w:t>(2), pp.356-373.</w:t>
      </w:r>
      <w:r>
        <w:rPr>
          <w:color w:val="222222"/>
          <w:shd w:val="clear" w:color="auto" w:fill="FFFFFF"/>
        </w:rPr>
        <w:br/>
      </w:r>
      <w:r>
        <w:t xml:space="preserve">Makhanya, M.T.B. (2026). Application of Kurt Lewin’s model of change for optimal </w:t>
      </w:r>
      <w:r>
        <w:tab/>
      </w:r>
      <w:r>
        <w:t xml:space="preserve">performance in Makhanda municipality, Makhanda: A bibliometric analysis. </w:t>
      </w:r>
      <w:r>
        <w:tab/>
      </w:r>
      <w:r>
        <w:rPr>
          <w:i/>
          <w:iCs/>
        </w:rPr>
        <w:t>International Journal of Business Ecosystem &amp; Strategy (2687-2293)</w:t>
      </w:r>
      <w:r>
        <w:t xml:space="preserve">,7(6), pp.129–137. </w:t>
      </w:r>
      <w:r>
        <w:tab/>
      </w:r>
      <w:r>
        <w:rPr>
          <w:rStyle w:val="Hyperlink"/>
          <w:color w:val="0000FF"/>
        </w:rPr>
        <w:t>doi:10.36096/ijbes.v7i6.1062.</w:t>
      </w:r>
      <w:r>
        <w:rPr>
          <w:rStyle w:val="Hyperlink"/>
          <w:color w:val="0000FF"/>
        </w:rPr>
        <w:br/>
      </w:r>
      <w:r>
        <w:t xml:space="preserve">Mitchell, G. (2013). Selecting the best theory to implement planned change. </w:t>
      </w:r>
      <w:r>
        <w:rPr>
          <w:i/>
          <w:iCs/>
        </w:rPr>
        <w:t xml:space="preserve">Nursing </w:t>
      </w:r>
      <w:r>
        <w:rPr>
          <w:i/>
          <w:iCs/>
        </w:rPr>
        <w:tab/>
      </w:r>
      <w:r>
        <w:rPr>
          <w:i/>
          <w:iCs/>
        </w:rPr>
        <w:t>Management</w:t>
      </w:r>
      <w:r>
        <w:t xml:space="preserve">, 20(1), pp.32–37. </w:t>
      </w:r>
      <w:r>
        <w:rPr>
          <w:rStyle w:val="Hyperlink"/>
          <w:color w:val="0000FF"/>
        </w:rPr>
        <w:t>doi:10.7748/nm2013.04.20.1.32.e1013.</w:t>
      </w:r>
    </w:p>
    <w:p w14:paraId="12D504F0" w14:textId="77777777" w:rsidR="00006732" w:rsidRDefault="00CF6AF6">
      <w:pPr>
        <w:pStyle w:val="NormalWeb"/>
        <w:spacing w:beforeAutospacing="0" w:after="210" w:afterAutospacing="0" w:line="360" w:lineRule="auto"/>
        <w:rPr>
          <w:color w:val="0000FF"/>
        </w:rPr>
      </w:pPr>
      <w:r>
        <w:t xml:space="preserve">Solow, M. and Perry, T.E. (2023) “Change management and health care culture,” </w:t>
      </w:r>
      <w:r>
        <w:rPr>
          <w:i/>
          <w:iCs/>
        </w:rPr>
        <w:t xml:space="preserve">Anesthesiology </w:t>
      </w:r>
      <w:r>
        <w:rPr>
          <w:i/>
          <w:iCs/>
        </w:rPr>
        <w:tab/>
      </w:r>
      <w:r>
        <w:rPr>
          <w:i/>
          <w:iCs/>
        </w:rPr>
        <w:t>Clinics</w:t>
      </w:r>
      <w:r>
        <w:t>, 41(4), pp. 693–705.</w:t>
      </w:r>
      <w:r>
        <w:rPr>
          <w:rStyle w:val="Hyperlink"/>
          <w:color w:val="0000FF"/>
        </w:rPr>
        <w:t xml:space="preserve"> https://doi.org/10.1016/j.anclin.2023.05.001.</w:t>
      </w:r>
      <w:r>
        <w:rPr>
          <w:rStyle w:val="Hyperlink"/>
          <w:color w:val="0000FF"/>
        </w:rPr>
        <w:br/>
      </w:r>
      <w:r>
        <w:t xml:space="preserve">MDPI (2019) </w:t>
      </w:r>
      <w:r>
        <w:rPr>
          <w:i/>
          <w:iCs/>
        </w:rPr>
        <w:t>MDPI - publisher of open access journals</w:t>
      </w:r>
      <w:r>
        <w:t xml:space="preserve">, </w:t>
      </w:r>
      <w:r>
        <w:rPr>
          <w:i/>
          <w:iCs/>
        </w:rPr>
        <w:t>Mdpi.com</w:t>
      </w:r>
      <w:r>
        <w:t xml:space="preserve">. Available at: </w:t>
      </w:r>
      <w:r>
        <w:tab/>
      </w:r>
      <w:r>
        <w:rPr>
          <w:rStyle w:val="Hyperlink"/>
          <w:color w:val="0000FF"/>
        </w:rPr>
        <w:t>https://www.mdpi.com/.</w:t>
      </w:r>
    </w:p>
    <w:p w14:paraId="112B3478" w14:textId="77777777" w:rsidR="00006732" w:rsidRDefault="00006732">
      <w:pPr>
        <w:pStyle w:val="NormalWeb"/>
        <w:spacing w:beforeAutospacing="0" w:after="210" w:afterAutospacing="0" w:line="480" w:lineRule="auto"/>
        <w:jc w:val="both"/>
        <w:rPr>
          <w:rStyle w:val="Hyperlink"/>
          <w:color w:val="0000FF"/>
        </w:rPr>
      </w:pPr>
    </w:p>
    <w:p w14:paraId="4188ABCC" w14:textId="77777777" w:rsidR="00006732" w:rsidRDefault="00006732">
      <w:pPr>
        <w:pStyle w:val="NormalWeb"/>
        <w:spacing w:beforeAutospacing="0" w:after="210" w:afterAutospacing="0" w:line="480" w:lineRule="auto"/>
        <w:jc w:val="both"/>
        <w:rPr>
          <w:rStyle w:val="Hyperlink"/>
          <w:color w:val="0000FF"/>
        </w:rPr>
      </w:pPr>
    </w:p>
    <w:p w14:paraId="33338089" w14:textId="77777777" w:rsidR="00006732" w:rsidRDefault="00006732">
      <w:pPr>
        <w:pStyle w:val="NormalWeb"/>
        <w:spacing w:beforeAutospacing="0" w:after="210" w:afterAutospacing="0" w:line="480" w:lineRule="auto"/>
        <w:jc w:val="both"/>
        <w:rPr>
          <w:rStyle w:val="Hyperlink"/>
          <w:color w:val="0000FF"/>
        </w:rPr>
      </w:pPr>
    </w:p>
    <w:p w14:paraId="59D6CFED" w14:textId="77777777" w:rsidR="00006732" w:rsidRDefault="00006732">
      <w:pPr>
        <w:spacing w:line="480" w:lineRule="auto"/>
        <w:rPr>
          <w:rFonts w:cs="Times New Roman"/>
        </w:rPr>
      </w:pPr>
    </w:p>
    <w:p w14:paraId="20F38DDE" w14:textId="77777777" w:rsidR="00006732" w:rsidRDefault="00CF6AF6">
      <w:pPr>
        <w:pStyle w:val="NormalWeb"/>
        <w:spacing w:beforeAutospacing="0" w:after="210" w:afterAutospacing="0" w:line="480" w:lineRule="auto"/>
        <w:jc w:val="both"/>
        <w:rPr>
          <w:rStyle w:val="Hyperlink"/>
          <w:color w:val="0000FF"/>
        </w:rPr>
      </w:pPr>
      <w:r>
        <w:rPr>
          <w:rStyle w:val="Hyperlink"/>
          <w:color w:val="0000FF"/>
        </w:rPr>
        <w:br/>
      </w:r>
      <w:r>
        <w:rPr>
          <w:rStyle w:val="Hyperlink"/>
          <w:color w:val="0000FF"/>
        </w:rPr>
        <w:fldChar w:fldCharType="end"/>
      </w:r>
    </w:p>
    <w:p w14:paraId="3A963E2A" w14:textId="77777777" w:rsidR="00006732" w:rsidRDefault="00006732">
      <w:pPr>
        <w:spacing w:line="480" w:lineRule="auto"/>
        <w:rPr>
          <w:rFonts w:ascii="Aptos" w:eastAsia="Aptos" w:hAnsi="Aptos" w:cs="Aptos"/>
          <w:color w:val="000000"/>
        </w:rPr>
      </w:pPr>
    </w:p>
    <w:p w14:paraId="30DB93CC" w14:textId="77777777" w:rsidR="00006732" w:rsidRDefault="00006732">
      <w:pPr>
        <w:spacing w:line="480" w:lineRule="auto"/>
        <w:rPr>
          <w:rFonts w:ascii="Aptos" w:eastAsia="Aptos" w:hAnsi="Aptos" w:cs="Aptos"/>
          <w:color w:val="000000"/>
        </w:rPr>
      </w:pPr>
    </w:p>
    <w:p w14:paraId="72C1B7F9" w14:textId="77777777" w:rsidR="00006732" w:rsidRDefault="00006732">
      <w:pPr>
        <w:spacing w:line="480" w:lineRule="auto"/>
        <w:rPr>
          <w:rFonts w:ascii="Aptos" w:eastAsia="Aptos" w:hAnsi="Aptos" w:cs="Aptos"/>
          <w:color w:val="000000"/>
        </w:rPr>
      </w:pPr>
    </w:p>
    <w:p w14:paraId="0CBBB483" w14:textId="77777777" w:rsidR="00006732" w:rsidRDefault="00006732">
      <w:pPr>
        <w:spacing w:line="480" w:lineRule="auto"/>
        <w:rPr>
          <w:rFonts w:ascii="Aptos" w:eastAsia="Aptos" w:hAnsi="Aptos" w:cs="Aptos"/>
          <w:color w:val="000000"/>
        </w:rPr>
      </w:pPr>
    </w:p>
    <w:p w14:paraId="1808AC08" w14:textId="77777777" w:rsidR="00006732" w:rsidRDefault="00006732">
      <w:pPr>
        <w:spacing w:line="480" w:lineRule="auto"/>
        <w:rPr>
          <w:rFonts w:ascii="Aptos" w:eastAsia="Aptos" w:hAnsi="Aptos" w:cs="Aptos"/>
          <w:color w:val="000000"/>
        </w:rPr>
      </w:pPr>
    </w:p>
    <w:p w14:paraId="1FBC695A" w14:textId="77777777" w:rsidR="00006732" w:rsidRDefault="00006732">
      <w:pPr>
        <w:spacing w:line="480" w:lineRule="auto"/>
        <w:rPr>
          <w:rFonts w:ascii="Aptos" w:eastAsia="Aptos" w:hAnsi="Aptos" w:cs="Aptos"/>
          <w:color w:val="000000"/>
        </w:rPr>
      </w:pPr>
    </w:p>
    <w:p w14:paraId="1A226F40" w14:textId="77777777" w:rsidR="00006732" w:rsidRDefault="00006732">
      <w:pPr>
        <w:spacing w:line="480" w:lineRule="auto"/>
        <w:rPr>
          <w:rFonts w:ascii="Aptos" w:eastAsia="Aptos" w:hAnsi="Aptos" w:cs="Aptos"/>
          <w:color w:val="000000"/>
        </w:rPr>
      </w:pPr>
    </w:p>
    <w:p w14:paraId="36129DA7" w14:textId="77777777" w:rsidR="00006732" w:rsidRDefault="00006732">
      <w:pPr>
        <w:spacing w:line="480" w:lineRule="auto"/>
        <w:rPr>
          <w:rFonts w:ascii="Aptos" w:eastAsia="Aptos" w:hAnsi="Aptos" w:cs="Aptos"/>
          <w:color w:val="000000"/>
        </w:rPr>
      </w:pPr>
    </w:p>
    <w:p w14:paraId="0336DA60" w14:textId="77777777" w:rsidR="00006732" w:rsidRDefault="00006732">
      <w:pPr>
        <w:spacing w:line="480" w:lineRule="auto"/>
        <w:rPr>
          <w:rFonts w:ascii="Aptos" w:eastAsia="Aptos" w:hAnsi="Aptos" w:cs="Aptos"/>
          <w:color w:val="000000"/>
        </w:rPr>
      </w:pPr>
    </w:p>
    <w:p w14:paraId="6A644C05" w14:textId="77777777" w:rsidR="00006732" w:rsidRDefault="00006732">
      <w:pPr>
        <w:spacing w:line="480" w:lineRule="auto"/>
        <w:rPr>
          <w:rFonts w:ascii="Aptos" w:eastAsia="Aptos" w:hAnsi="Aptos" w:cs="Aptos"/>
          <w:color w:val="000000"/>
        </w:rPr>
      </w:pPr>
    </w:p>
    <w:p w14:paraId="24C55009" w14:textId="77777777" w:rsidR="00006732" w:rsidRDefault="00006732">
      <w:pPr>
        <w:spacing w:line="480" w:lineRule="auto"/>
        <w:rPr>
          <w:rFonts w:ascii="Aptos" w:eastAsia="Aptos" w:hAnsi="Aptos" w:cs="Aptos"/>
          <w:color w:val="000000"/>
        </w:rPr>
      </w:pPr>
    </w:p>
    <w:p w14:paraId="409C292F" w14:textId="77777777" w:rsidR="00006732" w:rsidRDefault="00006732">
      <w:pPr>
        <w:spacing w:line="480" w:lineRule="auto"/>
        <w:rPr>
          <w:rFonts w:ascii="Aptos" w:eastAsia="Aptos" w:hAnsi="Aptos" w:cs="Aptos"/>
          <w:color w:val="000000"/>
        </w:rPr>
      </w:pPr>
    </w:p>
    <w:p w14:paraId="41E4C797" w14:textId="77777777" w:rsidR="00006732" w:rsidRDefault="00006732">
      <w:pPr>
        <w:spacing w:line="480" w:lineRule="auto"/>
        <w:rPr>
          <w:rFonts w:ascii="Aptos" w:eastAsia="Aptos" w:hAnsi="Aptos" w:cs="Aptos"/>
          <w:i/>
          <w:iCs/>
          <w:color w:val="000000"/>
        </w:rPr>
      </w:pPr>
    </w:p>
    <w:p w14:paraId="00C9CBB1" w14:textId="77777777" w:rsidR="00006732" w:rsidRDefault="00006732">
      <w:pPr>
        <w:spacing w:line="480" w:lineRule="auto"/>
        <w:rPr>
          <w:sz w:val="44"/>
          <w:szCs w:val="44"/>
        </w:rPr>
      </w:pPr>
    </w:p>
    <w:sectPr w:rsidR="00006732">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AD8A3" w14:textId="77777777" w:rsidR="00CF6AF6" w:rsidRDefault="00CF6AF6">
      <w:pPr>
        <w:spacing w:after="0"/>
      </w:pPr>
      <w:r>
        <w:separator/>
      </w:r>
    </w:p>
  </w:endnote>
  <w:endnote w:type="continuationSeparator" w:id="0">
    <w:p w14:paraId="60E55837" w14:textId="77777777" w:rsidR="00CF6AF6" w:rsidRDefault="00CF6AF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SimSun">
    <w:altName w:val="宋体"/>
    <w:panose1 w:val="02010600030101010101"/>
    <w:charset w:val="86"/>
    <w:family w:val="auto"/>
    <w:pitch w:val="default"/>
    <w:sig w:usb0="00000003" w:usb1="288F0000" w:usb2="00000006" w:usb3="00000000" w:csb0="00040001"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default"/>
    <w:sig w:usb0="00000000" w:usb1="00000000" w:usb2="00000000" w:usb3="00000000" w:csb0="0000019F" w:csb1="00000000"/>
  </w:font>
  <w:font w:name="Arial Nova">
    <w:altName w:val="Arial"/>
    <w:panose1 w:val="020B0504020202020204"/>
    <w:charset w:val="00"/>
    <w:family w:val="swiss"/>
    <w:pitch w:val="variable"/>
    <w:sig w:usb0="0000028F" w:usb1="00000002" w:usb2="00000000" w:usb3="00000000" w:csb0="0000019F"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notTrueType/>
    <w:pitch w:val="default"/>
  </w:font>
  <w:font w:name="Calibri">
    <w:panose1 w:val="020F0502020204030204"/>
    <w:charset w:val="00"/>
    <w:family w:val="swiss"/>
    <w:pitch w:val="default"/>
    <w:sig w:usb0="E0002AFF" w:usb1="C000247B" w:usb2="00000009" w:usb3="00000000" w:csb0="2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09AD2" w14:textId="77777777" w:rsidR="00006732" w:rsidRDefault="00CF6AF6">
    <w:pPr>
      <w:pStyle w:val="Footer"/>
      <w:jc w:val="center"/>
    </w:pPr>
    <w:r>
      <w:fldChar w:fldCharType="begin"/>
    </w:r>
    <w:r>
      <w:instrText xml:space="preserve"> PAGE   \* MERGEFORMAT </w:instrText>
    </w:r>
    <w:r>
      <w:fldChar w:fldCharType="separate"/>
    </w:r>
    <w:r>
      <w:t>2</w:t>
    </w:r>
    <w:r>
      <w:fldChar w:fldCharType="end"/>
    </w:r>
  </w:p>
  <w:p w14:paraId="5D8035E4" w14:textId="77777777" w:rsidR="00006732" w:rsidRDefault="000067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615E1" w14:textId="77777777" w:rsidR="00CF6AF6" w:rsidRDefault="00CF6AF6">
      <w:pPr>
        <w:spacing w:after="0"/>
      </w:pPr>
      <w:r>
        <w:separator/>
      </w:r>
    </w:p>
  </w:footnote>
  <w:footnote w:type="continuationSeparator" w:id="0">
    <w:p w14:paraId="72278091" w14:textId="77777777" w:rsidR="00CF6AF6" w:rsidRDefault="00CF6AF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singleLevel"/>
    <w:tmpl w:val="CA81FE81"/>
    <w:lvl w:ilvl="0">
      <w:start w:val="1"/>
      <w:numFmt w:val="decimal"/>
      <w:suff w:val="space"/>
      <w:lvlText w:val="%1."/>
      <w:lvlJc w:val="left"/>
    </w:lvl>
  </w:abstractNum>
  <w:abstractNum w:abstractNumId="1" w15:restartNumberingAfterBreak="0">
    <w:nsid w:val="00000001"/>
    <w:multiLevelType w:val="hybridMultilevel"/>
    <w:tmpl w:val="3B7AE2A7"/>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48641E55"/>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0308503">
    <w:abstractNumId w:val="1"/>
  </w:num>
  <w:num w:numId="2" w16cid:durableId="2140607611">
    <w:abstractNumId w:val="0"/>
  </w:num>
  <w:num w:numId="3" w16cid:durableId="1595047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732"/>
    <w:rsid w:val="00006732"/>
    <w:rsid w:val="00400850"/>
    <w:rsid w:val="006D10C6"/>
    <w:rsid w:val="007850A6"/>
    <w:rsid w:val="00CF6AF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C72E21F"/>
  <w15:docId w15:val="{31BF79EB-D1DD-444C-8231-3839D18FE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jc w:val="both"/>
    </w:pPr>
    <w:rPr>
      <w:rFonts w:cs="Arial"/>
      <w:sz w:val="24"/>
      <w:szCs w:val="24"/>
      <w:lang w:val="en-US" w:eastAsia="ja-JP"/>
    </w:rPr>
  </w:style>
  <w:style w:type="paragraph" w:styleId="Heading1">
    <w:name w:val="heading 1"/>
    <w:basedOn w:val="Normal"/>
    <w:next w:val="Normal"/>
    <w:link w:val="Heading1Char"/>
    <w:uiPriority w:val="9"/>
    <w:qFormat/>
    <w:pPr>
      <w:keepNext/>
      <w:keepLines/>
      <w:spacing w:before="360" w:after="80"/>
      <w:outlineLvl w:val="0"/>
    </w:pPr>
    <w:rPr>
      <w:rFonts w:cs="Times New Roman"/>
      <w:b/>
      <w:color w:val="104862"/>
      <w:sz w:val="32"/>
      <w:szCs w:val="40"/>
    </w:rPr>
  </w:style>
  <w:style w:type="paragraph" w:styleId="Heading2">
    <w:name w:val="heading 2"/>
    <w:basedOn w:val="Normal"/>
    <w:next w:val="Normal"/>
    <w:link w:val="Heading2Char"/>
    <w:uiPriority w:val="9"/>
    <w:unhideWhenUsed/>
    <w:qFormat/>
    <w:pPr>
      <w:keepNext/>
      <w:keepLines/>
      <w:spacing w:before="160" w:after="80" w:line="360" w:lineRule="auto"/>
      <w:outlineLvl w:val="1"/>
    </w:pPr>
    <w:rPr>
      <w:rFonts w:cs="Times New Roman"/>
      <w:b/>
      <w:color w:val="104862"/>
      <w:sz w:val="28"/>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cs="Times New Roman"/>
      <w:color w:val="104862"/>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cs="Times New Roman"/>
      <w:i/>
      <w:iCs/>
      <w:color w:val="104862"/>
    </w:rPr>
  </w:style>
  <w:style w:type="paragraph" w:styleId="Heading5">
    <w:name w:val="heading 5"/>
    <w:basedOn w:val="Normal"/>
    <w:next w:val="Normal"/>
    <w:link w:val="Heading5Char"/>
    <w:uiPriority w:val="9"/>
    <w:semiHidden/>
    <w:unhideWhenUsed/>
    <w:qFormat/>
    <w:pPr>
      <w:keepNext/>
      <w:keepLines/>
      <w:spacing w:before="80" w:after="40"/>
      <w:outlineLvl w:val="4"/>
    </w:pPr>
    <w:rPr>
      <w:rFonts w:cs="Times New Roman"/>
      <w:color w:val="104862"/>
    </w:rPr>
  </w:style>
  <w:style w:type="paragraph" w:styleId="Heading6">
    <w:name w:val="heading 6"/>
    <w:basedOn w:val="Normal"/>
    <w:next w:val="Normal"/>
    <w:link w:val="Heading6Char"/>
    <w:uiPriority w:val="9"/>
    <w:semiHidden/>
    <w:unhideWhenUsed/>
    <w:qFormat/>
    <w:pPr>
      <w:keepNext/>
      <w:keepLines/>
      <w:spacing w:before="40" w:after="0"/>
      <w:outlineLvl w:val="5"/>
    </w:pPr>
    <w:rPr>
      <w:rFonts w:cs="Times New Roman"/>
      <w:i/>
      <w:iCs/>
      <w:color w:val="595959"/>
    </w:rPr>
  </w:style>
  <w:style w:type="paragraph" w:styleId="Heading7">
    <w:name w:val="heading 7"/>
    <w:basedOn w:val="Normal"/>
    <w:next w:val="Normal"/>
    <w:link w:val="Heading7Char"/>
    <w:uiPriority w:val="9"/>
    <w:qFormat/>
    <w:pPr>
      <w:keepNext/>
      <w:keepLines/>
      <w:spacing w:before="40" w:after="0"/>
      <w:outlineLvl w:val="6"/>
    </w:pPr>
    <w:rPr>
      <w:rFonts w:cs="Times New Roman"/>
      <w:color w:val="595959"/>
    </w:rPr>
  </w:style>
  <w:style w:type="paragraph" w:styleId="Heading8">
    <w:name w:val="heading 8"/>
    <w:basedOn w:val="Normal"/>
    <w:next w:val="Normal"/>
    <w:link w:val="Heading8Char"/>
    <w:uiPriority w:val="9"/>
    <w:qFormat/>
    <w:pPr>
      <w:keepNext/>
      <w:keepLines/>
      <w:spacing w:after="0"/>
      <w:outlineLvl w:val="7"/>
    </w:pPr>
    <w:rPr>
      <w:rFonts w:cs="Times New Roman"/>
      <w:i/>
      <w:iCs/>
      <w:color w:val="262626"/>
    </w:rPr>
  </w:style>
  <w:style w:type="paragraph" w:styleId="Heading9">
    <w:name w:val="heading 9"/>
    <w:basedOn w:val="Normal"/>
    <w:next w:val="Normal"/>
    <w:link w:val="Heading9Char"/>
    <w:uiPriority w:val="9"/>
    <w:qFormat/>
    <w:pPr>
      <w:keepNext/>
      <w:keepLines/>
      <w:spacing w:after="0"/>
      <w:outlineLvl w:val="8"/>
    </w:pPr>
    <w:rPr>
      <w:rFonts w:cs="Times New Roman"/>
      <w:color w:val="2626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qFormat/>
    <w:pPr>
      <w:tabs>
        <w:tab w:val="center" w:pos="4513"/>
        <w:tab w:val="right" w:pos="9026"/>
      </w:tabs>
      <w:spacing w:after="0"/>
    </w:pPr>
  </w:style>
  <w:style w:type="paragraph" w:styleId="Header">
    <w:name w:val="header"/>
    <w:basedOn w:val="Normal"/>
    <w:link w:val="HeaderChar"/>
    <w:uiPriority w:val="99"/>
    <w:qFormat/>
    <w:pPr>
      <w:tabs>
        <w:tab w:val="center" w:pos="4513"/>
        <w:tab w:val="right" w:pos="9026"/>
      </w:tabs>
      <w:spacing w:after="0"/>
    </w:pPr>
  </w:style>
  <w:style w:type="character" w:styleId="HTMLCite">
    <w:name w:val="HTML Cite"/>
    <w:basedOn w:val="DefaultParagraphFont"/>
    <w:uiPriority w:val="99"/>
    <w:rPr>
      <w:i/>
      <w:iCs/>
    </w:rPr>
  </w:style>
  <w:style w:type="character" w:styleId="Hyperlink">
    <w:name w:val="Hyperlink"/>
    <w:basedOn w:val="HTMLCite"/>
    <w:uiPriority w:val="99"/>
    <w:qFormat/>
    <w:rPr>
      <w:rFonts w:ascii="Times New Roman" w:eastAsia="SimSun" w:hAnsi="Times New Roman"/>
      <w:i/>
      <w:iCs/>
      <w:color w:val="467886"/>
      <w:u w:val="single"/>
    </w:rPr>
  </w:style>
  <w:style w:type="paragraph" w:styleId="NormalWeb">
    <w:name w:val="Normal (Web)"/>
    <w:qFormat/>
    <w:pPr>
      <w:spacing w:beforeAutospacing="1" w:afterAutospacing="1"/>
    </w:pPr>
    <w:rPr>
      <w:sz w:val="24"/>
      <w:szCs w:val="24"/>
      <w:lang w:val="en-US" w:eastAsia="zh-CN"/>
    </w:rPr>
  </w:style>
  <w:style w:type="paragraph" w:styleId="Subtitle">
    <w:name w:val="Subtitle"/>
    <w:basedOn w:val="Normal"/>
    <w:next w:val="Normal"/>
    <w:link w:val="SubtitleChar"/>
    <w:uiPriority w:val="11"/>
    <w:qFormat/>
    <w:rPr>
      <w:rFonts w:cs="Times New Roman"/>
      <w:color w:val="595959"/>
      <w:spacing w:val="15"/>
      <w:sz w:val="28"/>
      <w:szCs w:val="28"/>
    </w:rPr>
  </w:style>
  <w:style w:type="paragraph" w:styleId="Title">
    <w:name w:val="Title"/>
    <w:basedOn w:val="Normal"/>
    <w:next w:val="Normal"/>
    <w:link w:val="TitleChar"/>
    <w:uiPriority w:val="10"/>
    <w:qFormat/>
    <w:pPr>
      <w:spacing w:after="80"/>
      <w:contextualSpacing/>
    </w:pPr>
    <w:rPr>
      <w:rFonts w:ascii="Aptos Display" w:hAnsi="Aptos Display" w:cs="Times New Roman"/>
      <w:spacing w:val="-10"/>
      <w:kern w:val="28"/>
      <w:sz w:val="56"/>
      <w:szCs w:val="56"/>
    </w:rPr>
  </w:style>
  <w:style w:type="character" w:customStyle="1" w:styleId="Heading2Char">
    <w:name w:val="Heading 2 Char"/>
    <w:basedOn w:val="DefaultParagraphFont"/>
    <w:link w:val="Heading2"/>
    <w:uiPriority w:val="9"/>
    <w:qFormat/>
    <w:rPr>
      <w:rFonts w:ascii="Times New Roman" w:eastAsia="SimSun" w:hAnsi="Times New Roman" w:cs="Times New Roman"/>
      <w:b/>
      <w:color w:val="104862"/>
      <w:sz w:val="28"/>
      <w:szCs w:val="32"/>
    </w:rPr>
  </w:style>
  <w:style w:type="character" w:customStyle="1" w:styleId="Heading1Char">
    <w:name w:val="Heading 1 Char"/>
    <w:basedOn w:val="DefaultParagraphFont"/>
    <w:link w:val="Heading1"/>
    <w:uiPriority w:val="9"/>
    <w:qFormat/>
    <w:rPr>
      <w:rFonts w:ascii="Times New Roman" w:eastAsia="SimSun" w:hAnsi="Times New Roman" w:cs="Times New Roman"/>
      <w:b/>
      <w:color w:val="104862"/>
      <w:sz w:val="32"/>
      <w:szCs w:val="40"/>
    </w:rPr>
  </w:style>
  <w:style w:type="character" w:customStyle="1" w:styleId="Heading3Char">
    <w:name w:val="Heading 3 Char"/>
    <w:basedOn w:val="DefaultParagraphFont"/>
    <w:link w:val="Heading3"/>
    <w:uiPriority w:val="9"/>
    <w:qFormat/>
    <w:rPr>
      <w:rFonts w:eastAsia="SimSun" w:cs="Times New Roman"/>
      <w:color w:val="104862"/>
      <w:sz w:val="28"/>
      <w:szCs w:val="28"/>
    </w:rPr>
  </w:style>
  <w:style w:type="character" w:customStyle="1" w:styleId="Heading4Char">
    <w:name w:val="Heading 4 Char"/>
    <w:basedOn w:val="DefaultParagraphFont"/>
    <w:link w:val="Heading4"/>
    <w:uiPriority w:val="9"/>
    <w:qFormat/>
    <w:rPr>
      <w:rFonts w:eastAsia="SimSun" w:cs="Times New Roman"/>
      <w:i/>
      <w:iCs/>
      <w:color w:val="104862"/>
    </w:rPr>
  </w:style>
  <w:style w:type="character" w:customStyle="1" w:styleId="Heading5Char">
    <w:name w:val="Heading 5 Char"/>
    <w:basedOn w:val="DefaultParagraphFont"/>
    <w:link w:val="Heading5"/>
    <w:uiPriority w:val="9"/>
    <w:qFormat/>
    <w:rPr>
      <w:rFonts w:eastAsia="SimSun" w:cs="Times New Roman"/>
      <w:color w:val="104862"/>
    </w:rPr>
  </w:style>
  <w:style w:type="character" w:customStyle="1" w:styleId="Heading6Char">
    <w:name w:val="Heading 6 Char"/>
    <w:basedOn w:val="DefaultParagraphFont"/>
    <w:link w:val="Heading6"/>
    <w:uiPriority w:val="9"/>
    <w:qFormat/>
    <w:rPr>
      <w:rFonts w:eastAsia="SimSun" w:cs="Times New Roman"/>
      <w:i/>
      <w:iCs/>
      <w:color w:val="595959"/>
    </w:rPr>
  </w:style>
  <w:style w:type="character" w:customStyle="1" w:styleId="Heading7Char">
    <w:name w:val="Heading 7 Char"/>
    <w:basedOn w:val="DefaultParagraphFont"/>
    <w:link w:val="Heading7"/>
    <w:uiPriority w:val="9"/>
    <w:qFormat/>
    <w:rPr>
      <w:rFonts w:eastAsia="SimSun" w:cs="Times New Roman"/>
      <w:color w:val="595959"/>
    </w:rPr>
  </w:style>
  <w:style w:type="character" w:customStyle="1" w:styleId="Heading8Char">
    <w:name w:val="Heading 8 Char"/>
    <w:basedOn w:val="DefaultParagraphFont"/>
    <w:link w:val="Heading8"/>
    <w:uiPriority w:val="9"/>
    <w:qFormat/>
    <w:rPr>
      <w:rFonts w:eastAsia="SimSun" w:cs="Times New Roman"/>
      <w:i/>
      <w:iCs/>
      <w:color w:val="262626"/>
    </w:rPr>
  </w:style>
  <w:style w:type="character" w:customStyle="1" w:styleId="Heading9Char">
    <w:name w:val="Heading 9 Char"/>
    <w:basedOn w:val="DefaultParagraphFont"/>
    <w:link w:val="Heading9"/>
    <w:uiPriority w:val="9"/>
    <w:qFormat/>
    <w:rPr>
      <w:rFonts w:eastAsia="SimSun" w:cs="Times New Roman"/>
      <w:color w:val="262626"/>
    </w:rPr>
  </w:style>
  <w:style w:type="character" w:customStyle="1" w:styleId="TitleChar">
    <w:name w:val="Title Char"/>
    <w:basedOn w:val="DefaultParagraphFont"/>
    <w:link w:val="Title"/>
    <w:uiPriority w:val="10"/>
    <w:qFormat/>
    <w:rPr>
      <w:rFonts w:ascii="Aptos Display" w:eastAsia="SimSun" w:hAnsi="Aptos Display" w:cs="Times New Roman"/>
      <w:spacing w:val="-10"/>
      <w:kern w:val="28"/>
      <w:sz w:val="56"/>
      <w:szCs w:val="56"/>
    </w:rPr>
  </w:style>
  <w:style w:type="character" w:customStyle="1" w:styleId="SubtitleChar">
    <w:name w:val="Subtitle Char"/>
    <w:basedOn w:val="DefaultParagraphFont"/>
    <w:link w:val="Subtitle"/>
    <w:uiPriority w:val="11"/>
    <w:qFormat/>
    <w:rPr>
      <w:rFonts w:eastAsia="SimSun" w:cs="Times New Roman"/>
      <w:color w:val="595959"/>
      <w:spacing w:val="15"/>
      <w:sz w:val="28"/>
      <w:szCs w:val="28"/>
    </w:rPr>
  </w:style>
  <w:style w:type="character" w:customStyle="1" w:styleId="IntenseEmphasis840d66f3-c2ec-470e-8114-18d64ade1376">
    <w:name w:val="Intense Emphasis_840d66f3-c2ec-470e-8114-18d64ade1376"/>
    <w:basedOn w:val="DefaultParagraphFont"/>
    <w:uiPriority w:val="21"/>
    <w:qFormat/>
    <w:rPr>
      <w:i/>
      <w:iCs/>
      <w:color w:val="104862"/>
    </w:rPr>
  </w:style>
  <w:style w:type="character" w:customStyle="1" w:styleId="QuoteChar">
    <w:name w:val="Quote Char"/>
    <w:basedOn w:val="DefaultParagraphFont"/>
    <w:link w:val="Quote"/>
    <w:uiPriority w:val="29"/>
    <w:qFormat/>
    <w:rPr>
      <w:i/>
      <w:iCs/>
      <w:color w:val="3F3F3F"/>
    </w:rPr>
  </w:style>
  <w:style w:type="paragraph" w:styleId="Quote">
    <w:name w:val="Quote"/>
    <w:basedOn w:val="Normal"/>
    <w:next w:val="Normal"/>
    <w:link w:val="QuoteChar"/>
    <w:uiPriority w:val="29"/>
    <w:qFormat/>
    <w:pPr>
      <w:spacing w:before="160"/>
      <w:jc w:val="center"/>
    </w:pPr>
    <w:rPr>
      <w:i/>
      <w:iCs/>
      <w:color w:val="3F3F3F"/>
    </w:rPr>
  </w:style>
  <w:style w:type="character" w:customStyle="1" w:styleId="IntenseQuoteChar">
    <w:name w:val="Intense Quote Char"/>
    <w:basedOn w:val="DefaultParagraphFont"/>
    <w:link w:val="IntenseQuote"/>
    <w:uiPriority w:val="30"/>
    <w:qFormat/>
    <w:rPr>
      <w:i/>
      <w:iCs/>
      <w:color w:val="104862"/>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104862"/>
    </w:rPr>
  </w:style>
  <w:style w:type="character" w:customStyle="1" w:styleId="IntenseReference43f4becb-ac8e-4ce8-9e4b-448c7ff0e1bc">
    <w:name w:val="Intense Reference_43f4becb-ac8e-4ce8-9e4b-448c7ff0e1bc"/>
    <w:basedOn w:val="DefaultParagraphFont"/>
    <w:uiPriority w:val="32"/>
    <w:qFormat/>
    <w:rPr>
      <w:b/>
      <w:bCs/>
      <w:smallCaps/>
      <w:color w:val="104862"/>
      <w:spacing w:val="5"/>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2485</Words>
  <Characters>14167</Characters>
  <Application>Microsoft Office Word</Application>
  <DocSecurity>0</DocSecurity>
  <Lines>118</Lines>
  <Paragraphs>33</Paragraphs>
  <ScaleCrop>false</ScaleCrop>
  <Company/>
  <LinksUpToDate>false</LinksUpToDate>
  <CharactersWithSpaces>16619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Parese Ahmed</dc:creator>
  <cp:lastModifiedBy>Noreen Akhtar</cp:lastModifiedBy>
  <cp:revision>2</cp:revision>
  <dcterms:created xsi:type="dcterms:W3CDTF">2026-10-25T11:46:00Z</dcterms:created>
  <dcterms:modified xsi:type="dcterms:W3CDTF">2026-10-25T11:46:00Z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eyJoZGlkIjoiNzJmNWIwYjZhYTdjZGEyNjAyZGEzMjliZDkzNTZjYmMifQ==</vt:lpwstr>
  </property>
  <property fmtid="{D5CDD505-2E9C-101B-9397-08002B2CF9AE}" pid="3" name="KSOProductBuildVer">
    <vt:lpwstr>1033-12.1.0.28485</vt:lpwstr>
  </property>
  <property fmtid="{D5CDD505-2E9C-101B-9397-08002B2CF9AE}" pid="4" name="ICV">
    <vt:lpwstr>5f69495eb8e8498f9d1876a81f23a490_23</vt:lpwstr>
  </property>
</Properties>
</file>