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34DCD94" w14:textId="4F19B46E" w:rsidR="00066C55" w:rsidRPr="006E3FA1" w:rsidRDefault="00A608BC">
      <w:pPr>
        <w:rPr>
          <w:rFonts w:ascii="Arial" w:hAnsi="Arial" w:cs="Arial"/>
          <w:sz w:val="28"/>
          <w:szCs w:val="28"/>
        </w:rPr>
      </w:pPr>
      <w:r w:rsidRPr="006E3FA1">
        <w:rPr>
          <w:rFonts w:ascii="Arial" w:hAnsi="Arial" w:cs="Arial"/>
          <w:sz w:val="28"/>
          <w:szCs w:val="28"/>
        </w:rPr>
        <w:t xml:space="preserve">ACDA </w:t>
      </w:r>
      <w:r w:rsidR="00E818AA">
        <w:rPr>
          <w:rFonts w:ascii="Arial" w:hAnsi="Arial" w:cs="Arial"/>
          <w:sz w:val="28"/>
          <w:szCs w:val="28"/>
        </w:rPr>
        <w:t>5</w:t>
      </w:r>
      <w:r w:rsidRPr="006E3FA1">
        <w:rPr>
          <w:rFonts w:ascii="Arial" w:hAnsi="Arial" w:cs="Arial"/>
          <w:sz w:val="28"/>
          <w:szCs w:val="28"/>
        </w:rPr>
        <w:t>02</w:t>
      </w:r>
      <w:r w:rsidR="005D775D">
        <w:rPr>
          <w:rFonts w:ascii="Arial" w:hAnsi="Arial" w:cs="Arial"/>
          <w:sz w:val="28"/>
          <w:szCs w:val="28"/>
        </w:rPr>
        <w:t>2</w:t>
      </w:r>
      <w:r w:rsidR="00C6511A" w:rsidRPr="006E3FA1">
        <w:rPr>
          <w:rFonts w:ascii="Arial" w:hAnsi="Arial" w:cs="Arial"/>
          <w:sz w:val="28"/>
          <w:szCs w:val="28"/>
        </w:rPr>
        <w:t xml:space="preserve">                                                                                    </w:t>
      </w:r>
    </w:p>
    <w:p w14:paraId="2899C1B8" w14:textId="5A3D1009" w:rsidR="00A608BC" w:rsidRPr="006E3FA1" w:rsidRDefault="008346C6">
      <w:pPr>
        <w:rPr>
          <w:rFonts w:ascii="Arial" w:hAnsi="Arial" w:cs="Arial"/>
          <w:sz w:val="28"/>
          <w:szCs w:val="28"/>
        </w:rPr>
      </w:pPr>
      <w:r w:rsidRPr="006E3FA1">
        <w:rPr>
          <w:rFonts w:ascii="Arial" w:hAnsi="Arial" w:cs="Arial"/>
          <w:sz w:val="28"/>
          <w:szCs w:val="28"/>
        </w:rPr>
        <w:t>Systems Engineering</w:t>
      </w:r>
    </w:p>
    <w:p w14:paraId="6A19F481" w14:textId="23F02452" w:rsidR="008346C6" w:rsidRPr="006E3FA1" w:rsidRDefault="005D775D">
      <w:pPr>
        <w:rPr>
          <w:rFonts w:ascii="Arial" w:hAnsi="Arial" w:cs="Arial"/>
          <w:sz w:val="28"/>
          <w:szCs w:val="28"/>
        </w:rPr>
      </w:pPr>
      <w:r>
        <w:rPr>
          <w:rFonts w:ascii="Arial" w:hAnsi="Arial" w:cs="Arial"/>
          <w:sz w:val="28"/>
          <w:szCs w:val="28"/>
        </w:rPr>
        <w:t>Work Based Group Project</w:t>
      </w:r>
      <w:r w:rsidR="00C6511A" w:rsidRPr="006E3FA1">
        <w:rPr>
          <w:rFonts w:ascii="Arial" w:hAnsi="Arial" w:cs="Arial"/>
          <w:sz w:val="28"/>
          <w:szCs w:val="28"/>
        </w:rPr>
        <w:t xml:space="preserve">                  </w:t>
      </w:r>
      <w:r>
        <w:rPr>
          <w:rFonts w:ascii="Arial" w:hAnsi="Arial" w:cs="Arial"/>
          <w:sz w:val="28"/>
          <w:szCs w:val="28"/>
        </w:rPr>
        <w:t xml:space="preserve">     </w:t>
      </w:r>
      <w:r w:rsidR="00C6511A" w:rsidRPr="006E3FA1">
        <w:rPr>
          <w:rFonts w:ascii="Arial" w:hAnsi="Arial" w:cs="Arial"/>
          <w:sz w:val="28"/>
          <w:szCs w:val="28"/>
        </w:rPr>
        <w:t xml:space="preserve"> Student Name:-</w:t>
      </w:r>
      <w:r w:rsidR="008372CB">
        <w:rPr>
          <w:rFonts w:ascii="Arial" w:hAnsi="Arial" w:cs="Arial"/>
          <w:sz w:val="28"/>
          <w:szCs w:val="28"/>
        </w:rPr>
        <w:t xml:space="preserve"> Alun Morris</w:t>
      </w:r>
    </w:p>
    <w:p w14:paraId="2C088316" w14:textId="3C043B36" w:rsidR="008346C6" w:rsidRPr="006E3FA1" w:rsidRDefault="005D775D">
      <w:pPr>
        <w:rPr>
          <w:rFonts w:ascii="Arial" w:hAnsi="Arial" w:cs="Arial"/>
          <w:sz w:val="28"/>
          <w:szCs w:val="28"/>
        </w:rPr>
      </w:pPr>
      <w:r>
        <w:rPr>
          <w:rFonts w:ascii="Arial" w:hAnsi="Arial" w:cs="Arial"/>
          <w:sz w:val="28"/>
          <w:szCs w:val="28"/>
        </w:rPr>
        <w:t>4</w:t>
      </w:r>
      <w:r w:rsidR="001F01C1" w:rsidRPr="001F01C1">
        <w:rPr>
          <w:rFonts w:ascii="Arial" w:hAnsi="Arial" w:cs="Arial"/>
          <w:sz w:val="28"/>
          <w:szCs w:val="28"/>
          <w:vertAlign w:val="superscript"/>
        </w:rPr>
        <w:t>th</w:t>
      </w:r>
      <w:r w:rsidR="001F01C1">
        <w:rPr>
          <w:rFonts w:ascii="Arial" w:hAnsi="Arial" w:cs="Arial"/>
          <w:sz w:val="28"/>
          <w:szCs w:val="28"/>
        </w:rPr>
        <w:t xml:space="preserve"> </w:t>
      </w:r>
      <w:r>
        <w:rPr>
          <w:rFonts w:ascii="Arial" w:hAnsi="Arial" w:cs="Arial"/>
          <w:sz w:val="28"/>
          <w:szCs w:val="28"/>
        </w:rPr>
        <w:t>May</w:t>
      </w:r>
      <w:r w:rsidR="008346C6" w:rsidRPr="006E3FA1">
        <w:rPr>
          <w:rFonts w:ascii="Arial" w:hAnsi="Arial" w:cs="Arial"/>
          <w:sz w:val="28"/>
          <w:szCs w:val="28"/>
        </w:rPr>
        <w:t xml:space="preserve"> 202</w:t>
      </w:r>
      <w:r w:rsidR="00C5356E">
        <w:rPr>
          <w:rFonts w:ascii="Arial" w:hAnsi="Arial" w:cs="Arial"/>
          <w:sz w:val="28"/>
          <w:szCs w:val="28"/>
        </w:rPr>
        <w:t>6</w:t>
      </w:r>
      <w:r w:rsidR="00C6511A" w:rsidRPr="006E3FA1">
        <w:rPr>
          <w:rFonts w:ascii="Arial" w:hAnsi="Arial" w:cs="Arial"/>
          <w:sz w:val="28"/>
          <w:szCs w:val="28"/>
        </w:rPr>
        <w:t xml:space="preserve">                                              Student Number:-</w:t>
      </w:r>
      <w:r w:rsidR="008372CB">
        <w:rPr>
          <w:rFonts w:ascii="Arial" w:hAnsi="Arial" w:cs="Arial"/>
          <w:sz w:val="28"/>
          <w:szCs w:val="28"/>
        </w:rPr>
        <w:t xml:space="preserve"> 2314593</w:t>
      </w:r>
    </w:p>
    <w:p w14:paraId="22D30D18" w14:textId="77777777" w:rsidR="008346C6" w:rsidRPr="006E3FA1" w:rsidRDefault="008346C6">
      <w:pPr>
        <w:rPr>
          <w:rFonts w:ascii="Arial" w:hAnsi="Arial" w:cs="Arial"/>
          <w:sz w:val="28"/>
          <w:szCs w:val="28"/>
        </w:rPr>
      </w:pPr>
    </w:p>
    <w:p w14:paraId="5CC28429" w14:textId="47B1FA63" w:rsidR="0042057D" w:rsidRPr="000C5FE1" w:rsidRDefault="005D775D" w:rsidP="0042057D">
      <w:pPr>
        <w:rPr>
          <w:rFonts w:ascii="Arial" w:hAnsi="Arial" w:cs="Arial"/>
          <w:b/>
          <w:bCs/>
          <w:sz w:val="32"/>
          <w:szCs w:val="32"/>
          <w:u w:val="single"/>
        </w:rPr>
      </w:pPr>
      <w:r>
        <w:rPr>
          <w:rFonts w:ascii="Arial" w:hAnsi="Arial" w:cs="Arial"/>
          <w:b/>
          <w:bCs/>
          <w:sz w:val="32"/>
          <w:szCs w:val="32"/>
          <w:u w:val="single"/>
        </w:rPr>
        <w:t>Work Based Group Project Report</w:t>
      </w:r>
    </w:p>
    <w:p w14:paraId="2D54F908" w14:textId="77777777" w:rsidR="0042057D" w:rsidRDefault="0042057D" w:rsidP="0042057D">
      <w:pPr>
        <w:rPr>
          <w:rFonts w:ascii="Arial" w:hAnsi="Arial" w:cs="Arial"/>
          <w:noProof/>
          <w:sz w:val="28"/>
          <w:szCs w:val="28"/>
        </w:rPr>
      </w:pPr>
    </w:p>
    <w:sdt>
      <w:sdtPr>
        <w:rPr>
          <w:rFonts w:asciiTheme="minorHAnsi" w:eastAsiaTheme="minorEastAsia" w:hAnsiTheme="minorHAnsi" w:cstheme="minorBidi"/>
          <w:color w:val="auto"/>
          <w:kern w:val="2"/>
          <w:sz w:val="22"/>
          <w:szCs w:val="22"/>
          <w:lang w:val="en-GB" w:eastAsia="zh-CN"/>
          <w14:ligatures w14:val="standardContextual"/>
        </w:rPr>
        <w:id w:val="-344168749"/>
        <w:docPartObj>
          <w:docPartGallery w:val="Table of Contents"/>
          <w:docPartUnique/>
        </w:docPartObj>
      </w:sdtPr>
      <w:sdtEndPr>
        <w:rPr>
          <w:b/>
          <w:bCs/>
          <w:noProof/>
        </w:rPr>
      </w:sdtEndPr>
      <w:sdtContent>
        <w:p w14:paraId="2FE26892" w14:textId="77777777" w:rsidR="0042057D" w:rsidRDefault="0042057D" w:rsidP="0042057D">
          <w:pPr>
            <w:pStyle w:val="TOCHeading"/>
          </w:pPr>
          <w:r>
            <w:t>Contents</w:t>
          </w:r>
        </w:p>
        <w:p w14:paraId="673ECCA4" w14:textId="522B8DD2" w:rsidR="00A918B5" w:rsidRDefault="0042057D">
          <w:pPr>
            <w:pStyle w:val="TOC1"/>
            <w:tabs>
              <w:tab w:val="right" w:leader="dot" w:pos="9016"/>
            </w:tabs>
            <w:rPr>
              <w:noProof/>
              <w:sz w:val="24"/>
              <w:szCs w:val="24"/>
              <w:lang w:eastAsia="en-GB"/>
            </w:rPr>
          </w:pPr>
          <w:r>
            <w:fldChar w:fldCharType="begin"/>
          </w:r>
          <w:r>
            <w:instrText xml:space="preserve"> TOC \o "1-3" \h \z \u </w:instrText>
          </w:r>
          <w:r>
            <w:fldChar w:fldCharType="separate"/>
          </w:r>
          <w:hyperlink w:anchor="_Toc227059509" w:history="1">
            <w:r w:rsidR="00A918B5" w:rsidRPr="00875DB6">
              <w:rPr>
                <w:rStyle w:val="Hyperlink"/>
                <w:noProof/>
              </w:rPr>
              <w:t>Introduction</w:t>
            </w:r>
            <w:r w:rsidR="00A918B5">
              <w:rPr>
                <w:noProof/>
                <w:webHidden/>
              </w:rPr>
              <w:tab/>
            </w:r>
            <w:r w:rsidR="00A918B5">
              <w:rPr>
                <w:noProof/>
                <w:webHidden/>
              </w:rPr>
              <w:fldChar w:fldCharType="begin"/>
            </w:r>
            <w:r w:rsidR="00A918B5">
              <w:rPr>
                <w:noProof/>
                <w:webHidden/>
              </w:rPr>
              <w:instrText xml:space="preserve"> PAGEREF _Toc227059509 \h </w:instrText>
            </w:r>
            <w:r w:rsidR="00A918B5">
              <w:rPr>
                <w:noProof/>
                <w:webHidden/>
              </w:rPr>
            </w:r>
            <w:r w:rsidR="00A918B5">
              <w:rPr>
                <w:noProof/>
                <w:webHidden/>
              </w:rPr>
              <w:fldChar w:fldCharType="separate"/>
            </w:r>
            <w:r w:rsidR="00A918B5">
              <w:rPr>
                <w:noProof/>
                <w:webHidden/>
              </w:rPr>
              <w:t>1</w:t>
            </w:r>
            <w:r w:rsidR="00A918B5">
              <w:rPr>
                <w:noProof/>
                <w:webHidden/>
              </w:rPr>
              <w:fldChar w:fldCharType="end"/>
            </w:r>
          </w:hyperlink>
        </w:p>
        <w:p w14:paraId="6F3DA48A" w14:textId="6FFADC1E" w:rsidR="00A918B5" w:rsidRDefault="00A918B5">
          <w:pPr>
            <w:pStyle w:val="TOC1"/>
            <w:tabs>
              <w:tab w:val="right" w:leader="dot" w:pos="9016"/>
            </w:tabs>
            <w:rPr>
              <w:noProof/>
              <w:sz w:val="24"/>
              <w:szCs w:val="24"/>
              <w:lang w:eastAsia="en-GB"/>
            </w:rPr>
          </w:pPr>
          <w:hyperlink w:anchor="_Toc227059510" w:history="1">
            <w:r w:rsidRPr="00875DB6">
              <w:rPr>
                <w:rStyle w:val="Hyperlink"/>
                <w:noProof/>
              </w:rPr>
              <w:t>Understanding the customer requirements</w:t>
            </w:r>
            <w:r>
              <w:rPr>
                <w:noProof/>
                <w:webHidden/>
              </w:rPr>
              <w:tab/>
            </w:r>
            <w:r>
              <w:rPr>
                <w:noProof/>
                <w:webHidden/>
              </w:rPr>
              <w:fldChar w:fldCharType="begin"/>
            </w:r>
            <w:r>
              <w:rPr>
                <w:noProof/>
                <w:webHidden/>
              </w:rPr>
              <w:instrText xml:space="preserve"> PAGEREF _Toc227059510 \h </w:instrText>
            </w:r>
            <w:r>
              <w:rPr>
                <w:noProof/>
                <w:webHidden/>
              </w:rPr>
            </w:r>
            <w:r>
              <w:rPr>
                <w:noProof/>
                <w:webHidden/>
              </w:rPr>
              <w:fldChar w:fldCharType="separate"/>
            </w:r>
            <w:r>
              <w:rPr>
                <w:noProof/>
                <w:webHidden/>
              </w:rPr>
              <w:t>2</w:t>
            </w:r>
            <w:r>
              <w:rPr>
                <w:noProof/>
                <w:webHidden/>
              </w:rPr>
              <w:fldChar w:fldCharType="end"/>
            </w:r>
          </w:hyperlink>
        </w:p>
        <w:p w14:paraId="2ADE30BB" w14:textId="4D8617BE" w:rsidR="00A918B5" w:rsidRDefault="00A918B5">
          <w:pPr>
            <w:pStyle w:val="TOC1"/>
            <w:tabs>
              <w:tab w:val="right" w:leader="dot" w:pos="9016"/>
            </w:tabs>
            <w:rPr>
              <w:noProof/>
              <w:sz w:val="24"/>
              <w:szCs w:val="24"/>
              <w:lang w:eastAsia="en-GB"/>
            </w:rPr>
          </w:pPr>
          <w:hyperlink w:anchor="_Toc227059511" w:history="1">
            <w:r w:rsidRPr="00875DB6">
              <w:rPr>
                <w:rStyle w:val="Hyperlink"/>
                <w:noProof/>
              </w:rPr>
              <w:t>Generating the Concept</w:t>
            </w:r>
            <w:r>
              <w:rPr>
                <w:noProof/>
                <w:webHidden/>
              </w:rPr>
              <w:tab/>
            </w:r>
            <w:r>
              <w:rPr>
                <w:noProof/>
                <w:webHidden/>
              </w:rPr>
              <w:fldChar w:fldCharType="begin"/>
            </w:r>
            <w:r>
              <w:rPr>
                <w:noProof/>
                <w:webHidden/>
              </w:rPr>
              <w:instrText xml:space="preserve"> PAGEREF _Toc227059511 \h </w:instrText>
            </w:r>
            <w:r>
              <w:rPr>
                <w:noProof/>
                <w:webHidden/>
              </w:rPr>
            </w:r>
            <w:r>
              <w:rPr>
                <w:noProof/>
                <w:webHidden/>
              </w:rPr>
              <w:fldChar w:fldCharType="separate"/>
            </w:r>
            <w:r>
              <w:rPr>
                <w:noProof/>
                <w:webHidden/>
              </w:rPr>
              <w:t>3</w:t>
            </w:r>
            <w:r>
              <w:rPr>
                <w:noProof/>
                <w:webHidden/>
              </w:rPr>
              <w:fldChar w:fldCharType="end"/>
            </w:r>
          </w:hyperlink>
        </w:p>
        <w:p w14:paraId="29002D4F" w14:textId="24434A91" w:rsidR="00A918B5" w:rsidRDefault="00A918B5">
          <w:pPr>
            <w:pStyle w:val="TOC1"/>
            <w:tabs>
              <w:tab w:val="right" w:leader="dot" w:pos="9016"/>
            </w:tabs>
            <w:rPr>
              <w:noProof/>
              <w:sz w:val="24"/>
              <w:szCs w:val="24"/>
              <w:lang w:eastAsia="en-GB"/>
            </w:rPr>
          </w:pPr>
          <w:hyperlink w:anchor="_Toc227059512" w:history="1">
            <w:r w:rsidRPr="00875DB6">
              <w:rPr>
                <w:rStyle w:val="Hyperlink"/>
                <w:noProof/>
              </w:rPr>
              <w:t>R&amp;D Output Contributing to manufacturing, safety and T&amp;E</w:t>
            </w:r>
            <w:r>
              <w:rPr>
                <w:noProof/>
                <w:webHidden/>
              </w:rPr>
              <w:tab/>
            </w:r>
            <w:r>
              <w:rPr>
                <w:noProof/>
                <w:webHidden/>
              </w:rPr>
              <w:fldChar w:fldCharType="begin"/>
            </w:r>
            <w:r>
              <w:rPr>
                <w:noProof/>
                <w:webHidden/>
              </w:rPr>
              <w:instrText xml:space="preserve"> PAGEREF _Toc227059512 \h </w:instrText>
            </w:r>
            <w:r>
              <w:rPr>
                <w:noProof/>
                <w:webHidden/>
              </w:rPr>
            </w:r>
            <w:r>
              <w:rPr>
                <w:noProof/>
                <w:webHidden/>
              </w:rPr>
              <w:fldChar w:fldCharType="separate"/>
            </w:r>
            <w:r>
              <w:rPr>
                <w:noProof/>
                <w:webHidden/>
              </w:rPr>
              <w:t>4</w:t>
            </w:r>
            <w:r>
              <w:rPr>
                <w:noProof/>
                <w:webHidden/>
              </w:rPr>
              <w:fldChar w:fldCharType="end"/>
            </w:r>
          </w:hyperlink>
        </w:p>
        <w:p w14:paraId="06D6EC18" w14:textId="73A6E890" w:rsidR="00A918B5" w:rsidRDefault="00A918B5">
          <w:pPr>
            <w:pStyle w:val="TOC1"/>
            <w:tabs>
              <w:tab w:val="right" w:leader="dot" w:pos="9016"/>
            </w:tabs>
            <w:rPr>
              <w:noProof/>
              <w:sz w:val="24"/>
              <w:szCs w:val="24"/>
              <w:lang w:eastAsia="en-GB"/>
            </w:rPr>
          </w:pPr>
          <w:hyperlink w:anchor="_Toc227059513" w:history="1">
            <w:r w:rsidRPr="00875DB6">
              <w:rPr>
                <w:rStyle w:val="Hyperlink"/>
                <w:noProof/>
              </w:rPr>
              <w:t>Evaluating the presentation</w:t>
            </w:r>
            <w:r>
              <w:rPr>
                <w:noProof/>
                <w:webHidden/>
              </w:rPr>
              <w:tab/>
            </w:r>
            <w:r>
              <w:rPr>
                <w:noProof/>
                <w:webHidden/>
              </w:rPr>
              <w:fldChar w:fldCharType="begin"/>
            </w:r>
            <w:r>
              <w:rPr>
                <w:noProof/>
                <w:webHidden/>
              </w:rPr>
              <w:instrText xml:space="preserve"> PAGEREF _Toc227059513 \h </w:instrText>
            </w:r>
            <w:r>
              <w:rPr>
                <w:noProof/>
                <w:webHidden/>
              </w:rPr>
            </w:r>
            <w:r>
              <w:rPr>
                <w:noProof/>
                <w:webHidden/>
              </w:rPr>
              <w:fldChar w:fldCharType="separate"/>
            </w:r>
            <w:r>
              <w:rPr>
                <w:noProof/>
                <w:webHidden/>
              </w:rPr>
              <w:t>5</w:t>
            </w:r>
            <w:r>
              <w:rPr>
                <w:noProof/>
                <w:webHidden/>
              </w:rPr>
              <w:fldChar w:fldCharType="end"/>
            </w:r>
          </w:hyperlink>
        </w:p>
        <w:p w14:paraId="7E2C17A0" w14:textId="3855A1C4" w:rsidR="00A918B5" w:rsidRDefault="00A918B5">
          <w:pPr>
            <w:pStyle w:val="TOC1"/>
            <w:tabs>
              <w:tab w:val="right" w:leader="dot" w:pos="9016"/>
            </w:tabs>
            <w:rPr>
              <w:noProof/>
              <w:sz w:val="24"/>
              <w:szCs w:val="24"/>
              <w:lang w:eastAsia="en-GB"/>
            </w:rPr>
          </w:pPr>
          <w:hyperlink w:anchor="_Toc227059514" w:history="1">
            <w:r w:rsidRPr="00875DB6">
              <w:rPr>
                <w:rStyle w:val="Hyperlink"/>
                <w:noProof/>
              </w:rPr>
              <w:t>Conclusion and Reflection</w:t>
            </w:r>
            <w:r>
              <w:rPr>
                <w:noProof/>
                <w:webHidden/>
              </w:rPr>
              <w:tab/>
            </w:r>
            <w:r>
              <w:rPr>
                <w:noProof/>
                <w:webHidden/>
              </w:rPr>
              <w:fldChar w:fldCharType="begin"/>
            </w:r>
            <w:r>
              <w:rPr>
                <w:noProof/>
                <w:webHidden/>
              </w:rPr>
              <w:instrText xml:space="preserve"> PAGEREF _Toc227059514 \h </w:instrText>
            </w:r>
            <w:r>
              <w:rPr>
                <w:noProof/>
                <w:webHidden/>
              </w:rPr>
            </w:r>
            <w:r>
              <w:rPr>
                <w:noProof/>
                <w:webHidden/>
              </w:rPr>
              <w:fldChar w:fldCharType="separate"/>
            </w:r>
            <w:r>
              <w:rPr>
                <w:noProof/>
                <w:webHidden/>
              </w:rPr>
              <w:t>8</w:t>
            </w:r>
            <w:r>
              <w:rPr>
                <w:noProof/>
                <w:webHidden/>
              </w:rPr>
              <w:fldChar w:fldCharType="end"/>
            </w:r>
          </w:hyperlink>
        </w:p>
        <w:p w14:paraId="7C935D31" w14:textId="5013343F" w:rsidR="00A918B5" w:rsidRDefault="00A918B5">
          <w:pPr>
            <w:pStyle w:val="TOC1"/>
            <w:tabs>
              <w:tab w:val="right" w:leader="dot" w:pos="9016"/>
            </w:tabs>
            <w:rPr>
              <w:noProof/>
              <w:sz w:val="24"/>
              <w:szCs w:val="24"/>
              <w:lang w:eastAsia="en-GB"/>
            </w:rPr>
          </w:pPr>
          <w:hyperlink w:anchor="_Toc227059515" w:history="1">
            <w:r w:rsidRPr="00875DB6">
              <w:rPr>
                <w:rStyle w:val="Hyperlink"/>
                <w:noProof/>
              </w:rPr>
              <w:t>References:</w:t>
            </w:r>
            <w:r>
              <w:rPr>
                <w:noProof/>
                <w:webHidden/>
              </w:rPr>
              <w:tab/>
            </w:r>
            <w:r>
              <w:rPr>
                <w:noProof/>
                <w:webHidden/>
              </w:rPr>
              <w:fldChar w:fldCharType="begin"/>
            </w:r>
            <w:r>
              <w:rPr>
                <w:noProof/>
                <w:webHidden/>
              </w:rPr>
              <w:instrText xml:space="preserve"> PAGEREF _Toc227059515 \h </w:instrText>
            </w:r>
            <w:r>
              <w:rPr>
                <w:noProof/>
                <w:webHidden/>
              </w:rPr>
            </w:r>
            <w:r>
              <w:rPr>
                <w:noProof/>
                <w:webHidden/>
              </w:rPr>
              <w:fldChar w:fldCharType="separate"/>
            </w:r>
            <w:r>
              <w:rPr>
                <w:noProof/>
                <w:webHidden/>
              </w:rPr>
              <w:t>8</w:t>
            </w:r>
            <w:r>
              <w:rPr>
                <w:noProof/>
                <w:webHidden/>
              </w:rPr>
              <w:fldChar w:fldCharType="end"/>
            </w:r>
          </w:hyperlink>
        </w:p>
        <w:p w14:paraId="65B9B733" w14:textId="3C6B1B9C" w:rsidR="0042057D" w:rsidRDefault="0042057D" w:rsidP="0042057D">
          <w:r>
            <w:rPr>
              <w:b/>
              <w:bCs/>
              <w:noProof/>
            </w:rPr>
            <w:fldChar w:fldCharType="end"/>
          </w:r>
        </w:p>
      </w:sdtContent>
    </w:sdt>
    <w:p w14:paraId="20B5FD44" w14:textId="77777777" w:rsidR="0042057D" w:rsidRDefault="0042057D" w:rsidP="0042057D">
      <w:pPr>
        <w:spacing w:after="240" w:line="276" w:lineRule="auto"/>
        <w:rPr>
          <w:b/>
          <w:bCs/>
        </w:rPr>
      </w:pPr>
    </w:p>
    <w:p w14:paraId="00C1D619" w14:textId="77777777" w:rsidR="0042057D" w:rsidRDefault="0042057D" w:rsidP="0042057D">
      <w:pPr>
        <w:spacing w:after="240" w:line="276" w:lineRule="auto"/>
        <w:rPr>
          <w:b/>
          <w:bCs/>
        </w:rPr>
      </w:pPr>
      <w:r>
        <w:rPr>
          <w:b/>
          <w:bCs/>
        </w:rPr>
        <w:t>Academic integrity declaration</w:t>
      </w:r>
    </w:p>
    <w:p w14:paraId="273F3FFF" w14:textId="77777777" w:rsidR="0042057D" w:rsidRDefault="0042057D" w:rsidP="0042057D">
      <w:pPr>
        <w:spacing w:before="180" w:line="360" w:lineRule="auto"/>
        <w:jc w:val="both"/>
      </w:pPr>
      <w:r>
        <w:t>I declare that:</w:t>
      </w:r>
    </w:p>
    <w:p w14:paraId="4086D4FB" w14:textId="77777777" w:rsidR="0042057D" w:rsidRDefault="0042057D" w:rsidP="0042057D">
      <w:pPr>
        <w:pStyle w:val="ListParagraph"/>
        <w:numPr>
          <w:ilvl w:val="0"/>
          <w:numId w:val="2"/>
        </w:numPr>
        <w:spacing w:after="0" w:line="256" w:lineRule="auto"/>
        <w:jc w:val="both"/>
      </w:pPr>
      <w:r>
        <w:t>the assignment submitted has been written by me alone.</w:t>
      </w:r>
    </w:p>
    <w:p w14:paraId="0FA58122" w14:textId="77777777" w:rsidR="0042057D" w:rsidRDefault="0042057D" w:rsidP="0042057D">
      <w:pPr>
        <w:pStyle w:val="ListParagraph"/>
        <w:numPr>
          <w:ilvl w:val="0"/>
          <w:numId w:val="2"/>
        </w:numPr>
        <w:spacing w:after="0" w:line="256" w:lineRule="auto"/>
        <w:jc w:val="both"/>
      </w:pPr>
      <w:r>
        <w:t>the assignment submitted has not been previously submitted to this university or any other.</w:t>
      </w:r>
    </w:p>
    <w:p w14:paraId="5B57AC59" w14:textId="77777777" w:rsidR="0042057D" w:rsidRDefault="0042057D" w:rsidP="0042057D">
      <w:pPr>
        <w:pStyle w:val="ListParagraph"/>
        <w:numPr>
          <w:ilvl w:val="0"/>
          <w:numId w:val="2"/>
        </w:numPr>
        <w:spacing w:after="0" w:line="256" w:lineRule="auto"/>
        <w:jc w:val="both"/>
      </w:pPr>
      <w:r>
        <w:t>that all content, including primary and/or secondary data, is true to the best of my knowledge.</w:t>
      </w:r>
    </w:p>
    <w:p w14:paraId="4D7BB89C" w14:textId="77777777" w:rsidR="0042057D" w:rsidRDefault="0042057D" w:rsidP="0042057D">
      <w:pPr>
        <w:pStyle w:val="ListParagraph"/>
        <w:numPr>
          <w:ilvl w:val="0"/>
          <w:numId w:val="2"/>
        </w:numPr>
        <w:spacing w:after="0" w:line="256" w:lineRule="auto"/>
        <w:jc w:val="both"/>
      </w:pPr>
      <w:r>
        <w:t>that all quotations and references have been duly acknowledged according to the requirements of academic research.</w:t>
      </w:r>
    </w:p>
    <w:p w14:paraId="1E661031" w14:textId="77777777" w:rsidR="0042057D" w:rsidRDefault="0042057D" w:rsidP="0042057D">
      <w:pPr>
        <w:spacing w:before="180" w:line="360" w:lineRule="auto"/>
        <w:jc w:val="both"/>
      </w:pPr>
      <w:r>
        <w:t>I understand that to knowingly submit work in violation of the above statement will be considered by examiners as academic misconduct.</w:t>
      </w:r>
    </w:p>
    <w:p w14:paraId="286B5110" w14:textId="77777777" w:rsidR="00570159" w:rsidRDefault="00570159">
      <w:pPr>
        <w:rPr>
          <w:rFonts w:ascii="Arial" w:hAnsi="Arial" w:cs="Arial"/>
          <w:noProof/>
          <w:sz w:val="28"/>
          <w:szCs w:val="28"/>
        </w:rPr>
      </w:pPr>
    </w:p>
    <w:p w14:paraId="0D799A97" w14:textId="77777777" w:rsidR="006460E9" w:rsidRDefault="006460E9">
      <w:pPr>
        <w:rPr>
          <w:rFonts w:ascii="Arial" w:hAnsi="Arial" w:cs="Arial"/>
          <w:noProof/>
          <w:sz w:val="28"/>
          <w:szCs w:val="28"/>
        </w:rPr>
      </w:pPr>
    </w:p>
    <w:p w14:paraId="75AA2706" w14:textId="7FDD3C00" w:rsidR="006460E9" w:rsidRDefault="006460E9" w:rsidP="006460E9">
      <w:pPr>
        <w:pStyle w:val="Heading1"/>
        <w:rPr>
          <w:noProof/>
        </w:rPr>
      </w:pPr>
      <w:bookmarkStart w:id="0" w:name="_Toc227059509"/>
      <w:r>
        <w:rPr>
          <w:noProof/>
        </w:rPr>
        <w:t>Introduction</w:t>
      </w:r>
      <w:bookmarkEnd w:id="0"/>
    </w:p>
    <w:p w14:paraId="5B1E3504" w14:textId="187E3F4F" w:rsidR="006460E9" w:rsidRDefault="003C0D6F" w:rsidP="006460E9">
      <w:r>
        <w:t xml:space="preserve">This report will discuss and evaluate the performance and input of the research and development role for a university group project which was to design a concept to satisfy a customer brief. The brief </w:t>
      </w:r>
      <w:r>
        <w:lastRenderedPageBreak/>
        <w:t xml:space="preserve">was to design a light vehicle mounted landmine clearing system that would function in a hostile desert environment. </w:t>
      </w:r>
    </w:p>
    <w:p w14:paraId="0C0FEB11" w14:textId="2AFCE260" w:rsidR="00503ADE" w:rsidRDefault="003C0D6F">
      <w:r>
        <w:t xml:space="preserve">The report will </w:t>
      </w:r>
      <w:r w:rsidR="00247B63">
        <w:t>outline</w:t>
      </w:r>
      <w:r>
        <w:t xml:space="preserve"> the role of the research and development team and evaluate the</w:t>
      </w:r>
      <w:r w:rsidR="00EC5CB1">
        <w:t xml:space="preserve"> team</w:t>
      </w:r>
      <w:r w:rsidR="00CC5016">
        <w:t>’</w:t>
      </w:r>
      <w:r w:rsidR="00EC5CB1">
        <w:t>s</w:t>
      </w:r>
      <w:r>
        <w:t xml:space="preserve"> output </w:t>
      </w:r>
      <w:r w:rsidR="00EC5CB1">
        <w:t>as well as</w:t>
      </w:r>
      <w:r w:rsidR="00BF0934">
        <w:t xml:space="preserve"> the methods used to contribute </w:t>
      </w:r>
      <w:r w:rsidR="00EC5CB1">
        <w:t>to the concept design.</w:t>
      </w:r>
    </w:p>
    <w:p w14:paraId="67FEE4C9" w14:textId="6C3FE3DE" w:rsidR="00BF0934" w:rsidRPr="000B4DCA" w:rsidRDefault="00BF0934">
      <w:pPr>
        <w:rPr>
          <w:rFonts w:ascii="Arial" w:hAnsi="Arial" w:cs="Arial"/>
          <w:noProof/>
          <w:sz w:val="28"/>
          <w:szCs w:val="28"/>
        </w:rPr>
      </w:pPr>
      <w:r>
        <w:t xml:space="preserve">The final </w:t>
      </w:r>
      <w:r w:rsidR="00B559E4">
        <w:t>objective</w:t>
      </w:r>
      <w:r>
        <w:t xml:space="preserve"> of the university project was to present the design to an assessment panel comprising of lecturers, subject matter experts and the group project team</w:t>
      </w:r>
      <w:r w:rsidR="003A4578">
        <w:t>’s</w:t>
      </w:r>
      <w:r>
        <w:t xml:space="preserve"> employers. A reflection on the research and development </w:t>
      </w:r>
      <w:r w:rsidR="00B559E4">
        <w:t>teams’</w:t>
      </w:r>
      <w:r>
        <w:t xml:space="preserve"> performance during the presentation will be included</w:t>
      </w:r>
      <w:r w:rsidR="00B559E4">
        <w:t xml:space="preserve">, </w:t>
      </w:r>
      <w:r>
        <w:t>alongside an evaluation of the final concept design.</w:t>
      </w:r>
    </w:p>
    <w:p w14:paraId="43D3FE23" w14:textId="77777777" w:rsidR="00503ADE" w:rsidRDefault="00503ADE">
      <w:pPr>
        <w:rPr>
          <w:rFonts w:ascii="Arial" w:hAnsi="Arial" w:cs="Arial"/>
          <w:noProof/>
          <w:sz w:val="28"/>
          <w:szCs w:val="28"/>
        </w:rPr>
      </w:pPr>
    </w:p>
    <w:p w14:paraId="79F01A6D" w14:textId="6BF86902" w:rsidR="005845DA" w:rsidRDefault="005845DA" w:rsidP="005845DA">
      <w:pPr>
        <w:pStyle w:val="Heading1"/>
        <w:rPr>
          <w:noProof/>
        </w:rPr>
      </w:pPr>
      <w:bookmarkStart w:id="1" w:name="_Toc227059510"/>
      <w:r>
        <w:rPr>
          <w:noProof/>
        </w:rPr>
        <w:t>Understanding the customer requirements</w:t>
      </w:r>
      <w:bookmarkEnd w:id="1"/>
    </w:p>
    <w:p w14:paraId="69B75666" w14:textId="19555ED1" w:rsidR="005845DA" w:rsidRDefault="005845DA" w:rsidP="005845DA">
      <w:r>
        <w:t>The customer provided brief for the</w:t>
      </w:r>
      <w:r w:rsidR="00342407">
        <w:t xml:space="preserve"> minefield neutralising</w:t>
      </w:r>
      <w:r>
        <w:t xml:space="preserve"> system did not explicitly contain a list of requirements. It was combination of a description of the operational environment, qualitative descriptions of the desired function</w:t>
      </w:r>
      <w:r w:rsidR="00342407">
        <w:t xml:space="preserve"> of the system and a description of the mines expected to be encountered.</w:t>
      </w:r>
    </w:p>
    <w:p w14:paraId="138C0ED2" w14:textId="69882A70" w:rsidR="00342407" w:rsidRDefault="00342407" w:rsidP="005845DA">
      <w:r>
        <w:t>The first task undertaken by the research and development team (R&amp;D) was researching the threat</w:t>
      </w:r>
      <w:r w:rsidR="006A2109">
        <w:t xml:space="preserve">s. </w:t>
      </w:r>
      <w:r w:rsidR="00424A2B">
        <w:t>These included an</w:t>
      </w:r>
      <w:r w:rsidR="006A2109">
        <w:t xml:space="preserve"> M15 </w:t>
      </w:r>
      <w:r w:rsidR="003935AB">
        <w:t>High explosive anti-tank mine containing around 10</w:t>
      </w:r>
      <w:r w:rsidR="003A4578">
        <w:t xml:space="preserve"> </w:t>
      </w:r>
      <w:r w:rsidR="003935AB">
        <w:t xml:space="preserve">kg of high explosives and </w:t>
      </w:r>
      <w:r w:rsidR="00EB048A">
        <w:t xml:space="preserve">an </w:t>
      </w:r>
      <w:r w:rsidR="003935AB">
        <w:t>OZM-72 anti-personnel mine containing around 660</w:t>
      </w:r>
      <w:r w:rsidR="003A4578">
        <w:t xml:space="preserve"> </w:t>
      </w:r>
      <w:r w:rsidR="003935AB">
        <w:t>g of high explosives. An up to date and detailed source on these explosives that are being used in the Ukraine conflict was provided in the brief [1].</w:t>
      </w:r>
      <w:r w:rsidR="00520122">
        <w:t xml:space="preserve"> The information in [1] aided the translation of the customer brief into requirements by providing accurate information on the amount of explosives in the devices, the types of fuzing commonly utilised and the function of the mines e.g. blast or frag.</w:t>
      </w:r>
    </w:p>
    <w:p w14:paraId="3CFBAA1D" w14:textId="349C9353" w:rsidR="00342407" w:rsidRDefault="006B782E" w:rsidP="005845DA">
      <w:r>
        <w:t>Although the brief stipulated that the minefield would be located within a steep walled pass the exact location at which the minefield began was unknown. Therefore, research was conducted into standard burial depths for anti-tank blast mines and anti-personnel mines. There are many video resources covering the topic and ongoing research relevant to mine placement, depth and detection methods. According to sources [2]</w:t>
      </w:r>
      <w:r w:rsidR="00CF1089">
        <w:t>, which</w:t>
      </w:r>
      <w:r>
        <w:t xml:space="preserve"> discuss</w:t>
      </w:r>
      <w:r w:rsidR="00CF1089">
        <w:t>es</w:t>
      </w:r>
      <w:r>
        <w:t xml:space="preserve"> the application of ground penetrating radar for mine detection and [3]</w:t>
      </w:r>
      <w:r w:rsidR="00CF1089">
        <w:t>,</w:t>
      </w:r>
      <w:r>
        <w:t xml:space="preserve"> which contains mine disposal expert information. Generally, </w:t>
      </w:r>
      <w:r w:rsidR="00CF1089">
        <w:t>a</w:t>
      </w:r>
      <w:r>
        <w:t>nti-tank blast mines are buried up to a depth of around 15</w:t>
      </w:r>
      <w:r w:rsidR="003A4578">
        <w:t xml:space="preserve"> </w:t>
      </w:r>
      <w:r>
        <w:t>cm.</w:t>
      </w:r>
    </w:p>
    <w:p w14:paraId="09B73688" w14:textId="5738C367" w:rsidR="006B782E" w:rsidRDefault="006B782E" w:rsidP="005845DA">
      <w:r>
        <w:t>To ensure that safety was a consideration traceable back to the customer requirements</w:t>
      </w:r>
      <w:r w:rsidR="006228E5">
        <w:t xml:space="preserve"> relevant regulations DSA 02.OME Defence Ordnance and Munitions Regulations [4] and the NATO standard AECTP-230 CLIMACTIC CONDITIONS were included in the requirements and u</w:t>
      </w:r>
      <w:r w:rsidR="00B77F2B">
        <w:t>sed</w:t>
      </w:r>
      <w:r w:rsidR="006228E5">
        <w:t xml:space="preserve"> to inform the concept development process.</w:t>
      </w:r>
    </w:p>
    <w:p w14:paraId="54F51A5F" w14:textId="386F0DF7" w:rsidR="006228E5" w:rsidRDefault="006228E5" w:rsidP="005845DA">
      <w:r>
        <w:t>The research conduct</w:t>
      </w:r>
      <w:r w:rsidR="00CD1EC1">
        <w:t>ed</w:t>
      </w:r>
      <w:r>
        <w:t xml:space="preserve"> aided greatly in facilitating the group discussion to generate a robust set of requirements and identify the required functionality of the system.</w:t>
      </w:r>
      <w:r w:rsidR="00085044">
        <w:t xml:space="preserve"> Sharing the knowledge gained with the other group roles e.g. manufacturing, safety, test and evaluation etc. contributed greatly to improving the accuracy of the scorings</w:t>
      </w:r>
      <w:r w:rsidR="00961735">
        <w:t xml:space="preserve"> in the pairwise comparison and Quality Function Deployment matrices as it reduced the number of assumptions about the operational environment, threat and safety implementation.</w:t>
      </w:r>
    </w:p>
    <w:p w14:paraId="121BF73F" w14:textId="4ECC328B" w:rsidR="00CE7D0F" w:rsidRDefault="00A46BC9" w:rsidP="005845DA">
      <w:r>
        <w:t>T</w:t>
      </w:r>
      <w:r w:rsidR="00CE7D0F" w:rsidRPr="00CE7D0F">
        <w:t>his demonstrated the importance of the R&amp;D role in reducing uncertainty and improving the reliability of early-stage design decisions.</w:t>
      </w:r>
    </w:p>
    <w:p w14:paraId="6A731A96" w14:textId="4BB183CE" w:rsidR="009A5955" w:rsidRDefault="009A5955" w:rsidP="009A5955">
      <w:pPr>
        <w:pStyle w:val="Heading1"/>
      </w:pPr>
      <w:bookmarkStart w:id="2" w:name="_Toc227059511"/>
      <w:r>
        <w:lastRenderedPageBreak/>
        <w:t>Generating the Concept</w:t>
      </w:r>
      <w:bookmarkEnd w:id="2"/>
    </w:p>
    <w:p w14:paraId="218F67B5" w14:textId="3A612B62" w:rsidR="006B782E" w:rsidRDefault="00BB1301" w:rsidP="005845DA">
      <w:r>
        <w:t>Firstly, the critical functionality and sub-functions were identified by the group. This information was then fed into a Function-Means Analysis (FMA) to begin discussions on what means can be employed to achieve the required functionality. For this activity</w:t>
      </w:r>
      <w:r w:rsidR="003B15F6">
        <w:t>,</w:t>
      </w:r>
      <w:r>
        <w:t xml:space="preserve"> the R&amp;D team conducted research into current mine clearing systems and reports on their effectiveness. Systems of note included:</w:t>
      </w:r>
    </w:p>
    <w:p w14:paraId="13BEC4AF" w14:textId="0130C4DF" w:rsidR="00BB1301" w:rsidRDefault="00BB1301" w:rsidP="00BB1301">
      <w:pPr>
        <w:pStyle w:val="ListParagraph"/>
        <w:numPr>
          <w:ilvl w:val="0"/>
          <w:numId w:val="6"/>
        </w:numPr>
      </w:pPr>
      <w:r w:rsidRPr="00D86DC4">
        <w:rPr>
          <w:b/>
          <w:bCs/>
        </w:rPr>
        <w:t xml:space="preserve">Mine </w:t>
      </w:r>
      <w:r w:rsidR="003B15F6">
        <w:rPr>
          <w:b/>
          <w:bCs/>
        </w:rPr>
        <w:t>Plough</w:t>
      </w:r>
      <w:r>
        <w:t xml:space="preserve"> – A heavy armoured vehicle mounted </w:t>
      </w:r>
      <w:r w:rsidR="003B15F6">
        <w:t>Plough</w:t>
      </w:r>
      <w:r>
        <w:t xml:space="preserve"> that neutralizes mines via displacement. The displacement often detonated the mines however the operators were protected by the vehicle armour. A weakness of this system is that large blast anti-tank mines could cause concussions for the operators.</w:t>
      </w:r>
    </w:p>
    <w:p w14:paraId="16825F4C" w14:textId="12054696" w:rsidR="00BB1301" w:rsidRDefault="00574385" w:rsidP="00BB1301">
      <w:pPr>
        <w:pStyle w:val="ListParagraph"/>
        <w:numPr>
          <w:ilvl w:val="0"/>
          <w:numId w:val="6"/>
        </w:numPr>
      </w:pPr>
      <w:r w:rsidRPr="00D86DC4">
        <w:rPr>
          <w:b/>
          <w:bCs/>
        </w:rPr>
        <w:t>Mine Clearing Line Charge</w:t>
      </w:r>
      <w:r>
        <w:t xml:space="preserve"> – A rapidly deployable tube containing high explosives that detonates the mines along a linear path. Man-Portable options available with less range. A great solution but the customer was concerned about unexploded ordnance being left behind.</w:t>
      </w:r>
    </w:p>
    <w:p w14:paraId="2C6C8E1B" w14:textId="77561EB4" w:rsidR="00574385" w:rsidRDefault="00574385" w:rsidP="00BB1301">
      <w:pPr>
        <w:pStyle w:val="ListParagraph"/>
        <w:numPr>
          <w:ilvl w:val="0"/>
          <w:numId w:val="6"/>
        </w:numPr>
      </w:pPr>
      <w:r w:rsidRPr="00D86DC4">
        <w:rPr>
          <w:b/>
          <w:bCs/>
        </w:rPr>
        <w:t>High Pressure Water Jet</w:t>
      </w:r>
      <w:r>
        <w:t xml:space="preserve"> – A remote system with a mounted high pressure water jet capable of deflagrating (rapid burning) the high explosive within the mine. A very safe method of mine disposal but time consuming.</w:t>
      </w:r>
    </w:p>
    <w:p w14:paraId="10235ED0" w14:textId="25D5B61E" w:rsidR="00574385" w:rsidRDefault="00574385" w:rsidP="00BB1301">
      <w:pPr>
        <w:pStyle w:val="ListParagraph"/>
        <w:numPr>
          <w:ilvl w:val="0"/>
          <w:numId w:val="6"/>
        </w:numPr>
      </w:pPr>
      <w:r w:rsidRPr="00D86DC4">
        <w:rPr>
          <w:b/>
          <w:bCs/>
        </w:rPr>
        <w:t>Mine Kafon Ball</w:t>
      </w:r>
      <w:r>
        <w:t xml:space="preserve"> – Further information on concept on their website [6]. An experimental concept design for a ball shaped, wind powered system that actuates mines pressure plates. </w:t>
      </w:r>
    </w:p>
    <w:p w14:paraId="463D8A09" w14:textId="49A8D5DE" w:rsidR="00574385" w:rsidRDefault="00574385" w:rsidP="00574385">
      <w:r>
        <w:t>The research performed contributed to the group producing a reasonably comprehensive Function-Means Analysis</w:t>
      </w:r>
      <w:r w:rsidR="003B15F6">
        <w:t>,</w:t>
      </w:r>
      <w:r>
        <w:t xml:space="preserve"> a snapshot of which can be seen in </w:t>
      </w:r>
      <w:r w:rsidR="008F05EA">
        <w:fldChar w:fldCharType="begin"/>
      </w:r>
      <w:r w:rsidR="008F05EA">
        <w:instrText xml:space="preserve"> REF _Ref226981001 \h </w:instrText>
      </w:r>
      <w:r w:rsidR="008F05EA">
        <w:fldChar w:fldCharType="separate"/>
      </w:r>
      <w:r w:rsidR="008F05EA">
        <w:t xml:space="preserve">Figure </w:t>
      </w:r>
      <w:r w:rsidR="008F05EA">
        <w:rPr>
          <w:noProof/>
        </w:rPr>
        <w:t>1</w:t>
      </w:r>
      <w:r w:rsidR="008F05EA">
        <w:fldChar w:fldCharType="end"/>
      </w:r>
      <w:r w:rsidR="008F05EA">
        <w:t>.</w:t>
      </w:r>
    </w:p>
    <w:p w14:paraId="5755F9D9" w14:textId="7E19E2D4" w:rsidR="008F05EA" w:rsidRDefault="008F05EA" w:rsidP="00574385">
      <w:r w:rsidRPr="008F05EA">
        <w:rPr>
          <w:noProof/>
        </w:rPr>
        <w:drawing>
          <wp:inline distT="0" distB="0" distL="0" distR="0" wp14:anchorId="421FD208" wp14:editId="2D2D93AF">
            <wp:extent cx="5731510" cy="2785745"/>
            <wp:effectExtent l="0" t="0" r="2540" b="0"/>
            <wp:docPr id="18893386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8933863" name=""/>
                    <pic:cNvPicPr/>
                  </pic:nvPicPr>
                  <pic:blipFill>
                    <a:blip r:embed="rId11"/>
                    <a:stretch>
                      <a:fillRect/>
                    </a:stretch>
                  </pic:blipFill>
                  <pic:spPr>
                    <a:xfrm>
                      <a:off x="0" y="0"/>
                      <a:ext cx="5731510" cy="2785745"/>
                    </a:xfrm>
                    <a:prstGeom prst="rect">
                      <a:avLst/>
                    </a:prstGeom>
                  </pic:spPr>
                </pic:pic>
              </a:graphicData>
            </a:graphic>
          </wp:inline>
        </w:drawing>
      </w:r>
    </w:p>
    <w:p w14:paraId="10BDA2B1" w14:textId="0B37AEA9" w:rsidR="008F05EA" w:rsidRDefault="008F05EA" w:rsidP="008F05EA">
      <w:pPr>
        <w:pStyle w:val="Caption"/>
      </w:pPr>
      <w:bookmarkStart w:id="3" w:name="_Ref226981001"/>
      <w:r>
        <w:t xml:space="preserve">Figure </w:t>
      </w:r>
      <w:fldSimple w:instr=" SEQ Figure \* ARABIC ">
        <w:r w:rsidR="009D0135">
          <w:rPr>
            <w:noProof/>
          </w:rPr>
          <w:t>1</w:t>
        </w:r>
      </w:fldSimple>
      <w:bookmarkEnd w:id="3"/>
      <w:r>
        <w:t>: Function-Means Analysis</w:t>
      </w:r>
    </w:p>
    <w:p w14:paraId="00200648" w14:textId="0E76A084" w:rsidR="008F05EA" w:rsidRDefault="008F05EA" w:rsidP="008F05EA">
      <w:r>
        <w:t xml:space="preserve">Using the solutions suggested in the FMA the generation of whole system concepts was conducted by the R&amp;D team with group input </w:t>
      </w:r>
      <w:r w:rsidR="0094324D">
        <w:t>used to decide</w:t>
      </w:r>
      <w:r w:rsidR="00F972C1">
        <w:t xml:space="preserve"> </w:t>
      </w:r>
      <w:r>
        <w:t xml:space="preserve">which </w:t>
      </w:r>
      <w:r w:rsidR="00F972C1">
        <w:t>concept would</w:t>
      </w:r>
      <w:r>
        <w:t xml:space="preserve"> be developed further.</w:t>
      </w:r>
    </w:p>
    <w:p w14:paraId="1CED7928" w14:textId="3BA3B718" w:rsidR="001A7941" w:rsidRDefault="001A7941" w:rsidP="008F05EA">
      <w:r>
        <w:t>The concept agreed upon by the group was a system dubbed the “Rocket Rake” (</w:t>
      </w:r>
      <w:r>
        <w:fldChar w:fldCharType="begin"/>
      </w:r>
      <w:r>
        <w:instrText xml:space="preserve"> REF _Ref226982755 \h </w:instrText>
      </w:r>
      <w:r>
        <w:fldChar w:fldCharType="separate"/>
      </w:r>
      <w:r>
        <w:t xml:space="preserve">Figure </w:t>
      </w:r>
      <w:r>
        <w:rPr>
          <w:noProof/>
        </w:rPr>
        <w:t>2</w:t>
      </w:r>
      <w:r>
        <w:fldChar w:fldCharType="end"/>
      </w:r>
      <w:r>
        <w:t xml:space="preserve">). The system would neutralize the minefield in a similar fashion to the Mine </w:t>
      </w:r>
      <w:r w:rsidR="003B15F6">
        <w:t>Plough</w:t>
      </w:r>
      <w:r>
        <w:t xml:space="preserve">. However, the </w:t>
      </w:r>
      <w:r w:rsidR="003B15F6">
        <w:t>Plough</w:t>
      </w:r>
      <w:r>
        <w:t xml:space="preserve"> system would be adapted for integration into a light vehicle.</w:t>
      </w:r>
      <w:r w:rsidR="00DB6F28">
        <w:t xml:space="preserve"> This would be achieved by mounting a rocket motor powered rake launching system to a light vehicle (Toyota Hilux). The rake itself would be attached to the vehicle with enough length at full tension to provide safety to the operators from </w:t>
      </w:r>
      <w:r w:rsidR="00DB6F28">
        <w:lastRenderedPageBreak/>
        <w:t xml:space="preserve">any mine detonations. During the raking process any anti-personnel mines would be detonated. Research indicated that many anti-tank mines’ fuzes would not be actuated by the raking process therefore the mines that did not detonate during the process would be neutralised using a drone mounted explosively formed projectile (EFP). </w:t>
      </w:r>
    </w:p>
    <w:p w14:paraId="5F1726C0" w14:textId="77777777" w:rsidR="00DB6F28" w:rsidRDefault="00DB6F28" w:rsidP="008F05EA"/>
    <w:p w14:paraId="5936C829" w14:textId="709DD6D5" w:rsidR="001A7941" w:rsidRDefault="001A7941" w:rsidP="008F05EA">
      <w:r w:rsidRPr="001A7941">
        <w:rPr>
          <w:noProof/>
        </w:rPr>
        <w:drawing>
          <wp:inline distT="0" distB="0" distL="0" distR="0" wp14:anchorId="7247A635" wp14:editId="39179C19">
            <wp:extent cx="5731510" cy="2301875"/>
            <wp:effectExtent l="0" t="0" r="2540" b="3175"/>
            <wp:docPr id="109172111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91721118" name=""/>
                    <pic:cNvPicPr/>
                  </pic:nvPicPr>
                  <pic:blipFill>
                    <a:blip r:embed="rId12"/>
                    <a:stretch>
                      <a:fillRect/>
                    </a:stretch>
                  </pic:blipFill>
                  <pic:spPr>
                    <a:xfrm>
                      <a:off x="0" y="0"/>
                      <a:ext cx="5731510" cy="2301875"/>
                    </a:xfrm>
                    <a:prstGeom prst="rect">
                      <a:avLst/>
                    </a:prstGeom>
                  </pic:spPr>
                </pic:pic>
              </a:graphicData>
            </a:graphic>
          </wp:inline>
        </w:drawing>
      </w:r>
    </w:p>
    <w:p w14:paraId="0B748650" w14:textId="1F7FC578" w:rsidR="001A7941" w:rsidRDefault="001A7941" w:rsidP="001A7941">
      <w:pPr>
        <w:pStyle w:val="Caption"/>
      </w:pPr>
      <w:bookmarkStart w:id="4" w:name="_Ref226982755"/>
      <w:r>
        <w:t xml:space="preserve">Figure </w:t>
      </w:r>
      <w:fldSimple w:instr=" SEQ Figure \* ARABIC ">
        <w:r w:rsidR="009D0135">
          <w:rPr>
            <w:noProof/>
          </w:rPr>
          <w:t>2</w:t>
        </w:r>
      </w:fldSimple>
      <w:bookmarkEnd w:id="4"/>
      <w:r>
        <w:t>: Rocket Rake</w:t>
      </w:r>
    </w:p>
    <w:p w14:paraId="40FD2CB1" w14:textId="50628381" w:rsidR="00DB6F28" w:rsidRDefault="00DB6F28" w:rsidP="00DB6F28">
      <w:r>
        <w:t>Reflecting on the concept generation process, the</w:t>
      </w:r>
      <w:r w:rsidR="00EC42B4">
        <w:t xml:space="preserve"> R&amp;D only conducted rudimentary research into the confirming </w:t>
      </w:r>
      <w:r w:rsidR="00771B05">
        <w:t>wether</w:t>
      </w:r>
      <w:r w:rsidR="00EC42B4">
        <w:t xml:space="preserve"> the solutions proposed were possible with currently available technology</w:t>
      </w:r>
      <w:r w:rsidR="007A60DA">
        <w:t xml:space="preserve"> using simplified equations. </w:t>
      </w:r>
      <w:r w:rsidR="007A60DA">
        <w:fldChar w:fldCharType="begin"/>
      </w:r>
      <w:r w:rsidR="007A60DA">
        <w:instrText xml:space="preserve"> REF _Ref226983869 \h </w:instrText>
      </w:r>
      <w:r w:rsidR="007A60DA">
        <w:fldChar w:fldCharType="separate"/>
      </w:r>
      <w:r w:rsidR="007A60DA">
        <w:t xml:space="preserve">Equation </w:t>
      </w:r>
      <w:r w:rsidR="007A60DA">
        <w:rPr>
          <w:noProof/>
        </w:rPr>
        <w:t>1</w:t>
      </w:r>
      <w:r w:rsidR="007A60DA">
        <w:fldChar w:fldCharType="end"/>
      </w:r>
      <w:r w:rsidR="007A60DA">
        <w:t xml:space="preserve"> was </w:t>
      </w:r>
      <w:r w:rsidR="005F474A">
        <w:t>us</w:t>
      </w:r>
      <w:r w:rsidR="007A60DA">
        <w:t xml:space="preserve">ed to </w:t>
      </w:r>
      <w:r w:rsidR="00553AE7">
        <w:t>estimate</w:t>
      </w:r>
      <w:r w:rsidR="007A60DA">
        <w:t xml:space="preserve"> </w:t>
      </w:r>
      <w:r w:rsidR="00553AE7">
        <w:t>whether</w:t>
      </w:r>
      <w:r w:rsidR="00192955">
        <w:t xml:space="preserve"> the</w:t>
      </w:r>
      <w:r w:rsidR="007A60DA">
        <w:t xml:space="preserve"> </w:t>
      </w:r>
      <w:r w:rsidR="00192955">
        <w:t>l</w:t>
      </w:r>
      <w:r w:rsidR="007A60DA">
        <w:t xml:space="preserve">ight </w:t>
      </w:r>
      <w:r w:rsidR="00192955">
        <w:t>v</w:t>
      </w:r>
      <w:r w:rsidR="007A60DA">
        <w:t>ehicle would have enough power to pull the Rake with the force required being between 200 – 600 Newtons. The example vehicle tested</w:t>
      </w:r>
      <w:r w:rsidR="00553AE7">
        <w:t>,</w:t>
      </w:r>
      <w:r w:rsidR="007A60DA">
        <w:t xml:space="preserve"> the Toyota Hilux </w:t>
      </w:r>
      <w:r w:rsidR="00553AE7">
        <w:t>was capable of</w:t>
      </w:r>
      <w:r w:rsidR="007A60DA">
        <w:t xml:space="preserve"> produc</w:t>
      </w:r>
      <w:r w:rsidR="00553AE7">
        <w:t>ing</w:t>
      </w:r>
      <w:r w:rsidR="007A60DA">
        <w:t xml:space="preserve"> this </w:t>
      </w:r>
      <w:r w:rsidR="00553AE7">
        <w:t>level</w:t>
      </w:r>
      <w:r w:rsidR="007A60DA">
        <w:t xml:space="preserve"> of force.</w:t>
      </w:r>
    </w:p>
    <w:p w14:paraId="40F4E5B8" w14:textId="2A096800" w:rsidR="007A60DA" w:rsidRPr="007A60DA" w:rsidRDefault="007A60DA" w:rsidP="007A60DA">
      <m:oMathPara>
        <m:oMathParaPr>
          <m:jc m:val="centerGroup"/>
        </m:oMathParaPr>
        <m:oMath>
          <m:r>
            <w:rPr>
              <w:rFonts w:ascii="Cambria Math" w:hAnsi="Cambria Math"/>
            </w:rPr>
            <m:t>F</m:t>
          </m:r>
          <m:r>
            <m:rPr>
              <m:sty m:val="p"/>
            </m:rPr>
            <w:rPr>
              <w:rFonts w:ascii="Cambria Math" w:hAnsi="Cambria Math"/>
            </w:rPr>
            <m:t>≈1</m:t>
          </m:r>
          <m:r>
            <m:rPr>
              <m:nor/>
            </m:rPr>
            <w:rPr>
              <w:i/>
              <w:iCs/>
            </w:rPr>
            <m:t>–</m:t>
          </m:r>
          <m:r>
            <m:rPr>
              <m:sty m:val="p"/>
            </m:rPr>
            <w:rPr>
              <w:rFonts w:ascii="Cambria Math" w:hAnsi="Cambria Math"/>
            </w:rPr>
            <m:t>3</m:t>
          </m:r>
          <m:r>
            <m:rPr>
              <m:nor/>
            </m:rPr>
            <w:rPr>
              <w:i/>
              <w:iCs/>
            </w:rPr>
            <m:t> </m:t>
          </m:r>
          <m:r>
            <w:rPr>
              <w:rFonts w:ascii="Cambria Math" w:hAnsi="Cambria Math"/>
            </w:rPr>
            <m:t>kN</m:t>
          </m:r>
          <m:r>
            <m:rPr>
              <m:sty m:val="p"/>
            </m:rPr>
            <w:rPr>
              <w:rFonts w:ascii="Cambria Math" w:hAnsi="Cambria Math"/>
            </w:rPr>
            <m:t>/</m:t>
          </m:r>
          <m:r>
            <w:rPr>
              <w:rFonts w:ascii="Cambria Math" w:hAnsi="Cambria Math"/>
            </w:rPr>
            <m:t>m</m:t>
          </m:r>
          <m:r>
            <m:rPr>
              <m:sty m:val="p"/>
            </m:rPr>
            <w:rPr>
              <w:rFonts w:ascii="Cambria Math" w:hAnsi="Cambria Math"/>
            </w:rPr>
            <m:t>×</m:t>
          </m:r>
          <m:r>
            <w:rPr>
              <w:rFonts w:ascii="Cambria Math" w:hAnsi="Cambria Math"/>
            </w:rPr>
            <m:t>depth</m:t>
          </m:r>
          <m:d>
            <m:dPr>
              <m:ctrlPr>
                <w:rPr>
                  <w:rFonts w:ascii="Cambria Math" w:hAnsi="Cambria Math"/>
                  <w:i/>
                  <w:iCs/>
                </w:rPr>
              </m:ctrlPr>
            </m:dPr>
            <m:e>
              <m:r>
                <w:rPr>
                  <w:rFonts w:ascii="Cambria Math" w:hAnsi="Cambria Math"/>
                </w:rPr>
                <m:t>m</m:t>
              </m:r>
            </m:e>
          </m:d>
        </m:oMath>
      </m:oMathPara>
    </w:p>
    <w:p w14:paraId="6FF84CEB" w14:textId="5D5DD30A" w:rsidR="007A60DA" w:rsidRDefault="007A60DA" w:rsidP="007A60DA">
      <w:pPr>
        <w:pStyle w:val="Caption"/>
      </w:pPr>
      <w:bookmarkStart w:id="5" w:name="_Ref226983869"/>
      <w:r>
        <w:t xml:space="preserve">Equation </w:t>
      </w:r>
      <w:fldSimple w:instr=" SEQ Equation \* ARABIC ">
        <w:r>
          <w:rPr>
            <w:noProof/>
          </w:rPr>
          <w:t>1</w:t>
        </w:r>
      </w:fldSimple>
      <w:bookmarkEnd w:id="5"/>
      <w:r>
        <w:t xml:space="preserve">: </w:t>
      </w:r>
      <w:bookmarkStart w:id="6" w:name="_Ref226983851"/>
      <w:r>
        <w:t>Draft Force Equation [7]</w:t>
      </w:r>
      <w:bookmarkEnd w:id="6"/>
    </w:p>
    <w:p w14:paraId="7E728C8D" w14:textId="4E03325C" w:rsidR="00E3682A" w:rsidRDefault="007A60DA" w:rsidP="007A60DA">
      <w:r>
        <w:t>However</w:t>
      </w:r>
      <w:r w:rsidR="00D61E73">
        <w:t>, there are considerably more accurate models available for calculating this which include the shape of the implement used, the traction of the vehicle etc. [8]. Furthermore, the power of the blast produced by the anti-tank mines was mostly overlooked during the concept down selection meeting. A simple calculator available from the International Mine Action Standards (IMAS) website indicated that the safest distance from a 10</w:t>
      </w:r>
      <w:r w:rsidR="003A4578">
        <w:t xml:space="preserve"> </w:t>
      </w:r>
      <w:r w:rsidR="00D61E73">
        <w:t>kg anti-tank mine would be further than 690</w:t>
      </w:r>
      <w:r w:rsidR="003A4578">
        <w:t xml:space="preserve"> </w:t>
      </w:r>
      <w:r w:rsidR="00D61E73">
        <w:t>m</w:t>
      </w:r>
      <w:r w:rsidR="006A52E5">
        <w:t xml:space="preserve"> [9]</w:t>
      </w:r>
      <w:r w:rsidR="00D61E73">
        <w:t xml:space="preserve">. </w:t>
      </w:r>
    </w:p>
    <w:p w14:paraId="3E324F02" w14:textId="7BBFD7BF" w:rsidR="007A60DA" w:rsidRDefault="00D61E73" w:rsidP="007A60DA">
      <w:r>
        <w:t>Conducting more detailed research and calculations prior to submitting the concept to the team may have resulted in another concept design being chosen and would have supported the test and evaluation team by provid</w:t>
      </w:r>
      <w:r w:rsidR="00153128">
        <w:t>ing</w:t>
      </w:r>
      <w:r>
        <w:t xml:space="preserve"> them with more data.</w:t>
      </w:r>
    </w:p>
    <w:p w14:paraId="6226C505" w14:textId="1E49FACF" w:rsidR="0082185F" w:rsidRDefault="0082185F" w:rsidP="0082185F">
      <w:pPr>
        <w:pStyle w:val="Heading1"/>
      </w:pPr>
      <w:bookmarkStart w:id="7" w:name="_Toc227059512"/>
      <w:r>
        <w:t>R&amp;D Output Contributing to manufacturing, safety and T&amp;E</w:t>
      </w:r>
      <w:bookmarkEnd w:id="7"/>
    </w:p>
    <w:p w14:paraId="0BDB4C04" w14:textId="19C29EC1" w:rsidR="00FC5EA8" w:rsidRDefault="00FC5EA8" w:rsidP="0082185F">
      <w:r>
        <w:t>During the next stages of development which involved determining the manufacturing process, tri</w:t>
      </w:r>
      <w:r w:rsidR="00945C93">
        <w:t>a</w:t>
      </w:r>
      <w:r>
        <w:t>ls to be conducted</w:t>
      </w:r>
      <w:r w:rsidR="00DC764C">
        <w:t>,</w:t>
      </w:r>
      <w:r>
        <w:t xml:space="preserve"> and ensuring the thread of safety ran throughout the project the group hel</w:t>
      </w:r>
      <w:r w:rsidR="00945C93">
        <w:t>d</w:t>
      </w:r>
      <w:r>
        <w:t xml:space="preserve"> frequent meetings to discuss progress.</w:t>
      </w:r>
    </w:p>
    <w:p w14:paraId="0BFD00B3" w14:textId="5A51000B" w:rsidR="00FC5EA8" w:rsidRDefault="00FC5EA8" w:rsidP="0082185F">
      <w:r>
        <w:t>During these meetings</w:t>
      </w:r>
      <w:r w:rsidR="00DC764C">
        <w:t>,</w:t>
      </w:r>
      <w:r>
        <w:t xml:space="preserve"> </w:t>
      </w:r>
      <w:r w:rsidR="00355107">
        <w:t>numerous risks for the system were being highlighted. These risks included:</w:t>
      </w:r>
    </w:p>
    <w:p w14:paraId="1B1B10AC" w14:textId="62825FBD" w:rsidR="00355107" w:rsidRDefault="00355107" w:rsidP="00355107">
      <w:pPr>
        <w:pStyle w:val="ListParagraph"/>
        <w:numPr>
          <w:ilvl w:val="0"/>
          <w:numId w:val="7"/>
        </w:numPr>
      </w:pPr>
      <w:r>
        <w:lastRenderedPageBreak/>
        <w:t>What materials would be durable enough for the rake to survive multiple detonations.</w:t>
      </w:r>
    </w:p>
    <w:p w14:paraId="1083E302" w14:textId="1ED2189D" w:rsidR="00355107" w:rsidRDefault="00355107" w:rsidP="00355107">
      <w:pPr>
        <w:pStyle w:val="ListParagraph"/>
        <w:numPr>
          <w:ilvl w:val="0"/>
          <w:numId w:val="7"/>
        </w:numPr>
      </w:pPr>
      <w:r>
        <w:t xml:space="preserve">How accurate </w:t>
      </w:r>
      <w:r w:rsidR="00DC764C">
        <w:t>was</w:t>
      </w:r>
      <w:r>
        <w:t xml:space="preserve"> the formula used to calculate the torque requirement</w:t>
      </w:r>
    </w:p>
    <w:p w14:paraId="574E170C" w14:textId="576E2AEB" w:rsidR="00355107" w:rsidRDefault="00355107" w:rsidP="00355107">
      <w:pPr>
        <w:pStyle w:val="ListParagraph"/>
        <w:numPr>
          <w:ilvl w:val="0"/>
          <w:numId w:val="7"/>
        </w:numPr>
      </w:pPr>
      <w:r>
        <w:t xml:space="preserve">How </w:t>
      </w:r>
      <w:r w:rsidR="00DC764C">
        <w:t>would</w:t>
      </w:r>
      <w:r>
        <w:t xml:space="preserve"> the system survive fragmentation from the anti-personnel mines</w:t>
      </w:r>
    </w:p>
    <w:p w14:paraId="49BC1616" w14:textId="44FC44BA" w:rsidR="00355107" w:rsidRDefault="00355107" w:rsidP="00355107">
      <w:pPr>
        <w:pStyle w:val="ListParagraph"/>
        <w:numPr>
          <w:ilvl w:val="0"/>
          <w:numId w:val="7"/>
        </w:numPr>
      </w:pPr>
      <w:r>
        <w:t>The durability and effectiveness of the drone sub-system.</w:t>
      </w:r>
    </w:p>
    <w:p w14:paraId="517A4394" w14:textId="77777777" w:rsidR="00A5363E" w:rsidRDefault="00A5363E" w:rsidP="00355107">
      <w:r w:rsidRPr="00A5363E">
        <w:t>To support the identification of solutions and mitigations to these risks, the R&amp;D team assessed whether each risk was relevant, conducted further research, and proposed potential solutions to the group.</w:t>
      </w:r>
      <w:r>
        <w:t xml:space="preserve"> </w:t>
      </w:r>
    </w:p>
    <w:p w14:paraId="036B5905" w14:textId="77777777" w:rsidR="00A5363E" w:rsidRDefault="00A5363E" w:rsidP="00355107">
      <w:r w:rsidRPr="00A5363E">
        <w:t>For example, in addressing the fragmentation risk, research was conducted into the materials used in anti-personnel mines, the kinetic energy of fragments produced by approximately 660 g of TNT, and the level of protection required to mitigate this threat.</w:t>
      </w:r>
    </w:p>
    <w:p w14:paraId="268C7EDF" w14:textId="4FD5E6FB" w:rsidR="00355107" w:rsidRDefault="004A3B7A" w:rsidP="00355107">
      <w:r>
        <w:t xml:space="preserve">This information was then relayed to the relevant groups: </w:t>
      </w:r>
      <w:r w:rsidR="00243254">
        <w:t>The m</w:t>
      </w:r>
      <w:r>
        <w:t>anufacturing team</w:t>
      </w:r>
      <w:r w:rsidR="00243254">
        <w:t xml:space="preserve"> was</w:t>
      </w:r>
      <w:r>
        <w:t xml:space="preserve"> informed of the type of armour material so they can decide if an off the shelf solution or bespoke solution is required. The Trials and Evaluation team</w:t>
      </w:r>
      <w:r w:rsidR="00D0460D">
        <w:t xml:space="preserve"> was</w:t>
      </w:r>
      <w:r>
        <w:t xml:space="preserve"> informed so they can design trials to validate the effectiveness of the armour. The safety team</w:t>
      </w:r>
      <w:r w:rsidR="00D0460D">
        <w:t xml:space="preserve"> was informed</w:t>
      </w:r>
      <w:r>
        <w:t xml:space="preserve"> to ensure that the proposed solution meets safety regulations and </w:t>
      </w:r>
      <w:r w:rsidR="00A5363E">
        <w:t>legislation,</w:t>
      </w:r>
      <w:r>
        <w:t xml:space="preserve"> and the disposal team</w:t>
      </w:r>
      <w:r w:rsidR="00D0460D">
        <w:t xml:space="preserve"> was</w:t>
      </w:r>
      <w:r>
        <w:t xml:space="preserve"> informed so they can develop the appropriate disposal procedures.</w:t>
      </w:r>
    </w:p>
    <w:p w14:paraId="502C932F" w14:textId="79F13A67" w:rsidR="00190052" w:rsidRDefault="00190052" w:rsidP="00355107">
      <w:r w:rsidRPr="00190052">
        <w:t>When developing the concept and proposing methods to mitigate risks, the R&amp;D team utilised the Kano Model to distinguish between essential functionality and “nice-to-have” features for the customer, aiding in the mitigation of scope creep and gold plating when discussing options with the group.</w:t>
      </w:r>
    </w:p>
    <w:p w14:paraId="6BD73C55" w14:textId="164D7D65" w:rsidR="00F228BA" w:rsidRDefault="00F228BA" w:rsidP="00F228BA">
      <w:pPr>
        <w:pStyle w:val="Heading1"/>
      </w:pPr>
      <w:bookmarkStart w:id="8" w:name="_Toc227059513"/>
      <w:r>
        <w:t>Evaluating the presentation</w:t>
      </w:r>
      <w:bookmarkEnd w:id="8"/>
    </w:p>
    <w:p w14:paraId="156114C4" w14:textId="28B81694" w:rsidR="00F228BA" w:rsidRDefault="00171E69" w:rsidP="00F228BA">
      <w:r>
        <w:t>The R&amp;D team’s role in the presentation covered introducing the group and the project, explaining the operational environment and threats, deriving requirements from the customer brief, demonstrating the research undertaken to understand the means of delivering the requirements, introducing and explaining the concept</w:t>
      </w:r>
      <w:r w:rsidR="00DD4805">
        <w:t>’</w:t>
      </w:r>
      <w:r>
        <w:t>s key functionality, identifying the risks and presenting how the R&amp;D output leads into manufacturing.</w:t>
      </w:r>
    </w:p>
    <w:p w14:paraId="54ED825D" w14:textId="03887A34" w:rsidR="00171E69" w:rsidRDefault="00171E69" w:rsidP="00F228BA">
      <w:r>
        <w:t>The R&amp;D team introduced</w:t>
      </w:r>
      <w:r w:rsidR="00E857B9">
        <w:t xml:space="preserve"> and</w:t>
      </w:r>
      <w:r>
        <w:t xml:space="preserve"> explained the operational environment and threats very confidently. Having done the relevant research, they were very aware of the important factors influencing the systems design.</w:t>
      </w:r>
    </w:p>
    <w:p w14:paraId="0EA89DEA" w14:textId="053DF8A0" w:rsidR="00171E69" w:rsidRDefault="00FF78B2" w:rsidP="00F228BA">
      <w:r>
        <w:t>Presenting the statement of need accompanied by some examples of the requirements that were derived from the customer brief and then supporting with a slide that included the most important requirements identified by the pairwise comparison was an effective means of building the systems engineering process narrative for the audience. However, the R&amp;D team member presenting may have relied too strongly on reading off the slide for this section rather than addressing the audience directly.</w:t>
      </w:r>
      <w:r w:rsidR="00B845F2">
        <w:t xml:space="preserve"> Looking at the statement of need slide (</w:t>
      </w:r>
      <w:r w:rsidR="00B845F2">
        <w:fldChar w:fldCharType="begin"/>
      </w:r>
      <w:r w:rsidR="00B845F2">
        <w:instrText xml:space="preserve"> REF _Ref227057408 \h </w:instrText>
      </w:r>
      <w:r w:rsidR="00B845F2">
        <w:fldChar w:fldCharType="separate"/>
      </w:r>
      <w:r w:rsidR="00B845F2">
        <w:t xml:space="preserve">Figure </w:t>
      </w:r>
      <w:r w:rsidR="00B845F2">
        <w:rPr>
          <w:noProof/>
        </w:rPr>
        <w:t>3</w:t>
      </w:r>
      <w:r w:rsidR="00B845F2">
        <w:fldChar w:fldCharType="end"/>
      </w:r>
      <w:r w:rsidR="00B845F2">
        <w:t>), including less text and combining the statement of need and critical requirements chart into one slide may have resulted in the presente</w:t>
      </w:r>
      <w:r w:rsidR="00380F2A">
        <w:t>r</w:t>
      </w:r>
      <w:r w:rsidR="00B845F2">
        <w:t xml:space="preserve"> relying less on reading off the slide for this section.</w:t>
      </w:r>
    </w:p>
    <w:p w14:paraId="0A08F90A" w14:textId="6D2BDECB" w:rsidR="00B845F2" w:rsidRDefault="00B845F2" w:rsidP="00F228BA">
      <w:r w:rsidRPr="00B845F2">
        <w:rPr>
          <w:noProof/>
        </w:rPr>
        <w:lastRenderedPageBreak/>
        <w:drawing>
          <wp:inline distT="0" distB="0" distL="0" distR="0" wp14:anchorId="470F15EB" wp14:editId="1AD3E103">
            <wp:extent cx="5731510" cy="3235960"/>
            <wp:effectExtent l="0" t="0" r="2540" b="2540"/>
            <wp:docPr id="154816036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48160366" name=""/>
                    <pic:cNvPicPr/>
                  </pic:nvPicPr>
                  <pic:blipFill>
                    <a:blip r:embed="rId13"/>
                    <a:stretch>
                      <a:fillRect/>
                    </a:stretch>
                  </pic:blipFill>
                  <pic:spPr>
                    <a:xfrm>
                      <a:off x="0" y="0"/>
                      <a:ext cx="5731510" cy="3235960"/>
                    </a:xfrm>
                    <a:prstGeom prst="rect">
                      <a:avLst/>
                    </a:prstGeom>
                  </pic:spPr>
                </pic:pic>
              </a:graphicData>
            </a:graphic>
          </wp:inline>
        </w:drawing>
      </w:r>
    </w:p>
    <w:p w14:paraId="43757044" w14:textId="483C03EA" w:rsidR="00B845F2" w:rsidRDefault="00B845F2" w:rsidP="00B845F2">
      <w:pPr>
        <w:pStyle w:val="Caption"/>
      </w:pPr>
      <w:bookmarkStart w:id="9" w:name="_Ref227057408"/>
      <w:r>
        <w:t xml:space="preserve">Figure </w:t>
      </w:r>
      <w:fldSimple w:instr=" SEQ Figure \* ARABIC ">
        <w:r w:rsidR="009D0135">
          <w:rPr>
            <w:noProof/>
          </w:rPr>
          <w:t>3</w:t>
        </w:r>
      </w:fldSimple>
      <w:bookmarkEnd w:id="9"/>
      <w:r>
        <w:t>: Statement of Need slide</w:t>
      </w:r>
    </w:p>
    <w:p w14:paraId="390984E6" w14:textId="5CC430B4" w:rsidR="00FF78B2" w:rsidRDefault="00B845F2" w:rsidP="00F228BA">
      <w:r>
        <w:t>The following sections covering the research conducted, concept functionality, risks and feeding into manufacturing were presented well and supported by well designed</w:t>
      </w:r>
      <w:r w:rsidR="00F23E2F">
        <w:t xml:space="preserve"> slides that supported the information being delivered without requiring the audience to read too much. See example slides below.</w:t>
      </w:r>
    </w:p>
    <w:p w14:paraId="5EBD6B13" w14:textId="333F40E7" w:rsidR="00F23E2F" w:rsidRDefault="00F23E2F" w:rsidP="00F228BA">
      <w:r w:rsidRPr="00F23E2F">
        <w:rPr>
          <w:noProof/>
        </w:rPr>
        <w:drawing>
          <wp:inline distT="0" distB="0" distL="0" distR="0" wp14:anchorId="1CA9A135" wp14:editId="110CE0C5">
            <wp:extent cx="5731510" cy="3154680"/>
            <wp:effectExtent l="0" t="0" r="2540" b="7620"/>
            <wp:docPr id="23600040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6000402" name=""/>
                    <pic:cNvPicPr/>
                  </pic:nvPicPr>
                  <pic:blipFill>
                    <a:blip r:embed="rId14"/>
                    <a:stretch>
                      <a:fillRect/>
                    </a:stretch>
                  </pic:blipFill>
                  <pic:spPr>
                    <a:xfrm>
                      <a:off x="0" y="0"/>
                      <a:ext cx="5731510" cy="3154680"/>
                    </a:xfrm>
                    <a:prstGeom prst="rect">
                      <a:avLst/>
                    </a:prstGeom>
                  </pic:spPr>
                </pic:pic>
              </a:graphicData>
            </a:graphic>
          </wp:inline>
        </w:drawing>
      </w:r>
    </w:p>
    <w:p w14:paraId="6092EA76" w14:textId="7DF46BA8" w:rsidR="00F23E2F" w:rsidRDefault="00F23E2F" w:rsidP="00F23E2F">
      <w:pPr>
        <w:pStyle w:val="Caption"/>
      </w:pPr>
      <w:r>
        <w:t xml:space="preserve">Figure </w:t>
      </w:r>
      <w:fldSimple w:instr=" SEQ Figure \* ARABIC ">
        <w:r w:rsidR="009D0135">
          <w:rPr>
            <w:noProof/>
          </w:rPr>
          <w:t>4</w:t>
        </w:r>
      </w:fldSimple>
      <w:r>
        <w:t>: Mine Clearing Methods Slide</w:t>
      </w:r>
    </w:p>
    <w:p w14:paraId="4522CC77" w14:textId="6E472228" w:rsidR="00F23E2F" w:rsidRDefault="00F23E2F" w:rsidP="00F228BA">
      <w:r w:rsidRPr="00F23E2F">
        <w:rPr>
          <w:noProof/>
        </w:rPr>
        <w:lastRenderedPageBreak/>
        <w:drawing>
          <wp:inline distT="0" distB="0" distL="0" distR="0" wp14:anchorId="39F64D1F" wp14:editId="2573A88E">
            <wp:extent cx="5731510" cy="3239770"/>
            <wp:effectExtent l="0" t="0" r="2540" b="0"/>
            <wp:docPr id="141011737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10117374" name=""/>
                    <pic:cNvPicPr/>
                  </pic:nvPicPr>
                  <pic:blipFill>
                    <a:blip r:embed="rId15"/>
                    <a:stretch>
                      <a:fillRect/>
                    </a:stretch>
                  </pic:blipFill>
                  <pic:spPr>
                    <a:xfrm>
                      <a:off x="0" y="0"/>
                      <a:ext cx="5731510" cy="3239770"/>
                    </a:xfrm>
                    <a:prstGeom prst="rect">
                      <a:avLst/>
                    </a:prstGeom>
                  </pic:spPr>
                </pic:pic>
              </a:graphicData>
            </a:graphic>
          </wp:inline>
        </w:drawing>
      </w:r>
    </w:p>
    <w:p w14:paraId="3B61FAA0" w14:textId="26B26169" w:rsidR="00F23E2F" w:rsidRDefault="00F23E2F" w:rsidP="00F23E2F">
      <w:pPr>
        <w:pStyle w:val="Caption"/>
      </w:pPr>
      <w:r>
        <w:t xml:space="preserve">Figure </w:t>
      </w:r>
      <w:fldSimple w:instr=" SEQ Figure \* ARABIC ">
        <w:r w:rsidR="009D0135">
          <w:rPr>
            <w:noProof/>
          </w:rPr>
          <w:t>5</w:t>
        </w:r>
      </w:fldSimple>
      <w:r>
        <w:t>: Critical Analysis of Concept Slide</w:t>
      </w:r>
    </w:p>
    <w:p w14:paraId="2809C5C0" w14:textId="11414156" w:rsidR="00F23E2F" w:rsidRDefault="00F23E2F" w:rsidP="00F228BA">
      <w:r w:rsidRPr="00F23E2F">
        <w:rPr>
          <w:noProof/>
        </w:rPr>
        <w:drawing>
          <wp:inline distT="0" distB="0" distL="0" distR="0" wp14:anchorId="0F74439B" wp14:editId="43F0C868">
            <wp:extent cx="5731510" cy="3239135"/>
            <wp:effectExtent l="0" t="0" r="2540" b="0"/>
            <wp:docPr id="48338037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83380378" name=""/>
                    <pic:cNvPicPr/>
                  </pic:nvPicPr>
                  <pic:blipFill>
                    <a:blip r:embed="rId16"/>
                    <a:stretch>
                      <a:fillRect/>
                    </a:stretch>
                  </pic:blipFill>
                  <pic:spPr>
                    <a:xfrm>
                      <a:off x="0" y="0"/>
                      <a:ext cx="5731510" cy="3239135"/>
                    </a:xfrm>
                    <a:prstGeom prst="rect">
                      <a:avLst/>
                    </a:prstGeom>
                  </pic:spPr>
                </pic:pic>
              </a:graphicData>
            </a:graphic>
          </wp:inline>
        </w:drawing>
      </w:r>
    </w:p>
    <w:p w14:paraId="44287044" w14:textId="1F10AB18" w:rsidR="00F23E2F" w:rsidRDefault="00F23E2F" w:rsidP="00F23E2F">
      <w:pPr>
        <w:pStyle w:val="Caption"/>
      </w:pPr>
      <w:r>
        <w:t xml:space="preserve">Figure </w:t>
      </w:r>
      <w:fldSimple w:instr=" SEQ Figure \* ARABIC ">
        <w:r w:rsidR="009D0135">
          <w:rPr>
            <w:noProof/>
          </w:rPr>
          <w:t>6</w:t>
        </w:r>
      </w:fldSimple>
      <w:r>
        <w:t>: Rocket Rake Selection Slide</w:t>
      </w:r>
    </w:p>
    <w:p w14:paraId="3CF6C112" w14:textId="592E7A5B" w:rsidR="0030179F" w:rsidRDefault="009D0135" w:rsidP="00F228BA">
      <w:r>
        <w:t xml:space="preserve">The final section presented by R&amp;D covered how their work fed into the manufacturing, the </w:t>
      </w:r>
      <w:r w:rsidR="00F551D1">
        <w:t>next</w:t>
      </w:r>
      <w:r>
        <w:t xml:space="preserve"> team to present. This provided a consistent flow to the presentation narrative. The slide itself </w:t>
      </w:r>
      <w:r>
        <w:fldChar w:fldCharType="begin"/>
      </w:r>
      <w:r>
        <w:instrText xml:space="preserve"> REF _Ref227058219 \h </w:instrText>
      </w:r>
      <w:r>
        <w:fldChar w:fldCharType="separate"/>
      </w:r>
      <w:r>
        <w:t xml:space="preserve">Figure </w:t>
      </w:r>
      <w:r>
        <w:rPr>
          <w:noProof/>
        </w:rPr>
        <w:t>7</w:t>
      </w:r>
      <w:r>
        <w:fldChar w:fldCharType="end"/>
      </w:r>
      <w:r>
        <w:t xml:space="preserve"> is visually striking and utilises chevrons to </w:t>
      </w:r>
      <w:r w:rsidR="0030179F">
        <w:t>visually support the explanation of the process. However, despite limited text on the slide it does contain a large amount of information that may be difficult for the audience to parse. Furthermore, given the total length of the presentation was limited to 45 minutes and there were 6 groups presenting their topics this le</w:t>
      </w:r>
      <w:r w:rsidR="00B40F96">
        <w:t>aving</w:t>
      </w:r>
      <w:r w:rsidR="0030179F">
        <w:t xml:space="preserve"> around 8 minutes total for the R&amp;D team to present their work. The final section leading into manufacturing was rushed. </w:t>
      </w:r>
    </w:p>
    <w:p w14:paraId="43F8E7BD" w14:textId="202FB5C1" w:rsidR="009D0135" w:rsidRDefault="009D0135" w:rsidP="00F228BA">
      <w:r w:rsidRPr="009D0135">
        <w:rPr>
          <w:noProof/>
        </w:rPr>
        <w:lastRenderedPageBreak/>
        <w:drawing>
          <wp:inline distT="0" distB="0" distL="0" distR="0" wp14:anchorId="615C7485" wp14:editId="0EB3C9EA">
            <wp:extent cx="5731510" cy="3166110"/>
            <wp:effectExtent l="0" t="0" r="2540" b="0"/>
            <wp:docPr id="199475131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94751317" name=""/>
                    <pic:cNvPicPr/>
                  </pic:nvPicPr>
                  <pic:blipFill>
                    <a:blip r:embed="rId17"/>
                    <a:stretch>
                      <a:fillRect/>
                    </a:stretch>
                  </pic:blipFill>
                  <pic:spPr>
                    <a:xfrm>
                      <a:off x="0" y="0"/>
                      <a:ext cx="5731510" cy="3166110"/>
                    </a:xfrm>
                    <a:prstGeom prst="rect">
                      <a:avLst/>
                    </a:prstGeom>
                  </pic:spPr>
                </pic:pic>
              </a:graphicData>
            </a:graphic>
          </wp:inline>
        </w:drawing>
      </w:r>
    </w:p>
    <w:p w14:paraId="511C6056" w14:textId="5E1A8CFF" w:rsidR="009D0135" w:rsidRDefault="009D0135" w:rsidP="009D0135">
      <w:pPr>
        <w:pStyle w:val="Caption"/>
      </w:pPr>
      <w:bookmarkStart w:id="10" w:name="_Ref227058219"/>
      <w:r>
        <w:t xml:space="preserve">Figure </w:t>
      </w:r>
      <w:fldSimple w:instr=" SEQ Figure \* ARABIC ">
        <w:r>
          <w:rPr>
            <w:noProof/>
          </w:rPr>
          <w:t>7</w:t>
        </w:r>
      </w:fldSimple>
      <w:bookmarkEnd w:id="10"/>
      <w:r>
        <w:t>: Feeding into Manufacture Slide</w:t>
      </w:r>
    </w:p>
    <w:p w14:paraId="7DB3B5E8" w14:textId="6FE580C8" w:rsidR="00F23E2F" w:rsidRDefault="0030179F" w:rsidP="00F228BA">
      <w:r>
        <w:t>A suggested improvement that could be made to the R&amp;D presentation overall would be to further condense the information presented to critical information that supports the audience</w:t>
      </w:r>
      <w:r w:rsidR="00384695">
        <w:t>’s</w:t>
      </w:r>
      <w:r>
        <w:t xml:space="preserve"> understand of the concept. This would result in the presenter talking at a more comfortable pace and improving clarity of the material presented.</w:t>
      </w:r>
    </w:p>
    <w:p w14:paraId="2FA6DBCD" w14:textId="794CB83C" w:rsidR="00577ED7" w:rsidRDefault="00577ED7" w:rsidP="00577ED7">
      <w:pPr>
        <w:pStyle w:val="Heading1"/>
      </w:pPr>
      <w:bookmarkStart w:id="11" w:name="_Toc227059514"/>
      <w:r>
        <w:t>Conclusion and Reflection</w:t>
      </w:r>
      <w:bookmarkEnd w:id="11"/>
    </w:p>
    <w:p w14:paraId="5BE171A1" w14:textId="1F574AD4" w:rsidR="00577ED7" w:rsidRDefault="00DD3B20" w:rsidP="00577ED7">
      <w:r>
        <w:t>The R&amp;D team worked cohesively with the group to provide the necessary information and outputs to support the development process. This resulted in a novel design, that while having</w:t>
      </w:r>
      <w:r w:rsidR="00D64169">
        <w:t xml:space="preserve"> a</w:t>
      </w:r>
      <w:r>
        <w:t xml:space="preserve"> number of risks appeared at its current stage to be capable of satisfying the customer requirements. </w:t>
      </w:r>
    </w:p>
    <w:p w14:paraId="0821F958" w14:textId="4D7279BF" w:rsidR="00DD3B20" w:rsidRDefault="00DD3B20" w:rsidP="00577ED7">
      <w:r>
        <w:t>The presentation prompted a satisfying reaction from the audience with many valuable responses and questions to consider when continuing to iterate on the design.</w:t>
      </w:r>
    </w:p>
    <w:p w14:paraId="3B04B0B9" w14:textId="7FF88C29" w:rsidR="00DD3B20" w:rsidRDefault="00DD3B20" w:rsidP="00577ED7">
      <w:r>
        <w:t xml:space="preserve">While the R&amp;D team conducted extensive research </w:t>
      </w:r>
      <w:r w:rsidR="00FC3CAC">
        <w:t>across</w:t>
      </w:r>
      <w:r>
        <w:t xml:space="preserve"> multiple stages of the development process. They often conducted the research in response to discovering a risk while developing the concept that was previously not considered. This resulted in meetings where the project group</w:t>
      </w:r>
      <w:r w:rsidR="006D3289">
        <w:t>’</w:t>
      </w:r>
      <w:r>
        <w:t>s confidence in the design solution selected was brought into question and where the respective team would have to reconsider some of their processes to accommodate for the new findings.</w:t>
      </w:r>
    </w:p>
    <w:p w14:paraId="6B5429FB" w14:textId="761979B5" w:rsidR="00DD3B20" w:rsidRPr="00577ED7" w:rsidRDefault="00DD3B20" w:rsidP="00577ED7">
      <w:r>
        <w:t>For future projects it would benefit the design team to conduct more thorough research prior to the concept generation phase to begin with more robust designs rather than require extra iterative measures and meetings costing development time.</w:t>
      </w:r>
    </w:p>
    <w:p w14:paraId="03CC6270" w14:textId="5AB9BC8D" w:rsidR="00342407" w:rsidRDefault="00342407" w:rsidP="00342407">
      <w:pPr>
        <w:pStyle w:val="Heading1"/>
      </w:pPr>
      <w:bookmarkStart w:id="12" w:name="_Toc227059515"/>
      <w:r>
        <w:t>References:</w:t>
      </w:r>
      <w:bookmarkEnd w:id="12"/>
    </w:p>
    <w:p w14:paraId="24328C74" w14:textId="77777777" w:rsidR="00342407" w:rsidRDefault="00342407" w:rsidP="00342407"/>
    <w:p w14:paraId="2F8F96C4" w14:textId="331A184E" w:rsidR="00342407" w:rsidRDefault="00342407" w:rsidP="00342407">
      <w:pPr>
        <w:ind w:left="720" w:hanging="720"/>
      </w:pPr>
      <w:r w:rsidRPr="00342407">
        <w:lastRenderedPageBreak/>
        <w:t>[1]</w:t>
      </w:r>
      <w:r>
        <w:tab/>
        <w:t>Bob Seddon, “</w:t>
      </w:r>
      <w:r w:rsidRPr="00342407">
        <w:t>EXPLOSIVE ORDNANCE GUIDE FOR UKRAINE THIRD EDITION.”</w:t>
      </w:r>
      <w:r>
        <w:t xml:space="preserve"> 2025, </w:t>
      </w:r>
      <w:r w:rsidRPr="00342407">
        <w:t xml:space="preserve">Available: </w:t>
      </w:r>
      <w:hyperlink r:id="rId18" w:history="1">
        <w:r w:rsidR="009970BC" w:rsidRPr="00342407">
          <w:rPr>
            <w:rStyle w:val="Hyperlink"/>
          </w:rPr>
          <w:t>https://www.gichd.org/fileadmin/user_upload/Explosive_Ordnance_Guide_for_Ukraine__GICHD_-_Third_edition__v06_WEB.pdf</w:t>
        </w:r>
      </w:hyperlink>
    </w:p>
    <w:p w14:paraId="4CCFD36E" w14:textId="359E4DBF" w:rsidR="009970BC" w:rsidRDefault="009970BC" w:rsidP="009970BC">
      <w:pPr>
        <w:ind w:left="720" w:hanging="720"/>
      </w:pPr>
      <w:r>
        <w:t>[2]</w:t>
      </w:r>
      <w:r>
        <w:tab/>
        <w:t>M. Sato, "Emerging Trends in Radar: Ground Penetrating Radar for Landmine Detection," in IEEE Aerospace and Electronic Systems Magazine, vol. 40, no. 6, pp. 42-46, June 2025, doi: 10.1109/MAES.2025.3540830.</w:t>
      </w:r>
    </w:p>
    <w:p w14:paraId="7E200572" w14:textId="48A32D12" w:rsidR="00E23115" w:rsidRDefault="00E23115" w:rsidP="00E23115">
      <w:pPr>
        <w:ind w:left="720" w:hanging="720"/>
      </w:pPr>
      <w:r>
        <w:t>[3]</w:t>
      </w:r>
      <w:r w:rsidRPr="00E23115">
        <w:rPr>
          <w:rFonts w:ascii="Calibri" w:eastAsia="Times New Roman" w:hAnsi="Calibri" w:cs="Calibri"/>
          <w:color w:val="000000"/>
          <w:kern w:val="0"/>
          <w:sz w:val="27"/>
          <w:szCs w:val="27"/>
          <w:lang w:eastAsia="en-GB"/>
          <w14:ligatures w14:val="none"/>
        </w:rPr>
        <w:t xml:space="preserve"> </w:t>
      </w:r>
      <w:r>
        <w:tab/>
      </w:r>
      <w:r w:rsidRPr="00E23115">
        <w:t>Z. Kovács and I. Ember, “Landmine Detection with Drones,” </w:t>
      </w:r>
      <w:r w:rsidRPr="00E23115">
        <w:rPr>
          <w:i/>
          <w:iCs/>
        </w:rPr>
        <w:t>Land Forces Academy Review</w:t>
      </w:r>
      <w:r w:rsidRPr="00E23115">
        <w:t xml:space="preserve">, vol. 27, no. 1, pp. 84–92, Mar. 2022, doi: </w:t>
      </w:r>
      <w:hyperlink r:id="rId19" w:history="1">
        <w:r w:rsidR="003B5A30" w:rsidRPr="00E23115">
          <w:rPr>
            <w:rStyle w:val="Hyperlink"/>
          </w:rPr>
          <w:t>https://doi.org/10.2478/raft-2022-0012</w:t>
        </w:r>
      </w:hyperlink>
      <w:r w:rsidRPr="00E23115">
        <w:t>.</w:t>
      </w:r>
    </w:p>
    <w:p w14:paraId="247CB131" w14:textId="3A7D980E" w:rsidR="003B5A30" w:rsidRDefault="003B5A30" w:rsidP="003B5A30">
      <w:pPr>
        <w:ind w:left="720" w:hanging="720"/>
      </w:pPr>
      <w:r>
        <w:t>[4]</w:t>
      </w:r>
      <w:r>
        <w:tab/>
        <w:t xml:space="preserve">Defence Ordnance Safety Regulator </w:t>
      </w:r>
      <w:r w:rsidRPr="003B5A30">
        <w:t xml:space="preserve">“DSA 02.OME Defence Ordnance, Munitions and Explosives (OME) Regulations.” Available: </w:t>
      </w:r>
      <w:hyperlink r:id="rId20" w:history="1">
        <w:r w:rsidR="001259CD" w:rsidRPr="003B5A30">
          <w:rPr>
            <w:rStyle w:val="Hyperlink"/>
          </w:rPr>
          <w:t>https://assets.publishing.service.gov.uk/media/66e2bed04e4ac20112e6fbe0/DSA02.OME_regulations.pdf</w:t>
        </w:r>
      </w:hyperlink>
    </w:p>
    <w:p w14:paraId="556804E3" w14:textId="5466D9BE" w:rsidR="001259CD" w:rsidRDefault="001259CD" w:rsidP="003B5A30">
      <w:pPr>
        <w:ind w:left="720" w:hanging="720"/>
      </w:pPr>
      <w:r>
        <w:t>[5]</w:t>
      </w:r>
      <w:r>
        <w:tab/>
        <w:t>NATO “</w:t>
      </w:r>
      <w:r w:rsidRPr="001259CD">
        <w:t>NATO STANDARD AECTP-230 CLIMATIC CONDITIONS</w:t>
      </w:r>
      <w:r>
        <w:t>”, Edition B, version 1, June 2025</w:t>
      </w:r>
    </w:p>
    <w:p w14:paraId="1B602E81" w14:textId="0B9DF0DC" w:rsidR="00236DE8" w:rsidRDefault="00236DE8" w:rsidP="00236DE8">
      <w:pPr>
        <w:ind w:left="720" w:hanging="720"/>
      </w:pPr>
      <w:r w:rsidRPr="00236DE8">
        <w:t>[</w:t>
      </w:r>
      <w:r>
        <w:t>6</w:t>
      </w:r>
      <w:r w:rsidRPr="00236DE8">
        <w:t>]</w:t>
      </w:r>
      <w:r>
        <w:tab/>
        <w:t>Mine Kafon</w:t>
      </w:r>
      <w:r w:rsidRPr="00236DE8">
        <w:t>, “awareness,” </w:t>
      </w:r>
      <w:r w:rsidRPr="00236DE8">
        <w:rPr>
          <w:i/>
          <w:iCs/>
        </w:rPr>
        <w:t>Mine Kafon</w:t>
      </w:r>
      <w:r w:rsidRPr="00236DE8">
        <w:t xml:space="preserve">. </w:t>
      </w:r>
      <w:hyperlink r:id="rId21" w:history="1">
        <w:r w:rsidR="00F972C1" w:rsidRPr="00236DE8">
          <w:rPr>
            <w:rStyle w:val="Hyperlink"/>
          </w:rPr>
          <w:t>https://minekafon.org/index.php/mine-kafon-ball/</w:t>
        </w:r>
      </w:hyperlink>
    </w:p>
    <w:p w14:paraId="6E8C6807" w14:textId="5594D47E" w:rsidR="00F972C1" w:rsidRDefault="00F972C1" w:rsidP="00F972C1">
      <w:pPr>
        <w:ind w:left="720" w:hanging="720"/>
      </w:pPr>
      <w:r>
        <w:t>[7]</w:t>
      </w:r>
      <w:r>
        <w:tab/>
      </w:r>
      <w:r w:rsidRPr="00F972C1">
        <w:t xml:space="preserve">“Draft of </w:t>
      </w:r>
      <w:r w:rsidR="003B15F6">
        <w:t>Plough</w:t>
      </w:r>
      <w:r w:rsidRPr="00F972C1">
        <w:t xml:space="preserve"> Calculator,” </w:t>
      </w:r>
      <w:r w:rsidRPr="00F972C1">
        <w:rPr>
          <w:i/>
          <w:iCs/>
        </w:rPr>
        <w:t>Ancalc.com</w:t>
      </w:r>
      <w:r w:rsidRPr="00F972C1">
        <w:t>, 2026. https://ancalc.com/calc/Draft-of-</w:t>
      </w:r>
      <w:r w:rsidR="003B15F6">
        <w:t>Plough</w:t>
      </w:r>
      <w:r w:rsidRPr="00F972C1">
        <w:t>-Calculator.html (accessed Apr. 13, 2026).</w:t>
      </w:r>
    </w:p>
    <w:p w14:paraId="17B71FBE" w14:textId="4DC19EC0" w:rsidR="00EC42B4" w:rsidRDefault="00EC42B4" w:rsidP="00EC42B4">
      <w:pPr>
        <w:ind w:left="720" w:hanging="720"/>
      </w:pPr>
      <w:r>
        <w:t>[8]</w:t>
      </w:r>
      <w:r w:rsidRPr="00EC42B4">
        <w:rPr>
          <w:rFonts w:ascii="Calibri" w:eastAsia="Times New Roman" w:hAnsi="Calibri" w:cs="Calibri"/>
          <w:color w:val="000000"/>
          <w:kern w:val="0"/>
          <w:sz w:val="27"/>
          <w:szCs w:val="27"/>
          <w:lang w:eastAsia="en-GB"/>
          <w14:ligatures w14:val="none"/>
        </w:rPr>
        <w:t xml:space="preserve"> </w:t>
      </w:r>
      <w:r>
        <w:tab/>
      </w:r>
      <w:r w:rsidRPr="00EC42B4">
        <w:t>J. Kuře, M. Linda, R. Chotěborský, B. Černilová, and M. Hromasová, “DEM modelling of tillage tools in sand and verification of draft forces in the soil box,” </w:t>
      </w:r>
      <w:r w:rsidRPr="00EC42B4">
        <w:rPr>
          <w:i/>
          <w:iCs/>
        </w:rPr>
        <w:t>Agronomy Research</w:t>
      </w:r>
      <w:r w:rsidRPr="00EC42B4">
        <w:t xml:space="preserve">, vol. 19, no. 4, pp. 1813–1822, 2021, doi: </w:t>
      </w:r>
      <w:hyperlink r:id="rId22" w:history="1">
        <w:r w:rsidR="00D61E73" w:rsidRPr="00EC42B4">
          <w:rPr>
            <w:rStyle w:val="Hyperlink"/>
          </w:rPr>
          <w:t>https://doi.org/10.15159/AR.21.147</w:t>
        </w:r>
      </w:hyperlink>
      <w:r w:rsidRPr="00EC42B4">
        <w:t>.</w:t>
      </w:r>
    </w:p>
    <w:p w14:paraId="19D8A224" w14:textId="158C5B54" w:rsidR="00D61E73" w:rsidRPr="00D61E73" w:rsidRDefault="00D61E73" w:rsidP="00D61E73">
      <w:pPr>
        <w:ind w:left="720" w:hanging="720"/>
      </w:pPr>
      <w:r>
        <w:t>[9]</w:t>
      </w:r>
      <w:r w:rsidRPr="00D61E73">
        <w:rPr>
          <w:rFonts w:ascii="Calibri" w:eastAsia="Times New Roman" w:hAnsi="Calibri" w:cs="Calibri"/>
          <w:color w:val="000000"/>
          <w:kern w:val="0"/>
          <w:sz w:val="27"/>
          <w:szCs w:val="27"/>
          <w:lang w:eastAsia="en-GB"/>
          <w14:ligatures w14:val="none"/>
        </w:rPr>
        <w:t xml:space="preserve"> </w:t>
      </w:r>
      <w:r>
        <w:tab/>
      </w:r>
      <w:r w:rsidRPr="00D61E73">
        <w:t>“International Mine Action Standards,” </w:t>
      </w:r>
      <w:r w:rsidRPr="00D61E73">
        <w:rPr>
          <w:i/>
          <w:iCs/>
        </w:rPr>
        <w:t>Mineactionstandards.org</w:t>
      </w:r>
      <w:r w:rsidRPr="00D61E73">
        <w:t>, 2026. https://www.mineactionstandards.org/standards/10-20-01/ (accessed Apr. 13, 2026).</w:t>
      </w:r>
    </w:p>
    <w:p w14:paraId="26D0FA46" w14:textId="77777777" w:rsidR="00D61E73" w:rsidRPr="00D61E73" w:rsidRDefault="00D61E73" w:rsidP="00D61E73">
      <w:pPr>
        <w:ind w:left="720" w:hanging="720"/>
      </w:pPr>
      <w:r w:rsidRPr="00D61E73">
        <w:t>‌</w:t>
      </w:r>
    </w:p>
    <w:p w14:paraId="7B4DA9A5" w14:textId="3A1E15F0" w:rsidR="00D61E73" w:rsidRPr="00EC42B4" w:rsidRDefault="00D61E73" w:rsidP="00EC42B4">
      <w:pPr>
        <w:ind w:left="720" w:hanging="720"/>
      </w:pPr>
    </w:p>
    <w:p w14:paraId="67498201" w14:textId="77777777" w:rsidR="00EC42B4" w:rsidRPr="00EC42B4" w:rsidRDefault="00EC42B4" w:rsidP="00EC42B4">
      <w:pPr>
        <w:ind w:left="720" w:hanging="720"/>
      </w:pPr>
      <w:r w:rsidRPr="00EC42B4">
        <w:t>‌</w:t>
      </w:r>
    </w:p>
    <w:p w14:paraId="0F8972FA" w14:textId="0A0D533B" w:rsidR="00EC42B4" w:rsidRPr="00F972C1" w:rsidRDefault="00EC42B4" w:rsidP="00F972C1">
      <w:pPr>
        <w:ind w:left="720" w:hanging="720"/>
      </w:pPr>
    </w:p>
    <w:p w14:paraId="1B7FB4D4" w14:textId="77777777" w:rsidR="00F972C1" w:rsidRPr="00F972C1" w:rsidRDefault="00F972C1" w:rsidP="00F972C1">
      <w:pPr>
        <w:ind w:left="720" w:hanging="720"/>
      </w:pPr>
      <w:r w:rsidRPr="00F972C1">
        <w:t>‌</w:t>
      </w:r>
    </w:p>
    <w:p w14:paraId="27B43277" w14:textId="0D48EC3B" w:rsidR="00F972C1" w:rsidRPr="00236DE8" w:rsidRDefault="00F972C1" w:rsidP="00236DE8">
      <w:pPr>
        <w:ind w:left="720" w:hanging="720"/>
      </w:pPr>
    </w:p>
    <w:p w14:paraId="53E4BAF7" w14:textId="77777777" w:rsidR="00236DE8" w:rsidRPr="00236DE8" w:rsidRDefault="00236DE8" w:rsidP="00236DE8">
      <w:pPr>
        <w:ind w:left="720" w:hanging="720"/>
      </w:pPr>
      <w:r w:rsidRPr="00236DE8">
        <w:t>‌</w:t>
      </w:r>
    </w:p>
    <w:p w14:paraId="3450ED1F" w14:textId="77777777" w:rsidR="00236DE8" w:rsidRPr="003B5A30" w:rsidRDefault="00236DE8" w:rsidP="003B5A30">
      <w:pPr>
        <w:ind w:left="720" w:hanging="720"/>
      </w:pPr>
    </w:p>
    <w:p w14:paraId="5EA66B02" w14:textId="77777777" w:rsidR="003B5A30" w:rsidRPr="003B5A30" w:rsidRDefault="003B5A30" w:rsidP="003B5A30">
      <w:pPr>
        <w:ind w:left="720" w:hanging="720"/>
      </w:pPr>
      <w:r w:rsidRPr="003B5A30">
        <w:t>‌</w:t>
      </w:r>
    </w:p>
    <w:p w14:paraId="31F93BC7" w14:textId="31640D22" w:rsidR="003B5A30" w:rsidRPr="00E23115" w:rsidRDefault="003B5A30" w:rsidP="00E23115">
      <w:pPr>
        <w:ind w:left="720" w:hanging="720"/>
      </w:pPr>
    </w:p>
    <w:p w14:paraId="2D7DF3BB" w14:textId="77777777" w:rsidR="00E23115" w:rsidRPr="00E23115" w:rsidRDefault="00E23115" w:rsidP="00E23115">
      <w:pPr>
        <w:ind w:left="720" w:hanging="720"/>
      </w:pPr>
      <w:r w:rsidRPr="00E23115">
        <w:t>‌</w:t>
      </w:r>
    </w:p>
    <w:p w14:paraId="17D14EFD" w14:textId="53FC1696" w:rsidR="00E23115" w:rsidRDefault="00E23115" w:rsidP="009970BC">
      <w:pPr>
        <w:ind w:left="720" w:hanging="720"/>
      </w:pPr>
    </w:p>
    <w:p w14:paraId="05485014" w14:textId="77777777" w:rsidR="009970BC" w:rsidRPr="00342407" w:rsidRDefault="009970BC" w:rsidP="00342407">
      <w:pPr>
        <w:ind w:left="720" w:hanging="720"/>
      </w:pPr>
    </w:p>
    <w:p w14:paraId="3297A822" w14:textId="77777777" w:rsidR="00342407" w:rsidRPr="00342407" w:rsidRDefault="00342407" w:rsidP="00342407">
      <w:r w:rsidRPr="00342407">
        <w:t>‌</w:t>
      </w:r>
    </w:p>
    <w:p w14:paraId="22BC8CB4" w14:textId="77777777" w:rsidR="00342407" w:rsidRPr="00342407" w:rsidRDefault="00342407" w:rsidP="00342407"/>
    <w:p w14:paraId="745A8676" w14:textId="462EBDA8" w:rsidR="005D30E6" w:rsidRDefault="005D30E6">
      <w:pPr>
        <w:rPr>
          <w:noProof/>
        </w:rPr>
      </w:pPr>
    </w:p>
    <w:p w14:paraId="396ECE98" w14:textId="77777777" w:rsidR="005D30E6" w:rsidRDefault="005D30E6">
      <w:pPr>
        <w:rPr>
          <w:noProof/>
        </w:rPr>
      </w:pPr>
    </w:p>
    <w:p w14:paraId="570B027E" w14:textId="77777777" w:rsidR="005D30E6" w:rsidRDefault="005D30E6">
      <w:pPr>
        <w:rPr>
          <w:noProof/>
        </w:rPr>
      </w:pPr>
    </w:p>
    <w:p w14:paraId="72F850FA" w14:textId="77777777" w:rsidR="001323C8" w:rsidRPr="001323C8" w:rsidRDefault="001323C8" w:rsidP="001323C8">
      <w:pPr>
        <w:ind w:left="720" w:hanging="720"/>
      </w:pPr>
      <w:r w:rsidRPr="001323C8">
        <w:t>‌</w:t>
      </w:r>
    </w:p>
    <w:p w14:paraId="0195D60C" w14:textId="77777777" w:rsidR="001323C8" w:rsidRPr="00662110" w:rsidRDefault="001323C8" w:rsidP="00662110">
      <w:pPr>
        <w:ind w:left="720" w:hanging="720"/>
      </w:pPr>
    </w:p>
    <w:p w14:paraId="27772FD1" w14:textId="77777777" w:rsidR="00662110" w:rsidRPr="00662110" w:rsidRDefault="00662110" w:rsidP="00662110">
      <w:r w:rsidRPr="00662110">
        <w:t>‌</w:t>
      </w:r>
    </w:p>
    <w:p w14:paraId="0D5ED604" w14:textId="77777777" w:rsidR="00662110" w:rsidRPr="00662110" w:rsidRDefault="00662110" w:rsidP="00662110"/>
    <w:sectPr w:rsidR="00662110" w:rsidRPr="00662110" w:rsidSect="0042057D">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492121C" w14:textId="77777777" w:rsidR="00C836D7" w:rsidRDefault="00C836D7" w:rsidP="006E3FA1">
      <w:pPr>
        <w:spacing w:after="0" w:line="240" w:lineRule="auto"/>
      </w:pPr>
      <w:r>
        <w:separator/>
      </w:r>
    </w:p>
  </w:endnote>
  <w:endnote w:type="continuationSeparator" w:id="0">
    <w:p w14:paraId="49FFBDC7" w14:textId="77777777" w:rsidR="00C836D7" w:rsidRDefault="00C836D7" w:rsidP="006E3FA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DengXian">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Light">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ACDC89E" w14:textId="77777777" w:rsidR="00C836D7" w:rsidRDefault="00C836D7" w:rsidP="006E3FA1">
      <w:pPr>
        <w:spacing w:after="0" w:line="240" w:lineRule="auto"/>
      </w:pPr>
      <w:r>
        <w:separator/>
      </w:r>
    </w:p>
  </w:footnote>
  <w:footnote w:type="continuationSeparator" w:id="0">
    <w:p w14:paraId="0E6F0495" w14:textId="77777777" w:rsidR="00C836D7" w:rsidRDefault="00C836D7" w:rsidP="006E3FA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320441"/>
    <w:multiLevelType w:val="hybridMultilevel"/>
    <w:tmpl w:val="D89A28A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3F4BD64"/>
    <w:multiLevelType w:val="hybridMultilevel"/>
    <w:tmpl w:val="4BAA361C"/>
    <w:lvl w:ilvl="0" w:tplc="5D80765A">
      <w:start w:val="1"/>
      <w:numFmt w:val="bullet"/>
      <w:lvlText w:val="·"/>
      <w:lvlJc w:val="left"/>
      <w:pPr>
        <w:ind w:left="720" w:hanging="360"/>
      </w:pPr>
      <w:rPr>
        <w:rFonts w:ascii="Symbol" w:hAnsi="Symbol" w:hint="default"/>
      </w:rPr>
    </w:lvl>
    <w:lvl w:ilvl="1" w:tplc="C974E990">
      <w:start w:val="1"/>
      <w:numFmt w:val="bullet"/>
      <w:lvlText w:val="o"/>
      <w:lvlJc w:val="left"/>
      <w:pPr>
        <w:ind w:left="1440" w:hanging="360"/>
      </w:pPr>
      <w:rPr>
        <w:rFonts w:ascii="Courier New" w:hAnsi="Courier New" w:cs="Times New Roman" w:hint="default"/>
      </w:rPr>
    </w:lvl>
    <w:lvl w:ilvl="2" w:tplc="CD9C65BC">
      <w:start w:val="1"/>
      <w:numFmt w:val="bullet"/>
      <w:lvlText w:val=""/>
      <w:lvlJc w:val="left"/>
      <w:pPr>
        <w:ind w:left="2160" w:hanging="360"/>
      </w:pPr>
      <w:rPr>
        <w:rFonts w:ascii="Wingdings" w:hAnsi="Wingdings" w:hint="default"/>
      </w:rPr>
    </w:lvl>
    <w:lvl w:ilvl="3" w:tplc="7B42FAF0">
      <w:start w:val="1"/>
      <w:numFmt w:val="bullet"/>
      <w:lvlText w:val=""/>
      <w:lvlJc w:val="left"/>
      <w:pPr>
        <w:ind w:left="2880" w:hanging="360"/>
      </w:pPr>
      <w:rPr>
        <w:rFonts w:ascii="Symbol" w:hAnsi="Symbol" w:hint="default"/>
      </w:rPr>
    </w:lvl>
    <w:lvl w:ilvl="4" w:tplc="5DFE3064">
      <w:start w:val="1"/>
      <w:numFmt w:val="bullet"/>
      <w:lvlText w:val="o"/>
      <w:lvlJc w:val="left"/>
      <w:pPr>
        <w:ind w:left="3600" w:hanging="360"/>
      </w:pPr>
      <w:rPr>
        <w:rFonts w:ascii="Courier New" w:hAnsi="Courier New" w:cs="Times New Roman" w:hint="default"/>
      </w:rPr>
    </w:lvl>
    <w:lvl w:ilvl="5" w:tplc="B41058E6">
      <w:start w:val="1"/>
      <w:numFmt w:val="bullet"/>
      <w:lvlText w:val=""/>
      <w:lvlJc w:val="left"/>
      <w:pPr>
        <w:ind w:left="4320" w:hanging="360"/>
      </w:pPr>
      <w:rPr>
        <w:rFonts w:ascii="Wingdings" w:hAnsi="Wingdings" w:hint="default"/>
      </w:rPr>
    </w:lvl>
    <w:lvl w:ilvl="6" w:tplc="D8A4984E">
      <w:start w:val="1"/>
      <w:numFmt w:val="bullet"/>
      <w:lvlText w:val=""/>
      <w:lvlJc w:val="left"/>
      <w:pPr>
        <w:ind w:left="5040" w:hanging="360"/>
      </w:pPr>
      <w:rPr>
        <w:rFonts w:ascii="Symbol" w:hAnsi="Symbol" w:hint="default"/>
      </w:rPr>
    </w:lvl>
    <w:lvl w:ilvl="7" w:tplc="7A023232">
      <w:start w:val="1"/>
      <w:numFmt w:val="bullet"/>
      <w:lvlText w:val="o"/>
      <w:lvlJc w:val="left"/>
      <w:pPr>
        <w:ind w:left="5760" w:hanging="360"/>
      </w:pPr>
      <w:rPr>
        <w:rFonts w:ascii="Courier New" w:hAnsi="Courier New" w:cs="Times New Roman" w:hint="default"/>
      </w:rPr>
    </w:lvl>
    <w:lvl w:ilvl="8" w:tplc="344A7888">
      <w:start w:val="1"/>
      <w:numFmt w:val="bullet"/>
      <w:lvlText w:val=""/>
      <w:lvlJc w:val="left"/>
      <w:pPr>
        <w:ind w:left="6480" w:hanging="360"/>
      </w:pPr>
      <w:rPr>
        <w:rFonts w:ascii="Wingdings" w:hAnsi="Wingdings" w:hint="default"/>
      </w:rPr>
    </w:lvl>
  </w:abstractNum>
  <w:abstractNum w:abstractNumId="2" w15:restartNumberingAfterBreak="0">
    <w:nsid w:val="08456544"/>
    <w:multiLevelType w:val="hybridMultilevel"/>
    <w:tmpl w:val="3AF2DA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5C43D4F"/>
    <w:multiLevelType w:val="hybridMultilevel"/>
    <w:tmpl w:val="986E5FD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2856E97"/>
    <w:multiLevelType w:val="hybridMultilevel"/>
    <w:tmpl w:val="E80CBF5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501D3BE0"/>
    <w:multiLevelType w:val="hybridMultilevel"/>
    <w:tmpl w:val="64AC92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6D7041EB"/>
    <w:multiLevelType w:val="hybridMultilevel"/>
    <w:tmpl w:val="175468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975714132">
    <w:abstractNumId w:val="4"/>
  </w:num>
  <w:num w:numId="2" w16cid:durableId="1502115722">
    <w:abstractNumId w:val="1"/>
  </w:num>
  <w:num w:numId="3" w16cid:durableId="71051055">
    <w:abstractNumId w:val="6"/>
  </w:num>
  <w:num w:numId="4" w16cid:durableId="1607227771">
    <w:abstractNumId w:val="2"/>
  </w:num>
  <w:num w:numId="5" w16cid:durableId="1938446571">
    <w:abstractNumId w:val="0"/>
  </w:num>
  <w:num w:numId="6" w16cid:durableId="822817076">
    <w:abstractNumId w:val="5"/>
  </w:num>
  <w:num w:numId="7" w16cid:durableId="397484160">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608BC"/>
    <w:rsid w:val="000070D4"/>
    <w:rsid w:val="00066C55"/>
    <w:rsid w:val="000704BC"/>
    <w:rsid w:val="00071114"/>
    <w:rsid w:val="00073FCF"/>
    <w:rsid w:val="00085044"/>
    <w:rsid w:val="00087288"/>
    <w:rsid w:val="00093DEA"/>
    <w:rsid w:val="000B4DCA"/>
    <w:rsid w:val="000B5DDB"/>
    <w:rsid w:val="000C5FE1"/>
    <w:rsid w:val="000D25B1"/>
    <w:rsid w:val="0011205C"/>
    <w:rsid w:val="001131BA"/>
    <w:rsid w:val="001259CD"/>
    <w:rsid w:val="00127625"/>
    <w:rsid w:val="001323C8"/>
    <w:rsid w:val="00137E04"/>
    <w:rsid w:val="00153128"/>
    <w:rsid w:val="001562F9"/>
    <w:rsid w:val="00161E5E"/>
    <w:rsid w:val="00162FB2"/>
    <w:rsid w:val="00171E69"/>
    <w:rsid w:val="001751BE"/>
    <w:rsid w:val="00177A6F"/>
    <w:rsid w:val="00190052"/>
    <w:rsid w:val="00190BCB"/>
    <w:rsid w:val="00192955"/>
    <w:rsid w:val="001A7941"/>
    <w:rsid w:val="001B66CA"/>
    <w:rsid w:val="001F01C1"/>
    <w:rsid w:val="00202D91"/>
    <w:rsid w:val="0022332B"/>
    <w:rsid w:val="002247B7"/>
    <w:rsid w:val="00236DE8"/>
    <w:rsid w:val="00243254"/>
    <w:rsid w:val="00247B63"/>
    <w:rsid w:val="00276744"/>
    <w:rsid w:val="002A344C"/>
    <w:rsid w:val="002B62B7"/>
    <w:rsid w:val="002C7DA1"/>
    <w:rsid w:val="002D2A3C"/>
    <w:rsid w:val="00300CC7"/>
    <w:rsid w:val="0030179F"/>
    <w:rsid w:val="00342407"/>
    <w:rsid w:val="00355107"/>
    <w:rsid w:val="003771F6"/>
    <w:rsid w:val="00380F2A"/>
    <w:rsid w:val="00384695"/>
    <w:rsid w:val="00384D63"/>
    <w:rsid w:val="00385FE6"/>
    <w:rsid w:val="003935AB"/>
    <w:rsid w:val="003943E9"/>
    <w:rsid w:val="003A4578"/>
    <w:rsid w:val="003B15F6"/>
    <w:rsid w:val="003B5A30"/>
    <w:rsid w:val="003C0D6F"/>
    <w:rsid w:val="003D4E93"/>
    <w:rsid w:val="003E48FD"/>
    <w:rsid w:val="003E7640"/>
    <w:rsid w:val="003F4744"/>
    <w:rsid w:val="003F6139"/>
    <w:rsid w:val="004117CD"/>
    <w:rsid w:val="0042057D"/>
    <w:rsid w:val="00424A2B"/>
    <w:rsid w:val="00430A41"/>
    <w:rsid w:val="0047030B"/>
    <w:rsid w:val="00487745"/>
    <w:rsid w:val="004A3B7A"/>
    <w:rsid w:val="004A608E"/>
    <w:rsid w:val="004B3602"/>
    <w:rsid w:val="004D12EE"/>
    <w:rsid w:val="004D4120"/>
    <w:rsid w:val="004E248F"/>
    <w:rsid w:val="004E7382"/>
    <w:rsid w:val="00503ADE"/>
    <w:rsid w:val="00520122"/>
    <w:rsid w:val="00521897"/>
    <w:rsid w:val="00533352"/>
    <w:rsid w:val="00544A49"/>
    <w:rsid w:val="00553AE7"/>
    <w:rsid w:val="00555796"/>
    <w:rsid w:val="00556D2A"/>
    <w:rsid w:val="00565BE8"/>
    <w:rsid w:val="00570159"/>
    <w:rsid w:val="00574385"/>
    <w:rsid w:val="00575527"/>
    <w:rsid w:val="00577ED7"/>
    <w:rsid w:val="005845DA"/>
    <w:rsid w:val="00585994"/>
    <w:rsid w:val="005B6E5A"/>
    <w:rsid w:val="005C25C6"/>
    <w:rsid w:val="005D2E17"/>
    <w:rsid w:val="005D30E6"/>
    <w:rsid w:val="005D775D"/>
    <w:rsid w:val="005F474A"/>
    <w:rsid w:val="00602161"/>
    <w:rsid w:val="0061328B"/>
    <w:rsid w:val="006228E5"/>
    <w:rsid w:val="00625F43"/>
    <w:rsid w:val="006460E9"/>
    <w:rsid w:val="00662110"/>
    <w:rsid w:val="00662AC0"/>
    <w:rsid w:val="0069303A"/>
    <w:rsid w:val="006A2109"/>
    <w:rsid w:val="006A3FD6"/>
    <w:rsid w:val="006A52E5"/>
    <w:rsid w:val="006B782E"/>
    <w:rsid w:val="006D13D7"/>
    <w:rsid w:val="006D3289"/>
    <w:rsid w:val="006E3FA1"/>
    <w:rsid w:val="00706FEF"/>
    <w:rsid w:val="00727BD5"/>
    <w:rsid w:val="00733D7B"/>
    <w:rsid w:val="00735B10"/>
    <w:rsid w:val="00751B2F"/>
    <w:rsid w:val="0077150C"/>
    <w:rsid w:val="00771B05"/>
    <w:rsid w:val="007A2D64"/>
    <w:rsid w:val="007A60DA"/>
    <w:rsid w:val="007A7A50"/>
    <w:rsid w:val="007C6B1A"/>
    <w:rsid w:val="00805DE2"/>
    <w:rsid w:val="0082185F"/>
    <w:rsid w:val="00830629"/>
    <w:rsid w:val="008346C6"/>
    <w:rsid w:val="008372CB"/>
    <w:rsid w:val="008421B0"/>
    <w:rsid w:val="00861CE8"/>
    <w:rsid w:val="008939D9"/>
    <w:rsid w:val="008C6F4B"/>
    <w:rsid w:val="008C79AE"/>
    <w:rsid w:val="008D2C29"/>
    <w:rsid w:val="008F05EA"/>
    <w:rsid w:val="008F109C"/>
    <w:rsid w:val="009005E9"/>
    <w:rsid w:val="00902124"/>
    <w:rsid w:val="0091626D"/>
    <w:rsid w:val="0094324D"/>
    <w:rsid w:val="00945C93"/>
    <w:rsid w:val="00961735"/>
    <w:rsid w:val="009970BC"/>
    <w:rsid w:val="009A24C1"/>
    <w:rsid w:val="009A3746"/>
    <w:rsid w:val="009A4F80"/>
    <w:rsid w:val="009A5955"/>
    <w:rsid w:val="009C1F6C"/>
    <w:rsid w:val="009D0135"/>
    <w:rsid w:val="009F67A1"/>
    <w:rsid w:val="009F7470"/>
    <w:rsid w:val="00A37D06"/>
    <w:rsid w:val="00A46BC9"/>
    <w:rsid w:val="00A5363E"/>
    <w:rsid w:val="00A608BC"/>
    <w:rsid w:val="00A918B5"/>
    <w:rsid w:val="00A91B79"/>
    <w:rsid w:val="00AA0462"/>
    <w:rsid w:val="00AC1C46"/>
    <w:rsid w:val="00AC1F7E"/>
    <w:rsid w:val="00AD1EF5"/>
    <w:rsid w:val="00B07CD3"/>
    <w:rsid w:val="00B2011D"/>
    <w:rsid w:val="00B40F96"/>
    <w:rsid w:val="00B54178"/>
    <w:rsid w:val="00B559E4"/>
    <w:rsid w:val="00B7297B"/>
    <w:rsid w:val="00B77F2B"/>
    <w:rsid w:val="00B845F2"/>
    <w:rsid w:val="00BA012A"/>
    <w:rsid w:val="00BB1301"/>
    <w:rsid w:val="00BB57DE"/>
    <w:rsid w:val="00BF0934"/>
    <w:rsid w:val="00BF1CFC"/>
    <w:rsid w:val="00C5356E"/>
    <w:rsid w:val="00C6511A"/>
    <w:rsid w:val="00C735A9"/>
    <w:rsid w:val="00C836D7"/>
    <w:rsid w:val="00CA6C7F"/>
    <w:rsid w:val="00CC5016"/>
    <w:rsid w:val="00CD1E3A"/>
    <w:rsid w:val="00CD1EC1"/>
    <w:rsid w:val="00CD2EC5"/>
    <w:rsid w:val="00CE7D0F"/>
    <w:rsid w:val="00CF1089"/>
    <w:rsid w:val="00D0460D"/>
    <w:rsid w:val="00D12948"/>
    <w:rsid w:val="00D23EF3"/>
    <w:rsid w:val="00D37B37"/>
    <w:rsid w:val="00D464F0"/>
    <w:rsid w:val="00D47114"/>
    <w:rsid w:val="00D61E73"/>
    <w:rsid w:val="00D64169"/>
    <w:rsid w:val="00D7441D"/>
    <w:rsid w:val="00D86DC4"/>
    <w:rsid w:val="00DB6F28"/>
    <w:rsid w:val="00DB7E1A"/>
    <w:rsid w:val="00DC764C"/>
    <w:rsid w:val="00DD1958"/>
    <w:rsid w:val="00DD3B20"/>
    <w:rsid w:val="00DD4805"/>
    <w:rsid w:val="00DE1410"/>
    <w:rsid w:val="00E02B88"/>
    <w:rsid w:val="00E10CC1"/>
    <w:rsid w:val="00E11487"/>
    <w:rsid w:val="00E15623"/>
    <w:rsid w:val="00E23115"/>
    <w:rsid w:val="00E3682A"/>
    <w:rsid w:val="00E424C6"/>
    <w:rsid w:val="00E42CB6"/>
    <w:rsid w:val="00E60D50"/>
    <w:rsid w:val="00E722E7"/>
    <w:rsid w:val="00E73A3E"/>
    <w:rsid w:val="00E772F9"/>
    <w:rsid w:val="00E818AA"/>
    <w:rsid w:val="00E857B9"/>
    <w:rsid w:val="00EB048A"/>
    <w:rsid w:val="00EC42B4"/>
    <w:rsid w:val="00EC5CB1"/>
    <w:rsid w:val="00EC7CD0"/>
    <w:rsid w:val="00F03EEF"/>
    <w:rsid w:val="00F228BA"/>
    <w:rsid w:val="00F23E2F"/>
    <w:rsid w:val="00F52B2A"/>
    <w:rsid w:val="00F551D1"/>
    <w:rsid w:val="00F846FA"/>
    <w:rsid w:val="00F972C1"/>
    <w:rsid w:val="00FA5A49"/>
    <w:rsid w:val="00FC3CAC"/>
    <w:rsid w:val="00FC5EA8"/>
    <w:rsid w:val="00FF78B2"/>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F483C9D"/>
  <w15:chartTrackingRefBased/>
  <w15:docId w15:val="{06887D3D-AFEE-4976-8B0A-15C97F37D34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608BC"/>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A608BC"/>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A608BC"/>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A608BC"/>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A608BC"/>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A608B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608B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608B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608B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608BC"/>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A608BC"/>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A608BC"/>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A608BC"/>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A608BC"/>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A608B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608B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608B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608BC"/>
    <w:rPr>
      <w:rFonts w:eastAsiaTheme="majorEastAsia" w:cstheme="majorBidi"/>
      <w:color w:val="272727" w:themeColor="text1" w:themeTint="D8"/>
    </w:rPr>
  </w:style>
  <w:style w:type="paragraph" w:styleId="Title">
    <w:name w:val="Title"/>
    <w:basedOn w:val="Normal"/>
    <w:next w:val="Normal"/>
    <w:link w:val="TitleChar"/>
    <w:uiPriority w:val="10"/>
    <w:qFormat/>
    <w:rsid w:val="00A608B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608B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608B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608B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608BC"/>
    <w:pPr>
      <w:spacing w:before="160"/>
      <w:jc w:val="center"/>
    </w:pPr>
    <w:rPr>
      <w:i/>
      <w:iCs/>
      <w:color w:val="404040" w:themeColor="text1" w:themeTint="BF"/>
    </w:rPr>
  </w:style>
  <w:style w:type="character" w:customStyle="1" w:styleId="QuoteChar">
    <w:name w:val="Quote Char"/>
    <w:basedOn w:val="DefaultParagraphFont"/>
    <w:link w:val="Quote"/>
    <w:uiPriority w:val="29"/>
    <w:rsid w:val="00A608BC"/>
    <w:rPr>
      <w:i/>
      <w:iCs/>
      <w:color w:val="404040" w:themeColor="text1" w:themeTint="BF"/>
    </w:rPr>
  </w:style>
  <w:style w:type="paragraph" w:styleId="ListParagraph">
    <w:name w:val="List Paragraph"/>
    <w:basedOn w:val="Normal"/>
    <w:uiPriority w:val="34"/>
    <w:qFormat/>
    <w:rsid w:val="00A608BC"/>
    <w:pPr>
      <w:ind w:left="720"/>
      <w:contextualSpacing/>
    </w:pPr>
  </w:style>
  <w:style w:type="character" w:styleId="IntenseEmphasis">
    <w:name w:val="Intense Emphasis"/>
    <w:basedOn w:val="DefaultParagraphFont"/>
    <w:uiPriority w:val="21"/>
    <w:qFormat/>
    <w:rsid w:val="00A608BC"/>
    <w:rPr>
      <w:i/>
      <w:iCs/>
      <w:color w:val="2F5496" w:themeColor="accent1" w:themeShade="BF"/>
    </w:rPr>
  </w:style>
  <w:style w:type="paragraph" w:styleId="IntenseQuote">
    <w:name w:val="Intense Quote"/>
    <w:basedOn w:val="Normal"/>
    <w:next w:val="Normal"/>
    <w:link w:val="IntenseQuoteChar"/>
    <w:uiPriority w:val="30"/>
    <w:qFormat/>
    <w:rsid w:val="00A608BC"/>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A608BC"/>
    <w:rPr>
      <w:i/>
      <w:iCs/>
      <w:color w:val="2F5496" w:themeColor="accent1" w:themeShade="BF"/>
    </w:rPr>
  </w:style>
  <w:style w:type="character" w:styleId="IntenseReference">
    <w:name w:val="Intense Reference"/>
    <w:basedOn w:val="DefaultParagraphFont"/>
    <w:uiPriority w:val="32"/>
    <w:qFormat/>
    <w:rsid w:val="00A608BC"/>
    <w:rPr>
      <w:b/>
      <w:bCs/>
      <w:smallCaps/>
      <w:color w:val="2F5496" w:themeColor="accent1" w:themeShade="BF"/>
      <w:spacing w:val="5"/>
    </w:rPr>
  </w:style>
  <w:style w:type="paragraph" w:styleId="Date">
    <w:name w:val="Date"/>
    <w:basedOn w:val="Normal"/>
    <w:next w:val="Normal"/>
    <w:link w:val="DateChar"/>
    <w:uiPriority w:val="99"/>
    <w:semiHidden/>
    <w:unhideWhenUsed/>
    <w:rsid w:val="008346C6"/>
  </w:style>
  <w:style w:type="character" w:customStyle="1" w:styleId="DateChar">
    <w:name w:val="Date Char"/>
    <w:basedOn w:val="DefaultParagraphFont"/>
    <w:link w:val="Date"/>
    <w:uiPriority w:val="99"/>
    <w:semiHidden/>
    <w:rsid w:val="008346C6"/>
  </w:style>
  <w:style w:type="paragraph" w:styleId="Header">
    <w:name w:val="header"/>
    <w:basedOn w:val="Normal"/>
    <w:link w:val="HeaderChar"/>
    <w:uiPriority w:val="99"/>
    <w:unhideWhenUsed/>
    <w:rsid w:val="006E3FA1"/>
    <w:pPr>
      <w:tabs>
        <w:tab w:val="center" w:pos="4513"/>
        <w:tab w:val="right" w:pos="9026"/>
      </w:tabs>
      <w:spacing w:after="0" w:line="240" w:lineRule="auto"/>
    </w:pPr>
  </w:style>
  <w:style w:type="character" w:customStyle="1" w:styleId="HeaderChar">
    <w:name w:val="Header Char"/>
    <w:basedOn w:val="DefaultParagraphFont"/>
    <w:link w:val="Header"/>
    <w:uiPriority w:val="99"/>
    <w:rsid w:val="006E3FA1"/>
  </w:style>
  <w:style w:type="paragraph" w:styleId="Footer">
    <w:name w:val="footer"/>
    <w:basedOn w:val="Normal"/>
    <w:link w:val="FooterChar"/>
    <w:uiPriority w:val="99"/>
    <w:unhideWhenUsed/>
    <w:rsid w:val="006E3FA1"/>
    <w:pPr>
      <w:tabs>
        <w:tab w:val="center" w:pos="4513"/>
        <w:tab w:val="right" w:pos="9026"/>
      </w:tabs>
      <w:spacing w:after="0" w:line="240" w:lineRule="auto"/>
    </w:pPr>
  </w:style>
  <w:style w:type="character" w:customStyle="1" w:styleId="FooterChar">
    <w:name w:val="Footer Char"/>
    <w:basedOn w:val="DefaultParagraphFont"/>
    <w:link w:val="Footer"/>
    <w:uiPriority w:val="99"/>
    <w:rsid w:val="006E3FA1"/>
  </w:style>
  <w:style w:type="table" w:styleId="TableGrid">
    <w:name w:val="Table Grid"/>
    <w:basedOn w:val="TableNormal"/>
    <w:uiPriority w:val="39"/>
    <w:rsid w:val="008421B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42057D"/>
    <w:pPr>
      <w:spacing w:before="240" w:after="0"/>
      <w:outlineLvl w:val="9"/>
    </w:pPr>
    <w:rPr>
      <w:kern w:val="0"/>
      <w:sz w:val="32"/>
      <w:szCs w:val="32"/>
      <w:lang w:val="en-US" w:eastAsia="en-US"/>
      <w14:ligatures w14:val="none"/>
    </w:rPr>
  </w:style>
  <w:style w:type="paragraph" w:styleId="TOC1">
    <w:name w:val="toc 1"/>
    <w:basedOn w:val="Normal"/>
    <w:next w:val="Normal"/>
    <w:autoRedefine/>
    <w:uiPriority w:val="39"/>
    <w:unhideWhenUsed/>
    <w:rsid w:val="0042057D"/>
    <w:pPr>
      <w:spacing w:after="100"/>
    </w:pPr>
  </w:style>
  <w:style w:type="character" w:styleId="Hyperlink">
    <w:name w:val="Hyperlink"/>
    <w:basedOn w:val="DefaultParagraphFont"/>
    <w:uiPriority w:val="99"/>
    <w:unhideWhenUsed/>
    <w:rsid w:val="0042057D"/>
    <w:rPr>
      <w:color w:val="0563C1" w:themeColor="hyperlink"/>
      <w:u w:val="single"/>
    </w:rPr>
  </w:style>
  <w:style w:type="paragraph" w:styleId="TOC2">
    <w:name w:val="toc 2"/>
    <w:basedOn w:val="Normal"/>
    <w:next w:val="Normal"/>
    <w:autoRedefine/>
    <w:uiPriority w:val="39"/>
    <w:unhideWhenUsed/>
    <w:rsid w:val="0042057D"/>
    <w:pPr>
      <w:spacing w:after="100"/>
      <w:ind w:left="220"/>
    </w:pPr>
  </w:style>
  <w:style w:type="paragraph" w:styleId="Caption">
    <w:name w:val="caption"/>
    <w:basedOn w:val="Normal"/>
    <w:next w:val="Normal"/>
    <w:uiPriority w:val="35"/>
    <w:unhideWhenUsed/>
    <w:qFormat/>
    <w:rsid w:val="005D30E6"/>
    <w:pPr>
      <w:spacing w:after="200" w:line="240" w:lineRule="auto"/>
    </w:pPr>
    <w:rPr>
      <w:i/>
      <w:iCs/>
      <w:color w:val="44546A" w:themeColor="text2"/>
      <w:sz w:val="18"/>
      <w:szCs w:val="18"/>
    </w:rPr>
  </w:style>
  <w:style w:type="character" w:styleId="UnresolvedMention">
    <w:name w:val="Unresolved Mention"/>
    <w:basedOn w:val="DefaultParagraphFont"/>
    <w:uiPriority w:val="99"/>
    <w:semiHidden/>
    <w:unhideWhenUsed/>
    <w:rsid w:val="0077150C"/>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02849000">
      <w:bodyDiv w:val="1"/>
      <w:marLeft w:val="0"/>
      <w:marRight w:val="0"/>
      <w:marTop w:val="0"/>
      <w:marBottom w:val="0"/>
      <w:divBdr>
        <w:top w:val="none" w:sz="0" w:space="0" w:color="auto"/>
        <w:left w:val="none" w:sz="0" w:space="0" w:color="auto"/>
        <w:bottom w:val="none" w:sz="0" w:space="0" w:color="auto"/>
        <w:right w:val="none" w:sz="0" w:space="0" w:color="auto"/>
      </w:divBdr>
    </w:div>
    <w:div w:id="321932283">
      <w:bodyDiv w:val="1"/>
      <w:marLeft w:val="0"/>
      <w:marRight w:val="0"/>
      <w:marTop w:val="0"/>
      <w:marBottom w:val="0"/>
      <w:divBdr>
        <w:top w:val="none" w:sz="0" w:space="0" w:color="auto"/>
        <w:left w:val="none" w:sz="0" w:space="0" w:color="auto"/>
        <w:bottom w:val="none" w:sz="0" w:space="0" w:color="auto"/>
        <w:right w:val="none" w:sz="0" w:space="0" w:color="auto"/>
      </w:divBdr>
    </w:div>
    <w:div w:id="422455255">
      <w:bodyDiv w:val="1"/>
      <w:marLeft w:val="0"/>
      <w:marRight w:val="0"/>
      <w:marTop w:val="0"/>
      <w:marBottom w:val="0"/>
      <w:divBdr>
        <w:top w:val="none" w:sz="0" w:space="0" w:color="auto"/>
        <w:left w:val="none" w:sz="0" w:space="0" w:color="auto"/>
        <w:bottom w:val="none" w:sz="0" w:space="0" w:color="auto"/>
        <w:right w:val="none" w:sz="0" w:space="0" w:color="auto"/>
      </w:divBdr>
    </w:div>
    <w:div w:id="576943701">
      <w:bodyDiv w:val="1"/>
      <w:marLeft w:val="0"/>
      <w:marRight w:val="0"/>
      <w:marTop w:val="0"/>
      <w:marBottom w:val="0"/>
      <w:divBdr>
        <w:top w:val="none" w:sz="0" w:space="0" w:color="auto"/>
        <w:left w:val="none" w:sz="0" w:space="0" w:color="auto"/>
        <w:bottom w:val="none" w:sz="0" w:space="0" w:color="auto"/>
        <w:right w:val="none" w:sz="0" w:space="0" w:color="auto"/>
      </w:divBdr>
    </w:div>
    <w:div w:id="976955724">
      <w:bodyDiv w:val="1"/>
      <w:marLeft w:val="0"/>
      <w:marRight w:val="0"/>
      <w:marTop w:val="0"/>
      <w:marBottom w:val="0"/>
      <w:divBdr>
        <w:top w:val="none" w:sz="0" w:space="0" w:color="auto"/>
        <w:left w:val="none" w:sz="0" w:space="0" w:color="auto"/>
        <w:bottom w:val="none" w:sz="0" w:space="0" w:color="auto"/>
        <w:right w:val="none" w:sz="0" w:space="0" w:color="auto"/>
      </w:divBdr>
    </w:div>
    <w:div w:id="1181503107">
      <w:bodyDiv w:val="1"/>
      <w:marLeft w:val="0"/>
      <w:marRight w:val="0"/>
      <w:marTop w:val="0"/>
      <w:marBottom w:val="0"/>
      <w:divBdr>
        <w:top w:val="none" w:sz="0" w:space="0" w:color="auto"/>
        <w:left w:val="none" w:sz="0" w:space="0" w:color="auto"/>
        <w:bottom w:val="none" w:sz="0" w:space="0" w:color="auto"/>
        <w:right w:val="none" w:sz="0" w:space="0" w:color="auto"/>
      </w:divBdr>
    </w:div>
    <w:div w:id="1491823666">
      <w:bodyDiv w:val="1"/>
      <w:marLeft w:val="0"/>
      <w:marRight w:val="0"/>
      <w:marTop w:val="0"/>
      <w:marBottom w:val="0"/>
      <w:divBdr>
        <w:top w:val="none" w:sz="0" w:space="0" w:color="auto"/>
        <w:left w:val="none" w:sz="0" w:space="0" w:color="auto"/>
        <w:bottom w:val="none" w:sz="0" w:space="0" w:color="auto"/>
        <w:right w:val="none" w:sz="0" w:space="0" w:color="auto"/>
      </w:divBdr>
    </w:div>
    <w:div w:id="1838498146">
      <w:bodyDiv w:val="1"/>
      <w:marLeft w:val="0"/>
      <w:marRight w:val="0"/>
      <w:marTop w:val="0"/>
      <w:marBottom w:val="0"/>
      <w:divBdr>
        <w:top w:val="none" w:sz="0" w:space="0" w:color="auto"/>
        <w:left w:val="none" w:sz="0" w:space="0" w:color="auto"/>
        <w:bottom w:val="none" w:sz="0" w:space="0" w:color="auto"/>
        <w:right w:val="none" w:sz="0" w:space="0" w:color="auto"/>
      </w:divBdr>
    </w:div>
    <w:div w:id="1937443015">
      <w:bodyDiv w:val="1"/>
      <w:marLeft w:val="0"/>
      <w:marRight w:val="0"/>
      <w:marTop w:val="0"/>
      <w:marBottom w:val="0"/>
      <w:divBdr>
        <w:top w:val="none" w:sz="0" w:space="0" w:color="auto"/>
        <w:left w:val="none" w:sz="0" w:space="0" w:color="auto"/>
        <w:bottom w:val="none" w:sz="0" w:space="0" w:color="auto"/>
        <w:right w:val="none" w:sz="0" w:space="0" w:color="auto"/>
      </w:divBdr>
    </w:div>
    <w:div w:id="2033608923">
      <w:bodyDiv w:val="1"/>
      <w:marLeft w:val="0"/>
      <w:marRight w:val="0"/>
      <w:marTop w:val="0"/>
      <w:marBottom w:val="0"/>
      <w:divBdr>
        <w:top w:val="none" w:sz="0" w:space="0" w:color="auto"/>
        <w:left w:val="none" w:sz="0" w:space="0" w:color="auto"/>
        <w:bottom w:val="none" w:sz="0" w:space="0" w:color="auto"/>
        <w:right w:val="none" w:sz="0" w:space="0" w:color="auto"/>
      </w:divBdr>
    </w:div>
    <w:div w:id="2088651866">
      <w:bodyDiv w:val="1"/>
      <w:marLeft w:val="0"/>
      <w:marRight w:val="0"/>
      <w:marTop w:val="0"/>
      <w:marBottom w:val="0"/>
      <w:divBdr>
        <w:top w:val="none" w:sz="0" w:space="0" w:color="auto"/>
        <w:left w:val="none" w:sz="0" w:space="0" w:color="auto"/>
        <w:bottom w:val="none" w:sz="0" w:space="0" w:color="auto"/>
        <w:right w:val="none" w:sz="0" w:space="0" w:color="auto"/>
      </w:divBdr>
    </w:div>
    <w:div w:id="21138205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3.png"/><Relationship Id="rId18" Type="http://schemas.openxmlformats.org/officeDocument/2006/relationships/hyperlink" Target="https://www.gichd.org/fileadmin/user_upload/Explosive_Ordnance_Guide_for_Ukraine__GICHD_-_Third_edition__v06_WEB.pdf" TargetMode="External"/><Relationship Id="rId3" Type="http://schemas.openxmlformats.org/officeDocument/2006/relationships/customXml" Target="../customXml/item3.xml"/><Relationship Id="rId21" Type="http://schemas.openxmlformats.org/officeDocument/2006/relationships/hyperlink" Target="https://minekafon.org/index.php/mine-kafon-ball/" TargetMode="External"/><Relationship Id="rId7" Type="http://schemas.openxmlformats.org/officeDocument/2006/relationships/settings" Target="settings.xml"/><Relationship Id="rId12" Type="http://schemas.openxmlformats.org/officeDocument/2006/relationships/image" Target="media/image2.png"/><Relationship Id="rId17" Type="http://schemas.openxmlformats.org/officeDocument/2006/relationships/image" Target="media/image7.png"/><Relationship Id="rId2" Type="http://schemas.openxmlformats.org/officeDocument/2006/relationships/customXml" Target="../customXml/item2.xml"/><Relationship Id="rId16" Type="http://schemas.openxmlformats.org/officeDocument/2006/relationships/image" Target="media/image6.png"/><Relationship Id="rId20" Type="http://schemas.openxmlformats.org/officeDocument/2006/relationships/hyperlink" Target="https://assets.publishing.service.gov.uk/media/66e2bed04e4ac20112e6fbe0/DSA02.OME_regulations.pdf"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theme" Target="theme/theme1.xml"/><Relationship Id="rId5" Type="http://schemas.openxmlformats.org/officeDocument/2006/relationships/numbering" Target="numbering.xml"/><Relationship Id="rId15" Type="http://schemas.openxmlformats.org/officeDocument/2006/relationships/image" Target="media/image5.png"/><Relationship Id="rId23" Type="http://schemas.openxmlformats.org/officeDocument/2006/relationships/fontTable" Target="fontTable.xml"/><Relationship Id="rId10" Type="http://schemas.openxmlformats.org/officeDocument/2006/relationships/endnotes" Target="endnotes.xml"/><Relationship Id="rId19" Type="http://schemas.openxmlformats.org/officeDocument/2006/relationships/hyperlink" Target="https://doi.org/10.2478/raft-2022-0012"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4.png"/><Relationship Id="rId22" Type="http://schemas.openxmlformats.org/officeDocument/2006/relationships/hyperlink" Target="https://doi.org/10.15159/AR.21.147"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IEEE2006OfficeOnline.xsl" StyleName="IEEE" Version="2006"/>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4FFBD53070CCC34EBE5C0F3EF0259400" ma:contentTypeVersion="3" ma:contentTypeDescription="Create a new document." ma:contentTypeScope="" ma:versionID="fe847d1b70e289c30f56be35d843a2a6">
  <xsd:schema xmlns:xsd="http://www.w3.org/2001/XMLSchema" xmlns:xs="http://www.w3.org/2001/XMLSchema" xmlns:p="http://schemas.microsoft.com/office/2006/metadata/properties" xmlns:ns2="d0b362e7-3143-481f-ae46-76ae77f5e4f3" targetNamespace="http://schemas.microsoft.com/office/2006/metadata/properties" ma:root="true" ma:fieldsID="eb9aba8015624441b56f33068ef8752c" ns2:_="">
    <xsd:import namespace="d0b362e7-3143-481f-ae46-76ae77f5e4f3"/>
    <xsd:element name="properties">
      <xsd:complexType>
        <xsd:sequence>
          <xsd:element name="documentManagement">
            <xsd:complexType>
              <xsd:all>
                <xsd:element ref="ns2:MediaServiceMetadata" minOccurs="0"/>
                <xsd:element ref="ns2:MediaServiceFastMetadata" minOccurs="0"/>
                <xsd:element ref="ns2: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0b362e7-3143-481f-ae46-76ae77f5e4f3"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BA0FD3B7-3AAB-4BE5-82E6-8D90E41E8440}">
  <ds:schemaRefs>
    <ds:schemaRef ds:uri="http://schemas.openxmlformats.org/officeDocument/2006/bibliography"/>
  </ds:schemaRefs>
</ds:datastoreItem>
</file>

<file path=customXml/itemProps2.xml><?xml version="1.0" encoding="utf-8"?>
<ds:datastoreItem xmlns:ds="http://schemas.openxmlformats.org/officeDocument/2006/customXml" ds:itemID="{FA9E9CEB-69B5-4C0E-A853-D473C9C62D25}">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6C810C8A-DAB4-4C64-A7A3-1A08A37866D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0b362e7-3143-481f-ae46-76ae77f5e4f3"/>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432F1771-9DE1-4443-A351-9FC48EBB7784}">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1700</TotalTime>
  <Pages>10</Pages>
  <Words>2571</Words>
  <Characters>14659</Characters>
  <Application>Microsoft Office Word</Application>
  <DocSecurity>0</DocSecurity>
  <Lines>122</Lines>
  <Paragraphs>34</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17196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David Holley</dc:creator>
  <cp:keywords/>
  <dc:description/>
  <cp:lastModifiedBy>Alun Morris (2314593)</cp:lastModifiedBy>
  <cp:revision>126</cp:revision>
  <dcterms:created xsi:type="dcterms:W3CDTF">2025-01-03T11:03:00Z</dcterms:created>
  <dcterms:modified xsi:type="dcterms:W3CDTF">2026-04-14T10:59:00Z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0x0101004FFBD53070CCC34EBE5C0F3EF0259400</vt:lpwstr>
  </property>
</Properties>
</file>