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FB334" w14:textId="2BB2CF1F" w:rsidR="005F6D5D" w:rsidRDefault="005F6D5D" w:rsidP="005F6D5D">
      <w:pPr>
        <w:spacing w:after="80" w:line="360" w:lineRule="auto"/>
        <w:jc w:val="both"/>
      </w:pPr>
      <w:r>
        <w:rPr>
          <w:noProof/>
        </w:rPr>
        <w:drawing>
          <wp:anchor distT="0" distB="0" distL="114300" distR="114300" simplePos="0" relativeHeight="251659264" behindDoc="0" locked="0" layoutInCell="1" allowOverlap="1" wp14:anchorId="05C0AF7B" wp14:editId="61B15698">
            <wp:simplePos x="0" y="0"/>
            <wp:positionH relativeFrom="column">
              <wp:posOffset>1074420</wp:posOffset>
            </wp:positionH>
            <wp:positionV relativeFrom="paragraph">
              <wp:posOffset>392430</wp:posOffset>
            </wp:positionV>
            <wp:extent cx="3597910" cy="1440180"/>
            <wp:effectExtent l="0" t="0" r="2540" b="7620"/>
            <wp:wrapTopAndBottom/>
            <wp:docPr id="1720636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636208" name="Picture 1720636208"/>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anchor>
        </w:drawing>
      </w:r>
    </w:p>
    <w:p w14:paraId="7A4F667C" w14:textId="77777777" w:rsidR="00412576" w:rsidRDefault="00000000" w:rsidP="005F6D5D">
      <w:pPr>
        <w:spacing w:before="480" w:after="240" w:line="360" w:lineRule="auto"/>
        <w:jc w:val="center"/>
      </w:pPr>
      <w:r>
        <w:rPr>
          <w:b/>
          <w:bCs/>
          <w:sz w:val="28"/>
          <w:szCs w:val="28"/>
        </w:rPr>
        <w:t>UNIVERSITY OF WALES TRINITY SAINT DAVID</w:t>
      </w:r>
    </w:p>
    <w:p w14:paraId="531B92EA" w14:textId="77777777" w:rsidR="00412576" w:rsidRDefault="00000000" w:rsidP="005F6D5D">
      <w:pPr>
        <w:spacing w:after="120" w:line="360" w:lineRule="auto"/>
        <w:jc w:val="center"/>
      </w:pPr>
      <w:r>
        <w:rPr>
          <w:sz w:val="24"/>
          <w:szCs w:val="24"/>
        </w:rPr>
        <w:t>Master of Business Administration</w:t>
      </w:r>
    </w:p>
    <w:p w14:paraId="63DFFC30" w14:textId="77777777" w:rsidR="00412576" w:rsidRDefault="00000000" w:rsidP="005F6D5D">
      <w:pPr>
        <w:spacing w:after="120" w:line="360" w:lineRule="auto"/>
        <w:jc w:val="center"/>
      </w:pPr>
      <w:r>
        <w:rPr>
          <w:i/>
          <w:iCs/>
        </w:rPr>
        <w:t xml:space="preserve">Module: International Business </w:t>
      </w:r>
      <w:proofErr w:type="gramStart"/>
      <w:r>
        <w:rPr>
          <w:i/>
          <w:iCs/>
        </w:rPr>
        <w:t>Concepts  |</w:t>
      </w:r>
      <w:proofErr w:type="gramEnd"/>
      <w:r>
        <w:rPr>
          <w:i/>
          <w:iCs/>
        </w:rPr>
        <w:t xml:space="preserve">  Code: LCMB7034</w:t>
      </w:r>
    </w:p>
    <w:p w14:paraId="22DAADD5" w14:textId="77777777" w:rsidR="00412576" w:rsidRDefault="00000000" w:rsidP="005F6D5D">
      <w:pPr>
        <w:spacing w:before="480" w:after="120" w:line="360" w:lineRule="auto"/>
        <w:jc w:val="center"/>
      </w:pPr>
      <w:r>
        <w:rPr>
          <w:b/>
          <w:bCs/>
          <w:sz w:val="32"/>
          <w:szCs w:val="32"/>
        </w:rPr>
        <w:t>THE THAILAND ELECTRIC VEHICLE INDUSTRY:</w:t>
      </w:r>
    </w:p>
    <w:p w14:paraId="3A4B898A" w14:textId="77777777" w:rsidR="00412576" w:rsidRDefault="00000000" w:rsidP="005F6D5D">
      <w:pPr>
        <w:spacing w:after="480" w:line="360" w:lineRule="auto"/>
        <w:jc w:val="center"/>
      </w:pPr>
      <w:r>
        <w:rPr>
          <w:b/>
          <w:bCs/>
          <w:sz w:val="32"/>
          <w:szCs w:val="32"/>
        </w:rPr>
        <w:t>AN INTERNATIONAL BUSINESS ANALYSIS OF BYD</w:t>
      </w:r>
    </w:p>
    <w:p w14:paraId="7EE83FB5" w14:textId="77777777" w:rsidR="00412576" w:rsidRDefault="00000000" w:rsidP="005F6D5D">
      <w:pPr>
        <w:spacing w:after="80" w:line="360" w:lineRule="auto"/>
        <w:jc w:val="center"/>
      </w:pPr>
      <w:r>
        <w:t>Lecturer</w:t>
      </w:r>
      <w:proofErr w:type="gramStart"/>
      <w:r>
        <w:t>:  Akshay</w:t>
      </w:r>
      <w:proofErr w:type="gramEnd"/>
      <w:r>
        <w:t xml:space="preserve"> Narayanan</w:t>
      </w:r>
    </w:p>
    <w:p w14:paraId="2EE0F505" w14:textId="77777777" w:rsidR="00412576" w:rsidRDefault="00000000" w:rsidP="005F6D5D">
      <w:pPr>
        <w:spacing w:after="80" w:line="360" w:lineRule="auto"/>
        <w:jc w:val="center"/>
      </w:pPr>
      <w:r>
        <w:t>Submission Deadline</w:t>
      </w:r>
      <w:proofErr w:type="gramStart"/>
      <w:r>
        <w:t>:  27th</w:t>
      </w:r>
      <w:proofErr w:type="gramEnd"/>
      <w:r>
        <w:t xml:space="preserve"> April 2026</w:t>
      </w:r>
    </w:p>
    <w:p w14:paraId="07249ACF" w14:textId="77777777" w:rsidR="00412576" w:rsidRDefault="00000000" w:rsidP="005F6D5D">
      <w:pPr>
        <w:spacing w:after="80" w:line="360" w:lineRule="auto"/>
        <w:jc w:val="center"/>
      </w:pPr>
      <w:r>
        <w:t>Word Count</w:t>
      </w:r>
      <w:proofErr w:type="gramStart"/>
      <w:r>
        <w:t>:  Approximately</w:t>
      </w:r>
      <w:proofErr w:type="gramEnd"/>
      <w:r>
        <w:t xml:space="preserve"> 5,000 words (±10%) — excluding title page, contents, references, appendices</w:t>
      </w:r>
    </w:p>
    <w:p w14:paraId="2253B072" w14:textId="747188A7" w:rsidR="00412576" w:rsidRDefault="00000000" w:rsidP="00C60B94">
      <w:pPr>
        <w:spacing w:after="80" w:line="360" w:lineRule="auto"/>
        <w:jc w:val="center"/>
      </w:pPr>
      <w:r>
        <w:rPr>
          <w:b/>
          <w:bCs/>
        </w:rPr>
        <w:t>Student name:</w:t>
      </w:r>
      <w:r w:rsidR="00C60B94" w:rsidRPr="00C60B94">
        <w:rPr>
          <w:rFonts w:eastAsia="Calibri"/>
          <w:b/>
          <w:bCs/>
          <w:color w:val="333333"/>
          <w:sz w:val="24"/>
          <w:szCs w:val="24"/>
        </w:rPr>
        <w:t xml:space="preserve"> </w:t>
      </w:r>
      <w:r w:rsidR="00C60B94" w:rsidRPr="00C60B94">
        <w:rPr>
          <w:b/>
          <w:bCs/>
        </w:rPr>
        <w:t>Md Sujon Sikder</w:t>
      </w:r>
    </w:p>
    <w:p w14:paraId="7FA4D68F" w14:textId="2354BC1C" w:rsidR="00412576" w:rsidRDefault="00000000" w:rsidP="00C60B94">
      <w:pPr>
        <w:spacing w:after="80" w:line="360" w:lineRule="auto"/>
        <w:jc w:val="center"/>
      </w:pPr>
      <w:r>
        <w:rPr>
          <w:b/>
          <w:bCs/>
        </w:rPr>
        <w:t>Student ID number:</w:t>
      </w:r>
      <w:r w:rsidR="00C60B94" w:rsidRPr="00C60B94">
        <w:rPr>
          <w:rFonts w:eastAsia="Calibri"/>
          <w:b/>
          <w:bCs/>
          <w:color w:val="333333"/>
          <w:sz w:val="24"/>
          <w:szCs w:val="24"/>
        </w:rPr>
        <w:t xml:space="preserve"> </w:t>
      </w:r>
      <w:r w:rsidR="00C60B94" w:rsidRPr="00C60B94">
        <w:rPr>
          <w:b/>
          <w:bCs/>
        </w:rPr>
        <w:t>2503755</w:t>
      </w:r>
    </w:p>
    <w:p w14:paraId="0B826088" w14:textId="77777777" w:rsidR="006A6361" w:rsidRDefault="00000000" w:rsidP="005F6D5D">
      <w:pPr>
        <w:spacing w:line="360" w:lineRule="auto"/>
        <w:jc w:val="both"/>
      </w:pPr>
      <w:r>
        <w:br w:type="page"/>
      </w:r>
    </w:p>
    <w:sdt>
      <w:sdtPr>
        <w:id w:val="-193084438"/>
        <w:docPartObj>
          <w:docPartGallery w:val="Table of Contents"/>
          <w:docPartUnique/>
        </w:docPartObj>
      </w:sdtPr>
      <w:sdtEndPr>
        <w:rPr>
          <w:rFonts w:ascii="Arial" w:eastAsia="Arial" w:hAnsi="Arial" w:cs="Arial"/>
          <w:b/>
          <w:bCs/>
          <w:noProof/>
          <w:color w:val="auto"/>
          <w:sz w:val="22"/>
          <w:szCs w:val="22"/>
        </w:rPr>
      </w:sdtEndPr>
      <w:sdtContent>
        <w:p w14:paraId="23BDFF00" w14:textId="5DDF817E" w:rsidR="006A6361" w:rsidRDefault="006A6361">
          <w:pPr>
            <w:pStyle w:val="TOCHeading"/>
          </w:pPr>
          <w:r>
            <w:t>Table of Contents</w:t>
          </w:r>
        </w:p>
        <w:p w14:paraId="58FA59E3" w14:textId="7F0E6C23" w:rsidR="006A6361" w:rsidRDefault="006A6361">
          <w:pPr>
            <w:pStyle w:val="TOC1"/>
            <w:tabs>
              <w:tab w:val="right" w:leader="dot" w:pos="9016"/>
            </w:tabs>
            <w:rPr>
              <w:noProof/>
            </w:rPr>
          </w:pPr>
          <w:r>
            <w:fldChar w:fldCharType="begin"/>
          </w:r>
          <w:r>
            <w:instrText xml:space="preserve"> TOC \o "1-3" \h \z \u </w:instrText>
          </w:r>
          <w:r>
            <w:fldChar w:fldCharType="separate"/>
          </w:r>
          <w:hyperlink w:anchor="_Toc228166195" w:history="1">
            <w:r w:rsidRPr="002F7CD2">
              <w:rPr>
                <w:rStyle w:val="Hyperlink"/>
                <w:noProof/>
              </w:rPr>
              <w:t>1.  Introduction</w:t>
            </w:r>
            <w:r>
              <w:rPr>
                <w:noProof/>
                <w:webHidden/>
              </w:rPr>
              <w:tab/>
            </w:r>
            <w:r>
              <w:rPr>
                <w:noProof/>
                <w:webHidden/>
              </w:rPr>
              <w:fldChar w:fldCharType="begin"/>
            </w:r>
            <w:r>
              <w:rPr>
                <w:noProof/>
                <w:webHidden/>
              </w:rPr>
              <w:instrText xml:space="preserve"> PAGEREF _Toc228166195 \h </w:instrText>
            </w:r>
            <w:r>
              <w:rPr>
                <w:noProof/>
                <w:webHidden/>
              </w:rPr>
            </w:r>
            <w:r>
              <w:rPr>
                <w:noProof/>
                <w:webHidden/>
              </w:rPr>
              <w:fldChar w:fldCharType="separate"/>
            </w:r>
            <w:r>
              <w:rPr>
                <w:noProof/>
                <w:webHidden/>
              </w:rPr>
              <w:t>3</w:t>
            </w:r>
            <w:r>
              <w:rPr>
                <w:noProof/>
                <w:webHidden/>
              </w:rPr>
              <w:fldChar w:fldCharType="end"/>
            </w:r>
          </w:hyperlink>
        </w:p>
        <w:p w14:paraId="005C65B2" w14:textId="1FC8F581" w:rsidR="006A6361" w:rsidRDefault="006A6361">
          <w:pPr>
            <w:pStyle w:val="TOC1"/>
            <w:tabs>
              <w:tab w:val="right" w:leader="dot" w:pos="9016"/>
            </w:tabs>
            <w:rPr>
              <w:noProof/>
            </w:rPr>
          </w:pPr>
          <w:hyperlink w:anchor="_Toc228166199" w:history="1">
            <w:r w:rsidRPr="002F7CD2">
              <w:rPr>
                <w:rStyle w:val="Hyperlink"/>
                <w:noProof/>
              </w:rPr>
              <w:t>2.  Industry and Country Overview</w:t>
            </w:r>
            <w:r>
              <w:rPr>
                <w:noProof/>
                <w:webHidden/>
              </w:rPr>
              <w:tab/>
            </w:r>
            <w:r>
              <w:rPr>
                <w:noProof/>
                <w:webHidden/>
              </w:rPr>
              <w:fldChar w:fldCharType="begin"/>
            </w:r>
            <w:r>
              <w:rPr>
                <w:noProof/>
                <w:webHidden/>
              </w:rPr>
              <w:instrText xml:space="preserve"> PAGEREF _Toc228166199 \h </w:instrText>
            </w:r>
            <w:r>
              <w:rPr>
                <w:noProof/>
                <w:webHidden/>
              </w:rPr>
            </w:r>
            <w:r>
              <w:rPr>
                <w:noProof/>
                <w:webHidden/>
              </w:rPr>
              <w:fldChar w:fldCharType="separate"/>
            </w:r>
            <w:r>
              <w:rPr>
                <w:noProof/>
                <w:webHidden/>
              </w:rPr>
              <w:t>3</w:t>
            </w:r>
            <w:r>
              <w:rPr>
                <w:noProof/>
                <w:webHidden/>
              </w:rPr>
              <w:fldChar w:fldCharType="end"/>
            </w:r>
          </w:hyperlink>
        </w:p>
        <w:p w14:paraId="73B60A05" w14:textId="5411BAB7" w:rsidR="006A6361" w:rsidRDefault="006A6361">
          <w:pPr>
            <w:pStyle w:val="TOC2"/>
            <w:tabs>
              <w:tab w:val="right" w:leader="dot" w:pos="9016"/>
            </w:tabs>
            <w:rPr>
              <w:noProof/>
            </w:rPr>
          </w:pPr>
          <w:hyperlink w:anchor="_Toc228166200" w:history="1">
            <w:r w:rsidRPr="002F7CD2">
              <w:rPr>
                <w:rStyle w:val="Hyperlink"/>
                <w:noProof/>
              </w:rPr>
              <w:t>2.1  The Electric Vehicle Industry in the Context of Thailand</w:t>
            </w:r>
            <w:r>
              <w:rPr>
                <w:noProof/>
                <w:webHidden/>
              </w:rPr>
              <w:tab/>
            </w:r>
            <w:r>
              <w:rPr>
                <w:noProof/>
                <w:webHidden/>
              </w:rPr>
              <w:fldChar w:fldCharType="begin"/>
            </w:r>
            <w:r>
              <w:rPr>
                <w:noProof/>
                <w:webHidden/>
              </w:rPr>
              <w:instrText xml:space="preserve"> PAGEREF _Toc228166200 \h </w:instrText>
            </w:r>
            <w:r>
              <w:rPr>
                <w:noProof/>
                <w:webHidden/>
              </w:rPr>
            </w:r>
            <w:r>
              <w:rPr>
                <w:noProof/>
                <w:webHidden/>
              </w:rPr>
              <w:fldChar w:fldCharType="separate"/>
            </w:r>
            <w:r>
              <w:rPr>
                <w:noProof/>
                <w:webHidden/>
              </w:rPr>
              <w:t>3</w:t>
            </w:r>
            <w:r>
              <w:rPr>
                <w:noProof/>
                <w:webHidden/>
              </w:rPr>
              <w:fldChar w:fldCharType="end"/>
            </w:r>
          </w:hyperlink>
        </w:p>
        <w:p w14:paraId="6FA4B514" w14:textId="537DBAE3" w:rsidR="006A6361" w:rsidRDefault="006A6361">
          <w:pPr>
            <w:pStyle w:val="TOC2"/>
            <w:tabs>
              <w:tab w:val="right" w:leader="dot" w:pos="9016"/>
            </w:tabs>
            <w:rPr>
              <w:noProof/>
            </w:rPr>
          </w:pPr>
          <w:hyperlink w:anchor="_Toc228166203" w:history="1">
            <w:r w:rsidRPr="002F7CD2">
              <w:rPr>
                <w:rStyle w:val="Hyperlink"/>
                <w:noProof/>
              </w:rPr>
              <w:t>2.2  Size, Scope, and Economic Importance of the Industry</w:t>
            </w:r>
            <w:r>
              <w:rPr>
                <w:noProof/>
                <w:webHidden/>
              </w:rPr>
              <w:tab/>
            </w:r>
            <w:r>
              <w:rPr>
                <w:noProof/>
                <w:webHidden/>
              </w:rPr>
              <w:fldChar w:fldCharType="begin"/>
            </w:r>
            <w:r>
              <w:rPr>
                <w:noProof/>
                <w:webHidden/>
              </w:rPr>
              <w:instrText xml:space="preserve"> PAGEREF _Toc228166203 \h </w:instrText>
            </w:r>
            <w:r>
              <w:rPr>
                <w:noProof/>
                <w:webHidden/>
              </w:rPr>
            </w:r>
            <w:r>
              <w:rPr>
                <w:noProof/>
                <w:webHidden/>
              </w:rPr>
              <w:fldChar w:fldCharType="separate"/>
            </w:r>
            <w:r>
              <w:rPr>
                <w:noProof/>
                <w:webHidden/>
              </w:rPr>
              <w:t>4</w:t>
            </w:r>
            <w:r>
              <w:rPr>
                <w:noProof/>
                <w:webHidden/>
              </w:rPr>
              <w:fldChar w:fldCharType="end"/>
            </w:r>
          </w:hyperlink>
        </w:p>
        <w:p w14:paraId="1CC3B1EF" w14:textId="196F0BBB" w:rsidR="006A6361" w:rsidRDefault="006A6361">
          <w:pPr>
            <w:pStyle w:val="TOC2"/>
            <w:tabs>
              <w:tab w:val="right" w:leader="dot" w:pos="9016"/>
            </w:tabs>
            <w:rPr>
              <w:noProof/>
            </w:rPr>
          </w:pPr>
          <w:hyperlink w:anchor="_Toc228166204" w:history="1">
            <w:r w:rsidRPr="002F7CD2">
              <w:rPr>
                <w:rStyle w:val="Hyperlink"/>
                <w:noProof/>
              </w:rPr>
              <w:t>2.3  Key Domestic and Multinational Firms: Comparative Analysis</w:t>
            </w:r>
            <w:r>
              <w:rPr>
                <w:noProof/>
                <w:webHidden/>
              </w:rPr>
              <w:tab/>
            </w:r>
            <w:r>
              <w:rPr>
                <w:noProof/>
                <w:webHidden/>
              </w:rPr>
              <w:fldChar w:fldCharType="begin"/>
            </w:r>
            <w:r>
              <w:rPr>
                <w:noProof/>
                <w:webHidden/>
              </w:rPr>
              <w:instrText xml:space="preserve"> PAGEREF _Toc228166204 \h </w:instrText>
            </w:r>
            <w:r>
              <w:rPr>
                <w:noProof/>
                <w:webHidden/>
              </w:rPr>
            </w:r>
            <w:r>
              <w:rPr>
                <w:noProof/>
                <w:webHidden/>
              </w:rPr>
              <w:fldChar w:fldCharType="separate"/>
            </w:r>
            <w:r>
              <w:rPr>
                <w:noProof/>
                <w:webHidden/>
              </w:rPr>
              <w:t>5</w:t>
            </w:r>
            <w:r>
              <w:rPr>
                <w:noProof/>
                <w:webHidden/>
              </w:rPr>
              <w:fldChar w:fldCharType="end"/>
            </w:r>
          </w:hyperlink>
        </w:p>
        <w:p w14:paraId="1A8DE66F" w14:textId="2DC61925" w:rsidR="006A6361" w:rsidRDefault="006A6361">
          <w:pPr>
            <w:pStyle w:val="TOC1"/>
            <w:tabs>
              <w:tab w:val="right" w:leader="dot" w:pos="9016"/>
            </w:tabs>
            <w:rPr>
              <w:noProof/>
            </w:rPr>
          </w:pPr>
          <w:hyperlink w:anchor="_Toc228166205" w:history="1">
            <w:r w:rsidRPr="002F7CD2">
              <w:rPr>
                <w:rStyle w:val="Hyperlink"/>
                <w:noProof/>
              </w:rPr>
              <w:t>3.  Porter's Diamond Model of National Advantage: Thailand Electric Vehicle Industry</w:t>
            </w:r>
            <w:r>
              <w:rPr>
                <w:noProof/>
                <w:webHidden/>
              </w:rPr>
              <w:tab/>
            </w:r>
            <w:r>
              <w:rPr>
                <w:noProof/>
                <w:webHidden/>
              </w:rPr>
              <w:fldChar w:fldCharType="begin"/>
            </w:r>
            <w:r>
              <w:rPr>
                <w:noProof/>
                <w:webHidden/>
              </w:rPr>
              <w:instrText xml:space="preserve"> PAGEREF _Toc228166205 \h </w:instrText>
            </w:r>
            <w:r>
              <w:rPr>
                <w:noProof/>
                <w:webHidden/>
              </w:rPr>
            </w:r>
            <w:r>
              <w:rPr>
                <w:noProof/>
                <w:webHidden/>
              </w:rPr>
              <w:fldChar w:fldCharType="separate"/>
            </w:r>
            <w:r>
              <w:rPr>
                <w:noProof/>
                <w:webHidden/>
              </w:rPr>
              <w:t>6</w:t>
            </w:r>
            <w:r>
              <w:rPr>
                <w:noProof/>
                <w:webHidden/>
              </w:rPr>
              <w:fldChar w:fldCharType="end"/>
            </w:r>
          </w:hyperlink>
        </w:p>
        <w:p w14:paraId="50CDE42D" w14:textId="00A99187" w:rsidR="006A6361" w:rsidRDefault="006A6361">
          <w:pPr>
            <w:pStyle w:val="TOC2"/>
            <w:tabs>
              <w:tab w:val="right" w:leader="dot" w:pos="9016"/>
            </w:tabs>
            <w:rPr>
              <w:noProof/>
            </w:rPr>
          </w:pPr>
          <w:hyperlink w:anchor="_Toc228166206" w:history="1">
            <w:r w:rsidRPr="002F7CD2">
              <w:rPr>
                <w:rStyle w:val="Hyperlink"/>
                <w:noProof/>
              </w:rPr>
              <w:t>3.1  Factor Conditions: Automotive Legacy Meets EV Disruption</w:t>
            </w:r>
            <w:r>
              <w:rPr>
                <w:noProof/>
                <w:webHidden/>
              </w:rPr>
              <w:tab/>
            </w:r>
            <w:r>
              <w:rPr>
                <w:noProof/>
                <w:webHidden/>
              </w:rPr>
              <w:fldChar w:fldCharType="begin"/>
            </w:r>
            <w:r>
              <w:rPr>
                <w:noProof/>
                <w:webHidden/>
              </w:rPr>
              <w:instrText xml:space="preserve"> PAGEREF _Toc228166206 \h </w:instrText>
            </w:r>
            <w:r>
              <w:rPr>
                <w:noProof/>
                <w:webHidden/>
              </w:rPr>
            </w:r>
            <w:r>
              <w:rPr>
                <w:noProof/>
                <w:webHidden/>
              </w:rPr>
              <w:fldChar w:fldCharType="separate"/>
            </w:r>
            <w:r>
              <w:rPr>
                <w:noProof/>
                <w:webHidden/>
              </w:rPr>
              <w:t>8</w:t>
            </w:r>
            <w:r>
              <w:rPr>
                <w:noProof/>
                <w:webHidden/>
              </w:rPr>
              <w:fldChar w:fldCharType="end"/>
            </w:r>
          </w:hyperlink>
        </w:p>
        <w:p w14:paraId="329F679E" w14:textId="3B84670B" w:rsidR="006A6361" w:rsidRDefault="006A6361">
          <w:pPr>
            <w:pStyle w:val="TOC2"/>
            <w:tabs>
              <w:tab w:val="right" w:leader="dot" w:pos="9016"/>
            </w:tabs>
            <w:rPr>
              <w:noProof/>
            </w:rPr>
          </w:pPr>
          <w:hyperlink w:anchor="_Toc228166209" w:history="1">
            <w:r w:rsidRPr="002F7CD2">
              <w:rPr>
                <w:rStyle w:val="Hyperlink"/>
                <w:noProof/>
              </w:rPr>
              <w:t>3.2  Demand Conditions, Related Industries, and Government</w:t>
            </w:r>
            <w:r>
              <w:rPr>
                <w:noProof/>
                <w:webHidden/>
              </w:rPr>
              <w:tab/>
            </w:r>
            <w:r>
              <w:rPr>
                <w:noProof/>
                <w:webHidden/>
              </w:rPr>
              <w:fldChar w:fldCharType="begin"/>
            </w:r>
            <w:r>
              <w:rPr>
                <w:noProof/>
                <w:webHidden/>
              </w:rPr>
              <w:instrText xml:space="preserve"> PAGEREF _Toc228166209 \h </w:instrText>
            </w:r>
            <w:r>
              <w:rPr>
                <w:noProof/>
                <w:webHidden/>
              </w:rPr>
            </w:r>
            <w:r>
              <w:rPr>
                <w:noProof/>
                <w:webHidden/>
              </w:rPr>
              <w:fldChar w:fldCharType="separate"/>
            </w:r>
            <w:r>
              <w:rPr>
                <w:noProof/>
                <w:webHidden/>
              </w:rPr>
              <w:t>8</w:t>
            </w:r>
            <w:r>
              <w:rPr>
                <w:noProof/>
                <w:webHidden/>
              </w:rPr>
              <w:fldChar w:fldCharType="end"/>
            </w:r>
          </w:hyperlink>
        </w:p>
        <w:p w14:paraId="2B97B453" w14:textId="6BD5F5A9" w:rsidR="006A6361" w:rsidRDefault="006A6361">
          <w:pPr>
            <w:pStyle w:val="TOC1"/>
            <w:tabs>
              <w:tab w:val="right" w:leader="dot" w:pos="9016"/>
            </w:tabs>
            <w:rPr>
              <w:noProof/>
            </w:rPr>
          </w:pPr>
          <w:hyperlink w:anchor="_Toc228166211" w:history="1">
            <w:r w:rsidRPr="002F7CD2">
              <w:rPr>
                <w:rStyle w:val="Hyperlink"/>
                <w:noProof/>
              </w:rPr>
              <w:t>4.  BYD Company Limited: Critical Evaluation of Operations in Thailand</w:t>
            </w:r>
            <w:r>
              <w:rPr>
                <w:noProof/>
                <w:webHidden/>
              </w:rPr>
              <w:tab/>
            </w:r>
            <w:r>
              <w:rPr>
                <w:noProof/>
                <w:webHidden/>
              </w:rPr>
              <w:fldChar w:fldCharType="begin"/>
            </w:r>
            <w:r>
              <w:rPr>
                <w:noProof/>
                <w:webHidden/>
              </w:rPr>
              <w:instrText xml:space="preserve"> PAGEREF _Toc228166211 \h </w:instrText>
            </w:r>
            <w:r>
              <w:rPr>
                <w:noProof/>
                <w:webHidden/>
              </w:rPr>
            </w:r>
            <w:r>
              <w:rPr>
                <w:noProof/>
                <w:webHidden/>
              </w:rPr>
              <w:fldChar w:fldCharType="separate"/>
            </w:r>
            <w:r>
              <w:rPr>
                <w:noProof/>
                <w:webHidden/>
              </w:rPr>
              <w:t>9</w:t>
            </w:r>
            <w:r>
              <w:rPr>
                <w:noProof/>
                <w:webHidden/>
              </w:rPr>
              <w:fldChar w:fldCharType="end"/>
            </w:r>
          </w:hyperlink>
        </w:p>
        <w:p w14:paraId="75ED9809" w14:textId="12FE51D1" w:rsidR="006A6361" w:rsidRDefault="006A6361">
          <w:pPr>
            <w:pStyle w:val="TOC2"/>
            <w:tabs>
              <w:tab w:val="right" w:leader="dot" w:pos="9016"/>
            </w:tabs>
            <w:rPr>
              <w:noProof/>
            </w:rPr>
          </w:pPr>
          <w:hyperlink w:anchor="_Toc228166212" w:history="1">
            <w:r w:rsidRPr="002F7CD2">
              <w:rPr>
                <w:rStyle w:val="Hyperlink"/>
                <w:noProof/>
              </w:rPr>
              <w:t>4.1  Company Profile and Thailand Market Entry Rationale</w:t>
            </w:r>
            <w:r>
              <w:rPr>
                <w:noProof/>
                <w:webHidden/>
              </w:rPr>
              <w:tab/>
            </w:r>
            <w:r>
              <w:rPr>
                <w:noProof/>
                <w:webHidden/>
              </w:rPr>
              <w:fldChar w:fldCharType="begin"/>
            </w:r>
            <w:r>
              <w:rPr>
                <w:noProof/>
                <w:webHidden/>
              </w:rPr>
              <w:instrText xml:space="preserve"> PAGEREF _Toc228166212 \h </w:instrText>
            </w:r>
            <w:r>
              <w:rPr>
                <w:noProof/>
                <w:webHidden/>
              </w:rPr>
            </w:r>
            <w:r>
              <w:rPr>
                <w:noProof/>
                <w:webHidden/>
              </w:rPr>
              <w:fldChar w:fldCharType="separate"/>
            </w:r>
            <w:r>
              <w:rPr>
                <w:noProof/>
                <w:webHidden/>
              </w:rPr>
              <w:t>9</w:t>
            </w:r>
            <w:r>
              <w:rPr>
                <w:noProof/>
                <w:webHidden/>
              </w:rPr>
              <w:fldChar w:fldCharType="end"/>
            </w:r>
          </w:hyperlink>
        </w:p>
        <w:p w14:paraId="5DC52605" w14:textId="1E7ABDC6" w:rsidR="006A6361" w:rsidRDefault="006A6361">
          <w:pPr>
            <w:pStyle w:val="TOC2"/>
            <w:tabs>
              <w:tab w:val="right" w:leader="dot" w:pos="9016"/>
            </w:tabs>
            <w:rPr>
              <w:noProof/>
            </w:rPr>
          </w:pPr>
          <w:hyperlink w:anchor="_Toc228166215" w:history="1">
            <w:r w:rsidRPr="002F7CD2">
              <w:rPr>
                <w:rStyle w:val="Hyperlink"/>
                <w:noProof/>
              </w:rPr>
              <w:t>4.2  Political Factors: Thai Industrial Policy, US–China Trade Tensions, and the Iran–Israel–USA Conflict</w:t>
            </w:r>
            <w:r>
              <w:rPr>
                <w:noProof/>
                <w:webHidden/>
              </w:rPr>
              <w:tab/>
            </w:r>
            <w:r>
              <w:rPr>
                <w:noProof/>
                <w:webHidden/>
              </w:rPr>
              <w:fldChar w:fldCharType="begin"/>
            </w:r>
            <w:r>
              <w:rPr>
                <w:noProof/>
                <w:webHidden/>
              </w:rPr>
              <w:instrText xml:space="preserve"> PAGEREF _Toc228166215 \h </w:instrText>
            </w:r>
            <w:r>
              <w:rPr>
                <w:noProof/>
                <w:webHidden/>
              </w:rPr>
            </w:r>
            <w:r>
              <w:rPr>
                <w:noProof/>
                <w:webHidden/>
              </w:rPr>
              <w:fldChar w:fldCharType="separate"/>
            </w:r>
            <w:r>
              <w:rPr>
                <w:noProof/>
                <w:webHidden/>
              </w:rPr>
              <w:t>10</w:t>
            </w:r>
            <w:r>
              <w:rPr>
                <w:noProof/>
                <w:webHidden/>
              </w:rPr>
              <w:fldChar w:fldCharType="end"/>
            </w:r>
          </w:hyperlink>
        </w:p>
        <w:p w14:paraId="423E5050" w14:textId="5212347F" w:rsidR="006A6361" w:rsidRDefault="006A6361">
          <w:pPr>
            <w:pStyle w:val="TOC2"/>
            <w:tabs>
              <w:tab w:val="right" w:leader="dot" w:pos="9016"/>
            </w:tabs>
            <w:rPr>
              <w:noProof/>
            </w:rPr>
          </w:pPr>
          <w:hyperlink w:anchor="_Toc228166218" w:history="1">
            <w:r w:rsidRPr="002F7CD2">
              <w:rPr>
                <w:rStyle w:val="Hyperlink"/>
                <w:noProof/>
              </w:rPr>
              <w:t>4.3  Economic Factors and Middle East Disruption Cascades</w:t>
            </w:r>
            <w:r>
              <w:rPr>
                <w:noProof/>
                <w:webHidden/>
              </w:rPr>
              <w:tab/>
            </w:r>
            <w:r>
              <w:rPr>
                <w:noProof/>
                <w:webHidden/>
              </w:rPr>
              <w:fldChar w:fldCharType="begin"/>
            </w:r>
            <w:r>
              <w:rPr>
                <w:noProof/>
                <w:webHidden/>
              </w:rPr>
              <w:instrText xml:space="preserve"> PAGEREF _Toc228166218 \h </w:instrText>
            </w:r>
            <w:r>
              <w:rPr>
                <w:noProof/>
                <w:webHidden/>
              </w:rPr>
            </w:r>
            <w:r>
              <w:rPr>
                <w:noProof/>
                <w:webHidden/>
              </w:rPr>
              <w:fldChar w:fldCharType="separate"/>
            </w:r>
            <w:r>
              <w:rPr>
                <w:noProof/>
                <w:webHidden/>
              </w:rPr>
              <w:t>11</w:t>
            </w:r>
            <w:r>
              <w:rPr>
                <w:noProof/>
                <w:webHidden/>
              </w:rPr>
              <w:fldChar w:fldCharType="end"/>
            </w:r>
          </w:hyperlink>
        </w:p>
        <w:p w14:paraId="6B9BED7E" w14:textId="5EE16DB9" w:rsidR="006A6361" w:rsidRDefault="006A6361">
          <w:pPr>
            <w:pStyle w:val="TOC2"/>
            <w:tabs>
              <w:tab w:val="right" w:leader="dot" w:pos="9016"/>
            </w:tabs>
            <w:rPr>
              <w:noProof/>
            </w:rPr>
          </w:pPr>
          <w:hyperlink w:anchor="_Toc228166219" w:history="1">
            <w:r w:rsidRPr="002F7CD2">
              <w:rPr>
                <w:rStyle w:val="Hyperlink"/>
                <w:noProof/>
              </w:rPr>
              <w:t>4.4  Legal Factors</w:t>
            </w:r>
            <w:r>
              <w:rPr>
                <w:noProof/>
                <w:webHidden/>
              </w:rPr>
              <w:tab/>
            </w:r>
            <w:r>
              <w:rPr>
                <w:noProof/>
                <w:webHidden/>
              </w:rPr>
              <w:fldChar w:fldCharType="begin"/>
            </w:r>
            <w:r>
              <w:rPr>
                <w:noProof/>
                <w:webHidden/>
              </w:rPr>
              <w:instrText xml:space="preserve"> PAGEREF _Toc228166219 \h </w:instrText>
            </w:r>
            <w:r>
              <w:rPr>
                <w:noProof/>
                <w:webHidden/>
              </w:rPr>
            </w:r>
            <w:r>
              <w:rPr>
                <w:noProof/>
                <w:webHidden/>
              </w:rPr>
              <w:fldChar w:fldCharType="separate"/>
            </w:r>
            <w:r>
              <w:rPr>
                <w:noProof/>
                <w:webHidden/>
              </w:rPr>
              <w:t>12</w:t>
            </w:r>
            <w:r>
              <w:rPr>
                <w:noProof/>
                <w:webHidden/>
              </w:rPr>
              <w:fldChar w:fldCharType="end"/>
            </w:r>
          </w:hyperlink>
        </w:p>
        <w:p w14:paraId="1E42C9C7" w14:textId="3F4EEBEF" w:rsidR="006A6361" w:rsidRDefault="006A6361">
          <w:pPr>
            <w:pStyle w:val="TOC2"/>
            <w:tabs>
              <w:tab w:val="right" w:leader="dot" w:pos="9016"/>
            </w:tabs>
            <w:rPr>
              <w:noProof/>
            </w:rPr>
          </w:pPr>
          <w:hyperlink w:anchor="_Toc228166221" w:history="1">
            <w:r w:rsidRPr="002F7CD2">
              <w:rPr>
                <w:rStyle w:val="Hyperlink"/>
                <w:noProof/>
              </w:rPr>
              <w:t>4.5  Cultural Factors: Applying Hofstede and the CAGE Framework</w:t>
            </w:r>
            <w:r>
              <w:rPr>
                <w:noProof/>
                <w:webHidden/>
              </w:rPr>
              <w:tab/>
            </w:r>
            <w:r>
              <w:rPr>
                <w:noProof/>
                <w:webHidden/>
              </w:rPr>
              <w:fldChar w:fldCharType="begin"/>
            </w:r>
            <w:r>
              <w:rPr>
                <w:noProof/>
                <w:webHidden/>
              </w:rPr>
              <w:instrText xml:space="preserve"> PAGEREF _Toc228166221 \h </w:instrText>
            </w:r>
            <w:r>
              <w:rPr>
                <w:noProof/>
                <w:webHidden/>
              </w:rPr>
            </w:r>
            <w:r>
              <w:rPr>
                <w:noProof/>
                <w:webHidden/>
              </w:rPr>
              <w:fldChar w:fldCharType="separate"/>
            </w:r>
            <w:r>
              <w:rPr>
                <w:noProof/>
                <w:webHidden/>
              </w:rPr>
              <w:t>13</w:t>
            </w:r>
            <w:r>
              <w:rPr>
                <w:noProof/>
                <w:webHidden/>
              </w:rPr>
              <w:fldChar w:fldCharType="end"/>
            </w:r>
          </w:hyperlink>
        </w:p>
        <w:p w14:paraId="7C03FD08" w14:textId="04209DF1" w:rsidR="006A6361" w:rsidRDefault="006A6361">
          <w:pPr>
            <w:pStyle w:val="TOC1"/>
            <w:tabs>
              <w:tab w:val="right" w:leader="dot" w:pos="9016"/>
            </w:tabs>
            <w:rPr>
              <w:noProof/>
            </w:rPr>
          </w:pPr>
          <w:hyperlink w:anchor="_Toc228166224" w:history="1">
            <w:r w:rsidRPr="002F7CD2">
              <w:rPr>
                <w:rStyle w:val="Hyperlink"/>
                <w:noProof/>
              </w:rPr>
              <w:t>5.  Conclusion</w:t>
            </w:r>
            <w:r>
              <w:rPr>
                <w:noProof/>
                <w:webHidden/>
              </w:rPr>
              <w:tab/>
            </w:r>
            <w:r>
              <w:rPr>
                <w:noProof/>
                <w:webHidden/>
              </w:rPr>
              <w:fldChar w:fldCharType="begin"/>
            </w:r>
            <w:r>
              <w:rPr>
                <w:noProof/>
                <w:webHidden/>
              </w:rPr>
              <w:instrText xml:space="preserve"> PAGEREF _Toc228166224 \h </w:instrText>
            </w:r>
            <w:r>
              <w:rPr>
                <w:noProof/>
                <w:webHidden/>
              </w:rPr>
            </w:r>
            <w:r>
              <w:rPr>
                <w:noProof/>
                <w:webHidden/>
              </w:rPr>
              <w:fldChar w:fldCharType="separate"/>
            </w:r>
            <w:r>
              <w:rPr>
                <w:noProof/>
                <w:webHidden/>
              </w:rPr>
              <w:t>14</w:t>
            </w:r>
            <w:r>
              <w:rPr>
                <w:noProof/>
                <w:webHidden/>
              </w:rPr>
              <w:fldChar w:fldCharType="end"/>
            </w:r>
          </w:hyperlink>
        </w:p>
        <w:p w14:paraId="0D42E12F" w14:textId="2D2F08EB" w:rsidR="006A6361" w:rsidRDefault="006A6361">
          <w:pPr>
            <w:pStyle w:val="TOC1"/>
            <w:tabs>
              <w:tab w:val="right" w:leader="dot" w:pos="9016"/>
            </w:tabs>
            <w:rPr>
              <w:noProof/>
            </w:rPr>
          </w:pPr>
          <w:hyperlink w:anchor="_Toc228166228" w:history="1">
            <w:r w:rsidRPr="002F7CD2">
              <w:rPr>
                <w:rStyle w:val="Hyperlink"/>
                <w:noProof/>
              </w:rPr>
              <w:t>6.  Reflective Account: Gibbs' Reflective Cycle (1988)</w:t>
            </w:r>
            <w:r>
              <w:rPr>
                <w:noProof/>
                <w:webHidden/>
              </w:rPr>
              <w:tab/>
            </w:r>
            <w:r>
              <w:rPr>
                <w:noProof/>
                <w:webHidden/>
              </w:rPr>
              <w:fldChar w:fldCharType="begin"/>
            </w:r>
            <w:r>
              <w:rPr>
                <w:noProof/>
                <w:webHidden/>
              </w:rPr>
              <w:instrText xml:space="preserve"> PAGEREF _Toc228166228 \h </w:instrText>
            </w:r>
            <w:r>
              <w:rPr>
                <w:noProof/>
                <w:webHidden/>
              </w:rPr>
            </w:r>
            <w:r>
              <w:rPr>
                <w:noProof/>
                <w:webHidden/>
              </w:rPr>
              <w:fldChar w:fldCharType="separate"/>
            </w:r>
            <w:r>
              <w:rPr>
                <w:noProof/>
                <w:webHidden/>
              </w:rPr>
              <w:t>15</w:t>
            </w:r>
            <w:r>
              <w:rPr>
                <w:noProof/>
                <w:webHidden/>
              </w:rPr>
              <w:fldChar w:fldCharType="end"/>
            </w:r>
          </w:hyperlink>
        </w:p>
        <w:p w14:paraId="59C58F7B" w14:textId="4611FEE1" w:rsidR="006A6361" w:rsidRDefault="006A6361">
          <w:pPr>
            <w:pStyle w:val="TOC2"/>
            <w:tabs>
              <w:tab w:val="right" w:leader="dot" w:pos="9016"/>
            </w:tabs>
            <w:rPr>
              <w:noProof/>
            </w:rPr>
          </w:pPr>
          <w:hyperlink w:anchor="_Toc228166229" w:history="1">
            <w:r w:rsidRPr="002F7CD2">
              <w:rPr>
                <w:rStyle w:val="Hyperlink"/>
                <w:noProof/>
              </w:rPr>
              <w:t>6.1  Description</w:t>
            </w:r>
            <w:r>
              <w:rPr>
                <w:noProof/>
                <w:webHidden/>
              </w:rPr>
              <w:tab/>
            </w:r>
            <w:r>
              <w:rPr>
                <w:noProof/>
                <w:webHidden/>
              </w:rPr>
              <w:fldChar w:fldCharType="begin"/>
            </w:r>
            <w:r>
              <w:rPr>
                <w:noProof/>
                <w:webHidden/>
              </w:rPr>
              <w:instrText xml:space="preserve"> PAGEREF _Toc228166229 \h </w:instrText>
            </w:r>
            <w:r>
              <w:rPr>
                <w:noProof/>
                <w:webHidden/>
              </w:rPr>
            </w:r>
            <w:r>
              <w:rPr>
                <w:noProof/>
                <w:webHidden/>
              </w:rPr>
              <w:fldChar w:fldCharType="separate"/>
            </w:r>
            <w:r>
              <w:rPr>
                <w:noProof/>
                <w:webHidden/>
              </w:rPr>
              <w:t>16</w:t>
            </w:r>
            <w:r>
              <w:rPr>
                <w:noProof/>
                <w:webHidden/>
              </w:rPr>
              <w:fldChar w:fldCharType="end"/>
            </w:r>
          </w:hyperlink>
        </w:p>
        <w:p w14:paraId="3283AFF7" w14:textId="33906206" w:rsidR="006A6361" w:rsidRDefault="006A6361">
          <w:pPr>
            <w:pStyle w:val="TOC2"/>
            <w:tabs>
              <w:tab w:val="right" w:leader="dot" w:pos="9016"/>
            </w:tabs>
            <w:rPr>
              <w:noProof/>
            </w:rPr>
          </w:pPr>
          <w:hyperlink w:anchor="_Toc228166233" w:history="1">
            <w:r w:rsidRPr="002F7CD2">
              <w:rPr>
                <w:rStyle w:val="Hyperlink"/>
                <w:noProof/>
              </w:rPr>
              <w:t>6.3  Evaluation</w:t>
            </w:r>
            <w:r>
              <w:rPr>
                <w:noProof/>
                <w:webHidden/>
              </w:rPr>
              <w:tab/>
            </w:r>
            <w:r>
              <w:rPr>
                <w:noProof/>
                <w:webHidden/>
              </w:rPr>
              <w:fldChar w:fldCharType="begin"/>
            </w:r>
            <w:r>
              <w:rPr>
                <w:noProof/>
                <w:webHidden/>
              </w:rPr>
              <w:instrText xml:space="preserve"> PAGEREF _Toc228166233 \h </w:instrText>
            </w:r>
            <w:r>
              <w:rPr>
                <w:noProof/>
                <w:webHidden/>
              </w:rPr>
            </w:r>
            <w:r>
              <w:rPr>
                <w:noProof/>
                <w:webHidden/>
              </w:rPr>
              <w:fldChar w:fldCharType="separate"/>
            </w:r>
            <w:r>
              <w:rPr>
                <w:noProof/>
                <w:webHidden/>
              </w:rPr>
              <w:t>17</w:t>
            </w:r>
            <w:r>
              <w:rPr>
                <w:noProof/>
                <w:webHidden/>
              </w:rPr>
              <w:fldChar w:fldCharType="end"/>
            </w:r>
          </w:hyperlink>
        </w:p>
        <w:p w14:paraId="544F521A" w14:textId="29B6C0D9" w:rsidR="006A6361" w:rsidRDefault="006A6361">
          <w:pPr>
            <w:pStyle w:val="TOC2"/>
            <w:tabs>
              <w:tab w:val="right" w:leader="dot" w:pos="9016"/>
            </w:tabs>
            <w:rPr>
              <w:noProof/>
            </w:rPr>
          </w:pPr>
          <w:hyperlink w:anchor="_Toc228166235" w:history="1">
            <w:r w:rsidRPr="002F7CD2">
              <w:rPr>
                <w:rStyle w:val="Hyperlink"/>
                <w:noProof/>
              </w:rPr>
              <w:t>6.4  Analysis</w:t>
            </w:r>
            <w:r>
              <w:rPr>
                <w:noProof/>
                <w:webHidden/>
              </w:rPr>
              <w:tab/>
            </w:r>
            <w:r>
              <w:rPr>
                <w:noProof/>
                <w:webHidden/>
              </w:rPr>
              <w:fldChar w:fldCharType="begin"/>
            </w:r>
            <w:r>
              <w:rPr>
                <w:noProof/>
                <w:webHidden/>
              </w:rPr>
              <w:instrText xml:space="preserve"> PAGEREF _Toc228166235 \h </w:instrText>
            </w:r>
            <w:r>
              <w:rPr>
                <w:noProof/>
                <w:webHidden/>
              </w:rPr>
            </w:r>
            <w:r>
              <w:rPr>
                <w:noProof/>
                <w:webHidden/>
              </w:rPr>
              <w:fldChar w:fldCharType="separate"/>
            </w:r>
            <w:r>
              <w:rPr>
                <w:noProof/>
                <w:webHidden/>
              </w:rPr>
              <w:t>17</w:t>
            </w:r>
            <w:r>
              <w:rPr>
                <w:noProof/>
                <w:webHidden/>
              </w:rPr>
              <w:fldChar w:fldCharType="end"/>
            </w:r>
          </w:hyperlink>
        </w:p>
        <w:p w14:paraId="5B0841C9" w14:textId="1F37C7AC" w:rsidR="006A6361" w:rsidRDefault="006A6361">
          <w:pPr>
            <w:pStyle w:val="TOC2"/>
            <w:tabs>
              <w:tab w:val="right" w:leader="dot" w:pos="9016"/>
            </w:tabs>
            <w:rPr>
              <w:noProof/>
            </w:rPr>
          </w:pPr>
          <w:hyperlink w:anchor="_Toc228166237" w:history="1">
            <w:r w:rsidRPr="002F7CD2">
              <w:rPr>
                <w:rStyle w:val="Hyperlink"/>
                <w:noProof/>
              </w:rPr>
              <w:t>6.5  Conclusion</w:t>
            </w:r>
            <w:r>
              <w:rPr>
                <w:noProof/>
                <w:webHidden/>
              </w:rPr>
              <w:tab/>
            </w:r>
            <w:r>
              <w:rPr>
                <w:noProof/>
                <w:webHidden/>
              </w:rPr>
              <w:fldChar w:fldCharType="begin"/>
            </w:r>
            <w:r>
              <w:rPr>
                <w:noProof/>
                <w:webHidden/>
              </w:rPr>
              <w:instrText xml:space="preserve"> PAGEREF _Toc228166237 \h </w:instrText>
            </w:r>
            <w:r>
              <w:rPr>
                <w:noProof/>
                <w:webHidden/>
              </w:rPr>
            </w:r>
            <w:r>
              <w:rPr>
                <w:noProof/>
                <w:webHidden/>
              </w:rPr>
              <w:fldChar w:fldCharType="separate"/>
            </w:r>
            <w:r>
              <w:rPr>
                <w:noProof/>
                <w:webHidden/>
              </w:rPr>
              <w:t>18</w:t>
            </w:r>
            <w:r>
              <w:rPr>
                <w:noProof/>
                <w:webHidden/>
              </w:rPr>
              <w:fldChar w:fldCharType="end"/>
            </w:r>
          </w:hyperlink>
        </w:p>
        <w:p w14:paraId="6D11AA93" w14:textId="5A8CA3DF" w:rsidR="006A6361" w:rsidRDefault="006A6361">
          <w:pPr>
            <w:pStyle w:val="TOC2"/>
            <w:tabs>
              <w:tab w:val="right" w:leader="dot" w:pos="9016"/>
            </w:tabs>
            <w:rPr>
              <w:noProof/>
            </w:rPr>
          </w:pPr>
          <w:hyperlink w:anchor="_Toc228166239" w:history="1">
            <w:r w:rsidRPr="002F7CD2">
              <w:rPr>
                <w:rStyle w:val="Hyperlink"/>
                <w:noProof/>
              </w:rPr>
              <w:t>6.6  Action Plan</w:t>
            </w:r>
            <w:r>
              <w:rPr>
                <w:noProof/>
                <w:webHidden/>
              </w:rPr>
              <w:tab/>
            </w:r>
            <w:r>
              <w:rPr>
                <w:noProof/>
                <w:webHidden/>
              </w:rPr>
              <w:fldChar w:fldCharType="begin"/>
            </w:r>
            <w:r>
              <w:rPr>
                <w:noProof/>
                <w:webHidden/>
              </w:rPr>
              <w:instrText xml:space="preserve"> PAGEREF _Toc228166239 \h </w:instrText>
            </w:r>
            <w:r>
              <w:rPr>
                <w:noProof/>
                <w:webHidden/>
              </w:rPr>
            </w:r>
            <w:r>
              <w:rPr>
                <w:noProof/>
                <w:webHidden/>
              </w:rPr>
              <w:fldChar w:fldCharType="separate"/>
            </w:r>
            <w:r>
              <w:rPr>
                <w:noProof/>
                <w:webHidden/>
              </w:rPr>
              <w:t>18</w:t>
            </w:r>
            <w:r>
              <w:rPr>
                <w:noProof/>
                <w:webHidden/>
              </w:rPr>
              <w:fldChar w:fldCharType="end"/>
            </w:r>
          </w:hyperlink>
        </w:p>
        <w:p w14:paraId="59C9BB71" w14:textId="6369C545" w:rsidR="006A6361" w:rsidRDefault="006A6361">
          <w:pPr>
            <w:pStyle w:val="TOC1"/>
            <w:tabs>
              <w:tab w:val="right" w:leader="dot" w:pos="9016"/>
            </w:tabs>
            <w:rPr>
              <w:noProof/>
            </w:rPr>
          </w:pPr>
          <w:hyperlink w:anchor="_Toc228166240" w:history="1">
            <w:r w:rsidRPr="002F7CD2">
              <w:rPr>
                <w:rStyle w:val="Hyperlink"/>
                <w:noProof/>
              </w:rPr>
              <w:t>7.  References</w:t>
            </w:r>
            <w:r>
              <w:rPr>
                <w:noProof/>
                <w:webHidden/>
              </w:rPr>
              <w:tab/>
            </w:r>
            <w:r>
              <w:rPr>
                <w:noProof/>
                <w:webHidden/>
              </w:rPr>
              <w:fldChar w:fldCharType="begin"/>
            </w:r>
            <w:r>
              <w:rPr>
                <w:noProof/>
                <w:webHidden/>
              </w:rPr>
              <w:instrText xml:space="preserve"> PAGEREF _Toc228166240 \h </w:instrText>
            </w:r>
            <w:r>
              <w:rPr>
                <w:noProof/>
                <w:webHidden/>
              </w:rPr>
            </w:r>
            <w:r>
              <w:rPr>
                <w:noProof/>
                <w:webHidden/>
              </w:rPr>
              <w:fldChar w:fldCharType="separate"/>
            </w:r>
            <w:r>
              <w:rPr>
                <w:noProof/>
                <w:webHidden/>
              </w:rPr>
              <w:t>19</w:t>
            </w:r>
            <w:r>
              <w:rPr>
                <w:noProof/>
                <w:webHidden/>
              </w:rPr>
              <w:fldChar w:fldCharType="end"/>
            </w:r>
          </w:hyperlink>
        </w:p>
        <w:p w14:paraId="4AEC6250" w14:textId="608B5F9A" w:rsidR="006A6361" w:rsidRDefault="006A6361">
          <w:r>
            <w:rPr>
              <w:b/>
              <w:bCs/>
              <w:noProof/>
            </w:rPr>
            <w:fldChar w:fldCharType="end"/>
          </w:r>
        </w:p>
      </w:sdtContent>
    </w:sdt>
    <w:p w14:paraId="71C82149" w14:textId="0A697A38" w:rsidR="00412576" w:rsidRDefault="00412576" w:rsidP="005F6D5D">
      <w:pPr>
        <w:spacing w:line="360" w:lineRule="auto"/>
        <w:jc w:val="both"/>
      </w:pPr>
    </w:p>
    <w:p w14:paraId="7B408209" w14:textId="77777777" w:rsidR="006A6361" w:rsidRDefault="006A6361" w:rsidP="005F6D5D">
      <w:pPr>
        <w:spacing w:line="360" w:lineRule="auto"/>
        <w:jc w:val="both"/>
      </w:pPr>
    </w:p>
    <w:p w14:paraId="721D524B" w14:textId="77777777" w:rsidR="006A6361" w:rsidRDefault="006A6361" w:rsidP="005F6D5D">
      <w:pPr>
        <w:spacing w:line="360" w:lineRule="auto"/>
        <w:jc w:val="both"/>
      </w:pPr>
    </w:p>
    <w:p w14:paraId="7757FF71" w14:textId="77777777" w:rsidR="006A6361" w:rsidRDefault="006A6361" w:rsidP="005F6D5D">
      <w:pPr>
        <w:spacing w:line="360" w:lineRule="auto"/>
        <w:jc w:val="both"/>
      </w:pPr>
    </w:p>
    <w:p w14:paraId="024865BD" w14:textId="77777777" w:rsidR="006A6361" w:rsidRDefault="006A6361" w:rsidP="005F6D5D">
      <w:pPr>
        <w:spacing w:line="360" w:lineRule="auto"/>
        <w:jc w:val="both"/>
      </w:pPr>
    </w:p>
    <w:p w14:paraId="26D0252B" w14:textId="77777777" w:rsidR="006A6361" w:rsidRDefault="006A6361" w:rsidP="005F6D5D">
      <w:pPr>
        <w:spacing w:line="360" w:lineRule="auto"/>
        <w:jc w:val="both"/>
      </w:pPr>
    </w:p>
    <w:p w14:paraId="36D91378" w14:textId="77777777" w:rsidR="006A6361" w:rsidRDefault="006A6361" w:rsidP="005F6D5D">
      <w:pPr>
        <w:spacing w:line="360" w:lineRule="auto"/>
        <w:jc w:val="both"/>
      </w:pPr>
    </w:p>
    <w:p w14:paraId="1BC59B4C" w14:textId="77777777" w:rsidR="006A6361" w:rsidRDefault="006A6361" w:rsidP="005F6D5D">
      <w:pPr>
        <w:spacing w:line="360" w:lineRule="auto"/>
        <w:jc w:val="both"/>
      </w:pPr>
    </w:p>
    <w:p w14:paraId="4622B9AC" w14:textId="77777777" w:rsidR="006A6361" w:rsidRDefault="006A6361" w:rsidP="005F6D5D">
      <w:pPr>
        <w:spacing w:line="360" w:lineRule="auto"/>
        <w:jc w:val="both"/>
      </w:pPr>
    </w:p>
    <w:p w14:paraId="698D008D" w14:textId="77777777" w:rsidR="006A6361" w:rsidRDefault="006A6361" w:rsidP="005F6D5D">
      <w:pPr>
        <w:spacing w:line="360" w:lineRule="auto"/>
        <w:jc w:val="both"/>
      </w:pPr>
    </w:p>
    <w:p w14:paraId="15026BBD" w14:textId="77777777" w:rsidR="006A6361" w:rsidRDefault="006A6361" w:rsidP="005F6D5D">
      <w:pPr>
        <w:spacing w:line="360" w:lineRule="auto"/>
        <w:jc w:val="both"/>
      </w:pPr>
    </w:p>
    <w:p w14:paraId="0B8F3246" w14:textId="77777777" w:rsidR="006A6361" w:rsidRDefault="006A6361" w:rsidP="005F6D5D">
      <w:pPr>
        <w:spacing w:line="360" w:lineRule="auto"/>
        <w:jc w:val="both"/>
      </w:pPr>
    </w:p>
    <w:p w14:paraId="41325270" w14:textId="77777777" w:rsidR="006A6361" w:rsidRDefault="006A6361" w:rsidP="005F6D5D">
      <w:pPr>
        <w:spacing w:line="360" w:lineRule="auto"/>
        <w:jc w:val="both"/>
      </w:pPr>
    </w:p>
    <w:p w14:paraId="5975D129" w14:textId="77777777" w:rsidR="006A6361" w:rsidRDefault="006A6361" w:rsidP="005F6D5D">
      <w:pPr>
        <w:spacing w:line="360" w:lineRule="auto"/>
        <w:jc w:val="both"/>
      </w:pPr>
    </w:p>
    <w:p w14:paraId="25B1D8BE" w14:textId="0382E409" w:rsidR="00412576" w:rsidRDefault="00000000" w:rsidP="00C14E33">
      <w:pPr>
        <w:pStyle w:val="Heading1"/>
        <w:tabs>
          <w:tab w:val="center" w:pos="4513"/>
        </w:tabs>
        <w:spacing w:line="360" w:lineRule="auto"/>
        <w:jc w:val="both"/>
      </w:pPr>
      <w:bookmarkStart w:id="0" w:name="_Toc228166195"/>
      <w:r>
        <w:lastRenderedPageBreak/>
        <w:t>1</w:t>
      </w:r>
      <w:proofErr w:type="gramStart"/>
      <w:r>
        <w:t>.  Introduction</w:t>
      </w:r>
      <w:bookmarkEnd w:id="0"/>
      <w:proofErr w:type="gramEnd"/>
      <w:r w:rsidR="00C14E33">
        <w:tab/>
      </w:r>
    </w:p>
    <w:p w14:paraId="2C3E9AB7" w14:textId="77777777" w:rsidR="0011067C" w:rsidRPr="0011067C" w:rsidRDefault="0011067C" w:rsidP="005F6D5D">
      <w:pPr>
        <w:pStyle w:val="Heading1"/>
        <w:spacing w:line="360" w:lineRule="auto"/>
        <w:jc w:val="both"/>
        <w:rPr>
          <w:b w:val="0"/>
          <w:bCs w:val="0"/>
          <w:color w:val="auto"/>
          <w:sz w:val="22"/>
          <w:szCs w:val="22"/>
        </w:rPr>
      </w:pPr>
      <w:bookmarkStart w:id="1" w:name="_Toc228166196"/>
      <w:r w:rsidRPr="0011067C">
        <w:rPr>
          <w:b w:val="0"/>
          <w:bCs w:val="0"/>
          <w:color w:val="auto"/>
          <w:sz w:val="22"/>
          <w:szCs w:val="22"/>
        </w:rPr>
        <w:t>The Southeast Asian electric vehicle (EV) sector is undergoing rapid structural change with the impetus coming from state-driven industrial policy, changing consumer preferences, and the ambitions of Chinese car companies. Thailand, once referred to as the "Detroit of Asia" and ASEAN's leading automotive manufacturing nation, is at the forefront of this shift. The Thai government's EV 3.5 policy package, launched in 2022 and renewed in 2024, offers subsidies to consumers, excise tax cuts, and local content requirements to transform the country's traditional, combustion-driven automobile industry into a regional EV manufacturing giant by achieving 30 percent zero-emission vehicle production in 2030 (BOI Thailand, 2024).</w:t>
      </w:r>
      <w:bookmarkEnd w:id="1"/>
    </w:p>
    <w:p w14:paraId="78C239D1" w14:textId="77777777" w:rsidR="0011067C" w:rsidRPr="0011067C" w:rsidRDefault="0011067C" w:rsidP="005F6D5D">
      <w:pPr>
        <w:pStyle w:val="Heading1"/>
        <w:spacing w:line="360" w:lineRule="auto"/>
        <w:jc w:val="both"/>
        <w:rPr>
          <w:b w:val="0"/>
          <w:bCs w:val="0"/>
          <w:color w:val="auto"/>
          <w:sz w:val="22"/>
          <w:szCs w:val="22"/>
        </w:rPr>
      </w:pPr>
      <w:bookmarkStart w:id="2" w:name="_Toc228166197"/>
      <w:r w:rsidRPr="0011067C">
        <w:rPr>
          <w:b w:val="0"/>
          <w:bCs w:val="0"/>
          <w:color w:val="auto"/>
          <w:sz w:val="22"/>
          <w:szCs w:val="22"/>
        </w:rPr>
        <w:t xml:space="preserve">BYD Company Limited of Shenzhen, China, the world's largest producer of new energy vehicles in terms of unit production, is the single most significant foreign investment in Thailand's EV transformation. BYD's 500,000-unit-per-year (UPA) plant in Rayong Province, with competitive pricing and a full line-up of EV products, constitutes the largest foreign direct investment in the Thai car industry in the past decade. This report uses Porter's (1990) Diamond Model, Dunning's (2001) OLI Paradigm, Hofstede's (2011) dimensions of culture and Ghemawat's (2001) CAGE framework to </w:t>
      </w:r>
      <w:proofErr w:type="spellStart"/>
      <w:r w:rsidRPr="0011067C">
        <w:rPr>
          <w:b w:val="0"/>
          <w:bCs w:val="0"/>
          <w:color w:val="auto"/>
          <w:sz w:val="22"/>
          <w:szCs w:val="22"/>
        </w:rPr>
        <w:t>analyse</w:t>
      </w:r>
      <w:proofErr w:type="spellEnd"/>
      <w:r w:rsidRPr="0011067C">
        <w:rPr>
          <w:b w:val="0"/>
          <w:bCs w:val="0"/>
          <w:color w:val="auto"/>
          <w:sz w:val="22"/>
          <w:szCs w:val="22"/>
        </w:rPr>
        <w:t xml:space="preserve"> BYD's Thailand strategy, while continuously monitoring the Iran-Israel-USA conflict as the dominant contemporary geopolitical risk source for EV supply chains in the ASEAN region.</w:t>
      </w:r>
      <w:bookmarkEnd w:id="2"/>
    </w:p>
    <w:p w14:paraId="738A68FF" w14:textId="77777777" w:rsidR="0011067C" w:rsidRDefault="0011067C" w:rsidP="005F6D5D">
      <w:pPr>
        <w:pStyle w:val="Heading1"/>
        <w:spacing w:line="360" w:lineRule="auto"/>
        <w:jc w:val="both"/>
        <w:rPr>
          <w:b w:val="0"/>
          <w:bCs w:val="0"/>
          <w:color w:val="auto"/>
          <w:sz w:val="22"/>
          <w:szCs w:val="22"/>
        </w:rPr>
      </w:pPr>
      <w:bookmarkStart w:id="3" w:name="_Toc228166198"/>
      <w:r w:rsidRPr="0011067C">
        <w:rPr>
          <w:b w:val="0"/>
          <w:bCs w:val="0"/>
          <w:color w:val="auto"/>
          <w:sz w:val="22"/>
          <w:szCs w:val="22"/>
        </w:rPr>
        <w:t xml:space="preserve">The significance of BYD in Thailand goes beyond the case of an individual company. BYD's foreign market entry strategy - involving 100% owned manufacturing investment, vertical integration from battery cell to final vehicle, and rapid market-share capture through price competition - exemplifies a model of Chinese MNC </w:t>
      </w:r>
      <w:proofErr w:type="spellStart"/>
      <w:r w:rsidRPr="0011067C">
        <w:rPr>
          <w:b w:val="0"/>
          <w:bCs w:val="0"/>
          <w:color w:val="auto"/>
          <w:sz w:val="22"/>
          <w:szCs w:val="22"/>
        </w:rPr>
        <w:t>internationalisation</w:t>
      </w:r>
      <w:proofErr w:type="spellEnd"/>
      <w:r w:rsidRPr="0011067C">
        <w:rPr>
          <w:b w:val="0"/>
          <w:bCs w:val="0"/>
          <w:color w:val="auto"/>
          <w:sz w:val="22"/>
          <w:szCs w:val="22"/>
        </w:rPr>
        <w:t xml:space="preserve"> that poses a challenge to the existing IB theories that are largely derived from the experience of Western MNCs (Dunning and </w:t>
      </w:r>
      <w:proofErr w:type="spellStart"/>
      <w:r w:rsidRPr="0011067C">
        <w:rPr>
          <w:b w:val="0"/>
          <w:bCs w:val="0"/>
          <w:color w:val="auto"/>
          <w:sz w:val="22"/>
          <w:szCs w:val="22"/>
        </w:rPr>
        <w:t>Lundan</w:t>
      </w:r>
      <w:proofErr w:type="spellEnd"/>
      <w:r w:rsidRPr="0011067C">
        <w:rPr>
          <w:b w:val="0"/>
          <w:bCs w:val="0"/>
          <w:color w:val="auto"/>
          <w:sz w:val="22"/>
          <w:szCs w:val="22"/>
        </w:rPr>
        <w:t>, 2008).</w:t>
      </w:r>
      <w:bookmarkEnd w:id="3"/>
    </w:p>
    <w:p w14:paraId="2C3D929E" w14:textId="46959538" w:rsidR="00412576" w:rsidRDefault="00000000" w:rsidP="005F6D5D">
      <w:pPr>
        <w:pStyle w:val="Heading1"/>
        <w:spacing w:line="360" w:lineRule="auto"/>
        <w:jc w:val="both"/>
      </w:pPr>
      <w:bookmarkStart w:id="4" w:name="_Toc228166199"/>
      <w:r>
        <w:t>2</w:t>
      </w:r>
      <w:proofErr w:type="gramStart"/>
      <w:r>
        <w:t>.  Industry</w:t>
      </w:r>
      <w:proofErr w:type="gramEnd"/>
      <w:r>
        <w:t xml:space="preserve"> and Country Overview</w:t>
      </w:r>
      <w:bookmarkEnd w:id="4"/>
    </w:p>
    <w:p w14:paraId="512E8ED7" w14:textId="77777777" w:rsidR="00412576" w:rsidRDefault="00000000" w:rsidP="005F6D5D">
      <w:pPr>
        <w:pStyle w:val="Heading2"/>
        <w:spacing w:line="360" w:lineRule="auto"/>
        <w:jc w:val="both"/>
      </w:pPr>
      <w:bookmarkStart w:id="5" w:name="_Toc228166200"/>
      <w:proofErr w:type="gramStart"/>
      <w:r>
        <w:t>2.1  The</w:t>
      </w:r>
      <w:proofErr w:type="gramEnd"/>
      <w:r>
        <w:t xml:space="preserve"> Electric Vehicle Industry in the Context of Thailand</w:t>
      </w:r>
      <w:bookmarkEnd w:id="5"/>
    </w:p>
    <w:p w14:paraId="5FC344BB" w14:textId="77777777" w:rsidR="0011067C" w:rsidRPr="0011067C" w:rsidRDefault="0011067C" w:rsidP="005F6D5D">
      <w:pPr>
        <w:pStyle w:val="Heading2"/>
        <w:spacing w:line="360" w:lineRule="auto"/>
        <w:jc w:val="both"/>
        <w:rPr>
          <w:b w:val="0"/>
          <w:bCs w:val="0"/>
          <w:color w:val="auto"/>
          <w:sz w:val="22"/>
          <w:szCs w:val="22"/>
        </w:rPr>
      </w:pPr>
      <w:bookmarkStart w:id="6" w:name="_Toc228166201"/>
      <w:r w:rsidRPr="0011067C">
        <w:rPr>
          <w:b w:val="0"/>
          <w:bCs w:val="0"/>
          <w:color w:val="auto"/>
          <w:sz w:val="22"/>
          <w:szCs w:val="22"/>
        </w:rPr>
        <w:t xml:space="preserve">Over the past 50 years, the automotive sector in Thailand has developed to become a complete manufacturing ecosystem generating about 1.8 to 1.9 million vehicles each year, providing jobs to more than 750,000 people, and contributing between 10 to 12 percent to the national GDP (FTI, 2024). In 2023, the largest manufacturing export category of Thailand is the automotive parts exports, USD 34.2 billion. About 85 percent of domestic production </w:t>
      </w:r>
      <w:r w:rsidRPr="0011067C">
        <w:rPr>
          <w:b w:val="0"/>
          <w:bCs w:val="0"/>
          <w:color w:val="auto"/>
          <w:sz w:val="22"/>
          <w:szCs w:val="22"/>
        </w:rPr>
        <w:lastRenderedPageBreak/>
        <w:t xml:space="preserve">capacity is taken up by Japanese OEMs (Toyota, Honda, Isuzu, Mitsubishi, Mazda, Nissan), which is the legacy of the bilateral trade agreements and the Japanese FDI wave to the </w:t>
      </w:r>
      <w:proofErr w:type="gramStart"/>
      <w:r w:rsidRPr="0011067C">
        <w:rPr>
          <w:b w:val="0"/>
          <w:bCs w:val="0"/>
          <w:color w:val="auto"/>
          <w:sz w:val="22"/>
          <w:szCs w:val="22"/>
        </w:rPr>
        <w:t>South East</w:t>
      </w:r>
      <w:proofErr w:type="gramEnd"/>
      <w:r w:rsidRPr="0011067C">
        <w:rPr>
          <w:b w:val="0"/>
          <w:bCs w:val="0"/>
          <w:color w:val="auto"/>
          <w:sz w:val="22"/>
          <w:szCs w:val="22"/>
        </w:rPr>
        <w:t xml:space="preserve"> Asia (Doner, 2009).</w:t>
      </w:r>
      <w:bookmarkEnd w:id="6"/>
    </w:p>
    <w:p w14:paraId="22B2A567" w14:textId="77777777" w:rsidR="0011067C" w:rsidRDefault="0011067C" w:rsidP="005F6D5D">
      <w:pPr>
        <w:pStyle w:val="Heading2"/>
        <w:spacing w:line="360" w:lineRule="auto"/>
        <w:jc w:val="both"/>
        <w:rPr>
          <w:b w:val="0"/>
          <w:bCs w:val="0"/>
          <w:color w:val="auto"/>
          <w:sz w:val="22"/>
          <w:szCs w:val="22"/>
        </w:rPr>
      </w:pPr>
      <w:bookmarkStart w:id="7" w:name="_Toc228166202"/>
      <w:r w:rsidRPr="0011067C">
        <w:rPr>
          <w:b w:val="0"/>
          <w:bCs w:val="0"/>
          <w:color w:val="auto"/>
          <w:sz w:val="22"/>
          <w:szCs w:val="22"/>
        </w:rPr>
        <w:t xml:space="preserve">The EV transformation poses a threat of reforming this traditional industrial hierarchy. The Japanese manufacturers supply chain based on the internal combustion engine is technologically becoming obsolete with BEV architectures removing engine blocks, transmissions, and fuel injection gear altogether. According to Gereffi, Humphrey and Sturgeon (2005), this has resulted in a paradigm shift in global value chain governance, whereby modular forms of production networks that enabled Japanese automotive </w:t>
      </w:r>
      <w:proofErr w:type="spellStart"/>
      <w:r w:rsidRPr="0011067C">
        <w:rPr>
          <w:b w:val="0"/>
          <w:bCs w:val="0"/>
          <w:color w:val="auto"/>
          <w:sz w:val="22"/>
          <w:szCs w:val="22"/>
        </w:rPr>
        <w:t>globalisation</w:t>
      </w:r>
      <w:proofErr w:type="spellEnd"/>
      <w:r w:rsidRPr="0011067C">
        <w:rPr>
          <w:b w:val="0"/>
          <w:bCs w:val="0"/>
          <w:color w:val="auto"/>
          <w:sz w:val="22"/>
          <w:szCs w:val="22"/>
        </w:rPr>
        <w:t xml:space="preserve"> are being replaced by vertically integrated Chinese models of manufacturing. The reaction of the Thai government has been proactive: the EV 3.5 stimulus package offers consumer subsidies of THB 100,000-150,000 per vehicle, excise duties of 8-2 percent to zero, and an eight-year corporate tax holiday (BOI Thailand, 2024). Rodrik (2004) believes that these types of industrial policy tools work best in situations where the failures to coordinate are not solvable by private investment.</w:t>
      </w:r>
      <w:bookmarkEnd w:id="7"/>
    </w:p>
    <w:p w14:paraId="33BBAFBD" w14:textId="20095FF3" w:rsidR="00412576" w:rsidRDefault="00000000" w:rsidP="005F6D5D">
      <w:pPr>
        <w:pStyle w:val="Heading2"/>
        <w:spacing w:line="360" w:lineRule="auto"/>
        <w:jc w:val="both"/>
      </w:pPr>
      <w:bookmarkStart w:id="8" w:name="_Toc228166203"/>
      <w:proofErr w:type="gramStart"/>
      <w:r>
        <w:t>2.2  Size</w:t>
      </w:r>
      <w:proofErr w:type="gramEnd"/>
      <w:r>
        <w:t>, Scope, and Economic Importance of the Industry</w:t>
      </w:r>
      <w:bookmarkEnd w:id="8"/>
    </w:p>
    <w:p w14:paraId="47D56C80" w14:textId="77777777" w:rsidR="0011067C" w:rsidRDefault="0011067C" w:rsidP="005F6D5D">
      <w:pPr>
        <w:spacing w:before="160" w:after="160" w:line="360" w:lineRule="auto"/>
        <w:jc w:val="both"/>
      </w:pPr>
      <w:r w:rsidRPr="0011067C">
        <w:t>The BEV market in Thailand has been exhibiting an explosive growth since it has almost zero base. Registrations surged from 9,678 units in 2022 to 76,314 in 2023, a compound annual growth rate of approximately 688 percent, and an estimated 87,000–90,000 units in 2024 (EVAT, 2024; FTI, 2024). In 2024, the percentage of BEVs among new passenger vehicle registrations was around 11-12 percent. It is estimated that the overall addressable EV market will hit USD 810 billion by 2030 (</w:t>
      </w:r>
      <w:proofErr w:type="spellStart"/>
      <w:r w:rsidRPr="0011067C">
        <w:t>Kasikorn</w:t>
      </w:r>
      <w:proofErr w:type="spellEnd"/>
      <w:r w:rsidRPr="0011067C">
        <w:t xml:space="preserve"> Research Center, 2024), facilitated by THB 42 billion of total fiscal support, </w:t>
      </w:r>
      <w:proofErr w:type="gramStart"/>
      <w:r w:rsidRPr="0011067C">
        <w:t>since</w:t>
      </w:r>
      <w:proofErr w:type="gramEnd"/>
      <w:r w:rsidRPr="0011067C">
        <w:t xml:space="preserve"> the start of the EV 3.5 </w:t>
      </w:r>
      <w:proofErr w:type="spellStart"/>
      <w:r w:rsidRPr="0011067C">
        <w:t>programme</w:t>
      </w:r>
      <w:proofErr w:type="spellEnd"/>
      <w:r w:rsidRPr="0011067C">
        <w:t>.</w:t>
      </w:r>
    </w:p>
    <w:p w14:paraId="5623980C" w14:textId="19400390" w:rsidR="00412576" w:rsidRDefault="00000000" w:rsidP="005F6D5D">
      <w:pPr>
        <w:spacing w:before="160" w:after="160" w:line="360" w:lineRule="auto"/>
        <w:jc w:val="both"/>
      </w:pPr>
      <w:r>
        <w:rPr>
          <w:noProof/>
        </w:rPr>
        <w:drawing>
          <wp:inline distT="0" distB="0" distL="0" distR="0" wp14:anchorId="64DCF534" wp14:editId="0BB7A91B">
            <wp:extent cx="4953000" cy="2667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953000" cy="2667000"/>
                    </a:xfrm>
                    <a:prstGeom prst="rect">
                      <a:avLst/>
                    </a:prstGeom>
                  </pic:spPr>
                </pic:pic>
              </a:graphicData>
            </a:graphic>
          </wp:inline>
        </w:drawing>
      </w:r>
    </w:p>
    <w:p w14:paraId="2E8CFAF9" w14:textId="77777777" w:rsidR="00412576" w:rsidRDefault="00000000" w:rsidP="005F6D5D">
      <w:pPr>
        <w:spacing w:after="100" w:line="360" w:lineRule="auto"/>
        <w:jc w:val="both"/>
      </w:pPr>
      <w:r>
        <w:rPr>
          <w:i/>
          <w:iCs/>
          <w:color w:val="555555"/>
          <w:sz w:val="20"/>
          <w:szCs w:val="20"/>
        </w:rPr>
        <w:lastRenderedPageBreak/>
        <w:t>Figure 1: Thailand Battery Electric Vehicle (BEV) New Registrations and BEV Market Share (%), 2020–2024. Sources: EVAT (2024); FTI (2024). *2024 preliminary estimate.</w:t>
      </w:r>
    </w:p>
    <w:p w14:paraId="13267FEF" w14:textId="6C336C84" w:rsidR="00412576" w:rsidRDefault="0011067C" w:rsidP="005F6D5D">
      <w:pPr>
        <w:spacing w:before="160" w:after="160" w:line="360" w:lineRule="auto"/>
        <w:jc w:val="both"/>
      </w:pPr>
      <w:r w:rsidRPr="0011067C">
        <w:t xml:space="preserve">Infrastructure has been expedited: by Q4 2024, Thailand boasts an estimated 7,800 AC and DC charging stations publicly available in 4,200 locations, with locations clustering in Bangkok, the Eastern Seaboard, and key highway corridors (EVAT, 2024). By 2030, the government aims at 12,000 government chargers, which will be backed by PTT, EA (Energy Absolute), GPSC, Delta Electronics, and the proprietary charging network of BYD. Teece, Pisano and </w:t>
      </w:r>
      <w:proofErr w:type="spellStart"/>
      <w:r w:rsidRPr="0011067C">
        <w:t>Shuen</w:t>
      </w:r>
      <w:proofErr w:type="spellEnd"/>
      <w:r w:rsidRPr="0011067C">
        <w:t xml:space="preserve"> (1997) posit that sustained competitive advantage in infrastructure-limited systems is determined by dynamic capabilities, which are the capability to sense, grasp, and reorganize strategic assets. The development of battery supply chains is at an early </w:t>
      </w:r>
      <w:proofErr w:type="gramStart"/>
      <w:r w:rsidRPr="0011067C">
        <w:t>stage, yet</w:t>
      </w:r>
      <w:proofErr w:type="gramEnd"/>
      <w:r w:rsidRPr="0011067C">
        <w:t xml:space="preserve"> expanding; the Rayong plant of BYD will have in-house Blade Battery assembly, which will become one of the first fully vertically integrated EV complexes in the ASEAN region. Thailand, however, does not mine its own lithium, cobalt or nickel, but remains reliant on Chinese-refined battery chemicals, a structural weakness which Kaplinsky and Morris (2001) define as a concentration of geopolitical risk in supplier geographies.</w:t>
      </w:r>
      <w:r w:rsidR="00000000">
        <w:rPr>
          <w:noProof/>
        </w:rPr>
        <w:drawing>
          <wp:inline distT="0" distB="0" distL="0" distR="0" wp14:anchorId="1FDF22CA" wp14:editId="4E4658C7">
            <wp:extent cx="4953000" cy="2762250"/>
            <wp:effectExtent l="0" t="0" r="0" b="0"/>
            <wp:docPr id="1692175675" name="Picture 16921756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953000" cy="2762250"/>
                    </a:xfrm>
                    <a:prstGeom prst="rect">
                      <a:avLst/>
                    </a:prstGeom>
                  </pic:spPr>
                </pic:pic>
              </a:graphicData>
            </a:graphic>
          </wp:inline>
        </w:drawing>
      </w:r>
    </w:p>
    <w:p w14:paraId="4706B889" w14:textId="77777777" w:rsidR="00412576" w:rsidRDefault="00000000" w:rsidP="005F6D5D">
      <w:pPr>
        <w:spacing w:after="100" w:line="360" w:lineRule="auto"/>
        <w:jc w:val="both"/>
      </w:pPr>
      <w:r>
        <w:rPr>
          <w:i/>
          <w:iCs/>
          <w:color w:val="555555"/>
          <w:sz w:val="20"/>
          <w:szCs w:val="20"/>
        </w:rPr>
        <w:t xml:space="preserve">Figure 2: Thailand BEV Market Share by Manufacturer (2024 est.). Sources: EVAT (2024); FTI (2024); </w:t>
      </w:r>
      <w:proofErr w:type="spellStart"/>
      <w:r>
        <w:rPr>
          <w:i/>
          <w:iCs/>
          <w:color w:val="555555"/>
          <w:sz w:val="20"/>
          <w:szCs w:val="20"/>
        </w:rPr>
        <w:t>Kasikorn</w:t>
      </w:r>
      <w:proofErr w:type="spellEnd"/>
      <w:r>
        <w:rPr>
          <w:i/>
          <w:iCs/>
          <w:color w:val="555555"/>
          <w:sz w:val="20"/>
          <w:szCs w:val="20"/>
        </w:rPr>
        <w:t xml:space="preserve"> Research Center (2024). Note: BYD (red, 37.0%) is the focal MNC examined in Section 4.</w:t>
      </w:r>
    </w:p>
    <w:p w14:paraId="67E228E6" w14:textId="77777777" w:rsidR="00412576" w:rsidRDefault="00000000" w:rsidP="005F6D5D">
      <w:pPr>
        <w:pStyle w:val="Heading2"/>
        <w:spacing w:line="360" w:lineRule="auto"/>
        <w:jc w:val="both"/>
      </w:pPr>
      <w:bookmarkStart w:id="9" w:name="_Toc228166204"/>
      <w:proofErr w:type="gramStart"/>
      <w:r>
        <w:t>2.3  Key</w:t>
      </w:r>
      <w:proofErr w:type="gramEnd"/>
      <w:r>
        <w:t xml:space="preserve"> Domestic and Multinational Firms: Comparative Analysis</w:t>
      </w:r>
      <w:bookmarkEnd w:id="9"/>
    </w:p>
    <w:p w14:paraId="6A47E42E" w14:textId="418BB1E9" w:rsidR="00412576" w:rsidRDefault="0011067C" w:rsidP="005F6D5D">
      <w:pPr>
        <w:spacing w:after="120" w:line="360" w:lineRule="auto"/>
        <w:jc w:val="both"/>
      </w:pPr>
      <w:r w:rsidRPr="0011067C">
        <w:t xml:space="preserve">A comparative study of the main actors in the EV market of Thailand is given in a systematic manner in Table 1. Over three years, Chinese manufacturers have managed to cut through the BEV market in Thailand and take about 7075 percent of the market, pushing Japanese incumbents who had been dominating the market unchallenged in 50 years. In 2024, BYD alone is estimated to have a market share of 35-38 percent, concentrated by means of </w:t>
      </w:r>
      <w:r w:rsidRPr="0011067C">
        <w:lastRenderedPageBreak/>
        <w:t xml:space="preserve">domestic-based manufacturing investment, a proprietary charging infrastructure, and a product range ranging between the entry-level Dolphin (around THB 769,900) and the high-end Seal sedan. This is </w:t>
      </w:r>
      <w:proofErr w:type="gramStart"/>
      <w:r w:rsidRPr="0011067C">
        <w:t>the</w:t>
      </w:r>
      <w:proofErr w:type="gramEnd"/>
      <w:r w:rsidRPr="0011067C">
        <w:t xml:space="preserve"> example of the dynamic capabilities advantage which Teece, Pisano and </w:t>
      </w:r>
      <w:proofErr w:type="spellStart"/>
      <w:r w:rsidRPr="0011067C">
        <w:t>Shuen</w:t>
      </w:r>
      <w:proofErr w:type="spellEnd"/>
      <w:r w:rsidRPr="0011067C">
        <w:t xml:space="preserve"> (1997) define.</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00"/>
        <w:gridCol w:w="1550"/>
        <w:gridCol w:w="1550"/>
        <w:gridCol w:w="1450"/>
        <w:gridCol w:w="1510"/>
        <w:gridCol w:w="1900"/>
      </w:tblGrid>
      <w:tr w:rsidR="00412576" w14:paraId="563C729E" w14:textId="77777777">
        <w:tblPrEx>
          <w:tblCellMar>
            <w:top w:w="0" w:type="dxa"/>
            <w:bottom w:w="0" w:type="dxa"/>
          </w:tblCellMar>
        </w:tblPrEx>
        <w:trPr>
          <w:tblHeader/>
        </w:trPr>
        <w:tc>
          <w:tcPr>
            <w:tcW w:w="1400" w:type="dxa"/>
            <w:tcBorders>
              <w:top w:val="single" w:sz="1" w:space="0" w:color="CCCCCC"/>
              <w:left w:val="single" w:sz="1" w:space="0" w:color="CCCCCC"/>
              <w:bottom w:val="single" w:sz="1" w:space="0" w:color="CCCCCC"/>
              <w:right w:val="single" w:sz="1" w:space="0" w:color="CCCCCC"/>
            </w:tcBorders>
            <w:shd w:val="clear" w:color="auto" w:fill="1F4E79"/>
            <w:tcMar>
              <w:top w:w="60" w:type="dxa"/>
              <w:left w:w="100" w:type="dxa"/>
              <w:bottom w:w="60" w:type="dxa"/>
              <w:right w:w="100" w:type="dxa"/>
            </w:tcMar>
            <w:vAlign w:val="center"/>
          </w:tcPr>
          <w:p w14:paraId="6309B6BD" w14:textId="77777777" w:rsidR="00412576" w:rsidRDefault="00000000" w:rsidP="005F6D5D">
            <w:pPr>
              <w:spacing w:line="360" w:lineRule="auto"/>
              <w:jc w:val="both"/>
            </w:pPr>
            <w:r>
              <w:rPr>
                <w:b/>
                <w:bCs/>
                <w:color w:val="FFFFFF"/>
                <w:sz w:val="18"/>
                <w:szCs w:val="18"/>
              </w:rPr>
              <w:t>Criteria</w:t>
            </w:r>
          </w:p>
        </w:tc>
        <w:tc>
          <w:tcPr>
            <w:tcW w:w="1550" w:type="dxa"/>
            <w:tcBorders>
              <w:top w:val="single" w:sz="1" w:space="0" w:color="CCCCCC"/>
              <w:left w:val="single" w:sz="1" w:space="0" w:color="CCCCCC"/>
              <w:bottom w:val="single" w:sz="1" w:space="0" w:color="CCCCCC"/>
              <w:right w:val="single" w:sz="1" w:space="0" w:color="CCCCCC"/>
            </w:tcBorders>
            <w:shd w:val="clear" w:color="auto" w:fill="1F4E79"/>
            <w:tcMar>
              <w:top w:w="60" w:type="dxa"/>
              <w:left w:w="100" w:type="dxa"/>
              <w:bottom w:w="60" w:type="dxa"/>
              <w:right w:w="100" w:type="dxa"/>
            </w:tcMar>
            <w:vAlign w:val="center"/>
          </w:tcPr>
          <w:p w14:paraId="06B45E6F" w14:textId="77777777" w:rsidR="00412576" w:rsidRDefault="00000000" w:rsidP="005F6D5D">
            <w:pPr>
              <w:spacing w:line="360" w:lineRule="auto"/>
              <w:jc w:val="both"/>
            </w:pPr>
            <w:r>
              <w:rPr>
                <w:b/>
                <w:bCs/>
                <w:color w:val="FFFFFF"/>
                <w:sz w:val="18"/>
                <w:szCs w:val="18"/>
              </w:rPr>
              <w:t>BYD</w:t>
            </w:r>
          </w:p>
        </w:tc>
        <w:tc>
          <w:tcPr>
            <w:tcW w:w="1550" w:type="dxa"/>
            <w:tcBorders>
              <w:top w:val="single" w:sz="1" w:space="0" w:color="CCCCCC"/>
              <w:left w:val="single" w:sz="1" w:space="0" w:color="CCCCCC"/>
              <w:bottom w:val="single" w:sz="1" w:space="0" w:color="CCCCCC"/>
              <w:right w:val="single" w:sz="1" w:space="0" w:color="CCCCCC"/>
            </w:tcBorders>
            <w:shd w:val="clear" w:color="auto" w:fill="1F4E79"/>
            <w:tcMar>
              <w:top w:w="60" w:type="dxa"/>
              <w:left w:w="100" w:type="dxa"/>
              <w:bottom w:w="60" w:type="dxa"/>
              <w:right w:w="100" w:type="dxa"/>
            </w:tcMar>
            <w:vAlign w:val="center"/>
          </w:tcPr>
          <w:p w14:paraId="50977FC5" w14:textId="77777777" w:rsidR="00412576" w:rsidRDefault="00000000" w:rsidP="005F6D5D">
            <w:pPr>
              <w:spacing w:line="360" w:lineRule="auto"/>
              <w:jc w:val="both"/>
            </w:pPr>
            <w:r>
              <w:rPr>
                <w:b/>
                <w:bCs/>
                <w:color w:val="FFFFFF"/>
                <w:sz w:val="18"/>
                <w:szCs w:val="18"/>
              </w:rPr>
              <w:t>Great Wall / Ora</w:t>
            </w:r>
          </w:p>
        </w:tc>
        <w:tc>
          <w:tcPr>
            <w:tcW w:w="1450" w:type="dxa"/>
            <w:tcBorders>
              <w:top w:val="single" w:sz="1" w:space="0" w:color="CCCCCC"/>
              <w:left w:val="single" w:sz="1" w:space="0" w:color="CCCCCC"/>
              <w:bottom w:val="single" w:sz="1" w:space="0" w:color="CCCCCC"/>
              <w:right w:val="single" w:sz="1" w:space="0" w:color="CCCCCC"/>
            </w:tcBorders>
            <w:shd w:val="clear" w:color="auto" w:fill="1F4E79"/>
            <w:tcMar>
              <w:top w:w="60" w:type="dxa"/>
              <w:left w:w="100" w:type="dxa"/>
              <w:bottom w:w="60" w:type="dxa"/>
              <w:right w:w="100" w:type="dxa"/>
            </w:tcMar>
            <w:vAlign w:val="center"/>
          </w:tcPr>
          <w:p w14:paraId="5F0D924A" w14:textId="77777777" w:rsidR="00412576" w:rsidRDefault="00000000" w:rsidP="005F6D5D">
            <w:pPr>
              <w:spacing w:line="360" w:lineRule="auto"/>
              <w:jc w:val="both"/>
            </w:pPr>
            <w:r>
              <w:rPr>
                <w:b/>
                <w:bCs/>
                <w:color w:val="FFFFFF"/>
                <w:sz w:val="18"/>
                <w:szCs w:val="18"/>
              </w:rPr>
              <w:t>NETA (</w:t>
            </w:r>
            <w:proofErr w:type="spellStart"/>
            <w:r>
              <w:rPr>
                <w:b/>
                <w:bCs/>
                <w:color w:val="FFFFFF"/>
                <w:sz w:val="18"/>
                <w:szCs w:val="18"/>
              </w:rPr>
              <w:t>Hozon</w:t>
            </w:r>
            <w:proofErr w:type="spellEnd"/>
            <w:r>
              <w:rPr>
                <w:b/>
                <w:bCs/>
                <w:color w:val="FFFFFF"/>
                <w:sz w:val="18"/>
                <w:szCs w:val="18"/>
              </w:rPr>
              <w:t>)</w:t>
            </w:r>
          </w:p>
        </w:tc>
        <w:tc>
          <w:tcPr>
            <w:tcW w:w="1510" w:type="dxa"/>
            <w:tcBorders>
              <w:top w:val="single" w:sz="1" w:space="0" w:color="CCCCCC"/>
              <w:left w:val="single" w:sz="1" w:space="0" w:color="CCCCCC"/>
              <w:bottom w:val="single" w:sz="1" w:space="0" w:color="CCCCCC"/>
              <w:right w:val="single" w:sz="1" w:space="0" w:color="CCCCCC"/>
            </w:tcBorders>
            <w:shd w:val="clear" w:color="auto" w:fill="1F4E79"/>
            <w:tcMar>
              <w:top w:w="60" w:type="dxa"/>
              <w:left w:w="100" w:type="dxa"/>
              <w:bottom w:w="60" w:type="dxa"/>
              <w:right w:w="100" w:type="dxa"/>
            </w:tcMar>
            <w:vAlign w:val="center"/>
          </w:tcPr>
          <w:p w14:paraId="26B2060A" w14:textId="77777777" w:rsidR="00412576" w:rsidRDefault="00000000" w:rsidP="005F6D5D">
            <w:pPr>
              <w:spacing w:line="360" w:lineRule="auto"/>
              <w:jc w:val="both"/>
            </w:pPr>
            <w:r>
              <w:rPr>
                <w:b/>
                <w:bCs/>
                <w:color w:val="FFFFFF"/>
                <w:sz w:val="18"/>
                <w:szCs w:val="18"/>
              </w:rPr>
              <w:t>MG / SAIC</w:t>
            </w:r>
          </w:p>
        </w:tc>
        <w:tc>
          <w:tcPr>
            <w:tcW w:w="1900" w:type="dxa"/>
            <w:tcBorders>
              <w:top w:val="single" w:sz="1" w:space="0" w:color="CCCCCC"/>
              <w:left w:val="single" w:sz="1" w:space="0" w:color="CCCCCC"/>
              <w:bottom w:val="single" w:sz="1" w:space="0" w:color="CCCCCC"/>
              <w:right w:val="single" w:sz="1" w:space="0" w:color="CCCCCC"/>
            </w:tcBorders>
            <w:shd w:val="clear" w:color="auto" w:fill="1F4E79"/>
            <w:tcMar>
              <w:top w:w="60" w:type="dxa"/>
              <w:left w:w="100" w:type="dxa"/>
              <w:bottom w:w="60" w:type="dxa"/>
              <w:right w:w="100" w:type="dxa"/>
            </w:tcMar>
            <w:vAlign w:val="center"/>
          </w:tcPr>
          <w:p w14:paraId="169E695B" w14:textId="77777777" w:rsidR="00412576" w:rsidRDefault="00000000" w:rsidP="005F6D5D">
            <w:pPr>
              <w:spacing w:line="360" w:lineRule="auto"/>
              <w:jc w:val="both"/>
            </w:pPr>
            <w:r>
              <w:rPr>
                <w:b/>
                <w:bCs/>
                <w:color w:val="FFFFFF"/>
                <w:sz w:val="18"/>
                <w:szCs w:val="18"/>
              </w:rPr>
              <w:t>Toyota</w:t>
            </w:r>
          </w:p>
        </w:tc>
      </w:tr>
      <w:tr w:rsidR="00412576" w14:paraId="683C34CB" w14:textId="77777777">
        <w:tblPrEx>
          <w:tblCellMar>
            <w:top w:w="0" w:type="dxa"/>
            <w:bottom w:w="0" w:type="dxa"/>
          </w:tblCellMar>
        </w:tblPrEx>
        <w:tc>
          <w:tcPr>
            <w:tcW w:w="1400" w:type="dxa"/>
            <w:tcBorders>
              <w:top w:val="single" w:sz="1" w:space="0" w:color="CCCCCC"/>
              <w:left w:val="single" w:sz="1" w:space="0" w:color="CCCCCC"/>
              <w:bottom w:val="single" w:sz="1" w:space="0" w:color="CCCCCC"/>
              <w:right w:val="single" w:sz="1" w:space="0" w:color="CCCCCC"/>
            </w:tcBorders>
            <w:shd w:val="clear" w:color="auto" w:fill="D6E4F0"/>
            <w:tcMar>
              <w:top w:w="60" w:type="dxa"/>
              <w:left w:w="100" w:type="dxa"/>
              <w:bottom w:w="60" w:type="dxa"/>
              <w:right w:w="100" w:type="dxa"/>
            </w:tcMar>
            <w:vAlign w:val="center"/>
          </w:tcPr>
          <w:p w14:paraId="6805F7D4" w14:textId="77777777" w:rsidR="00412576" w:rsidRDefault="00000000" w:rsidP="005F6D5D">
            <w:pPr>
              <w:spacing w:line="360" w:lineRule="auto"/>
              <w:jc w:val="both"/>
            </w:pPr>
            <w:r>
              <w:rPr>
                <w:color w:val="000000"/>
                <w:sz w:val="18"/>
                <w:szCs w:val="18"/>
              </w:rPr>
              <w:t>Origin</w:t>
            </w:r>
          </w:p>
        </w:tc>
        <w:tc>
          <w:tcPr>
            <w:tcW w:w="155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48017773" w14:textId="77777777" w:rsidR="00412576" w:rsidRDefault="00000000" w:rsidP="005F6D5D">
            <w:pPr>
              <w:spacing w:line="360" w:lineRule="auto"/>
              <w:jc w:val="both"/>
            </w:pPr>
            <w:r>
              <w:rPr>
                <w:color w:val="000000"/>
                <w:sz w:val="18"/>
                <w:szCs w:val="18"/>
              </w:rPr>
              <w:t>China; Shenzhen-listed</w:t>
            </w:r>
          </w:p>
        </w:tc>
        <w:tc>
          <w:tcPr>
            <w:tcW w:w="155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B506525" w14:textId="77777777" w:rsidR="00412576" w:rsidRDefault="00000000" w:rsidP="005F6D5D">
            <w:pPr>
              <w:spacing w:line="360" w:lineRule="auto"/>
              <w:jc w:val="both"/>
            </w:pPr>
            <w:r>
              <w:rPr>
                <w:color w:val="000000"/>
                <w:sz w:val="18"/>
                <w:szCs w:val="18"/>
              </w:rPr>
              <w:t>China; Shanghai-listed</w:t>
            </w:r>
          </w:p>
        </w:tc>
        <w:tc>
          <w:tcPr>
            <w:tcW w:w="145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6452BA2" w14:textId="77777777" w:rsidR="00412576" w:rsidRDefault="00000000" w:rsidP="005F6D5D">
            <w:pPr>
              <w:spacing w:line="360" w:lineRule="auto"/>
              <w:jc w:val="both"/>
            </w:pPr>
            <w:r>
              <w:rPr>
                <w:color w:val="000000"/>
                <w:sz w:val="18"/>
                <w:szCs w:val="18"/>
              </w:rPr>
              <w:t>China; private (Series D)</w:t>
            </w:r>
          </w:p>
        </w:tc>
        <w:tc>
          <w:tcPr>
            <w:tcW w:w="151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6A7D4F9" w14:textId="77777777" w:rsidR="00412576" w:rsidRDefault="00000000" w:rsidP="005F6D5D">
            <w:pPr>
              <w:spacing w:line="360" w:lineRule="auto"/>
              <w:jc w:val="both"/>
            </w:pPr>
            <w:r>
              <w:rPr>
                <w:color w:val="000000"/>
                <w:sz w:val="18"/>
                <w:szCs w:val="18"/>
              </w:rPr>
              <w:t>China (SAIC); UK-heritage</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FA2163E" w14:textId="77777777" w:rsidR="00412576" w:rsidRDefault="00000000" w:rsidP="005F6D5D">
            <w:pPr>
              <w:spacing w:line="360" w:lineRule="auto"/>
              <w:jc w:val="both"/>
            </w:pPr>
            <w:r>
              <w:rPr>
                <w:color w:val="000000"/>
                <w:sz w:val="18"/>
                <w:szCs w:val="18"/>
              </w:rPr>
              <w:t>Japan; TYO/NYSE-listed</w:t>
            </w:r>
          </w:p>
        </w:tc>
      </w:tr>
      <w:tr w:rsidR="00412576" w14:paraId="30A83D44" w14:textId="77777777">
        <w:tblPrEx>
          <w:tblCellMar>
            <w:top w:w="0" w:type="dxa"/>
            <w:bottom w:w="0" w:type="dxa"/>
          </w:tblCellMar>
        </w:tblPrEx>
        <w:tc>
          <w:tcPr>
            <w:tcW w:w="1400" w:type="dxa"/>
            <w:tcBorders>
              <w:top w:val="single" w:sz="1" w:space="0" w:color="CCCCCC"/>
              <w:left w:val="single" w:sz="1" w:space="0" w:color="CCCCCC"/>
              <w:bottom w:val="single" w:sz="1" w:space="0" w:color="CCCCCC"/>
              <w:right w:val="single" w:sz="1" w:space="0" w:color="CCCCCC"/>
            </w:tcBorders>
            <w:shd w:val="clear" w:color="auto" w:fill="D6E4F0"/>
            <w:tcMar>
              <w:top w:w="60" w:type="dxa"/>
              <w:left w:w="100" w:type="dxa"/>
              <w:bottom w:w="60" w:type="dxa"/>
              <w:right w:w="100" w:type="dxa"/>
            </w:tcMar>
            <w:vAlign w:val="center"/>
          </w:tcPr>
          <w:p w14:paraId="68C23BA4" w14:textId="77777777" w:rsidR="00412576" w:rsidRDefault="00000000" w:rsidP="005F6D5D">
            <w:pPr>
              <w:spacing w:line="360" w:lineRule="auto"/>
              <w:jc w:val="both"/>
            </w:pPr>
            <w:r>
              <w:rPr>
                <w:color w:val="000000"/>
                <w:sz w:val="18"/>
                <w:szCs w:val="18"/>
              </w:rPr>
              <w:t>Global Revenue FY2023</w:t>
            </w:r>
          </w:p>
        </w:tc>
        <w:tc>
          <w:tcPr>
            <w:tcW w:w="155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E76F1FE" w14:textId="77777777" w:rsidR="00412576" w:rsidRDefault="00000000" w:rsidP="005F6D5D">
            <w:pPr>
              <w:spacing w:line="360" w:lineRule="auto"/>
              <w:jc w:val="both"/>
            </w:pPr>
            <w:r>
              <w:rPr>
                <w:color w:val="000000"/>
                <w:sz w:val="18"/>
                <w:szCs w:val="18"/>
              </w:rPr>
              <w:t>CNY 602.3B (~USD 84.9B)</w:t>
            </w:r>
          </w:p>
        </w:tc>
        <w:tc>
          <w:tcPr>
            <w:tcW w:w="155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42EA14C" w14:textId="77777777" w:rsidR="00412576" w:rsidRDefault="00000000" w:rsidP="005F6D5D">
            <w:pPr>
              <w:spacing w:line="360" w:lineRule="auto"/>
              <w:jc w:val="both"/>
            </w:pPr>
            <w:r>
              <w:rPr>
                <w:color w:val="000000"/>
                <w:sz w:val="18"/>
                <w:szCs w:val="18"/>
              </w:rPr>
              <w:t>CNY 174.2B (~USD 24.5B)</w:t>
            </w:r>
          </w:p>
        </w:tc>
        <w:tc>
          <w:tcPr>
            <w:tcW w:w="145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BEEBC8B" w14:textId="77777777" w:rsidR="00412576" w:rsidRDefault="00000000" w:rsidP="005F6D5D">
            <w:pPr>
              <w:spacing w:line="360" w:lineRule="auto"/>
              <w:jc w:val="both"/>
            </w:pPr>
            <w:r>
              <w:rPr>
                <w:color w:val="000000"/>
                <w:sz w:val="18"/>
                <w:szCs w:val="18"/>
              </w:rPr>
              <w:t>~CNY 12B (~USD 1.7B)</w:t>
            </w:r>
          </w:p>
        </w:tc>
        <w:tc>
          <w:tcPr>
            <w:tcW w:w="151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10C41BD5" w14:textId="77777777" w:rsidR="00412576" w:rsidRDefault="00000000" w:rsidP="005F6D5D">
            <w:pPr>
              <w:spacing w:line="360" w:lineRule="auto"/>
              <w:jc w:val="both"/>
            </w:pPr>
            <w:r>
              <w:rPr>
                <w:color w:val="000000"/>
                <w:sz w:val="18"/>
                <w:szCs w:val="18"/>
              </w:rPr>
              <w:t>CNY 730B (SAIC group)</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4E6C6D41" w14:textId="77777777" w:rsidR="00412576" w:rsidRDefault="00000000" w:rsidP="005F6D5D">
            <w:pPr>
              <w:spacing w:line="360" w:lineRule="auto"/>
              <w:jc w:val="both"/>
            </w:pPr>
            <w:r>
              <w:rPr>
                <w:color w:val="000000"/>
                <w:sz w:val="18"/>
                <w:szCs w:val="18"/>
              </w:rPr>
              <w:t>JPY 45.1T (~USD 302B)</w:t>
            </w:r>
          </w:p>
        </w:tc>
      </w:tr>
      <w:tr w:rsidR="00412576" w14:paraId="302874C6" w14:textId="77777777">
        <w:tblPrEx>
          <w:tblCellMar>
            <w:top w:w="0" w:type="dxa"/>
            <w:bottom w:w="0" w:type="dxa"/>
          </w:tblCellMar>
        </w:tblPrEx>
        <w:tc>
          <w:tcPr>
            <w:tcW w:w="1400" w:type="dxa"/>
            <w:tcBorders>
              <w:top w:val="single" w:sz="1" w:space="0" w:color="CCCCCC"/>
              <w:left w:val="single" w:sz="1" w:space="0" w:color="CCCCCC"/>
              <w:bottom w:val="single" w:sz="1" w:space="0" w:color="CCCCCC"/>
              <w:right w:val="single" w:sz="1" w:space="0" w:color="CCCCCC"/>
            </w:tcBorders>
            <w:shd w:val="clear" w:color="auto" w:fill="D6E4F0"/>
            <w:tcMar>
              <w:top w:w="60" w:type="dxa"/>
              <w:left w:w="100" w:type="dxa"/>
              <w:bottom w:w="60" w:type="dxa"/>
              <w:right w:w="100" w:type="dxa"/>
            </w:tcMar>
            <w:vAlign w:val="center"/>
          </w:tcPr>
          <w:p w14:paraId="41432DB3" w14:textId="77777777" w:rsidR="00412576" w:rsidRDefault="00000000" w:rsidP="005F6D5D">
            <w:pPr>
              <w:spacing w:line="360" w:lineRule="auto"/>
              <w:jc w:val="both"/>
            </w:pPr>
            <w:r>
              <w:rPr>
                <w:color w:val="000000"/>
                <w:sz w:val="18"/>
                <w:szCs w:val="18"/>
              </w:rPr>
              <w:t>Thai EV Models (2024)</w:t>
            </w:r>
          </w:p>
        </w:tc>
        <w:tc>
          <w:tcPr>
            <w:tcW w:w="155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493CF741" w14:textId="77777777" w:rsidR="00412576" w:rsidRDefault="00000000" w:rsidP="005F6D5D">
            <w:pPr>
              <w:spacing w:line="360" w:lineRule="auto"/>
              <w:jc w:val="both"/>
            </w:pPr>
            <w:r>
              <w:rPr>
                <w:color w:val="000000"/>
                <w:sz w:val="18"/>
                <w:szCs w:val="18"/>
              </w:rPr>
              <w:t>Atto 3, Dolphin, Seal, Seal U</w:t>
            </w:r>
          </w:p>
        </w:tc>
        <w:tc>
          <w:tcPr>
            <w:tcW w:w="155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42E6608A" w14:textId="77777777" w:rsidR="00412576" w:rsidRDefault="00000000" w:rsidP="005F6D5D">
            <w:pPr>
              <w:spacing w:line="360" w:lineRule="auto"/>
              <w:jc w:val="both"/>
            </w:pPr>
            <w:r>
              <w:rPr>
                <w:color w:val="000000"/>
                <w:sz w:val="18"/>
                <w:szCs w:val="18"/>
              </w:rPr>
              <w:t>Ora Good Cat; Haval H6 PHEV</w:t>
            </w:r>
          </w:p>
        </w:tc>
        <w:tc>
          <w:tcPr>
            <w:tcW w:w="145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1B126580" w14:textId="77777777" w:rsidR="00412576" w:rsidRDefault="00000000" w:rsidP="005F6D5D">
            <w:pPr>
              <w:spacing w:line="360" w:lineRule="auto"/>
              <w:jc w:val="both"/>
            </w:pPr>
            <w:r>
              <w:rPr>
                <w:color w:val="000000"/>
                <w:sz w:val="18"/>
                <w:szCs w:val="18"/>
              </w:rPr>
              <w:t>NETA V, NETA S</w:t>
            </w:r>
          </w:p>
        </w:tc>
        <w:tc>
          <w:tcPr>
            <w:tcW w:w="151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BCCB166" w14:textId="77777777" w:rsidR="00412576" w:rsidRDefault="00000000" w:rsidP="005F6D5D">
            <w:pPr>
              <w:spacing w:line="360" w:lineRule="auto"/>
              <w:jc w:val="both"/>
            </w:pPr>
            <w:r>
              <w:rPr>
                <w:color w:val="000000"/>
                <w:sz w:val="18"/>
                <w:szCs w:val="18"/>
              </w:rPr>
              <w:t>MG4, MG ZS EV, MG EP</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6BE5DFC" w14:textId="77777777" w:rsidR="00412576" w:rsidRDefault="00000000" w:rsidP="005F6D5D">
            <w:pPr>
              <w:spacing w:line="360" w:lineRule="auto"/>
              <w:jc w:val="both"/>
            </w:pPr>
            <w:r>
              <w:rPr>
                <w:color w:val="000000"/>
                <w:sz w:val="18"/>
                <w:szCs w:val="18"/>
              </w:rPr>
              <w:t>bZ4X; HEV dominant</w:t>
            </w:r>
          </w:p>
        </w:tc>
      </w:tr>
      <w:tr w:rsidR="00412576" w14:paraId="0532FAE9" w14:textId="77777777">
        <w:tblPrEx>
          <w:tblCellMar>
            <w:top w:w="0" w:type="dxa"/>
            <w:bottom w:w="0" w:type="dxa"/>
          </w:tblCellMar>
        </w:tblPrEx>
        <w:tc>
          <w:tcPr>
            <w:tcW w:w="1400" w:type="dxa"/>
            <w:tcBorders>
              <w:top w:val="single" w:sz="1" w:space="0" w:color="CCCCCC"/>
              <w:left w:val="single" w:sz="1" w:space="0" w:color="CCCCCC"/>
              <w:bottom w:val="single" w:sz="1" w:space="0" w:color="CCCCCC"/>
              <w:right w:val="single" w:sz="1" w:space="0" w:color="CCCCCC"/>
            </w:tcBorders>
            <w:shd w:val="clear" w:color="auto" w:fill="D6E4F0"/>
            <w:tcMar>
              <w:top w:w="60" w:type="dxa"/>
              <w:left w:w="100" w:type="dxa"/>
              <w:bottom w:w="60" w:type="dxa"/>
              <w:right w:w="100" w:type="dxa"/>
            </w:tcMar>
            <w:vAlign w:val="center"/>
          </w:tcPr>
          <w:p w14:paraId="1B149CCF" w14:textId="77777777" w:rsidR="00412576" w:rsidRDefault="00000000" w:rsidP="005F6D5D">
            <w:pPr>
              <w:spacing w:line="360" w:lineRule="auto"/>
              <w:jc w:val="both"/>
            </w:pPr>
            <w:r>
              <w:rPr>
                <w:color w:val="000000"/>
                <w:sz w:val="18"/>
                <w:szCs w:val="18"/>
              </w:rPr>
              <w:t>Thai Manufacturing</w:t>
            </w:r>
          </w:p>
        </w:tc>
        <w:tc>
          <w:tcPr>
            <w:tcW w:w="155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0D0729E" w14:textId="77777777" w:rsidR="00412576" w:rsidRDefault="00000000" w:rsidP="005F6D5D">
            <w:pPr>
              <w:spacing w:line="360" w:lineRule="auto"/>
              <w:jc w:val="both"/>
            </w:pPr>
            <w:r>
              <w:rPr>
                <w:color w:val="000000"/>
                <w:sz w:val="18"/>
                <w:szCs w:val="18"/>
              </w:rPr>
              <w:t>Rayong factory (2024); 150K–500K cap.</w:t>
            </w:r>
          </w:p>
        </w:tc>
        <w:tc>
          <w:tcPr>
            <w:tcW w:w="155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7C9BA77" w14:textId="77777777" w:rsidR="00412576" w:rsidRDefault="00000000" w:rsidP="005F6D5D">
            <w:pPr>
              <w:spacing w:line="360" w:lineRule="auto"/>
              <w:jc w:val="both"/>
            </w:pPr>
            <w:r>
              <w:rPr>
                <w:color w:val="000000"/>
                <w:sz w:val="18"/>
                <w:szCs w:val="18"/>
              </w:rPr>
              <w:t>Rayong factory (2024); ~80K cap.</w:t>
            </w:r>
          </w:p>
        </w:tc>
        <w:tc>
          <w:tcPr>
            <w:tcW w:w="145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103415E" w14:textId="77777777" w:rsidR="00412576" w:rsidRDefault="00000000" w:rsidP="005F6D5D">
            <w:pPr>
              <w:spacing w:line="360" w:lineRule="auto"/>
              <w:jc w:val="both"/>
            </w:pPr>
            <w:r>
              <w:rPr>
                <w:color w:val="000000"/>
                <w:sz w:val="18"/>
                <w:szCs w:val="18"/>
              </w:rPr>
              <w:t>CKD assembly; no owned factory</w:t>
            </w:r>
          </w:p>
        </w:tc>
        <w:tc>
          <w:tcPr>
            <w:tcW w:w="151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4EFAC29" w14:textId="77777777" w:rsidR="00412576" w:rsidRDefault="00000000" w:rsidP="005F6D5D">
            <w:pPr>
              <w:spacing w:line="360" w:lineRule="auto"/>
              <w:jc w:val="both"/>
            </w:pPr>
            <w:r>
              <w:rPr>
                <w:color w:val="000000"/>
                <w:sz w:val="18"/>
                <w:szCs w:val="18"/>
              </w:rPr>
              <w:t>Chonburi factory; ~100K EV cap.</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19AC61DC" w14:textId="77777777" w:rsidR="00412576" w:rsidRDefault="00000000" w:rsidP="005F6D5D">
            <w:pPr>
              <w:spacing w:line="360" w:lineRule="auto"/>
              <w:jc w:val="both"/>
            </w:pPr>
            <w:r>
              <w:rPr>
                <w:color w:val="000000"/>
                <w:sz w:val="18"/>
                <w:szCs w:val="18"/>
              </w:rPr>
              <w:t>Gateway/</w:t>
            </w:r>
            <w:proofErr w:type="spellStart"/>
            <w:r>
              <w:rPr>
                <w:color w:val="000000"/>
                <w:sz w:val="18"/>
                <w:szCs w:val="18"/>
              </w:rPr>
              <w:t>Samrong</w:t>
            </w:r>
            <w:proofErr w:type="spellEnd"/>
            <w:r>
              <w:rPr>
                <w:color w:val="000000"/>
                <w:sz w:val="18"/>
                <w:szCs w:val="18"/>
              </w:rPr>
              <w:t xml:space="preserve"> plants; ICE/HEV; minimal BEV</w:t>
            </w:r>
          </w:p>
        </w:tc>
      </w:tr>
      <w:tr w:rsidR="00412576" w14:paraId="71F48FC7" w14:textId="77777777">
        <w:tblPrEx>
          <w:tblCellMar>
            <w:top w:w="0" w:type="dxa"/>
            <w:bottom w:w="0" w:type="dxa"/>
          </w:tblCellMar>
        </w:tblPrEx>
        <w:tc>
          <w:tcPr>
            <w:tcW w:w="1400" w:type="dxa"/>
            <w:tcBorders>
              <w:top w:val="single" w:sz="1" w:space="0" w:color="CCCCCC"/>
              <w:left w:val="single" w:sz="1" w:space="0" w:color="CCCCCC"/>
              <w:bottom w:val="single" w:sz="1" w:space="0" w:color="CCCCCC"/>
              <w:right w:val="single" w:sz="1" w:space="0" w:color="CCCCCC"/>
            </w:tcBorders>
            <w:shd w:val="clear" w:color="auto" w:fill="D6E4F0"/>
            <w:tcMar>
              <w:top w:w="60" w:type="dxa"/>
              <w:left w:w="100" w:type="dxa"/>
              <w:bottom w:w="60" w:type="dxa"/>
              <w:right w:w="100" w:type="dxa"/>
            </w:tcMar>
            <w:vAlign w:val="center"/>
          </w:tcPr>
          <w:p w14:paraId="0FD062C9" w14:textId="77777777" w:rsidR="00412576" w:rsidRDefault="00000000" w:rsidP="005F6D5D">
            <w:pPr>
              <w:spacing w:line="360" w:lineRule="auto"/>
              <w:jc w:val="both"/>
            </w:pPr>
            <w:r>
              <w:rPr>
                <w:color w:val="000000"/>
                <w:sz w:val="18"/>
                <w:szCs w:val="18"/>
              </w:rPr>
              <w:t>Battery Strategy</w:t>
            </w:r>
          </w:p>
        </w:tc>
        <w:tc>
          <w:tcPr>
            <w:tcW w:w="155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486A7DF4" w14:textId="77777777" w:rsidR="00412576" w:rsidRDefault="00000000" w:rsidP="005F6D5D">
            <w:pPr>
              <w:spacing w:line="360" w:lineRule="auto"/>
              <w:jc w:val="both"/>
            </w:pPr>
            <w:r>
              <w:rPr>
                <w:color w:val="000000"/>
                <w:sz w:val="18"/>
                <w:szCs w:val="18"/>
              </w:rPr>
              <w:t>In-house Blade Battery (LFP)</w:t>
            </w:r>
          </w:p>
        </w:tc>
        <w:tc>
          <w:tcPr>
            <w:tcW w:w="155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86ED7AD" w14:textId="77777777" w:rsidR="00412576" w:rsidRDefault="00000000" w:rsidP="005F6D5D">
            <w:pPr>
              <w:spacing w:line="360" w:lineRule="auto"/>
              <w:jc w:val="both"/>
            </w:pPr>
            <w:r>
              <w:rPr>
                <w:color w:val="000000"/>
                <w:sz w:val="18"/>
                <w:szCs w:val="18"/>
              </w:rPr>
              <w:t>SVOLT (affiliate); CATL supply</w:t>
            </w:r>
          </w:p>
        </w:tc>
        <w:tc>
          <w:tcPr>
            <w:tcW w:w="145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F54E01E" w14:textId="77777777" w:rsidR="00412576" w:rsidRDefault="00000000" w:rsidP="005F6D5D">
            <w:pPr>
              <w:spacing w:line="360" w:lineRule="auto"/>
              <w:jc w:val="both"/>
            </w:pPr>
            <w:r>
              <w:rPr>
                <w:color w:val="000000"/>
                <w:sz w:val="18"/>
                <w:szCs w:val="18"/>
              </w:rPr>
              <w:t>CATL supply; no in-house cells</w:t>
            </w:r>
          </w:p>
        </w:tc>
        <w:tc>
          <w:tcPr>
            <w:tcW w:w="151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46269153" w14:textId="77777777" w:rsidR="00412576" w:rsidRDefault="00000000" w:rsidP="005F6D5D">
            <w:pPr>
              <w:spacing w:line="360" w:lineRule="auto"/>
              <w:jc w:val="both"/>
            </w:pPr>
            <w:r>
              <w:rPr>
                <w:color w:val="000000"/>
                <w:sz w:val="18"/>
                <w:szCs w:val="18"/>
              </w:rPr>
              <w:t>CATL supply; SAIC JVs</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0A2005B" w14:textId="77777777" w:rsidR="00412576" w:rsidRDefault="00000000" w:rsidP="005F6D5D">
            <w:pPr>
              <w:spacing w:line="360" w:lineRule="auto"/>
              <w:jc w:val="both"/>
            </w:pPr>
            <w:r>
              <w:rPr>
                <w:color w:val="000000"/>
                <w:sz w:val="18"/>
                <w:szCs w:val="18"/>
              </w:rPr>
              <w:t>Panasonic JV; solid-state R&amp;D</w:t>
            </w:r>
          </w:p>
        </w:tc>
      </w:tr>
    </w:tbl>
    <w:p w14:paraId="4E3CB4A3" w14:textId="77777777" w:rsidR="00412576" w:rsidRDefault="00000000" w:rsidP="005F6D5D">
      <w:pPr>
        <w:spacing w:after="100" w:line="360" w:lineRule="auto"/>
        <w:jc w:val="both"/>
      </w:pPr>
      <w:r>
        <w:rPr>
          <w:i/>
          <w:iCs/>
          <w:color w:val="555555"/>
          <w:sz w:val="20"/>
          <w:szCs w:val="20"/>
        </w:rPr>
        <w:t>Table 1: Comparative positioning of key firms in the Thailand EV market. Sources: BYD Annual Report (2023); Great Wall Motor (2023); SAIC Motor (2023); Toyota Motor Corporation (2023); EVAT (2024); FTI (2024); BOI Thailand (2024).</w:t>
      </w:r>
    </w:p>
    <w:p w14:paraId="09EAA80F" w14:textId="77777777" w:rsidR="00412576" w:rsidRDefault="00000000" w:rsidP="005F6D5D">
      <w:pPr>
        <w:pStyle w:val="Heading1"/>
        <w:spacing w:line="360" w:lineRule="auto"/>
        <w:jc w:val="both"/>
      </w:pPr>
      <w:bookmarkStart w:id="10" w:name="_Toc228166205"/>
      <w:r>
        <w:t>3.  Porter's Diamond Model of National Advantage: Thailand Electric Vehicle Industry</w:t>
      </w:r>
      <w:bookmarkEnd w:id="10"/>
    </w:p>
    <w:p w14:paraId="09CFA53E" w14:textId="4DFD6F7B" w:rsidR="00412576" w:rsidRDefault="0011067C" w:rsidP="005F6D5D">
      <w:pPr>
        <w:spacing w:before="160" w:after="160" w:line="360" w:lineRule="auto"/>
        <w:jc w:val="both"/>
      </w:pPr>
      <w:r w:rsidRPr="0011067C">
        <w:t xml:space="preserve">To analyze systemic competitive advantage at a national industry level, Porters (1990) Diamond Model is the analytical model to be used. The four determinants Factor Conditions, Demand Conditions, Related and Supporting Industries, and Firm Strategy, Structure and Rivalry, along with Government and Chance, shed light on the structural forces that will influence the emergent EV industry in Thailand. The Diamond unveils an economy with strong automotive production capacities and aggressive government intervention, accompanied </w:t>
      </w:r>
      <w:proofErr w:type="gramStart"/>
      <w:r w:rsidRPr="0011067C">
        <w:t>with</w:t>
      </w:r>
      <w:proofErr w:type="gramEnd"/>
      <w:r w:rsidRPr="0011067C">
        <w:t xml:space="preserve"> </w:t>
      </w:r>
      <w:r w:rsidRPr="0011067C">
        <w:lastRenderedPageBreak/>
        <w:t>severe reliance on imported battery materials and susceptibility to Middle East geopolitical interference.</w:t>
      </w:r>
      <w:r w:rsidR="00000000">
        <w:rPr>
          <w:noProof/>
        </w:rPr>
        <w:drawing>
          <wp:inline distT="0" distB="0" distL="0" distR="0" wp14:anchorId="7BC8A960" wp14:editId="5C16B4F8">
            <wp:extent cx="4953000" cy="3048000"/>
            <wp:effectExtent l="0" t="0" r="0" b="0"/>
            <wp:docPr id="815563662" name="Picture 8155636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953000" cy="3048000"/>
                    </a:xfrm>
                    <a:prstGeom prst="rect">
                      <a:avLst/>
                    </a:prstGeom>
                  </pic:spPr>
                </pic:pic>
              </a:graphicData>
            </a:graphic>
          </wp:inline>
        </w:drawing>
      </w:r>
    </w:p>
    <w:p w14:paraId="7E02FAC2" w14:textId="77777777" w:rsidR="00412576" w:rsidRDefault="00000000" w:rsidP="005F6D5D">
      <w:pPr>
        <w:spacing w:after="100" w:line="360" w:lineRule="auto"/>
        <w:jc w:val="both"/>
      </w:pPr>
      <w:r>
        <w:rPr>
          <w:i/>
          <w:iCs/>
          <w:color w:val="555555"/>
          <w:sz w:val="20"/>
          <w:szCs w:val="20"/>
        </w:rPr>
        <w:t>Figure 3: Porter's Diamond — Thailand EV Industry Mind Map. Adapted from Porter (1990). Sources: BOI Thailand (2024); EVAT (2024); FTI (2024).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3680"/>
        <w:gridCol w:w="3680"/>
      </w:tblGrid>
      <w:tr w:rsidR="00412576" w14:paraId="0DCCEC86" w14:textId="77777777">
        <w:tblPrEx>
          <w:tblCellMar>
            <w:top w:w="0" w:type="dxa"/>
            <w:bottom w:w="0" w:type="dxa"/>
          </w:tblCellMar>
        </w:tblPrEx>
        <w:trPr>
          <w:tblHeader/>
        </w:trPr>
        <w:tc>
          <w:tcPr>
            <w:tcW w:w="2000" w:type="dxa"/>
            <w:tcBorders>
              <w:top w:val="single" w:sz="1" w:space="0" w:color="CCCCCC"/>
              <w:left w:val="single" w:sz="1" w:space="0" w:color="CCCCCC"/>
              <w:bottom w:val="single" w:sz="1" w:space="0" w:color="CCCCCC"/>
              <w:right w:val="single" w:sz="1" w:space="0" w:color="CCCCCC"/>
            </w:tcBorders>
            <w:shd w:val="clear" w:color="auto" w:fill="1F4E79"/>
            <w:tcMar>
              <w:top w:w="60" w:type="dxa"/>
              <w:left w:w="100" w:type="dxa"/>
              <w:bottom w:w="60" w:type="dxa"/>
              <w:right w:w="100" w:type="dxa"/>
            </w:tcMar>
            <w:vAlign w:val="center"/>
          </w:tcPr>
          <w:p w14:paraId="535AF05E" w14:textId="77777777" w:rsidR="00412576" w:rsidRDefault="00000000" w:rsidP="005F6D5D">
            <w:pPr>
              <w:spacing w:line="360" w:lineRule="auto"/>
              <w:jc w:val="both"/>
            </w:pPr>
            <w:r>
              <w:rPr>
                <w:b/>
                <w:bCs/>
                <w:color w:val="FFFFFF"/>
                <w:sz w:val="18"/>
                <w:szCs w:val="18"/>
              </w:rPr>
              <w:t>Diamond Determinant</w:t>
            </w:r>
          </w:p>
        </w:tc>
        <w:tc>
          <w:tcPr>
            <w:tcW w:w="3680" w:type="dxa"/>
            <w:tcBorders>
              <w:top w:val="single" w:sz="1" w:space="0" w:color="CCCCCC"/>
              <w:left w:val="single" w:sz="1" w:space="0" w:color="CCCCCC"/>
              <w:bottom w:val="single" w:sz="1" w:space="0" w:color="CCCCCC"/>
              <w:right w:val="single" w:sz="1" w:space="0" w:color="CCCCCC"/>
            </w:tcBorders>
            <w:shd w:val="clear" w:color="auto" w:fill="1F4E79"/>
            <w:tcMar>
              <w:top w:w="60" w:type="dxa"/>
              <w:left w:w="100" w:type="dxa"/>
              <w:bottom w:w="60" w:type="dxa"/>
              <w:right w:w="100" w:type="dxa"/>
            </w:tcMar>
            <w:vAlign w:val="center"/>
          </w:tcPr>
          <w:p w14:paraId="62C424C8" w14:textId="77777777" w:rsidR="00412576" w:rsidRDefault="00000000" w:rsidP="005F6D5D">
            <w:pPr>
              <w:spacing w:line="360" w:lineRule="auto"/>
              <w:jc w:val="both"/>
            </w:pPr>
            <w:r>
              <w:rPr>
                <w:b/>
                <w:bCs/>
                <w:color w:val="FFFFFF"/>
                <w:sz w:val="18"/>
                <w:szCs w:val="18"/>
              </w:rPr>
              <w:t>Strengths</w:t>
            </w:r>
          </w:p>
        </w:tc>
        <w:tc>
          <w:tcPr>
            <w:tcW w:w="3680" w:type="dxa"/>
            <w:tcBorders>
              <w:top w:val="single" w:sz="1" w:space="0" w:color="CCCCCC"/>
              <w:left w:val="single" w:sz="1" w:space="0" w:color="CCCCCC"/>
              <w:bottom w:val="single" w:sz="1" w:space="0" w:color="CCCCCC"/>
              <w:right w:val="single" w:sz="1" w:space="0" w:color="CCCCCC"/>
            </w:tcBorders>
            <w:shd w:val="clear" w:color="auto" w:fill="1F4E79"/>
            <w:tcMar>
              <w:top w:w="60" w:type="dxa"/>
              <w:left w:w="100" w:type="dxa"/>
              <w:bottom w:w="60" w:type="dxa"/>
              <w:right w:w="100" w:type="dxa"/>
            </w:tcMar>
            <w:vAlign w:val="center"/>
          </w:tcPr>
          <w:p w14:paraId="19C3F64F" w14:textId="77777777" w:rsidR="00412576" w:rsidRDefault="00000000" w:rsidP="005F6D5D">
            <w:pPr>
              <w:spacing w:line="360" w:lineRule="auto"/>
              <w:jc w:val="both"/>
            </w:pPr>
            <w:r>
              <w:rPr>
                <w:b/>
                <w:bCs/>
                <w:color w:val="FFFFFF"/>
                <w:sz w:val="18"/>
                <w:szCs w:val="18"/>
              </w:rPr>
              <w:t>Weaknesses / Challenges</w:t>
            </w:r>
          </w:p>
        </w:tc>
      </w:tr>
      <w:tr w:rsidR="00412576" w14:paraId="2A98C1D7" w14:textId="77777777">
        <w:tblPrEx>
          <w:tblCellMar>
            <w:top w:w="0" w:type="dxa"/>
            <w:bottom w:w="0" w:type="dxa"/>
          </w:tblCellMar>
        </w:tblPrEx>
        <w:tc>
          <w:tcPr>
            <w:tcW w:w="2000" w:type="dxa"/>
            <w:tcBorders>
              <w:top w:val="single" w:sz="1" w:space="0" w:color="CCCCCC"/>
              <w:left w:val="single" w:sz="1" w:space="0" w:color="CCCCCC"/>
              <w:bottom w:val="single" w:sz="1" w:space="0" w:color="CCCCCC"/>
              <w:right w:val="single" w:sz="1" w:space="0" w:color="CCCCCC"/>
            </w:tcBorders>
            <w:shd w:val="clear" w:color="auto" w:fill="D6E4F0"/>
            <w:tcMar>
              <w:top w:w="60" w:type="dxa"/>
              <w:left w:w="100" w:type="dxa"/>
              <w:bottom w:w="60" w:type="dxa"/>
              <w:right w:w="100" w:type="dxa"/>
            </w:tcMar>
            <w:vAlign w:val="center"/>
          </w:tcPr>
          <w:p w14:paraId="099A9086" w14:textId="77777777" w:rsidR="00412576" w:rsidRDefault="00000000" w:rsidP="005F6D5D">
            <w:pPr>
              <w:spacing w:line="360" w:lineRule="auto"/>
              <w:jc w:val="both"/>
            </w:pPr>
            <w:r>
              <w:rPr>
                <w:color w:val="000000"/>
                <w:sz w:val="18"/>
                <w:szCs w:val="18"/>
              </w:rPr>
              <w:t>Factor Conditions</w:t>
            </w:r>
          </w:p>
        </w:tc>
        <w:tc>
          <w:tcPr>
            <w:tcW w:w="36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9A70EDE" w14:textId="77777777" w:rsidR="00412576" w:rsidRDefault="00000000" w:rsidP="005F6D5D">
            <w:pPr>
              <w:spacing w:line="360" w:lineRule="auto"/>
              <w:jc w:val="both"/>
            </w:pPr>
            <w:r>
              <w:rPr>
                <w:color w:val="000000"/>
                <w:sz w:val="18"/>
                <w:szCs w:val="18"/>
              </w:rPr>
              <w:t>Automotive workforce (750,000+); Laem Chabang deep-water port; competitive industrial labour costs; Tier 1/2 supplier base</w:t>
            </w:r>
          </w:p>
        </w:tc>
        <w:tc>
          <w:tcPr>
            <w:tcW w:w="36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8F2183D" w14:textId="77777777" w:rsidR="00412576" w:rsidRDefault="00000000" w:rsidP="005F6D5D">
            <w:pPr>
              <w:spacing w:line="360" w:lineRule="auto"/>
              <w:jc w:val="both"/>
            </w:pPr>
            <w:r>
              <w:rPr>
                <w:color w:val="000000"/>
                <w:sz w:val="18"/>
                <w:szCs w:val="18"/>
              </w:rPr>
              <w:t>No domestic lithium/cobalt/nickel mining; shortage of EV software engineers; high industrial electricity costs</w:t>
            </w:r>
          </w:p>
        </w:tc>
      </w:tr>
      <w:tr w:rsidR="00412576" w14:paraId="2F7FD100" w14:textId="77777777">
        <w:tblPrEx>
          <w:tblCellMar>
            <w:top w:w="0" w:type="dxa"/>
            <w:bottom w:w="0" w:type="dxa"/>
          </w:tblCellMar>
        </w:tblPrEx>
        <w:tc>
          <w:tcPr>
            <w:tcW w:w="2000" w:type="dxa"/>
            <w:tcBorders>
              <w:top w:val="single" w:sz="1" w:space="0" w:color="CCCCCC"/>
              <w:left w:val="single" w:sz="1" w:space="0" w:color="CCCCCC"/>
              <w:bottom w:val="single" w:sz="1" w:space="0" w:color="CCCCCC"/>
              <w:right w:val="single" w:sz="1" w:space="0" w:color="CCCCCC"/>
            </w:tcBorders>
            <w:shd w:val="clear" w:color="auto" w:fill="D6E4F0"/>
            <w:tcMar>
              <w:top w:w="60" w:type="dxa"/>
              <w:left w:w="100" w:type="dxa"/>
              <w:bottom w:w="60" w:type="dxa"/>
              <w:right w:w="100" w:type="dxa"/>
            </w:tcMar>
            <w:vAlign w:val="center"/>
          </w:tcPr>
          <w:p w14:paraId="41511B3D" w14:textId="77777777" w:rsidR="00412576" w:rsidRDefault="00000000" w:rsidP="005F6D5D">
            <w:pPr>
              <w:spacing w:line="360" w:lineRule="auto"/>
              <w:jc w:val="both"/>
            </w:pPr>
            <w:r>
              <w:rPr>
                <w:color w:val="000000"/>
                <w:sz w:val="18"/>
                <w:szCs w:val="18"/>
              </w:rPr>
              <w:t>Demand Conditions</w:t>
            </w:r>
          </w:p>
        </w:tc>
        <w:tc>
          <w:tcPr>
            <w:tcW w:w="36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F8ECD99" w14:textId="77777777" w:rsidR="00412576" w:rsidRDefault="00000000" w:rsidP="005F6D5D">
            <w:pPr>
              <w:spacing w:line="360" w:lineRule="auto"/>
              <w:jc w:val="both"/>
            </w:pPr>
            <w:r>
              <w:rPr>
                <w:color w:val="000000"/>
                <w:sz w:val="18"/>
                <w:szCs w:val="18"/>
              </w:rPr>
              <w:t>Government-</w:t>
            </w:r>
            <w:proofErr w:type="spellStart"/>
            <w:r>
              <w:rPr>
                <w:color w:val="000000"/>
                <w:sz w:val="18"/>
                <w:szCs w:val="18"/>
              </w:rPr>
              <w:t>subsidised</w:t>
            </w:r>
            <w:proofErr w:type="spellEnd"/>
            <w:r>
              <w:rPr>
                <w:color w:val="000000"/>
                <w:sz w:val="18"/>
                <w:szCs w:val="18"/>
              </w:rPr>
              <w:t xml:space="preserve"> BEV demand; growing urban middle class; high vehicle ownership rate (228 per 1,000)</w:t>
            </w:r>
          </w:p>
        </w:tc>
        <w:tc>
          <w:tcPr>
            <w:tcW w:w="36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47249A4" w14:textId="77777777" w:rsidR="00412576" w:rsidRDefault="00000000" w:rsidP="005F6D5D">
            <w:pPr>
              <w:spacing w:line="360" w:lineRule="auto"/>
              <w:jc w:val="both"/>
            </w:pPr>
            <w:r>
              <w:rPr>
                <w:color w:val="000000"/>
                <w:sz w:val="18"/>
                <w:szCs w:val="18"/>
              </w:rPr>
              <w:t>Affordability gap (BEV vs ICE); subsidy dependency; rural infrastructure deficit; consumer range anxiety</w:t>
            </w:r>
          </w:p>
        </w:tc>
      </w:tr>
      <w:tr w:rsidR="00412576" w14:paraId="60FB0EA1" w14:textId="77777777">
        <w:tblPrEx>
          <w:tblCellMar>
            <w:top w:w="0" w:type="dxa"/>
            <w:bottom w:w="0" w:type="dxa"/>
          </w:tblCellMar>
        </w:tblPrEx>
        <w:tc>
          <w:tcPr>
            <w:tcW w:w="2000" w:type="dxa"/>
            <w:tcBorders>
              <w:top w:val="single" w:sz="1" w:space="0" w:color="CCCCCC"/>
              <w:left w:val="single" w:sz="1" w:space="0" w:color="CCCCCC"/>
              <w:bottom w:val="single" w:sz="1" w:space="0" w:color="CCCCCC"/>
              <w:right w:val="single" w:sz="1" w:space="0" w:color="CCCCCC"/>
            </w:tcBorders>
            <w:shd w:val="clear" w:color="auto" w:fill="D6E4F0"/>
            <w:tcMar>
              <w:top w:w="60" w:type="dxa"/>
              <w:left w:w="100" w:type="dxa"/>
              <w:bottom w:w="60" w:type="dxa"/>
              <w:right w:w="100" w:type="dxa"/>
            </w:tcMar>
            <w:vAlign w:val="center"/>
          </w:tcPr>
          <w:p w14:paraId="5581BE39" w14:textId="77777777" w:rsidR="00412576" w:rsidRDefault="00000000" w:rsidP="005F6D5D">
            <w:pPr>
              <w:spacing w:line="360" w:lineRule="auto"/>
              <w:jc w:val="both"/>
            </w:pPr>
            <w:r>
              <w:rPr>
                <w:color w:val="000000"/>
                <w:sz w:val="18"/>
                <w:szCs w:val="18"/>
              </w:rPr>
              <w:t>Related &amp; Supporting Industries</w:t>
            </w:r>
          </w:p>
        </w:tc>
        <w:tc>
          <w:tcPr>
            <w:tcW w:w="36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D6B66A6" w14:textId="77777777" w:rsidR="00412576" w:rsidRDefault="00000000" w:rsidP="005F6D5D">
            <w:pPr>
              <w:spacing w:line="360" w:lineRule="auto"/>
              <w:jc w:val="both"/>
            </w:pPr>
            <w:r>
              <w:rPr>
                <w:color w:val="000000"/>
                <w:sz w:val="18"/>
                <w:szCs w:val="18"/>
              </w:rPr>
              <w:t>PTT and EA investing in charging networks; robust petrochemical industry; financial services sector adapted to EV products</w:t>
            </w:r>
          </w:p>
        </w:tc>
        <w:tc>
          <w:tcPr>
            <w:tcW w:w="36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4C4DD541" w14:textId="77777777" w:rsidR="00412576" w:rsidRDefault="00000000" w:rsidP="005F6D5D">
            <w:pPr>
              <w:spacing w:line="360" w:lineRule="auto"/>
              <w:jc w:val="both"/>
            </w:pPr>
            <w:r>
              <w:rPr>
                <w:color w:val="000000"/>
                <w:sz w:val="18"/>
                <w:szCs w:val="18"/>
              </w:rPr>
              <w:t>No domestic battery cell manufacturing at scale prior to BYD/CATL; 100% imported battery-grade chemicals</w:t>
            </w:r>
          </w:p>
        </w:tc>
      </w:tr>
      <w:tr w:rsidR="00412576" w14:paraId="19A8D6A0" w14:textId="77777777">
        <w:tblPrEx>
          <w:tblCellMar>
            <w:top w:w="0" w:type="dxa"/>
            <w:bottom w:w="0" w:type="dxa"/>
          </w:tblCellMar>
        </w:tblPrEx>
        <w:tc>
          <w:tcPr>
            <w:tcW w:w="2000" w:type="dxa"/>
            <w:tcBorders>
              <w:top w:val="single" w:sz="1" w:space="0" w:color="CCCCCC"/>
              <w:left w:val="single" w:sz="1" w:space="0" w:color="CCCCCC"/>
              <w:bottom w:val="single" w:sz="1" w:space="0" w:color="CCCCCC"/>
              <w:right w:val="single" w:sz="1" w:space="0" w:color="CCCCCC"/>
            </w:tcBorders>
            <w:shd w:val="clear" w:color="auto" w:fill="D6E4F0"/>
            <w:tcMar>
              <w:top w:w="60" w:type="dxa"/>
              <w:left w:w="100" w:type="dxa"/>
              <w:bottom w:w="60" w:type="dxa"/>
              <w:right w:w="100" w:type="dxa"/>
            </w:tcMar>
            <w:vAlign w:val="center"/>
          </w:tcPr>
          <w:p w14:paraId="1A6D2589" w14:textId="77777777" w:rsidR="00412576" w:rsidRDefault="00000000" w:rsidP="005F6D5D">
            <w:pPr>
              <w:spacing w:line="360" w:lineRule="auto"/>
              <w:jc w:val="both"/>
            </w:pPr>
            <w:r>
              <w:rPr>
                <w:color w:val="000000"/>
                <w:sz w:val="18"/>
                <w:szCs w:val="18"/>
              </w:rPr>
              <w:t>Firm Strategy &amp; Rivalry</w:t>
            </w:r>
          </w:p>
        </w:tc>
        <w:tc>
          <w:tcPr>
            <w:tcW w:w="36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845B396" w14:textId="77777777" w:rsidR="00412576" w:rsidRDefault="00000000" w:rsidP="005F6D5D">
            <w:pPr>
              <w:spacing w:line="360" w:lineRule="auto"/>
              <w:jc w:val="both"/>
            </w:pPr>
            <w:r>
              <w:rPr>
                <w:color w:val="000000"/>
                <w:sz w:val="18"/>
                <w:szCs w:val="18"/>
              </w:rPr>
              <w:t>Intense price competition among 15+ BEV brands; BYD, GWM, NETA, MG all committed to Thai production</w:t>
            </w:r>
          </w:p>
        </w:tc>
        <w:tc>
          <w:tcPr>
            <w:tcW w:w="36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50771E2" w14:textId="77777777" w:rsidR="00412576" w:rsidRDefault="00000000" w:rsidP="005F6D5D">
            <w:pPr>
              <w:spacing w:line="360" w:lineRule="auto"/>
              <w:jc w:val="both"/>
            </w:pPr>
            <w:r>
              <w:rPr>
                <w:color w:val="000000"/>
                <w:sz w:val="18"/>
                <w:szCs w:val="18"/>
              </w:rPr>
              <w:t>Chinese brand price war eroding margins; NETA financial instability; Japanese OEMs slow to pivot</w:t>
            </w:r>
          </w:p>
        </w:tc>
      </w:tr>
      <w:tr w:rsidR="00412576" w14:paraId="45437968" w14:textId="77777777">
        <w:tblPrEx>
          <w:tblCellMar>
            <w:top w:w="0" w:type="dxa"/>
            <w:bottom w:w="0" w:type="dxa"/>
          </w:tblCellMar>
        </w:tblPrEx>
        <w:tc>
          <w:tcPr>
            <w:tcW w:w="2000" w:type="dxa"/>
            <w:tcBorders>
              <w:top w:val="single" w:sz="1" w:space="0" w:color="CCCCCC"/>
              <w:left w:val="single" w:sz="1" w:space="0" w:color="CCCCCC"/>
              <w:bottom w:val="single" w:sz="1" w:space="0" w:color="CCCCCC"/>
              <w:right w:val="single" w:sz="1" w:space="0" w:color="CCCCCC"/>
            </w:tcBorders>
            <w:shd w:val="clear" w:color="auto" w:fill="D6E4F0"/>
            <w:tcMar>
              <w:top w:w="60" w:type="dxa"/>
              <w:left w:w="100" w:type="dxa"/>
              <w:bottom w:w="60" w:type="dxa"/>
              <w:right w:w="100" w:type="dxa"/>
            </w:tcMar>
            <w:vAlign w:val="center"/>
          </w:tcPr>
          <w:p w14:paraId="7D3E84B3" w14:textId="77777777" w:rsidR="00412576" w:rsidRDefault="00000000" w:rsidP="005F6D5D">
            <w:pPr>
              <w:spacing w:line="360" w:lineRule="auto"/>
              <w:jc w:val="both"/>
            </w:pPr>
            <w:r>
              <w:rPr>
                <w:color w:val="000000"/>
                <w:sz w:val="18"/>
                <w:szCs w:val="18"/>
              </w:rPr>
              <w:t>Government</w:t>
            </w:r>
          </w:p>
        </w:tc>
        <w:tc>
          <w:tcPr>
            <w:tcW w:w="36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275B94B" w14:textId="77777777" w:rsidR="00412576" w:rsidRDefault="00000000" w:rsidP="005F6D5D">
            <w:pPr>
              <w:spacing w:line="360" w:lineRule="auto"/>
              <w:jc w:val="both"/>
            </w:pPr>
            <w:r>
              <w:rPr>
                <w:color w:val="000000"/>
                <w:sz w:val="18"/>
                <w:szCs w:val="18"/>
              </w:rPr>
              <w:t>EV 3.5 incentive package; 30% ZEV target by 2030; Eastern Economic Corridor; ASEAN trade integration</w:t>
            </w:r>
          </w:p>
        </w:tc>
        <w:tc>
          <w:tcPr>
            <w:tcW w:w="36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9524C3C" w14:textId="77777777" w:rsidR="00412576" w:rsidRDefault="00000000" w:rsidP="005F6D5D">
            <w:pPr>
              <w:spacing w:line="360" w:lineRule="auto"/>
              <w:jc w:val="both"/>
            </w:pPr>
            <w:r>
              <w:rPr>
                <w:color w:val="000000"/>
                <w:sz w:val="18"/>
                <w:szCs w:val="18"/>
              </w:rPr>
              <w:t>Subsidy fiscal sustainability uncertain beyond 2027; production mandate enforcement credibility untested</w:t>
            </w:r>
          </w:p>
        </w:tc>
      </w:tr>
      <w:tr w:rsidR="00412576" w14:paraId="5C2D132F" w14:textId="77777777">
        <w:tblPrEx>
          <w:tblCellMar>
            <w:top w:w="0" w:type="dxa"/>
            <w:bottom w:w="0" w:type="dxa"/>
          </w:tblCellMar>
        </w:tblPrEx>
        <w:tc>
          <w:tcPr>
            <w:tcW w:w="2000" w:type="dxa"/>
            <w:tcBorders>
              <w:top w:val="single" w:sz="1" w:space="0" w:color="CCCCCC"/>
              <w:left w:val="single" w:sz="1" w:space="0" w:color="CCCCCC"/>
              <w:bottom w:val="single" w:sz="1" w:space="0" w:color="CCCCCC"/>
              <w:right w:val="single" w:sz="1" w:space="0" w:color="CCCCCC"/>
            </w:tcBorders>
            <w:shd w:val="clear" w:color="auto" w:fill="D6E4F0"/>
            <w:tcMar>
              <w:top w:w="60" w:type="dxa"/>
              <w:left w:w="100" w:type="dxa"/>
              <w:bottom w:w="60" w:type="dxa"/>
              <w:right w:w="100" w:type="dxa"/>
            </w:tcMar>
            <w:vAlign w:val="center"/>
          </w:tcPr>
          <w:p w14:paraId="48955BEE" w14:textId="77777777" w:rsidR="00412576" w:rsidRDefault="00000000" w:rsidP="005F6D5D">
            <w:pPr>
              <w:spacing w:line="360" w:lineRule="auto"/>
              <w:jc w:val="both"/>
            </w:pPr>
            <w:r>
              <w:rPr>
                <w:color w:val="000000"/>
                <w:sz w:val="18"/>
                <w:szCs w:val="18"/>
              </w:rPr>
              <w:t>Chance</w:t>
            </w:r>
          </w:p>
        </w:tc>
        <w:tc>
          <w:tcPr>
            <w:tcW w:w="36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4F48870" w14:textId="77777777" w:rsidR="00412576" w:rsidRDefault="00000000" w:rsidP="005F6D5D">
            <w:pPr>
              <w:spacing w:line="360" w:lineRule="auto"/>
              <w:jc w:val="both"/>
            </w:pPr>
            <w:r>
              <w:rPr>
                <w:color w:val="000000"/>
                <w:sz w:val="18"/>
                <w:szCs w:val="18"/>
              </w:rPr>
              <w:t>China EV overcapacity driving outward FDI; US–China trade war diverting manufacturing to ASEAN</w:t>
            </w:r>
          </w:p>
        </w:tc>
        <w:tc>
          <w:tcPr>
            <w:tcW w:w="36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422F565" w14:textId="77777777" w:rsidR="00412576" w:rsidRDefault="00000000" w:rsidP="005F6D5D">
            <w:pPr>
              <w:spacing w:line="360" w:lineRule="auto"/>
              <w:jc w:val="both"/>
            </w:pPr>
            <w:r>
              <w:rPr>
                <w:color w:val="000000"/>
                <w:sz w:val="18"/>
                <w:szCs w:val="18"/>
              </w:rPr>
              <w:t>Iran–Israel–USA conflict threatening Strait of Hormuz petrochemical supply; potential US secondary sanctions</w:t>
            </w:r>
          </w:p>
        </w:tc>
      </w:tr>
    </w:tbl>
    <w:p w14:paraId="4845D6B4" w14:textId="77777777" w:rsidR="00412576" w:rsidRDefault="00000000" w:rsidP="005F6D5D">
      <w:pPr>
        <w:spacing w:after="100" w:line="360" w:lineRule="auto"/>
        <w:jc w:val="both"/>
      </w:pPr>
      <w:r>
        <w:rPr>
          <w:i/>
          <w:iCs/>
          <w:color w:val="555555"/>
          <w:sz w:val="20"/>
          <w:szCs w:val="20"/>
        </w:rPr>
        <w:lastRenderedPageBreak/>
        <w:t>Table 2: Porter's Diamond Analysis — Thailand Electric Vehicle Industry (2024). Sources: Porter (1990); BOI Thailand (2024); EVAT (2024); FTI (2024); Bank of Thailand (2024).</w:t>
      </w:r>
    </w:p>
    <w:p w14:paraId="3A4A8F0F" w14:textId="77777777" w:rsidR="00412576" w:rsidRDefault="00000000" w:rsidP="005F6D5D">
      <w:pPr>
        <w:pStyle w:val="Heading2"/>
        <w:spacing w:line="360" w:lineRule="auto"/>
        <w:jc w:val="both"/>
      </w:pPr>
      <w:bookmarkStart w:id="11" w:name="_Toc228166206"/>
      <w:proofErr w:type="gramStart"/>
      <w:r>
        <w:t>3.1  Factor</w:t>
      </w:r>
      <w:proofErr w:type="gramEnd"/>
      <w:r>
        <w:t xml:space="preserve"> Conditions: Automotive Legacy Meets EV Disruption</w:t>
      </w:r>
      <w:bookmarkEnd w:id="11"/>
    </w:p>
    <w:p w14:paraId="3A1B374A" w14:textId="77777777" w:rsidR="0011067C" w:rsidRPr="0011067C" w:rsidRDefault="0011067C" w:rsidP="005F6D5D">
      <w:pPr>
        <w:pStyle w:val="Heading2"/>
        <w:spacing w:line="360" w:lineRule="auto"/>
        <w:jc w:val="both"/>
        <w:rPr>
          <w:b w:val="0"/>
          <w:bCs w:val="0"/>
          <w:color w:val="auto"/>
          <w:sz w:val="22"/>
          <w:szCs w:val="22"/>
        </w:rPr>
      </w:pPr>
      <w:bookmarkStart w:id="12" w:name="_Toc228166207"/>
      <w:r w:rsidRPr="0011067C">
        <w:rPr>
          <w:b w:val="0"/>
          <w:bCs w:val="0"/>
          <w:color w:val="auto"/>
          <w:sz w:val="22"/>
          <w:szCs w:val="22"/>
        </w:rPr>
        <w:t>The factor conditions of EV manufacturing in Thailand are defined by a unique bifurcation between traditional automotive manufacturing advantages and new EV-related disadvantages. The 50 years of Japanese OEM investment has resulted in one of the most advanced automotive manufacturing systems in the developing world. The Eastern Seaboard industrial belt headquartered by Laem Chabang deep-water port and Map Ta Phut petrochemical complex will offer the world-class logistics infrastructure in the Eastern regions of the Rayong Province where BYD, GWM, and other Chinese EV manufacturers have already opened Thai factories. Porter (1990) distinguishes between the basic and advanced conditions of factors, and he claims that specialised skills, knowledge infrastructure, and capital form the basic foundations of sustainable competitive advantage.</w:t>
      </w:r>
      <w:bookmarkEnd w:id="12"/>
    </w:p>
    <w:p w14:paraId="2A89F883" w14:textId="77777777" w:rsidR="0011067C" w:rsidRDefault="0011067C" w:rsidP="005F6D5D">
      <w:pPr>
        <w:pStyle w:val="Heading2"/>
        <w:spacing w:line="360" w:lineRule="auto"/>
        <w:jc w:val="both"/>
        <w:rPr>
          <w:b w:val="0"/>
          <w:bCs w:val="0"/>
          <w:color w:val="auto"/>
          <w:sz w:val="22"/>
          <w:szCs w:val="22"/>
        </w:rPr>
      </w:pPr>
      <w:bookmarkStart w:id="13" w:name="_Toc228166208"/>
      <w:r w:rsidRPr="0011067C">
        <w:rPr>
          <w:b w:val="0"/>
          <w:bCs w:val="0"/>
          <w:color w:val="auto"/>
          <w:sz w:val="22"/>
          <w:szCs w:val="22"/>
        </w:rPr>
        <w:t>The most crucial shortage is the battery value chain. Thailand does not have any commercial lithium, cobalt, or nickel reserves and, as of the opening of BYD's Rayong Blade Battery line, no domestic production of battery cells. A single-source vulnerability to Chinese-refined battery-grade lithium hydroxide, cobalt sulphate and nickel sulphate dependency renders a single-source dependency, which Barney (1991) would consider as not meeting all four VRIN criteria in the domestic context. The integrated battery facility of BYD in Rayong partially fills this disjuncture but fails to eradicate upstream dependence on raw material imports based on Chinese processing power and mineral geographies that are geopolitically controversial.</w:t>
      </w:r>
      <w:bookmarkEnd w:id="13"/>
    </w:p>
    <w:p w14:paraId="531413DF" w14:textId="3DF2E6B8" w:rsidR="00412576" w:rsidRDefault="00000000" w:rsidP="005F6D5D">
      <w:pPr>
        <w:pStyle w:val="Heading2"/>
        <w:spacing w:line="360" w:lineRule="auto"/>
        <w:jc w:val="both"/>
      </w:pPr>
      <w:bookmarkStart w:id="14" w:name="_Toc228166209"/>
      <w:proofErr w:type="gramStart"/>
      <w:r>
        <w:t>3.2  Demand</w:t>
      </w:r>
      <w:proofErr w:type="gramEnd"/>
      <w:r>
        <w:t xml:space="preserve"> Conditions, Related Industries, and Government</w:t>
      </w:r>
      <w:bookmarkEnd w:id="14"/>
    </w:p>
    <w:p w14:paraId="36CA344A" w14:textId="77777777" w:rsidR="0011067C" w:rsidRDefault="0011067C" w:rsidP="005F6D5D">
      <w:pPr>
        <w:pStyle w:val="Heading1"/>
        <w:spacing w:line="360" w:lineRule="auto"/>
        <w:jc w:val="both"/>
        <w:rPr>
          <w:b w:val="0"/>
          <w:bCs w:val="0"/>
          <w:color w:val="auto"/>
          <w:sz w:val="22"/>
          <w:szCs w:val="22"/>
        </w:rPr>
      </w:pPr>
      <w:bookmarkStart w:id="15" w:name="_Toc228166210"/>
      <w:r w:rsidRPr="0011067C">
        <w:rPr>
          <w:b w:val="0"/>
          <w:bCs w:val="0"/>
          <w:color w:val="auto"/>
          <w:sz w:val="22"/>
          <w:szCs w:val="22"/>
        </w:rPr>
        <w:t xml:space="preserve">Thailand EV market fundamentally is demand-constructed with respect to policy. Thailand </w:t>
      </w:r>
      <w:proofErr w:type="gramStart"/>
      <w:r w:rsidRPr="0011067C">
        <w:rPr>
          <w:b w:val="0"/>
          <w:bCs w:val="0"/>
          <w:color w:val="auto"/>
          <w:sz w:val="22"/>
          <w:szCs w:val="22"/>
        </w:rPr>
        <w:t>is in contrast to</w:t>
      </w:r>
      <w:proofErr w:type="gramEnd"/>
      <w:r w:rsidRPr="0011067C">
        <w:rPr>
          <w:b w:val="0"/>
          <w:bCs w:val="0"/>
          <w:color w:val="auto"/>
          <w:sz w:val="22"/>
          <w:szCs w:val="22"/>
        </w:rPr>
        <w:t xml:space="preserve"> the UK, which has legally binding ZEV mandates, where the demand generation is achieved by consumer-side subsidies that lower the effective purchase price of eligible BEVs. The THB 100,000150,000 per-vehicle subsidy of the EV 3.5 </w:t>
      </w:r>
      <w:proofErr w:type="spellStart"/>
      <w:r w:rsidRPr="0011067C">
        <w:rPr>
          <w:b w:val="0"/>
          <w:bCs w:val="0"/>
          <w:color w:val="auto"/>
          <w:sz w:val="22"/>
          <w:szCs w:val="22"/>
        </w:rPr>
        <w:t>programme</w:t>
      </w:r>
      <w:proofErr w:type="spellEnd"/>
      <w:r w:rsidRPr="0011067C">
        <w:rPr>
          <w:b w:val="0"/>
          <w:bCs w:val="0"/>
          <w:color w:val="auto"/>
          <w:sz w:val="22"/>
          <w:szCs w:val="22"/>
        </w:rPr>
        <w:t xml:space="preserve"> has been the one demand driver, having a direct effect of increasing the pace of BEV registrations, which were less than 10,000 units in 2022 to more than 87,000 as of 2024. Nonetheless, this system based on subsidies makes it weak: any decrease will lead to a demand cliff that will disrupt the investment plans of manufacturers (OECD, 2023). The related and supporting industries in Thailand support the EV ecosystem partially and incompletely. The petrochemical sector is a world-class industry that has the potential to provide feedstock to battery electrolyte and polymer components, but upgrading to battery-grade chemical manufacturing requires capital-</w:t>
      </w:r>
      <w:r w:rsidRPr="0011067C">
        <w:rPr>
          <w:b w:val="0"/>
          <w:bCs w:val="0"/>
          <w:color w:val="auto"/>
          <w:sz w:val="22"/>
          <w:szCs w:val="22"/>
        </w:rPr>
        <w:lastRenderedPageBreak/>
        <w:t xml:space="preserve">intensive upgrades that have not been done </w:t>
      </w:r>
      <w:proofErr w:type="gramStart"/>
      <w:r w:rsidRPr="0011067C">
        <w:rPr>
          <w:b w:val="0"/>
          <w:bCs w:val="0"/>
          <w:color w:val="auto"/>
          <w:sz w:val="22"/>
          <w:szCs w:val="22"/>
        </w:rPr>
        <w:t>at</w:t>
      </w:r>
      <w:proofErr w:type="gramEnd"/>
      <w:r w:rsidRPr="0011067C">
        <w:rPr>
          <w:b w:val="0"/>
          <w:bCs w:val="0"/>
          <w:color w:val="auto"/>
          <w:sz w:val="22"/>
          <w:szCs w:val="22"/>
        </w:rPr>
        <w:t xml:space="preserve"> scale to date. The EV 3.5 incentive framework, BOI investment incentives, Eastern Economic Corridor benefits, and 30 percent ZEV manufacturing aim all form the most detailed EV industrial policy in Southeast </w:t>
      </w:r>
      <w:proofErr w:type="gramStart"/>
      <w:r w:rsidRPr="0011067C">
        <w:rPr>
          <w:b w:val="0"/>
          <w:bCs w:val="0"/>
          <w:color w:val="auto"/>
          <w:sz w:val="22"/>
          <w:szCs w:val="22"/>
        </w:rPr>
        <w:t>Asia, and</w:t>
      </w:r>
      <w:proofErr w:type="gramEnd"/>
      <w:r w:rsidRPr="0011067C">
        <w:rPr>
          <w:b w:val="0"/>
          <w:bCs w:val="0"/>
          <w:color w:val="auto"/>
          <w:sz w:val="22"/>
          <w:szCs w:val="22"/>
        </w:rPr>
        <w:t xml:space="preserve"> have endured the political upheaval of 2023–24 (Hill, 2020).</w:t>
      </w:r>
      <w:bookmarkEnd w:id="15"/>
    </w:p>
    <w:p w14:paraId="14902858" w14:textId="3227AAA4" w:rsidR="00412576" w:rsidRDefault="00000000" w:rsidP="005F6D5D">
      <w:pPr>
        <w:pStyle w:val="Heading1"/>
        <w:spacing w:line="360" w:lineRule="auto"/>
        <w:jc w:val="both"/>
      </w:pPr>
      <w:bookmarkStart w:id="16" w:name="_Toc228166211"/>
      <w:r>
        <w:t>4.  BYD Company Limited: Critical Evaluation of Operations in Thailand</w:t>
      </w:r>
      <w:bookmarkEnd w:id="16"/>
    </w:p>
    <w:p w14:paraId="79686286" w14:textId="77777777" w:rsidR="00412576" w:rsidRDefault="00000000" w:rsidP="005F6D5D">
      <w:pPr>
        <w:pStyle w:val="Heading2"/>
        <w:spacing w:line="360" w:lineRule="auto"/>
        <w:jc w:val="both"/>
      </w:pPr>
      <w:bookmarkStart w:id="17" w:name="_Toc228166212"/>
      <w:proofErr w:type="gramStart"/>
      <w:r>
        <w:t>4.1  Company</w:t>
      </w:r>
      <w:proofErr w:type="gramEnd"/>
      <w:r>
        <w:t xml:space="preserve"> Profile and Thailand Market Entry Rationale</w:t>
      </w:r>
      <w:bookmarkEnd w:id="17"/>
    </w:p>
    <w:p w14:paraId="12424A11" w14:textId="77777777" w:rsidR="0011067C" w:rsidRPr="0011067C" w:rsidRDefault="0011067C" w:rsidP="005F6D5D">
      <w:pPr>
        <w:pStyle w:val="Heading2"/>
        <w:spacing w:line="360" w:lineRule="auto"/>
        <w:jc w:val="both"/>
        <w:rPr>
          <w:b w:val="0"/>
          <w:bCs w:val="0"/>
          <w:color w:val="auto"/>
          <w:sz w:val="22"/>
          <w:szCs w:val="22"/>
        </w:rPr>
      </w:pPr>
      <w:bookmarkStart w:id="18" w:name="_Toc228166213"/>
      <w:r w:rsidRPr="0011067C">
        <w:rPr>
          <w:b w:val="0"/>
          <w:bCs w:val="0"/>
          <w:color w:val="auto"/>
          <w:sz w:val="22"/>
          <w:szCs w:val="22"/>
        </w:rPr>
        <w:t xml:space="preserve">Since its inception in 1995 as a manufacturer of rechargeable batteries and later becoming the largest new energy vehicle manufacturer in the world, BYD Company Limited sold 3.02 million vehicles worldwide in 2023, the first global deliveries of its total NEVs. BYD recorded annual revenues of CNY 602.3 billion (about USD 84.9 billion) and net profit of CNY 30.0 billion (USD 4.2 billion) in FY2023, which is a 42 percent and 81 </w:t>
      </w:r>
      <w:proofErr w:type="gramStart"/>
      <w:r w:rsidRPr="0011067C">
        <w:rPr>
          <w:b w:val="0"/>
          <w:bCs w:val="0"/>
          <w:color w:val="auto"/>
          <w:sz w:val="22"/>
          <w:szCs w:val="22"/>
        </w:rPr>
        <w:t>percent year-on-year</w:t>
      </w:r>
      <w:proofErr w:type="gramEnd"/>
      <w:r w:rsidRPr="0011067C">
        <w:rPr>
          <w:b w:val="0"/>
          <w:bCs w:val="0"/>
          <w:color w:val="auto"/>
          <w:sz w:val="22"/>
          <w:szCs w:val="22"/>
        </w:rPr>
        <w:t xml:space="preserve"> growth, respectively (BYD Company Limited, 2023). BYD has an unprecedented level of vertical integration in the international automotive market: The battery cells </w:t>
      </w:r>
      <w:proofErr w:type="gramStart"/>
      <w:r w:rsidRPr="0011067C">
        <w:rPr>
          <w:b w:val="0"/>
          <w:bCs w:val="0"/>
          <w:color w:val="auto"/>
          <w:sz w:val="22"/>
          <w:szCs w:val="22"/>
        </w:rPr>
        <w:t>( Blade</w:t>
      </w:r>
      <w:proofErr w:type="gramEnd"/>
      <w:r w:rsidRPr="0011067C">
        <w:rPr>
          <w:b w:val="0"/>
          <w:bCs w:val="0"/>
          <w:color w:val="auto"/>
          <w:sz w:val="22"/>
          <w:szCs w:val="22"/>
        </w:rPr>
        <w:t xml:space="preserve"> </w:t>
      </w:r>
      <w:proofErr w:type="gramStart"/>
      <w:r w:rsidRPr="0011067C">
        <w:rPr>
          <w:b w:val="0"/>
          <w:bCs w:val="0"/>
          <w:color w:val="auto"/>
          <w:sz w:val="22"/>
          <w:szCs w:val="22"/>
        </w:rPr>
        <w:t>Battery )</w:t>
      </w:r>
      <w:proofErr w:type="gramEnd"/>
      <w:r w:rsidRPr="0011067C">
        <w:rPr>
          <w:b w:val="0"/>
          <w:bCs w:val="0"/>
          <w:color w:val="auto"/>
          <w:sz w:val="22"/>
          <w:szCs w:val="22"/>
        </w:rPr>
        <w:t xml:space="preserve"> are produced in-house </w:t>
      </w:r>
      <w:proofErr w:type="gramStart"/>
      <w:r w:rsidRPr="0011067C">
        <w:rPr>
          <w:b w:val="0"/>
          <w:bCs w:val="0"/>
          <w:color w:val="auto"/>
          <w:sz w:val="22"/>
          <w:szCs w:val="22"/>
        </w:rPr>
        <w:t>( LFP</w:t>
      </w:r>
      <w:proofErr w:type="gramEnd"/>
      <w:r w:rsidRPr="0011067C">
        <w:rPr>
          <w:b w:val="0"/>
          <w:bCs w:val="0"/>
          <w:color w:val="auto"/>
          <w:sz w:val="22"/>
          <w:szCs w:val="22"/>
        </w:rPr>
        <w:t xml:space="preserve"> ) and are semiconductor-based, the electric motors, power electronics, and software development of a vehicle are in-house, and the supply chain of the company is self-contained and offers extraordinary cost control and technological coherence. In the BEV segment, BYD had a market share of about 35-38 percent in Thailand in 2024, and the Rayong Province factory began production in July 2024 with an initial production volume of 150,000 vehicles, which will eventually increase to 500,000 vehicles (BOI Thailand, 2024).</w:t>
      </w:r>
      <w:bookmarkEnd w:id="18"/>
    </w:p>
    <w:p w14:paraId="6163E105" w14:textId="77777777" w:rsidR="0011067C" w:rsidRDefault="0011067C" w:rsidP="005F6D5D">
      <w:pPr>
        <w:pStyle w:val="Heading2"/>
        <w:spacing w:line="360" w:lineRule="auto"/>
        <w:jc w:val="both"/>
        <w:rPr>
          <w:b w:val="0"/>
          <w:bCs w:val="0"/>
          <w:color w:val="auto"/>
          <w:sz w:val="22"/>
          <w:szCs w:val="22"/>
        </w:rPr>
      </w:pPr>
      <w:bookmarkStart w:id="19" w:name="_Toc228166214"/>
      <w:r w:rsidRPr="0011067C">
        <w:rPr>
          <w:b w:val="0"/>
          <w:bCs w:val="0"/>
          <w:color w:val="auto"/>
          <w:sz w:val="22"/>
          <w:szCs w:val="22"/>
        </w:rPr>
        <w:t xml:space="preserve">The OLI Paradigm developed by Dunning (2001) describes the Thai positioning of BYD in a detailed manner. Proprietary Blade Battery technology with its high standards of safety and cost-effectiveness in LFP chemistry; self-manufacturing of semiconductors, eliminating reliance on external chip suppliers; vertical integration with </w:t>
      </w:r>
      <w:proofErr w:type="spellStart"/>
      <w:r w:rsidRPr="0011067C">
        <w:rPr>
          <w:b w:val="0"/>
          <w:bCs w:val="0"/>
          <w:color w:val="auto"/>
          <w:sz w:val="22"/>
          <w:szCs w:val="22"/>
        </w:rPr>
        <w:t>internalisation</w:t>
      </w:r>
      <w:proofErr w:type="spellEnd"/>
      <w:r w:rsidRPr="0011067C">
        <w:rPr>
          <w:b w:val="0"/>
          <w:bCs w:val="0"/>
          <w:color w:val="auto"/>
          <w:sz w:val="22"/>
          <w:szCs w:val="22"/>
        </w:rPr>
        <w:t xml:space="preserve"> of around 75 percent of component value are formidable advantages of ownership. Some of the benefits of location are the EV 3.5 subsidy </w:t>
      </w:r>
      <w:proofErr w:type="spellStart"/>
      <w:r w:rsidRPr="0011067C">
        <w:rPr>
          <w:b w:val="0"/>
          <w:bCs w:val="0"/>
          <w:color w:val="auto"/>
          <w:sz w:val="22"/>
          <w:szCs w:val="22"/>
        </w:rPr>
        <w:t>programme</w:t>
      </w:r>
      <w:proofErr w:type="spellEnd"/>
      <w:r w:rsidRPr="0011067C">
        <w:rPr>
          <w:b w:val="0"/>
          <w:bCs w:val="0"/>
          <w:color w:val="auto"/>
          <w:sz w:val="22"/>
          <w:szCs w:val="22"/>
        </w:rPr>
        <w:t xml:space="preserve">, BOI investment privileges, Thailand ASEAN membership that allows zero tariff exports to a 660-million-consumer regional market and Eastern Seaboard infrastructure. The benefits of </w:t>
      </w:r>
      <w:proofErr w:type="spellStart"/>
      <w:r w:rsidRPr="0011067C">
        <w:rPr>
          <w:b w:val="0"/>
          <w:bCs w:val="0"/>
          <w:color w:val="auto"/>
          <w:sz w:val="22"/>
          <w:szCs w:val="22"/>
        </w:rPr>
        <w:t>internalisation</w:t>
      </w:r>
      <w:proofErr w:type="spellEnd"/>
      <w:r w:rsidRPr="0011067C">
        <w:rPr>
          <w:b w:val="0"/>
          <w:bCs w:val="0"/>
          <w:color w:val="auto"/>
          <w:sz w:val="22"/>
          <w:szCs w:val="22"/>
        </w:rPr>
        <w:t xml:space="preserve"> are strategic: the fully-owned manufacturing decision as opposed to joint venture testifies to the need to keep proprietary control over Blade Battery technology, power electronics IP, and vehicle software that a partnership form would risk spreading to possible competitors (Buckley and Casson, 1976). Narula and Dunning (2010) confirm that the benefits of ownership are multiplied by the </w:t>
      </w:r>
      <w:r w:rsidRPr="0011067C">
        <w:rPr>
          <w:b w:val="0"/>
          <w:bCs w:val="0"/>
          <w:color w:val="auto"/>
          <w:sz w:val="22"/>
          <w:szCs w:val="22"/>
        </w:rPr>
        <w:lastRenderedPageBreak/>
        <w:t xml:space="preserve">dynamic capabilities in the case of MNCs </w:t>
      </w:r>
      <w:proofErr w:type="spellStart"/>
      <w:r w:rsidRPr="0011067C">
        <w:rPr>
          <w:b w:val="0"/>
          <w:bCs w:val="0"/>
          <w:color w:val="auto"/>
          <w:sz w:val="22"/>
          <w:szCs w:val="22"/>
        </w:rPr>
        <w:t>internalising</w:t>
      </w:r>
      <w:proofErr w:type="spellEnd"/>
      <w:r w:rsidRPr="0011067C">
        <w:rPr>
          <w:b w:val="0"/>
          <w:bCs w:val="0"/>
          <w:color w:val="auto"/>
          <w:sz w:val="22"/>
          <w:szCs w:val="22"/>
        </w:rPr>
        <w:t xml:space="preserve"> operations in host markets where there is institutional alignment.</w:t>
      </w:r>
      <w:bookmarkEnd w:id="19"/>
    </w:p>
    <w:p w14:paraId="27A7FC92" w14:textId="32B19312" w:rsidR="00412576" w:rsidRDefault="00000000" w:rsidP="005F6D5D">
      <w:pPr>
        <w:pStyle w:val="Heading2"/>
        <w:spacing w:line="360" w:lineRule="auto"/>
        <w:jc w:val="both"/>
      </w:pPr>
      <w:bookmarkStart w:id="20" w:name="_Toc228166215"/>
      <w:proofErr w:type="gramStart"/>
      <w:r>
        <w:t>4.2  Political</w:t>
      </w:r>
      <w:proofErr w:type="gramEnd"/>
      <w:r>
        <w:t xml:space="preserve"> Factors: Thai Industrial Policy, US–China Trade Tensions, and the Iran–Israel–USA Conflict</w:t>
      </w:r>
      <w:bookmarkEnd w:id="20"/>
    </w:p>
    <w:p w14:paraId="5E49C646" w14:textId="77777777" w:rsidR="0011067C" w:rsidRPr="0011067C" w:rsidRDefault="0011067C" w:rsidP="005F6D5D">
      <w:pPr>
        <w:pStyle w:val="Heading2"/>
        <w:spacing w:line="360" w:lineRule="auto"/>
        <w:jc w:val="both"/>
        <w:rPr>
          <w:b w:val="0"/>
          <w:bCs w:val="0"/>
          <w:color w:val="auto"/>
          <w:sz w:val="22"/>
          <w:szCs w:val="22"/>
        </w:rPr>
      </w:pPr>
      <w:bookmarkStart w:id="21" w:name="_Toc228166216"/>
      <w:r w:rsidRPr="0011067C">
        <w:rPr>
          <w:b w:val="0"/>
          <w:bCs w:val="0"/>
          <w:color w:val="auto"/>
          <w:sz w:val="22"/>
          <w:szCs w:val="22"/>
        </w:rPr>
        <w:t>The three forces that have overlapping effects on the political environment facing BYD in Thailand include the Thai domestic industrial policy, the growing US-China strategic rivalry, and the geopolitical destabilization due to the Iran-Israel-US military conflict. On the domestic front, the EV policy of Thai government constitutes both the largest commercial facilitator of BYD and the largest political risk exposure of BYD. The conditionality of the production mandate which means that manufacturers who imported CBU vehicles under the waiver of duties are mandated to produce domestically at a ratio of 1:1 in 2025 and 2:1 in 2026 creates confusion in terms of enforcement which Kobrin (1979) describes as a regulatory political risk. The US Chinas trade war is the most structurally important geopolitical element that influences the Thailand strategy of BYD. Imposition of 100 percent tariffs on Chinese-made EVs by the Inflation Reduction Act, together with the EU provisional countervailing duties of up to 38.1 percent that will take effect in October 2024 has put a tariff wall around the two largest developed EV markets. The strategic importance of Thailand to BYD is not just limited to domestic market, but as a tariff circumvention manufacturing base: vehicles manufactured in Thailand could be exported to ASEAN market free of tariff under AFTA. This tariff arbitrage explanation is in line with the model presented by Rugman and Verbeke (2004), whereby such subsidiary location decisions of firms are influenced by the confluence of the firm-specific benefits with location-specific institutional and trade policy environments.</w:t>
      </w:r>
      <w:bookmarkEnd w:id="21"/>
    </w:p>
    <w:p w14:paraId="40FF1D8D" w14:textId="77777777" w:rsidR="0011067C" w:rsidRDefault="0011067C" w:rsidP="005F6D5D">
      <w:pPr>
        <w:pStyle w:val="Heading2"/>
        <w:spacing w:line="360" w:lineRule="auto"/>
        <w:jc w:val="both"/>
        <w:rPr>
          <w:b w:val="0"/>
          <w:bCs w:val="0"/>
          <w:color w:val="auto"/>
          <w:sz w:val="22"/>
          <w:szCs w:val="22"/>
        </w:rPr>
      </w:pPr>
      <w:bookmarkStart w:id="22" w:name="_Toc228166217"/>
      <w:r w:rsidRPr="0011067C">
        <w:rPr>
          <w:b w:val="0"/>
          <w:bCs w:val="0"/>
          <w:color w:val="auto"/>
          <w:sz w:val="22"/>
          <w:szCs w:val="22"/>
        </w:rPr>
        <w:t xml:space="preserve">The geopolitical risk in BYD Thai operations is the Iran-Israel-USA military confrontation through the vulnerability of the maritime supply chain. The trajectory of escalation, starting with the 7 October 2023 Hamas attack up to the direct missile attacks on Israel in April and October 2024 by Iran, the direct interception by the US navy, and the Houthi Red Sea offensive, has created multi-actor regional instability of systemic levels (Reuters, 2024). Threats by the Iranians to close the Strait of Hormuz through which about 21 million barrels of oil pass each </w:t>
      </w:r>
      <w:proofErr w:type="gramStart"/>
      <w:r w:rsidRPr="0011067C">
        <w:rPr>
          <w:b w:val="0"/>
          <w:bCs w:val="0"/>
          <w:color w:val="auto"/>
          <w:sz w:val="22"/>
          <w:szCs w:val="22"/>
        </w:rPr>
        <w:t>day</w:t>
      </w:r>
      <w:proofErr w:type="gramEnd"/>
      <w:r w:rsidRPr="0011067C">
        <w:rPr>
          <w:b w:val="0"/>
          <w:bCs w:val="0"/>
          <w:color w:val="auto"/>
          <w:sz w:val="22"/>
          <w:szCs w:val="22"/>
        </w:rPr>
        <w:t xml:space="preserve"> and which is the major channel of exporting the petrochemicals of the Persian Gulf is a direct threat to the petrochemical feedstock chains that support the production of Thai polymers and Chinese batteries. Houthi campaign has added to the container shipping rates between Asia and Europe by 200-300 percent at the most disruptive times, and the freight cost has hit USD 5,840 per TEU in July 2024 (Drewry Shipping Consultants, 2024). According to Contractor (2022), the success of BYD Thailand is illustrative </w:t>
      </w:r>
      <w:r w:rsidRPr="0011067C">
        <w:rPr>
          <w:b w:val="0"/>
          <w:bCs w:val="0"/>
          <w:color w:val="auto"/>
          <w:sz w:val="22"/>
          <w:szCs w:val="22"/>
        </w:rPr>
        <w:lastRenderedPageBreak/>
        <w:t>of an argument that states that the key factor in international business strategy in the 2020s is the geopolitical risk.</w:t>
      </w:r>
      <w:bookmarkEnd w:id="22"/>
    </w:p>
    <w:p w14:paraId="5887AB5E" w14:textId="22F2359A" w:rsidR="00412576" w:rsidRDefault="00000000" w:rsidP="005F6D5D">
      <w:pPr>
        <w:pStyle w:val="Heading2"/>
        <w:spacing w:line="360" w:lineRule="auto"/>
        <w:jc w:val="both"/>
      </w:pPr>
      <w:bookmarkStart w:id="23" w:name="_Toc228166218"/>
      <w:proofErr w:type="gramStart"/>
      <w:r>
        <w:t>4.3  Economic</w:t>
      </w:r>
      <w:proofErr w:type="gramEnd"/>
      <w:r>
        <w:t xml:space="preserve"> Factors and Middle East Disruption Cascades</w:t>
      </w:r>
      <w:bookmarkEnd w:id="23"/>
    </w:p>
    <w:p w14:paraId="67C60CD0" w14:textId="77777777" w:rsidR="00412576" w:rsidRDefault="00000000" w:rsidP="005F6D5D">
      <w:pPr>
        <w:spacing w:before="160" w:after="160" w:line="360" w:lineRule="auto"/>
        <w:jc w:val="both"/>
      </w:pPr>
      <w:r>
        <w:rPr>
          <w:noProof/>
        </w:rPr>
        <w:drawing>
          <wp:inline distT="0" distB="0" distL="0" distR="0" wp14:anchorId="6E2979EA" wp14:editId="4836EE75">
            <wp:extent cx="4953000" cy="2857500"/>
            <wp:effectExtent l="0" t="0" r="0" b="0"/>
            <wp:docPr id="1368544380" name="Picture 1368544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953000" cy="2857500"/>
                    </a:xfrm>
                    <a:prstGeom prst="rect">
                      <a:avLst/>
                    </a:prstGeom>
                  </pic:spPr>
                </pic:pic>
              </a:graphicData>
            </a:graphic>
          </wp:inline>
        </w:drawing>
      </w:r>
    </w:p>
    <w:p w14:paraId="33E67555" w14:textId="77777777" w:rsidR="00412576" w:rsidRDefault="00000000" w:rsidP="005F6D5D">
      <w:pPr>
        <w:spacing w:after="100" w:line="360" w:lineRule="auto"/>
        <w:jc w:val="both"/>
      </w:pPr>
      <w:r>
        <w:rPr>
          <w:i/>
          <w:iCs/>
          <w:color w:val="555555"/>
          <w:sz w:val="20"/>
          <w:szCs w:val="20"/>
        </w:rPr>
        <w:t>Figure 4: Battery Critical Mineral Price Indices and Brent Crude Oil vs. Middle East Geopolitical Escalation (Jul 2023 – Oct 2024). Base = 100 (July 2023). Sources: LME (2024); Benchmark Mineral Intelligence (2024); EIA (2024).</w:t>
      </w:r>
    </w:p>
    <w:p w14:paraId="0FCA69AF" w14:textId="77777777" w:rsidR="0011067C" w:rsidRDefault="0011067C" w:rsidP="005F6D5D">
      <w:pPr>
        <w:spacing w:before="160" w:after="160" w:line="360" w:lineRule="auto"/>
        <w:jc w:val="both"/>
      </w:pPr>
      <w:r w:rsidRPr="0011067C">
        <w:t xml:space="preserve">The four main channels of transmission through which the geopolitical disruption can impact the commercial activities are the economic environment that BYD is operating in Thailand. The former is battery critical mineral price volatility. The price of lithium carbonate spot plummeted down to USD 10,000-15,000 in early 2024, down more than tenfold since it was estimated to be USD 80,000 per </w:t>
      </w:r>
      <w:proofErr w:type="spellStart"/>
      <w:r w:rsidRPr="0011067C">
        <w:t>tonne</w:t>
      </w:r>
      <w:proofErr w:type="spellEnd"/>
      <w:r w:rsidRPr="0011067C">
        <w:t xml:space="preserve"> in November 2022, resulting in a temporary </w:t>
      </w:r>
      <w:proofErr w:type="spellStart"/>
      <w:r w:rsidRPr="0011067C">
        <w:t>favourable</w:t>
      </w:r>
      <w:proofErr w:type="spellEnd"/>
      <w:r w:rsidRPr="0011067C">
        <w:t xml:space="preserve"> cost of BYD LFP chemistry (Benchmark Mineral Intelligence, 2024). But about 60 percent of total lithium refining and more than 70 percent of cobalt refining capacity is concentrated in China - any intensification of US-China competition might cause this supply to be disrupted with little notice. The second channel is the Brent crude oil price volatility that is caused by Middle East risk </w:t>
      </w:r>
      <w:proofErr w:type="gramStart"/>
      <w:r w:rsidRPr="0011067C">
        <w:t>premia</w:t>
      </w:r>
      <w:proofErr w:type="gramEnd"/>
      <w:r w:rsidRPr="0011067C">
        <w:t xml:space="preserve">. After Iran fired its missiles to Israel, Brent crude rose higher to USD 90 per barrel. In the case of Thailand, where imports of about 90 percent of crude oil needs are made, a consistent price at a price exceeding USD 100 per barrel would cause an inflationary push in the entire manufacturing cost base. According to the IEA (2024), long-run crude prices of more than USD 100 per barrel would introduce about USD 1,500-2,500 inflation in the manufacturing cost of mid-size BEVs that are manufactured in the ASEAN markets. The third channel is Thai macroeconomic environment: household debt-to-GDP ratios of over 90 percent (the highest in ASEAN) limit discretionary vehicle purchases, and </w:t>
      </w:r>
      <w:r w:rsidRPr="0011067C">
        <w:lastRenderedPageBreak/>
        <w:t>depreciation of baht against the US dollar has raised the cost of effective imports of battery materials. The fourth channel is the US secondary sanctions framework: the extension of the sanctions of the OFAC places compliance requirements on all companies dealing in the US dollar or having contacts in the US supply chain (IMF, 2024).</w:t>
      </w:r>
    </w:p>
    <w:p w14:paraId="6FA318A9" w14:textId="6753AAC0" w:rsidR="00412576" w:rsidRDefault="00000000" w:rsidP="005F6D5D">
      <w:pPr>
        <w:spacing w:before="160" w:after="160" w:line="360" w:lineRule="auto"/>
        <w:jc w:val="both"/>
      </w:pPr>
      <w:r>
        <w:rPr>
          <w:noProof/>
        </w:rPr>
        <w:drawing>
          <wp:inline distT="0" distB="0" distL="0" distR="0" wp14:anchorId="7E66E06F" wp14:editId="4BBCEBAC">
            <wp:extent cx="4953000" cy="2857500"/>
            <wp:effectExtent l="0" t="0" r="0" b="0"/>
            <wp:docPr id="1262163863" name="Picture 12621638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953000" cy="2857500"/>
                    </a:xfrm>
                    <a:prstGeom prst="rect">
                      <a:avLst/>
                    </a:prstGeom>
                  </pic:spPr>
                </pic:pic>
              </a:graphicData>
            </a:graphic>
          </wp:inline>
        </w:drawing>
      </w:r>
    </w:p>
    <w:p w14:paraId="5EF5F08C" w14:textId="77777777" w:rsidR="00412576" w:rsidRDefault="00000000" w:rsidP="005F6D5D">
      <w:pPr>
        <w:spacing w:after="100" w:line="360" w:lineRule="auto"/>
        <w:jc w:val="both"/>
      </w:pPr>
      <w:r>
        <w:rPr>
          <w:i/>
          <w:iCs/>
          <w:color w:val="555555"/>
          <w:sz w:val="20"/>
          <w:szCs w:val="20"/>
        </w:rPr>
        <w:t xml:space="preserve">Figure 5: BYD Thailand Supply Chain Architecture and Geopolitical Vulnerability Mapping. Sources: BYD Annual Report (2023); </w:t>
      </w:r>
      <w:proofErr w:type="spellStart"/>
      <w:r>
        <w:rPr>
          <w:i/>
          <w:iCs/>
          <w:color w:val="555555"/>
          <w:sz w:val="20"/>
          <w:szCs w:val="20"/>
        </w:rPr>
        <w:t>BloombergNEF</w:t>
      </w:r>
      <w:proofErr w:type="spellEnd"/>
      <w:r>
        <w:rPr>
          <w:i/>
          <w:iCs/>
          <w:color w:val="555555"/>
          <w:sz w:val="20"/>
          <w:szCs w:val="20"/>
        </w:rPr>
        <w:t xml:space="preserve"> (2024); IEA Critical Minerals (2024); BOI Thailand (2024).</w:t>
      </w:r>
    </w:p>
    <w:p w14:paraId="1C1A0D18" w14:textId="77777777" w:rsidR="00412576" w:rsidRDefault="00000000" w:rsidP="005F6D5D">
      <w:pPr>
        <w:pStyle w:val="Heading2"/>
        <w:spacing w:line="360" w:lineRule="auto"/>
        <w:jc w:val="both"/>
      </w:pPr>
      <w:bookmarkStart w:id="24" w:name="_Toc228166219"/>
      <w:proofErr w:type="gramStart"/>
      <w:r>
        <w:t>4.4  Legal</w:t>
      </w:r>
      <w:proofErr w:type="gramEnd"/>
      <w:r>
        <w:t xml:space="preserve"> Factors</w:t>
      </w:r>
      <w:bookmarkEnd w:id="24"/>
    </w:p>
    <w:p w14:paraId="489EFD82" w14:textId="77777777" w:rsidR="005F6D5D" w:rsidRDefault="005F6D5D" w:rsidP="005F6D5D">
      <w:pPr>
        <w:pStyle w:val="Heading2"/>
        <w:spacing w:line="360" w:lineRule="auto"/>
        <w:jc w:val="both"/>
        <w:rPr>
          <w:b w:val="0"/>
          <w:bCs w:val="0"/>
          <w:color w:val="auto"/>
          <w:sz w:val="22"/>
          <w:szCs w:val="22"/>
        </w:rPr>
      </w:pPr>
      <w:bookmarkStart w:id="25" w:name="_Toc228166220"/>
      <w:r w:rsidRPr="005F6D5D">
        <w:rPr>
          <w:b w:val="0"/>
          <w:bCs w:val="0"/>
          <w:color w:val="auto"/>
          <w:sz w:val="22"/>
          <w:szCs w:val="22"/>
        </w:rPr>
        <w:t xml:space="preserve">The legal context that BYD will face in Thailand includes the Thai consumer protection law, intellectual property regulatory frameworks, and the extraterritoriality of Chinese and US regulatory requirements. The Consumer Protection Act (1979, as amended) and Product Liability Act (2008) of Thailand present a strict liability approach to defective goods against manufacturers due to a possible serious safety impact on consumers in the case of battery electric vehicles where battery thermal management issues may lead to disastrous outcomes. The protection of Intellectual property in Thailand is on par with the country being taken off the US Priority Watch List in 2017, with 20-year protection of patents and access to the WIPO Copyright Treaty and Madrid Protocol. However, the consistency of enforcement in terms of protection of trade secrets of manufacturing processes, battery chemistry formulation, and software source code is a threat that </w:t>
      </w:r>
      <w:proofErr w:type="spellStart"/>
      <w:r w:rsidRPr="005F6D5D">
        <w:rPr>
          <w:b w:val="0"/>
          <w:bCs w:val="0"/>
          <w:color w:val="auto"/>
          <w:sz w:val="22"/>
          <w:szCs w:val="22"/>
        </w:rPr>
        <w:t>Zerk</w:t>
      </w:r>
      <w:proofErr w:type="spellEnd"/>
      <w:r w:rsidRPr="005F6D5D">
        <w:rPr>
          <w:b w:val="0"/>
          <w:bCs w:val="0"/>
          <w:color w:val="auto"/>
          <w:sz w:val="22"/>
          <w:szCs w:val="22"/>
        </w:rPr>
        <w:t xml:space="preserve"> (2010) recognizes as the trait of developing-country IP environment. The extraterritoriality of the Data Security Law (2021) and the Personal Information Protection Law (2021) of China produces an unusual legal challenge: BYD vehicles can gather much driving behaviour and vehicle telemetry data, which according to the Chinese law could be requested by the Chinese government regardless of the geographic </w:t>
      </w:r>
      <w:r w:rsidRPr="005F6D5D">
        <w:rPr>
          <w:b w:val="0"/>
          <w:bCs w:val="0"/>
          <w:color w:val="auto"/>
          <w:sz w:val="22"/>
          <w:szCs w:val="22"/>
        </w:rPr>
        <w:lastRenderedPageBreak/>
        <w:t xml:space="preserve">origin. The Personal Data Protection Act (PDPA, 2019) of Thailand has its own restrictions in data </w:t>
      </w:r>
      <w:proofErr w:type="spellStart"/>
      <w:r w:rsidRPr="005F6D5D">
        <w:rPr>
          <w:b w:val="0"/>
          <w:bCs w:val="0"/>
          <w:color w:val="auto"/>
          <w:sz w:val="22"/>
          <w:szCs w:val="22"/>
        </w:rPr>
        <w:t>localisation</w:t>
      </w:r>
      <w:proofErr w:type="spellEnd"/>
      <w:r w:rsidRPr="005F6D5D">
        <w:rPr>
          <w:b w:val="0"/>
          <w:bCs w:val="0"/>
          <w:color w:val="auto"/>
          <w:sz w:val="22"/>
          <w:szCs w:val="22"/>
        </w:rPr>
        <w:t>. The overlap of these two regulatory frameworks poses a two-fold compliance cost that is described by Park and Lippoldt (2008) as becoming more typical of MNC operations in the age of data sovereignty.</w:t>
      </w:r>
      <w:bookmarkEnd w:id="25"/>
    </w:p>
    <w:p w14:paraId="5B15B82B" w14:textId="15751B24" w:rsidR="00412576" w:rsidRDefault="00000000" w:rsidP="005F6D5D">
      <w:pPr>
        <w:pStyle w:val="Heading2"/>
        <w:spacing w:line="360" w:lineRule="auto"/>
        <w:jc w:val="both"/>
      </w:pPr>
      <w:bookmarkStart w:id="26" w:name="_Toc228166221"/>
      <w:proofErr w:type="gramStart"/>
      <w:r>
        <w:t>4.5  Cultural</w:t>
      </w:r>
      <w:proofErr w:type="gramEnd"/>
      <w:r>
        <w:t xml:space="preserve"> Factors: Applying Hofstede and the CAGE Framework</w:t>
      </w:r>
      <w:bookmarkEnd w:id="26"/>
    </w:p>
    <w:p w14:paraId="6B4741CE" w14:textId="77777777" w:rsidR="00412576" w:rsidRDefault="00000000" w:rsidP="005F6D5D">
      <w:pPr>
        <w:spacing w:before="160" w:after="160" w:line="360" w:lineRule="auto"/>
        <w:jc w:val="both"/>
      </w:pPr>
      <w:r>
        <w:rPr>
          <w:noProof/>
        </w:rPr>
        <w:drawing>
          <wp:inline distT="0" distB="0" distL="0" distR="0" wp14:anchorId="29AA0E50" wp14:editId="7BF3CAF5">
            <wp:extent cx="4953000" cy="2952750"/>
            <wp:effectExtent l="0" t="0" r="0" b="0"/>
            <wp:docPr id="392835347" name="Picture 392835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953000" cy="2952750"/>
                    </a:xfrm>
                    <a:prstGeom prst="rect">
                      <a:avLst/>
                    </a:prstGeom>
                  </pic:spPr>
                </pic:pic>
              </a:graphicData>
            </a:graphic>
          </wp:inline>
        </w:drawing>
      </w:r>
    </w:p>
    <w:p w14:paraId="27B4632A" w14:textId="77777777" w:rsidR="00412576" w:rsidRDefault="00000000" w:rsidP="005F6D5D">
      <w:pPr>
        <w:spacing w:after="100" w:line="360" w:lineRule="auto"/>
        <w:jc w:val="both"/>
      </w:pPr>
      <w:r>
        <w:rPr>
          <w:i/>
          <w:iCs/>
          <w:color w:val="555555"/>
          <w:sz w:val="20"/>
          <w:szCs w:val="20"/>
        </w:rPr>
        <w:t>Figure 6: Hofstede Cultural Dimensions — China vs Thailand. Source: Hofstede Insights (2024).</w:t>
      </w:r>
    </w:p>
    <w:p w14:paraId="20995B2F" w14:textId="77777777" w:rsidR="005F6D5D" w:rsidRPr="005F6D5D" w:rsidRDefault="005F6D5D" w:rsidP="005F6D5D">
      <w:pPr>
        <w:pStyle w:val="Heading1"/>
        <w:spacing w:line="360" w:lineRule="auto"/>
        <w:jc w:val="both"/>
        <w:rPr>
          <w:b w:val="0"/>
          <w:bCs w:val="0"/>
          <w:color w:val="auto"/>
          <w:sz w:val="22"/>
          <w:szCs w:val="22"/>
        </w:rPr>
      </w:pPr>
      <w:bookmarkStart w:id="27" w:name="_Toc228166222"/>
      <w:r w:rsidRPr="005F6D5D">
        <w:rPr>
          <w:b w:val="0"/>
          <w:bCs w:val="0"/>
          <w:color w:val="auto"/>
          <w:sz w:val="22"/>
          <w:szCs w:val="22"/>
        </w:rPr>
        <w:t xml:space="preserve">The analysis of cultural dimensions provided by Hofstede (2011) shows that China and Thailand are substantially different in terms of cultural dimensions which have direct consequences on the positioning of BYD in the market and the management of the </w:t>
      </w:r>
      <w:proofErr w:type="spellStart"/>
      <w:r w:rsidRPr="005F6D5D">
        <w:rPr>
          <w:b w:val="0"/>
          <w:bCs w:val="0"/>
          <w:color w:val="auto"/>
          <w:sz w:val="22"/>
          <w:szCs w:val="22"/>
        </w:rPr>
        <w:t>organisation</w:t>
      </w:r>
      <w:proofErr w:type="spellEnd"/>
      <w:r w:rsidRPr="005F6D5D">
        <w:rPr>
          <w:b w:val="0"/>
          <w:bCs w:val="0"/>
          <w:color w:val="auto"/>
          <w:sz w:val="22"/>
          <w:szCs w:val="22"/>
        </w:rPr>
        <w:t xml:space="preserve">. Both cultures have high Power Distance (China 80, Thailand 64) which implies organisational norms based on hierarchy, but the difference of 16 points indicates that Thai business culture, however respectful of authority, is, nonetheless, a little less strictly hierarchical than the culture of BYD headquarters in Shenzhen. The two countries are low in individualism (China 20, Thailand 20) which means that the cultures have collectivist social norms that emphasize relationship-based business dealings and consensus-driven decision-making which is a cultural compatibility that can enable BYD to build relationships with its dealers, suppliers and government stakeholders in Thailand. The most analytically significant dimension is Uncertainty Avoidance: China gets 30 (low, being comfortable with ambiguity and ready to make decisions fast) and Thailand gets 64 (moderately high, likes clear regulations and avoids risk). This </w:t>
      </w:r>
      <w:proofErr w:type="spellStart"/>
      <w:r w:rsidRPr="005F6D5D">
        <w:rPr>
          <w:b w:val="0"/>
          <w:bCs w:val="0"/>
          <w:color w:val="auto"/>
          <w:sz w:val="22"/>
          <w:szCs w:val="22"/>
        </w:rPr>
        <w:t>disalignment</w:t>
      </w:r>
      <w:proofErr w:type="spellEnd"/>
      <w:r w:rsidRPr="005F6D5D">
        <w:rPr>
          <w:b w:val="0"/>
          <w:bCs w:val="0"/>
          <w:color w:val="auto"/>
          <w:sz w:val="22"/>
          <w:szCs w:val="22"/>
        </w:rPr>
        <w:t xml:space="preserve"> is operationally reflected in friction between the BYD culture of rapid-prototyping and the expectations of Thai workforce of more orderly operational rhythms. It is advisable not to use national level cultural scores deterministically </w:t>
      </w:r>
      <w:r w:rsidRPr="005F6D5D">
        <w:rPr>
          <w:b w:val="0"/>
          <w:bCs w:val="0"/>
          <w:color w:val="auto"/>
          <w:sz w:val="22"/>
          <w:szCs w:val="22"/>
        </w:rPr>
        <w:lastRenderedPageBreak/>
        <w:t>(McSweeney 2002), but Power Distance, Uncertainty Avoidance and Individualism are found to have strong predictive validity in cross-cultural management studies (Taras, Kirkman and Steel 2010).</w:t>
      </w:r>
      <w:bookmarkEnd w:id="27"/>
    </w:p>
    <w:p w14:paraId="440959D3" w14:textId="77777777" w:rsidR="005F6D5D" w:rsidRDefault="005F6D5D" w:rsidP="005F6D5D">
      <w:pPr>
        <w:pStyle w:val="Heading1"/>
        <w:spacing w:line="360" w:lineRule="auto"/>
        <w:jc w:val="both"/>
        <w:rPr>
          <w:b w:val="0"/>
          <w:bCs w:val="0"/>
          <w:color w:val="auto"/>
          <w:sz w:val="22"/>
          <w:szCs w:val="22"/>
        </w:rPr>
      </w:pPr>
      <w:bookmarkStart w:id="28" w:name="_Toc228166223"/>
      <w:r w:rsidRPr="005F6D5D">
        <w:rPr>
          <w:b w:val="0"/>
          <w:bCs w:val="0"/>
          <w:color w:val="auto"/>
          <w:sz w:val="22"/>
          <w:szCs w:val="22"/>
        </w:rPr>
        <w:t>Using the CAGE Distance Framework by Ghemawat (2001) the cultural distance between China and Thailand poses moderate obstacles. Language difference is a major concern (Mandarin vs Thai</w:t>
      </w:r>
      <w:proofErr w:type="gramStart"/>
      <w:r w:rsidRPr="005F6D5D">
        <w:rPr>
          <w:b w:val="0"/>
          <w:bCs w:val="0"/>
          <w:color w:val="auto"/>
          <w:sz w:val="22"/>
          <w:szCs w:val="22"/>
        </w:rPr>
        <w:t>)</w:t>
      </w:r>
      <w:proofErr w:type="gramEnd"/>
      <w:r w:rsidRPr="005F6D5D">
        <w:rPr>
          <w:b w:val="0"/>
          <w:bCs w:val="0"/>
          <w:color w:val="auto"/>
          <w:sz w:val="22"/>
          <w:szCs w:val="22"/>
        </w:rPr>
        <w:t xml:space="preserve"> but cultural bridging is offered by the ethnic Chinese diaspora that makes up about 10-14 percent of the population and is over-represented in the business world. The administrative distance is not high: the investment system of the BOI is clearly aimed at minimizing obstacles to foreign manufacturers, and the bilateral Comprehensive Strategic Cooperative Partnership (upgraded 2022) offers diplomatic infrastructure to facilitate business interactions. Geographic distance is not a major issue (around 2,500 km between Shenzhen and Bangkok) and offers a major logistical benefit. The biggest dimension of CAGE is economic distance: Thailand has a GDP per capita (around USD 7,200) that is significantly lower than the urban average in China, so BYD needs to adjust its product positioning to a less affluent consumer segment. Reception of Chinese EV brands in Thailand by consumers has been impressive, which demonstrates the success of pricing strategy based on subsidies and the lack of anti-Chinese consumerism. However, brand equity competition against Japanese established brands, especially Toyota and Honda, who have developed a 50 </w:t>
      </w:r>
      <w:proofErr w:type="gramStart"/>
      <w:r w:rsidRPr="005F6D5D">
        <w:rPr>
          <w:b w:val="0"/>
          <w:bCs w:val="0"/>
          <w:color w:val="auto"/>
          <w:sz w:val="22"/>
          <w:szCs w:val="22"/>
        </w:rPr>
        <w:t>years</w:t>
      </w:r>
      <w:proofErr w:type="gramEnd"/>
      <w:r w:rsidRPr="005F6D5D">
        <w:rPr>
          <w:b w:val="0"/>
          <w:bCs w:val="0"/>
          <w:color w:val="auto"/>
          <w:sz w:val="22"/>
          <w:szCs w:val="22"/>
        </w:rPr>
        <w:t xml:space="preserve"> trust and service network density, is a medium-term strategic challenge. According to Keller (2013), brand equity built over decades of steady quality performance is extremely hard to imitate by the newcomers to the market, since brand trust takes place along a set of emotional and not rational cognitive processes. Verbeke and Kano (2016) also note that MNCs need to create location-bound advantages to complement firm-specific advantages in host markets, which BYD is tackling by opening dealerships locally and investing in after-sales services.</w:t>
      </w:r>
      <w:bookmarkEnd w:id="28"/>
    </w:p>
    <w:p w14:paraId="7927DE5D" w14:textId="17557229" w:rsidR="00412576" w:rsidRDefault="00000000" w:rsidP="005F6D5D">
      <w:pPr>
        <w:pStyle w:val="Heading1"/>
        <w:spacing w:line="360" w:lineRule="auto"/>
        <w:jc w:val="both"/>
      </w:pPr>
      <w:bookmarkStart w:id="29" w:name="_Toc228166224"/>
      <w:r>
        <w:t>5</w:t>
      </w:r>
      <w:proofErr w:type="gramStart"/>
      <w:r>
        <w:t>.  Conclusion</w:t>
      </w:r>
      <w:bookmarkEnd w:id="29"/>
      <w:proofErr w:type="gramEnd"/>
    </w:p>
    <w:p w14:paraId="07B2B53A" w14:textId="77777777" w:rsidR="005F6D5D" w:rsidRPr="005F6D5D" w:rsidRDefault="005F6D5D" w:rsidP="005F6D5D">
      <w:pPr>
        <w:pStyle w:val="Heading1"/>
        <w:spacing w:line="360" w:lineRule="auto"/>
        <w:jc w:val="both"/>
        <w:rPr>
          <w:b w:val="0"/>
          <w:bCs w:val="0"/>
          <w:color w:val="auto"/>
          <w:sz w:val="22"/>
          <w:szCs w:val="22"/>
        </w:rPr>
      </w:pPr>
      <w:bookmarkStart w:id="30" w:name="_Toc228166225"/>
      <w:r w:rsidRPr="005F6D5D">
        <w:rPr>
          <w:b w:val="0"/>
          <w:bCs w:val="0"/>
          <w:color w:val="auto"/>
          <w:sz w:val="22"/>
          <w:szCs w:val="22"/>
        </w:rPr>
        <w:t xml:space="preserve">This report has introduced an in-depth international business study of the electric vehicle sector in Thailand that indicates that it is an economy experiencing the fastest industrial transformation in automotive history in Southeast Asia due to the interaction of Chinese MNC </w:t>
      </w:r>
      <w:proofErr w:type="spellStart"/>
      <w:r w:rsidRPr="005F6D5D">
        <w:rPr>
          <w:b w:val="0"/>
          <w:bCs w:val="0"/>
          <w:color w:val="auto"/>
          <w:sz w:val="22"/>
          <w:szCs w:val="22"/>
        </w:rPr>
        <w:t>industrialisation</w:t>
      </w:r>
      <w:proofErr w:type="spellEnd"/>
      <w:r w:rsidRPr="005F6D5D">
        <w:rPr>
          <w:b w:val="0"/>
          <w:bCs w:val="0"/>
          <w:color w:val="auto"/>
          <w:sz w:val="22"/>
          <w:szCs w:val="22"/>
        </w:rPr>
        <w:t xml:space="preserve"> ambitions, the Thai government proactive industrial policy and the structural restructuring of the global EV supply chains. The Diamond analysis of Porter (1990) shows that the competitive advantage of Thailand in the production of EVs is due to condition created by the government (the EV 3.5 subsidy </w:t>
      </w:r>
      <w:proofErr w:type="spellStart"/>
      <w:r w:rsidRPr="005F6D5D">
        <w:rPr>
          <w:b w:val="0"/>
          <w:bCs w:val="0"/>
          <w:color w:val="auto"/>
          <w:sz w:val="22"/>
          <w:szCs w:val="22"/>
        </w:rPr>
        <w:t>programme</w:t>
      </w:r>
      <w:proofErr w:type="spellEnd"/>
      <w:r w:rsidRPr="005F6D5D">
        <w:rPr>
          <w:b w:val="0"/>
          <w:bCs w:val="0"/>
          <w:color w:val="auto"/>
          <w:sz w:val="22"/>
          <w:szCs w:val="22"/>
        </w:rPr>
        <w:t xml:space="preserve">) and inherited conditions of automotive manufacturing factors and the fortuitous coincidence of Chinese EV surplus and Thai industrial </w:t>
      </w:r>
      <w:r w:rsidRPr="005F6D5D">
        <w:rPr>
          <w:b w:val="0"/>
          <w:bCs w:val="0"/>
          <w:color w:val="auto"/>
          <w:sz w:val="22"/>
          <w:szCs w:val="22"/>
        </w:rPr>
        <w:lastRenderedPageBreak/>
        <w:t>policy ambitions - assets that are real but structurally conditional on the sustained fiscal support and geopolitical stability.</w:t>
      </w:r>
      <w:bookmarkEnd w:id="30"/>
    </w:p>
    <w:p w14:paraId="6DDF2312" w14:textId="77777777" w:rsidR="005F6D5D" w:rsidRPr="005F6D5D" w:rsidRDefault="005F6D5D" w:rsidP="005F6D5D">
      <w:pPr>
        <w:pStyle w:val="Heading1"/>
        <w:spacing w:line="360" w:lineRule="auto"/>
        <w:jc w:val="both"/>
        <w:rPr>
          <w:b w:val="0"/>
          <w:bCs w:val="0"/>
          <w:color w:val="auto"/>
          <w:sz w:val="22"/>
          <w:szCs w:val="22"/>
        </w:rPr>
      </w:pPr>
      <w:bookmarkStart w:id="31" w:name="_Toc228166226"/>
      <w:r w:rsidRPr="005F6D5D">
        <w:rPr>
          <w:b w:val="0"/>
          <w:bCs w:val="0"/>
          <w:color w:val="auto"/>
          <w:sz w:val="22"/>
          <w:szCs w:val="22"/>
        </w:rPr>
        <w:t>The study of the operations of BYD has revealed that the company is a vertically integrated MNC with the basis of its market leadership being genuine technological and cost advantages the proprietary Blade Battery, in-house semiconductor production and remarkable efficient production system, yet is also vulnerable to a compounds strategic risk portfolio. Subsidiary politics risk and uncertainty of production mandate are domestic political risks. The risks of international trade are based on the US-China strategic rivalry and secondary sanctions or EU anti-circumvention actions against Thai-made Chinese-brand vehicles. The Iran-Israel-America conflict through petrochemical supply chain disruption via the Strait of Hormuz, battery critical mineral price change, and maritime shipping cost increase through Houthi Red Sea disruption are geopolitical risks (ASEAN, 2024).</w:t>
      </w:r>
      <w:bookmarkEnd w:id="31"/>
    </w:p>
    <w:p w14:paraId="666EE083" w14:textId="77777777" w:rsidR="005F6D5D" w:rsidRDefault="005F6D5D" w:rsidP="005F6D5D">
      <w:pPr>
        <w:pStyle w:val="Heading1"/>
        <w:spacing w:line="360" w:lineRule="auto"/>
        <w:jc w:val="both"/>
        <w:rPr>
          <w:b w:val="0"/>
          <w:bCs w:val="0"/>
          <w:color w:val="auto"/>
          <w:sz w:val="22"/>
          <w:szCs w:val="22"/>
        </w:rPr>
      </w:pPr>
      <w:bookmarkStart w:id="32" w:name="_Toc228166227"/>
      <w:r w:rsidRPr="005F6D5D">
        <w:rPr>
          <w:b w:val="0"/>
          <w:bCs w:val="0"/>
          <w:color w:val="auto"/>
          <w:sz w:val="22"/>
          <w:szCs w:val="22"/>
        </w:rPr>
        <w:t>The broader theoretical implication is that the EV shift in such emerging economies as Thailand cannot be properly examined based on the mere microeconomic schemes. Porters Diamond, Dunning OLI, Hofstede cultural dimensions and Ghemawat CAGE all help highlight significant aspects of the strategic positioning of BYD, though none individually or in combination explain the geopolitical risk architecture that is quickly taking hold as the strategic variable of the EV industry international business. Witt et al. (2023) claim that the geopolitical concentration of battery critical minerals in geopolitically disputed mining areas, the near monopoly of Chinese companies in battery chemical refining, and the susceptibility of maritime transport networks to military interference all necessitate essential theoretical innovation in the field of IB. The BYD Thailand example offers empirical evidence of this suggestion: BYD Thai factory investment is both a market entry decision, a tariff circumvention decision, a supply chain diversification decision, and a geopolitical hedging decision - and none of the classical frameworks can fully describe this multi-dimensional strategic rationality (Casson, 2013).</w:t>
      </w:r>
      <w:bookmarkEnd w:id="32"/>
    </w:p>
    <w:p w14:paraId="0158A802" w14:textId="6121BD7A" w:rsidR="00412576" w:rsidRDefault="00000000" w:rsidP="005F6D5D">
      <w:pPr>
        <w:pStyle w:val="Heading1"/>
        <w:spacing w:line="360" w:lineRule="auto"/>
        <w:jc w:val="both"/>
      </w:pPr>
      <w:bookmarkStart w:id="33" w:name="_Toc228166228"/>
      <w:r>
        <w:t>6</w:t>
      </w:r>
      <w:proofErr w:type="gramStart"/>
      <w:r>
        <w:t>.  Reflective</w:t>
      </w:r>
      <w:proofErr w:type="gramEnd"/>
      <w:r>
        <w:t xml:space="preserve"> Account: Gibbs' Reflective Cycle (1988)</w:t>
      </w:r>
      <w:bookmarkEnd w:id="33"/>
    </w:p>
    <w:p w14:paraId="5A2A91BF" w14:textId="77777777" w:rsidR="005F6D5D" w:rsidRDefault="005F6D5D" w:rsidP="005F6D5D">
      <w:pPr>
        <w:spacing w:before="160" w:after="160" w:line="360" w:lineRule="auto"/>
        <w:jc w:val="both"/>
      </w:pPr>
      <w:r w:rsidRPr="005F6D5D">
        <w:t xml:space="preserve">The following reflection works out all six steps of the Reflective Cycle of Gibbs (1988), i.e. Description, Feelings, Evaluation, Analysis, Conclusion and Action Plan </w:t>
      </w:r>
      <w:proofErr w:type="gramStart"/>
      <w:r w:rsidRPr="005F6D5D">
        <w:t>in order to</w:t>
      </w:r>
      <w:proofErr w:type="gramEnd"/>
      <w:r w:rsidRPr="005F6D5D">
        <w:t xml:space="preserve"> critically </w:t>
      </w:r>
      <w:proofErr w:type="spellStart"/>
      <w:r w:rsidRPr="005F6D5D">
        <w:t>analyse</w:t>
      </w:r>
      <w:proofErr w:type="spellEnd"/>
      <w:r w:rsidRPr="005F6D5D">
        <w:t xml:space="preserve"> the research and production of this Thailand EV industry report. Moon (2006) states that structured reflective frameworks are best effective when they systematically transform raw learning episodes into </w:t>
      </w:r>
      <w:proofErr w:type="spellStart"/>
      <w:r w:rsidRPr="005F6D5D">
        <w:t>generalisable</w:t>
      </w:r>
      <w:proofErr w:type="spellEnd"/>
      <w:r w:rsidRPr="005F6D5D">
        <w:t xml:space="preserve"> knowledge of the profession.</w:t>
      </w:r>
    </w:p>
    <w:p w14:paraId="3729A7CC" w14:textId="5E8973C1" w:rsidR="00412576" w:rsidRDefault="00000000" w:rsidP="005F6D5D">
      <w:pPr>
        <w:spacing w:before="160" w:after="160" w:line="360" w:lineRule="auto"/>
        <w:jc w:val="both"/>
      </w:pPr>
      <w:r>
        <w:rPr>
          <w:noProof/>
        </w:rPr>
        <w:lastRenderedPageBreak/>
        <w:drawing>
          <wp:inline distT="0" distB="0" distL="0" distR="0" wp14:anchorId="52BE062C" wp14:editId="5EFFB8D9">
            <wp:extent cx="4572000" cy="2857500"/>
            <wp:effectExtent l="0" t="0" r="0" b="0"/>
            <wp:docPr id="682157032" name="Picture 682157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572000" cy="2857500"/>
                    </a:xfrm>
                    <a:prstGeom prst="rect">
                      <a:avLst/>
                    </a:prstGeom>
                  </pic:spPr>
                </pic:pic>
              </a:graphicData>
            </a:graphic>
          </wp:inline>
        </w:drawing>
      </w:r>
    </w:p>
    <w:p w14:paraId="541715E6" w14:textId="77777777" w:rsidR="00412576" w:rsidRDefault="00000000" w:rsidP="005F6D5D">
      <w:pPr>
        <w:spacing w:after="100" w:line="360" w:lineRule="auto"/>
        <w:jc w:val="both"/>
      </w:pPr>
      <w:r>
        <w:rPr>
          <w:i/>
          <w:iCs/>
          <w:color w:val="555555"/>
          <w:sz w:val="20"/>
          <w:szCs w:val="20"/>
        </w:rPr>
        <w:t>Figure 7: Gibbs' Reflective Cycle (1988). Adapted from Gibbs, G. (1988) Learning by Doing: A Guide to Teaching and Learning Methods. Oxford: Oxford Polytechnic.</w:t>
      </w:r>
    </w:p>
    <w:p w14:paraId="14AFFBC3" w14:textId="77777777" w:rsidR="00412576" w:rsidRDefault="00000000" w:rsidP="005F6D5D">
      <w:pPr>
        <w:pStyle w:val="Heading2"/>
        <w:spacing w:line="360" w:lineRule="auto"/>
        <w:jc w:val="both"/>
      </w:pPr>
      <w:bookmarkStart w:id="34" w:name="_Toc228166229"/>
      <w:proofErr w:type="gramStart"/>
      <w:r>
        <w:t>6.1  Description</w:t>
      </w:r>
      <w:bookmarkEnd w:id="34"/>
      <w:proofErr w:type="gramEnd"/>
    </w:p>
    <w:p w14:paraId="1AB7CABF" w14:textId="77777777" w:rsidR="005F6D5D" w:rsidRDefault="005F6D5D" w:rsidP="005F6D5D">
      <w:pPr>
        <w:pStyle w:val="Heading2"/>
        <w:spacing w:line="360" w:lineRule="auto"/>
        <w:jc w:val="both"/>
        <w:rPr>
          <w:b w:val="0"/>
          <w:bCs w:val="0"/>
          <w:color w:val="auto"/>
          <w:sz w:val="22"/>
          <w:szCs w:val="22"/>
        </w:rPr>
      </w:pPr>
      <w:bookmarkStart w:id="35" w:name="_Toc228166230"/>
      <w:r w:rsidRPr="005F6D5D">
        <w:rPr>
          <w:b w:val="0"/>
          <w:bCs w:val="0"/>
          <w:color w:val="auto"/>
          <w:sz w:val="22"/>
          <w:szCs w:val="22"/>
        </w:rPr>
        <w:t xml:space="preserve">The EV industry in Thailand was one of the central concerns of the research process because it is the most topical in Southeast Asia, and the fastest-growing EV market. BYD has been chosen as the center of interest MNC due to its 3538 percent market share in Thailand in the BEVs market; </w:t>
      </w:r>
      <w:proofErr w:type="gramStart"/>
      <w:r w:rsidRPr="005F6D5D">
        <w:rPr>
          <w:b w:val="0"/>
          <w:bCs w:val="0"/>
          <w:color w:val="auto"/>
          <w:sz w:val="22"/>
          <w:szCs w:val="22"/>
        </w:rPr>
        <w:t>its</w:t>
      </w:r>
      <w:proofErr w:type="gramEnd"/>
      <w:r w:rsidRPr="005F6D5D">
        <w:rPr>
          <w:b w:val="0"/>
          <w:bCs w:val="0"/>
          <w:color w:val="auto"/>
          <w:sz w:val="22"/>
          <w:szCs w:val="22"/>
        </w:rPr>
        <w:t xml:space="preserve"> verticalized business model provides a case that is analytically unique; and its supply chain design provides an exposure to the Iran-Israel-USA geopolitical disruption pathways that can be empirically traced. They were divided into hierarchically classified sources: academic databases of foundational IB theory (Dunning, 2001; Porter, 1990; Hofstede, 2011; Ghemawat, 2001), EVAT and FTI registration data of industry statistics, BOI Thailand investment data of policy analysis, Benchmark Mineral Intelligence of supply chain cost tracking, and annual report of</w:t>
      </w:r>
      <w:bookmarkEnd w:id="35"/>
    </w:p>
    <w:p w14:paraId="24AB2382" w14:textId="444B603D" w:rsidR="00412576" w:rsidRDefault="00000000" w:rsidP="005F6D5D">
      <w:pPr>
        <w:pStyle w:val="Heading2"/>
        <w:spacing w:line="360" w:lineRule="auto"/>
        <w:jc w:val="both"/>
      </w:pPr>
      <w:bookmarkStart w:id="36" w:name="_Toc228166231"/>
      <w:proofErr w:type="gramStart"/>
      <w:r>
        <w:t>6.2  Feelings</w:t>
      </w:r>
      <w:bookmarkEnd w:id="36"/>
      <w:proofErr w:type="gramEnd"/>
    </w:p>
    <w:p w14:paraId="14B1DDEC" w14:textId="77777777" w:rsidR="005F6D5D" w:rsidRDefault="005F6D5D" w:rsidP="005F6D5D">
      <w:pPr>
        <w:pStyle w:val="Heading2"/>
        <w:spacing w:line="360" w:lineRule="auto"/>
        <w:jc w:val="both"/>
        <w:rPr>
          <w:b w:val="0"/>
          <w:bCs w:val="0"/>
          <w:color w:val="auto"/>
          <w:sz w:val="22"/>
          <w:szCs w:val="22"/>
        </w:rPr>
      </w:pPr>
      <w:bookmarkStart w:id="37" w:name="_Toc228166232"/>
      <w:r w:rsidRPr="005F6D5D">
        <w:rPr>
          <w:b w:val="0"/>
          <w:bCs w:val="0"/>
          <w:color w:val="auto"/>
          <w:sz w:val="22"/>
          <w:szCs w:val="22"/>
        </w:rPr>
        <w:t xml:space="preserve">The prevailing intellectual mood was an increasing sense of how significant the interdependence of what is being projected as a technological revolution in clean energy is with the intensely sloppy geopolitical geography of the critical mineral chains of supply which make it possible. The EV industry is touted as a route to energy security and </w:t>
      </w:r>
      <w:proofErr w:type="spellStart"/>
      <w:r w:rsidRPr="005F6D5D">
        <w:rPr>
          <w:b w:val="0"/>
          <w:bCs w:val="0"/>
          <w:color w:val="auto"/>
          <w:sz w:val="22"/>
          <w:szCs w:val="22"/>
        </w:rPr>
        <w:t>decarbonisation</w:t>
      </w:r>
      <w:proofErr w:type="spellEnd"/>
      <w:r w:rsidRPr="005F6D5D">
        <w:rPr>
          <w:b w:val="0"/>
          <w:bCs w:val="0"/>
          <w:color w:val="auto"/>
          <w:sz w:val="22"/>
          <w:szCs w:val="22"/>
        </w:rPr>
        <w:t xml:space="preserve">, yet the study found that EV manufacturing replaces oil dependence with critical mineral dependence - and the concentration of risk no longer remains in the Middle Eastern oil-producing countries but is transferred to Chinese rare earth refiners, Indonesian nickel </w:t>
      </w:r>
      <w:r w:rsidRPr="005F6D5D">
        <w:rPr>
          <w:b w:val="0"/>
          <w:bCs w:val="0"/>
          <w:color w:val="auto"/>
          <w:sz w:val="22"/>
          <w:szCs w:val="22"/>
        </w:rPr>
        <w:lastRenderedPageBreak/>
        <w:t xml:space="preserve">smelters, and DRC cobalt mines. This is the type of fruitful cognitive dissonance that propels real learning, and this complexity is </w:t>
      </w:r>
      <w:proofErr w:type="gramStart"/>
      <w:r w:rsidRPr="005F6D5D">
        <w:rPr>
          <w:b w:val="0"/>
          <w:bCs w:val="0"/>
          <w:color w:val="auto"/>
          <w:sz w:val="22"/>
          <w:szCs w:val="22"/>
        </w:rPr>
        <w:t>exactly that</w:t>
      </w:r>
      <w:proofErr w:type="gramEnd"/>
      <w:r w:rsidRPr="005F6D5D">
        <w:rPr>
          <w:b w:val="0"/>
          <w:bCs w:val="0"/>
          <w:color w:val="auto"/>
          <w:sz w:val="22"/>
          <w:szCs w:val="22"/>
        </w:rPr>
        <w:t xml:space="preserve"> as Boud, Keogh and Walker (1985) note. The mapping of the multi-tier supply chain of BYD based on the Congolese cobalt mines to Chinese chemical refineries to Thai vehicle assembly lines was analytically the most rewarding, but methodologically taxing aspect of the whole research process.</w:t>
      </w:r>
      <w:bookmarkEnd w:id="37"/>
    </w:p>
    <w:p w14:paraId="0228FF49" w14:textId="238DDF07" w:rsidR="00412576" w:rsidRDefault="00000000" w:rsidP="005F6D5D">
      <w:pPr>
        <w:pStyle w:val="Heading2"/>
        <w:spacing w:line="360" w:lineRule="auto"/>
        <w:jc w:val="both"/>
      </w:pPr>
      <w:bookmarkStart w:id="38" w:name="_Toc228166233"/>
      <w:proofErr w:type="gramStart"/>
      <w:r>
        <w:t>6.3  Evaluation</w:t>
      </w:r>
      <w:bookmarkEnd w:id="38"/>
      <w:proofErr w:type="gramEnd"/>
    </w:p>
    <w:p w14:paraId="3289E919" w14:textId="77777777" w:rsidR="005F6D5D" w:rsidRDefault="005F6D5D" w:rsidP="005F6D5D">
      <w:pPr>
        <w:pStyle w:val="Heading2"/>
        <w:spacing w:line="360" w:lineRule="auto"/>
        <w:jc w:val="both"/>
        <w:rPr>
          <w:b w:val="0"/>
          <w:bCs w:val="0"/>
          <w:color w:val="auto"/>
          <w:sz w:val="22"/>
          <w:szCs w:val="22"/>
        </w:rPr>
      </w:pPr>
      <w:bookmarkStart w:id="39" w:name="_Toc228166234"/>
      <w:r w:rsidRPr="005F6D5D">
        <w:rPr>
          <w:b w:val="0"/>
          <w:bCs w:val="0"/>
          <w:color w:val="auto"/>
          <w:sz w:val="22"/>
          <w:szCs w:val="22"/>
        </w:rPr>
        <w:t>The core strengths of the report are that the multi-framework analysis, which combines the OLI Paradigm of Dunning, the Diamond of Porter, and the cultural dimensions of Hofstede with the CAGE framework of Ghemawat into a layer analysis, would have yielded more information than any of the frameworks alone. This synthesis of the Iran-Israel-USA geopolitical warfare as an analytical thread that has been on the run since the political, economic, and supply chain levels gave it contemporary relevance and empirical specificity. Frameworks cross-referencing - OLI of entry logic, Porters Diamond of national competitive conditions, and PESTLE/CAGE/Hofstede of operational factors created structural coherence that blended the analytical story (Verbeke, 2013). The main weakness was that it was challenging to determine the precise causation in a multi-variable environment: battery critical mineral price movements are being caused by Chinese demand cycles, global mining output decisions, US IRA policy impacts, and Middle East risk premia, and unraveling these is not within the scope of one report, which Bryman (2016) would recognize as a reasonable acknowledgment of the analytical border conditions.</w:t>
      </w:r>
      <w:bookmarkEnd w:id="39"/>
    </w:p>
    <w:p w14:paraId="298E976C" w14:textId="2800675B" w:rsidR="00412576" w:rsidRDefault="00000000" w:rsidP="005F6D5D">
      <w:pPr>
        <w:pStyle w:val="Heading2"/>
        <w:spacing w:line="360" w:lineRule="auto"/>
        <w:jc w:val="both"/>
      </w:pPr>
      <w:bookmarkStart w:id="40" w:name="_Toc228166235"/>
      <w:proofErr w:type="gramStart"/>
      <w:r>
        <w:t>6.4  Analysis</w:t>
      </w:r>
      <w:bookmarkEnd w:id="40"/>
      <w:proofErr w:type="gramEnd"/>
    </w:p>
    <w:p w14:paraId="6693FCFF" w14:textId="77777777" w:rsidR="005F6D5D" w:rsidRDefault="005F6D5D" w:rsidP="005F6D5D">
      <w:pPr>
        <w:pStyle w:val="Heading2"/>
        <w:spacing w:line="360" w:lineRule="auto"/>
        <w:jc w:val="both"/>
        <w:rPr>
          <w:b w:val="0"/>
          <w:bCs w:val="0"/>
          <w:color w:val="auto"/>
          <w:sz w:val="22"/>
          <w:szCs w:val="22"/>
        </w:rPr>
      </w:pPr>
      <w:bookmarkStart w:id="41" w:name="_Toc228166236"/>
      <w:r w:rsidRPr="005F6D5D">
        <w:rPr>
          <w:b w:val="0"/>
          <w:bCs w:val="0"/>
          <w:color w:val="auto"/>
          <w:sz w:val="22"/>
          <w:szCs w:val="22"/>
        </w:rPr>
        <w:t xml:space="preserve">The core strengths of the report are that the multi-framework analysis, which combines the OLI Paradigm of Dunning, the Diamond of Porter, and the cultural dimensions of Hofstede with the CAGE framework of Ghemawat into a layer analysis, would have yielded more information than any of the frameworks alone. This synthesis of the Iran-Israel-USA geopolitical warfare as an analytical thread that has been on the run since the political, economic, and supply chain levels gave it contemporary relevance and empirical specificity. Frameworks cross-referencing - OLI of entry logic, Porters Diamond of national competitive conditions, and PESTLE/CAGE/Hofstede of operational factors created structural coherence that blended the analytical story (Verbeke, 2013). The main weakness was that it was challenging to determine the precise causation in a multi-variable environment: battery critical mineral price movements are being caused by Chinese demand cycles, global mining output decisions, US IRA policy impacts, and Middle East risk premia, and unraveling these is not </w:t>
      </w:r>
      <w:r w:rsidRPr="005F6D5D">
        <w:rPr>
          <w:b w:val="0"/>
          <w:bCs w:val="0"/>
          <w:color w:val="auto"/>
          <w:sz w:val="22"/>
          <w:szCs w:val="22"/>
        </w:rPr>
        <w:lastRenderedPageBreak/>
        <w:t>within the scope of one report, which Bryman (2016) would recognize as a reasonable acknowledgment of the analytical border conditions.</w:t>
      </w:r>
      <w:bookmarkEnd w:id="41"/>
    </w:p>
    <w:p w14:paraId="4E25FAD7" w14:textId="0BDADE6F" w:rsidR="00412576" w:rsidRDefault="00000000" w:rsidP="005F6D5D">
      <w:pPr>
        <w:pStyle w:val="Heading2"/>
        <w:spacing w:line="360" w:lineRule="auto"/>
        <w:jc w:val="both"/>
      </w:pPr>
      <w:bookmarkStart w:id="42" w:name="_Toc228166237"/>
      <w:proofErr w:type="gramStart"/>
      <w:r>
        <w:t>6.5  Conclusion</w:t>
      </w:r>
      <w:bookmarkEnd w:id="42"/>
      <w:proofErr w:type="gramEnd"/>
    </w:p>
    <w:p w14:paraId="5911246B" w14:textId="77777777" w:rsidR="005F6D5D" w:rsidRDefault="005F6D5D" w:rsidP="005F6D5D">
      <w:pPr>
        <w:pStyle w:val="Heading2"/>
        <w:spacing w:line="360" w:lineRule="auto"/>
        <w:jc w:val="both"/>
        <w:rPr>
          <w:b w:val="0"/>
          <w:bCs w:val="0"/>
          <w:color w:val="auto"/>
          <w:sz w:val="22"/>
          <w:szCs w:val="22"/>
        </w:rPr>
      </w:pPr>
      <w:bookmarkStart w:id="43" w:name="_Toc228166238"/>
      <w:r w:rsidRPr="005F6D5D">
        <w:rPr>
          <w:b w:val="0"/>
          <w:bCs w:val="0"/>
          <w:color w:val="auto"/>
          <w:sz w:val="22"/>
          <w:szCs w:val="22"/>
        </w:rPr>
        <w:t xml:space="preserve">The procedural change that would be of utmost importance in future </w:t>
      </w:r>
      <w:proofErr w:type="gramStart"/>
      <w:r w:rsidRPr="005F6D5D">
        <w:rPr>
          <w:b w:val="0"/>
          <w:bCs w:val="0"/>
          <w:color w:val="auto"/>
          <w:sz w:val="22"/>
          <w:szCs w:val="22"/>
        </w:rPr>
        <w:t>working</w:t>
      </w:r>
      <w:proofErr w:type="gramEnd"/>
      <w:r w:rsidRPr="005F6D5D">
        <w:rPr>
          <w:b w:val="0"/>
          <w:bCs w:val="0"/>
          <w:color w:val="auto"/>
          <w:sz w:val="22"/>
          <w:szCs w:val="22"/>
        </w:rPr>
        <w:t xml:space="preserve"> would be the time allocation during research phases. The supply chain mapping exercise (i.e. triangulation of commodity, shipping and automotive trade data over several databases) took a much longer time than had been predicted in initial planning but yielded the most analytically useful input to the report. Subsequent practice will place primary data analysis and </w:t>
      </w:r>
      <w:proofErr w:type="spellStart"/>
      <w:r w:rsidRPr="005F6D5D">
        <w:rPr>
          <w:b w:val="0"/>
          <w:bCs w:val="0"/>
          <w:color w:val="auto"/>
          <w:sz w:val="22"/>
          <w:szCs w:val="22"/>
        </w:rPr>
        <w:t>visualisation</w:t>
      </w:r>
      <w:proofErr w:type="spellEnd"/>
      <w:r w:rsidRPr="005F6D5D">
        <w:rPr>
          <w:b w:val="0"/>
          <w:bCs w:val="0"/>
          <w:color w:val="auto"/>
          <w:sz w:val="22"/>
          <w:szCs w:val="22"/>
        </w:rPr>
        <w:t xml:space="preserve"> upfront, defining a body of empirical results and creating theoretical frameworks of discussion only once it has been empirically explored. It would also optimize the framework selection process: it would be explicitly included in future reportage on geopolitically exposed industries to have a separate geopolitical risk framework as an analytical layer.</w:t>
      </w:r>
      <w:bookmarkEnd w:id="43"/>
    </w:p>
    <w:p w14:paraId="16BE897C" w14:textId="0AFE4E5E" w:rsidR="00412576" w:rsidRDefault="00000000" w:rsidP="005F6D5D">
      <w:pPr>
        <w:pStyle w:val="Heading2"/>
        <w:spacing w:line="360" w:lineRule="auto"/>
        <w:jc w:val="both"/>
      </w:pPr>
      <w:bookmarkStart w:id="44" w:name="_Toc228166239"/>
      <w:proofErr w:type="gramStart"/>
      <w:r>
        <w:t>6.6  Action</w:t>
      </w:r>
      <w:proofErr w:type="gramEnd"/>
      <w:r>
        <w:t xml:space="preserve"> Plan</w:t>
      </w:r>
      <w:bookmarkEnd w:id="44"/>
    </w:p>
    <w:p w14:paraId="5A484431" w14:textId="4DF2C15F" w:rsidR="00412576" w:rsidRDefault="005F6D5D" w:rsidP="005F6D5D">
      <w:pPr>
        <w:spacing w:line="360" w:lineRule="auto"/>
        <w:jc w:val="both"/>
      </w:pPr>
      <w:r w:rsidRPr="005F6D5D">
        <w:t xml:space="preserve">There are four commitments that arise out of this reflective analysis. To start with, I will create a geopolitical risk assessment plan based on EIA chokepoint analysis, OFAC sanctions databases, and LME commodity price indices. Second, I will develop practical skills in multi-level supply chain mapping techniques used by </w:t>
      </w:r>
      <w:proofErr w:type="spellStart"/>
      <w:r w:rsidRPr="005F6D5D">
        <w:t>BloombergNEF</w:t>
      </w:r>
      <w:proofErr w:type="spellEnd"/>
      <w:r w:rsidRPr="005F6D5D">
        <w:t xml:space="preserve"> and the IEA in their critical analysis of the minerals. Third, I will embrace reflective journaling in all my future research projects based on the concept of reflection-in-action proposed by Moon (2006) and Schon (1983) where I will record learning episodes as they happen and not afterwards. Fourth, I will commit to learning quantitative data </w:t>
      </w:r>
      <w:proofErr w:type="spellStart"/>
      <w:r w:rsidRPr="005F6D5D">
        <w:t>visualisation</w:t>
      </w:r>
      <w:proofErr w:type="spellEnd"/>
      <w:r w:rsidRPr="005F6D5D">
        <w:t xml:space="preserve"> in Python, which is in line with the findings of Nicol and Macfarlane-Dick (2006) that self-regulated learning works best when learners generate original analytical products, as opposed to replicating existing frameworks.</w:t>
      </w:r>
      <w:r w:rsidR="00000000">
        <w:br w:type="page"/>
      </w:r>
    </w:p>
    <w:p w14:paraId="216CF620" w14:textId="77777777" w:rsidR="00412576" w:rsidRDefault="00000000" w:rsidP="005F6D5D">
      <w:pPr>
        <w:pStyle w:val="Heading1"/>
        <w:spacing w:line="360" w:lineRule="auto"/>
        <w:jc w:val="both"/>
      </w:pPr>
      <w:bookmarkStart w:id="45" w:name="_Toc228166240"/>
      <w:r>
        <w:lastRenderedPageBreak/>
        <w:t>7</w:t>
      </w:r>
      <w:proofErr w:type="gramStart"/>
      <w:r>
        <w:t>.  References</w:t>
      </w:r>
      <w:bookmarkEnd w:id="45"/>
      <w:proofErr w:type="gramEnd"/>
    </w:p>
    <w:p w14:paraId="6C2AF9CC" w14:textId="77777777" w:rsidR="00412576" w:rsidRDefault="00000000" w:rsidP="005F6D5D">
      <w:pPr>
        <w:spacing w:after="120" w:line="360" w:lineRule="auto"/>
        <w:ind w:left="720" w:hanging="720"/>
        <w:jc w:val="both"/>
      </w:pPr>
      <w:r>
        <w:rPr>
          <w:sz w:val="20"/>
          <w:szCs w:val="20"/>
        </w:rPr>
        <w:t>Barney, J.B. (1991) 'Firm resources and sustained competitive advantage', Journal of Management, 17(1), pp. 99–120.</w:t>
      </w:r>
    </w:p>
    <w:p w14:paraId="47BDEE96" w14:textId="77777777" w:rsidR="00412576" w:rsidRDefault="00000000" w:rsidP="005F6D5D">
      <w:pPr>
        <w:spacing w:after="120" w:line="360" w:lineRule="auto"/>
        <w:ind w:left="720" w:hanging="720"/>
        <w:jc w:val="both"/>
      </w:pPr>
      <w:r>
        <w:rPr>
          <w:sz w:val="20"/>
          <w:szCs w:val="20"/>
        </w:rPr>
        <w:t>Benchmark Mineral Intelligence (2024) Lithium Price Index Q3 2024. London: Benchmark Mineral Intelligence.</w:t>
      </w:r>
    </w:p>
    <w:p w14:paraId="5C76C47C" w14:textId="77777777" w:rsidR="00412576" w:rsidRDefault="00000000" w:rsidP="005F6D5D">
      <w:pPr>
        <w:spacing w:after="120" w:line="360" w:lineRule="auto"/>
        <w:ind w:left="720" w:hanging="720"/>
        <w:jc w:val="both"/>
      </w:pPr>
      <w:proofErr w:type="spellStart"/>
      <w:r>
        <w:rPr>
          <w:sz w:val="20"/>
          <w:szCs w:val="20"/>
        </w:rPr>
        <w:t>BloombergNEF</w:t>
      </w:r>
      <w:proofErr w:type="spellEnd"/>
      <w:r>
        <w:rPr>
          <w:sz w:val="20"/>
          <w:szCs w:val="20"/>
        </w:rPr>
        <w:t xml:space="preserve"> (2024) Electric Vehicle Outlook 2024. New York: </w:t>
      </w:r>
      <w:proofErr w:type="spellStart"/>
      <w:r>
        <w:rPr>
          <w:sz w:val="20"/>
          <w:szCs w:val="20"/>
        </w:rPr>
        <w:t>BloombergNEF</w:t>
      </w:r>
      <w:proofErr w:type="spellEnd"/>
      <w:r>
        <w:rPr>
          <w:sz w:val="20"/>
          <w:szCs w:val="20"/>
        </w:rPr>
        <w:t>.</w:t>
      </w:r>
    </w:p>
    <w:p w14:paraId="535CBAA3" w14:textId="77777777" w:rsidR="00412576" w:rsidRDefault="00000000" w:rsidP="005F6D5D">
      <w:pPr>
        <w:spacing w:after="120" w:line="360" w:lineRule="auto"/>
        <w:ind w:left="720" w:hanging="720"/>
        <w:jc w:val="both"/>
      </w:pPr>
      <w:r>
        <w:rPr>
          <w:sz w:val="20"/>
          <w:szCs w:val="20"/>
        </w:rPr>
        <w:t>BOI Thailand (2024) EV 3.5 Investment Promotion Package: Policy Guidelines and Conditions. Bangkok: Board of Investment of Thailand.</w:t>
      </w:r>
    </w:p>
    <w:p w14:paraId="2770E724" w14:textId="77777777" w:rsidR="00412576" w:rsidRDefault="00000000" w:rsidP="005F6D5D">
      <w:pPr>
        <w:spacing w:after="120" w:line="360" w:lineRule="auto"/>
        <w:ind w:left="720" w:hanging="720"/>
        <w:jc w:val="both"/>
      </w:pPr>
      <w:r>
        <w:rPr>
          <w:sz w:val="20"/>
          <w:szCs w:val="20"/>
        </w:rPr>
        <w:t>Boud, D., Keogh, R. and Walker, D. (1985) Reflection: Turning Experience into Learning. London: Kogan Page.</w:t>
      </w:r>
    </w:p>
    <w:p w14:paraId="31602772" w14:textId="77777777" w:rsidR="00412576" w:rsidRDefault="00000000" w:rsidP="005F6D5D">
      <w:pPr>
        <w:spacing w:after="120" w:line="360" w:lineRule="auto"/>
        <w:ind w:left="720" w:hanging="720"/>
        <w:jc w:val="both"/>
      </w:pPr>
      <w:r>
        <w:rPr>
          <w:sz w:val="20"/>
          <w:szCs w:val="20"/>
        </w:rPr>
        <w:t xml:space="preserve">Bryman, A. (2016) Social Research Methods. 5th </w:t>
      </w:r>
      <w:proofErr w:type="spellStart"/>
      <w:r>
        <w:rPr>
          <w:sz w:val="20"/>
          <w:szCs w:val="20"/>
        </w:rPr>
        <w:t>edn</w:t>
      </w:r>
      <w:proofErr w:type="spellEnd"/>
      <w:r>
        <w:rPr>
          <w:sz w:val="20"/>
          <w:szCs w:val="20"/>
        </w:rPr>
        <w:t>. Oxford: Oxford University Press.</w:t>
      </w:r>
    </w:p>
    <w:p w14:paraId="50D6124F" w14:textId="77777777" w:rsidR="00412576" w:rsidRDefault="00000000" w:rsidP="005F6D5D">
      <w:pPr>
        <w:spacing w:after="120" w:line="360" w:lineRule="auto"/>
        <w:ind w:left="720" w:hanging="720"/>
        <w:jc w:val="both"/>
      </w:pPr>
      <w:r>
        <w:rPr>
          <w:sz w:val="20"/>
          <w:szCs w:val="20"/>
        </w:rPr>
        <w:t>Buckley, P.J. and Casson, M. (1976) The Future of the Multinational Enterprise. London: Macmillan.</w:t>
      </w:r>
    </w:p>
    <w:p w14:paraId="3F894EFE" w14:textId="77777777" w:rsidR="00412576" w:rsidRDefault="00000000" w:rsidP="005F6D5D">
      <w:pPr>
        <w:spacing w:after="120" w:line="360" w:lineRule="auto"/>
        <w:ind w:left="720" w:hanging="720"/>
        <w:jc w:val="both"/>
      </w:pPr>
      <w:r>
        <w:rPr>
          <w:sz w:val="20"/>
          <w:szCs w:val="20"/>
        </w:rPr>
        <w:t>BYD Company Limited (2023) Annual Report 2023. Shenzhen: BYD Company Limited.</w:t>
      </w:r>
    </w:p>
    <w:p w14:paraId="11A84E80" w14:textId="77777777" w:rsidR="00412576" w:rsidRDefault="00000000" w:rsidP="005F6D5D">
      <w:pPr>
        <w:spacing w:after="120" w:line="360" w:lineRule="auto"/>
        <w:ind w:left="720" w:hanging="720"/>
        <w:jc w:val="both"/>
      </w:pPr>
      <w:r>
        <w:rPr>
          <w:sz w:val="20"/>
          <w:szCs w:val="20"/>
        </w:rPr>
        <w:t xml:space="preserve">Contractor, F.J. (2022) 'The world economy will need even more </w:t>
      </w:r>
      <w:proofErr w:type="spellStart"/>
      <w:r>
        <w:rPr>
          <w:sz w:val="20"/>
          <w:szCs w:val="20"/>
        </w:rPr>
        <w:t>globalisation</w:t>
      </w:r>
      <w:proofErr w:type="spellEnd"/>
      <w:r>
        <w:rPr>
          <w:sz w:val="20"/>
          <w:szCs w:val="20"/>
        </w:rPr>
        <w:t xml:space="preserve"> in the post-pandemic 2021 decade', Journal of International Business Studies, 53(1), pp. 156–171.</w:t>
      </w:r>
    </w:p>
    <w:p w14:paraId="00D85161" w14:textId="77777777" w:rsidR="00412576" w:rsidRDefault="00000000" w:rsidP="005F6D5D">
      <w:pPr>
        <w:spacing w:after="120" w:line="360" w:lineRule="auto"/>
        <w:ind w:left="720" w:hanging="720"/>
        <w:jc w:val="both"/>
      </w:pPr>
      <w:r>
        <w:rPr>
          <w:sz w:val="20"/>
          <w:szCs w:val="20"/>
        </w:rPr>
        <w:t xml:space="preserve">Creswell, J.W. and Creswell, J.D. (2018) Research Design: Qualitative, Quantitative, and Mixed Methods Approaches. 5th </w:t>
      </w:r>
      <w:proofErr w:type="spellStart"/>
      <w:r>
        <w:rPr>
          <w:sz w:val="20"/>
          <w:szCs w:val="20"/>
        </w:rPr>
        <w:t>edn</w:t>
      </w:r>
      <w:proofErr w:type="spellEnd"/>
      <w:r>
        <w:rPr>
          <w:sz w:val="20"/>
          <w:szCs w:val="20"/>
        </w:rPr>
        <w:t>. London: SAGE.</w:t>
      </w:r>
    </w:p>
    <w:p w14:paraId="05B6B7A8" w14:textId="77777777" w:rsidR="00412576" w:rsidRDefault="00000000" w:rsidP="005F6D5D">
      <w:pPr>
        <w:spacing w:after="120" w:line="360" w:lineRule="auto"/>
        <w:ind w:left="720" w:hanging="720"/>
        <w:jc w:val="both"/>
      </w:pPr>
      <w:r>
        <w:rPr>
          <w:sz w:val="20"/>
          <w:szCs w:val="20"/>
        </w:rPr>
        <w:t>Doner, R.F. (2009) The Politics of Uneven Development: Thailand's Economic Growth in Comparative Perspective. Cambridge: Cambridge University Press.</w:t>
      </w:r>
    </w:p>
    <w:p w14:paraId="4DB04B19" w14:textId="77777777" w:rsidR="00412576" w:rsidRDefault="00000000" w:rsidP="005F6D5D">
      <w:pPr>
        <w:spacing w:after="120" w:line="360" w:lineRule="auto"/>
        <w:ind w:left="720" w:hanging="720"/>
        <w:jc w:val="both"/>
      </w:pPr>
      <w:r>
        <w:rPr>
          <w:sz w:val="20"/>
          <w:szCs w:val="20"/>
        </w:rPr>
        <w:t>Drewry Shipping Consultants (2024) World Container Index — July 2024. London: Drewry.</w:t>
      </w:r>
    </w:p>
    <w:p w14:paraId="7F3DE3B7" w14:textId="77777777" w:rsidR="00412576" w:rsidRDefault="00000000" w:rsidP="005F6D5D">
      <w:pPr>
        <w:spacing w:after="120" w:line="360" w:lineRule="auto"/>
        <w:ind w:left="720" w:hanging="720"/>
        <w:jc w:val="both"/>
      </w:pPr>
      <w:r>
        <w:rPr>
          <w:sz w:val="20"/>
          <w:szCs w:val="20"/>
        </w:rPr>
        <w:t>Dunning, J.H. (2001) 'The eclectic (OLI) paradigm of international production: past, present and future', International Journal of the Economics of Business, 8(2), pp. 173–190.</w:t>
      </w:r>
    </w:p>
    <w:p w14:paraId="0455D813" w14:textId="77777777" w:rsidR="00412576" w:rsidRDefault="00000000" w:rsidP="005F6D5D">
      <w:pPr>
        <w:spacing w:after="120" w:line="360" w:lineRule="auto"/>
        <w:ind w:left="720" w:hanging="720"/>
        <w:jc w:val="both"/>
      </w:pPr>
      <w:r>
        <w:rPr>
          <w:sz w:val="20"/>
          <w:szCs w:val="20"/>
        </w:rPr>
        <w:t>EIA — U.S. Energy Information Administration (2024) Brent Crude Oil Spot Price: 2023–2024. Washington, DC: EIA.</w:t>
      </w:r>
    </w:p>
    <w:p w14:paraId="6C4EF64A" w14:textId="77777777" w:rsidR="00412576" w:rsidRDefault="00000000" w:rsidP="005F6D5D">
      <w:pPr>
        <w:spacing w:after="120" w:line="360" w:lineRule="auto"/>
        <w:ind w:left="720" w:hanging="720"/>
        <w:jc w:val="both"/>
      </w:pPr>
      <w:r>
        <w:rPr>
          <w:sz w:val="20"/>
          <w:szCs w:val="20"/>
        </w:rPr>
        <w:t>EVAT — Electric Vehicle Association of Thailand (2024) Thailand EV Market Statistics 2024. Bangkok: EVAT.</w:t>
      </w:r>
    </w:p>
    <w:p w14:paraId="2C4B673A" w14:textId="77777777" w:rsidR="00412576" w:rsidRDefault="00000000" w:rsidP="005F6D5D">
      <w:pPr>
        <w:spacing w:after="120" w:line="360" w:lineRule="auto"/>
        <w:ind w:left="720" w:hanging="720"/>
        <w:jc w:val="both"/>
      </w:pPr>
      <w:r>
        <w:rPr>
          <w:sz w:val="20"/>
          <w:szCs w:val="20"/>
        </w:rPr>
        <w:t>FTI — Federation of Thai Industries (2024) Thai Automotive Industry Report 2024. Bangkok: FTI.</w:t>
      </w:r>
    </w:p>
    <w:p w14:paraId="63C3D6BD" w14:textId="77777777" w:rsidR="00412576" w:rsidRDefault="00000000" w:rsidP="005F6D5D">
      <w:pPr>
        <w:spacing w:after="120" w:line="360" w:lineRule="auto"/>
        <w:ind w:left="720" w:hanging="720"/>
        <w:jc w:val="both"/>
      </w:pPr>
      <w:r>
        <w:rPr>
          <w:sz w:val="20"/>
          <w:szCs w:val="20"/>
        </w:rPr>
        <w:t>Gereffi, G., Humphrey, J. and Sturgeon, T. (2005) 'The governance of global value chains', Review of International Political Economy, 12(1), pp. 78–104.</w:t>
      </w:r>
    </w:p>
    <w:p w14:paraId="6B11F31D" w14:textId="77777777" w:rsidR="00412576" w:rsidRDefault="00000000" w:rsidP="005F6D5D">
      <w:pPr>
        <w:spacing w:after="120" w:line="360" w:lineRule="auto"/>
        <w:ind w:left="720" w:hanging="720"/>
        <w:jc w:val="both"/>
      </w:pPr>
      <w:r>
        <w:rPr>
          <w:sz w:val="20"/>
          <w:szCs w:val="20"/>
        </w:rPr>
        <w:t>Ghemawat, P. (2001) 'Distance still matters: the hard reality of global expansion', Harvard Business Review, 79(8), pp. 137–147.</w:t>
      </w:r>
    </w:p>
    <w:p w14:paraId="2AA8934D" w14:textId="77777777" w:rsidR="00412576" w:rsidRDefault="00000000" w:rsidP="005F6D5D">
      <w:pPr>
        <w:spacing w:after="120" w:line="360" w:lineRule="auto"/>
        <w:ind w:left="720" w:hanging="720"/>
        <w:jc w:val="both"/>
      </w:pPr>
      <w:r>
        <w:rPr>
          <w:sz w:val="20"/>
          <w:szCs w:val="20"/>
        </w:rPr>
        <w:t>Gibbs, G. (1988) Learning by Doing: A Guide to Teaching and Learning Methods. Oxford: Oxford Polytechnic.</w:t>
      </w:r>
    </w:p>
    <w:p w14:paraId="2027BCE1" w14:textId="77777777" w:rsidR="00412576" w:rsidRDefault="00000000" w:rsidP="005F6D5D">
      <w:pPr>
        <w:spacing w:after="120" w:line="360" w:lineRule="auto"/>
        <w:ind w:left="720" w:hanging="720"/>
        <w:jc w:val="both"/>
      </w:pPr>
      <w:r>
        <w:rPr>
          <w:sz w:val="20"/>
          <w:szCs w:val="20"/>
        </w:rPr>
        <w:lastRenderedPageBreak/>
        <w:t>Great Wall Motor Company (2023) Annual Report 2023. Baoding: Great Wall Motor.</w:t>
      </w:r>
    </w:p>
    <w:p w14:paraId="2F85B74A" w14:textId="77777777" w:rsidR="00412576" w:rsidRDefault="00000000" w:rsidP="005F6D5D">
      <w:pPr>
        <w:spacing w:after="120" w:line="360" w:lineRule="auto"/>
        <w:ind w:left="720" w:hanging="720"/>
        <w:jc w:val="both"/>
      </w:pPr>
      <w:r>
        <w:rPr>
          <w:sz w:val="20"/>
          <w:szCs w:val="20"/>
        </w:rPr>
        <w:t>Hofstede, G. (2011) '</w:t>
      </w:r>
      <w:proofErr w:type="spellStart"/>
      <w:r>
        <w:rPr>
          <w:sz w:val="20"/>
          <w:szCs w:val="20"/>
        </w:rPr>
        <w:t>Dimensionalizing</w:t>
      </w:r>
      <w:proofErr w:type="spellEnd"/>
      <w:r>
        <w:rPr>
          <w:sz w:val="20"/>
          <w:szCs w:val="20"/>
        </w:rPr>
        <w:t xml:space="preserve"> cultures: the Hofstede model in context', Online Readings in Psychology and Culture, 2(1), pp. 1–26.</w:t>
      </w:r>
    </w:p>
    <w:p w14:paraId="37D56A86" w14:textId="77777777" w:rsidR="00412576" w:rsidRDefault="00000000" w:rsidP="005F6D5D">
      <w:pPr>
        <w:spacing w:after="120" w:line="360" w:lineRule="auto"/>
        <w:ind w:left="720" w:hanging="720"/>
        <w:jc w:val="both"/>
      </w:pPr>
      <w:r>
        <w:rPr>
          <w:sz w:val="20"/>
          <w:szCs w:val="20"/>
        </w:rPr>
        <w:t>Hofstede Insights (2024) Country Comparison: China vs Thailand. Available at: https://www.hofstede-insights.com (Accessed: 15 April 2025).</w:t>
      </w:r>
    </w:p>
    <w:p w14:paraId="11646BF4" w14:textId="77777777" w:rsidR="00412576" w:rsidRDefault="00000000" w:rsidP="005F6D5D">
      <w:pPr>
        <w:spacing w:after="120" w:line="360" w:lineRule="auto"/>
        <w:ind w:left="720" w:hanging="720"/>
        <w:jc w:val="both"/>
      </w:pPr>
      <w:r>
        <w:rPr>
          <w:sz w:val="20"/>
          <w:szCs w:val="20"/>
        </w:rPr>
        <w:t>IEA — International Energy Agency (2024) Critical Minerals Market Review 2024. Paris: IEA.</w:t>
      </w:r>
    </w:p>
    <w:p w14:paraId="548E17E0" w14:textId="77777777" w:rsidR="00412576" w:rsidRDefault="00000000" w:rsidP="005F6D5D">
      <w:pPr>
        <w:spacing w:after="120" w:line="360" w:lineRule="auto"/>
        <w:ind w:left="720" w:hanging="720"/>
        <w:jc w:val="both"/>
      </w:pPr>
      <w:r>
        <w:rPr>
          <w:sz w:val="20"/>
          <w:szCs w:val="20"/>
        </w:rPr>
        <w:t>IEA (2024) Global EV Outlook 2024. Paris: IEA.</w:t>
      </w:r>
    </w:p>
    <w:p w14:paraId="6A36DAF8" w14:textId="77777777" w:rsidR="00412576" w:rsidRDefault="00000000" w:rsidP="005F6D5D">
      <w:pPr>
        <w:spacing w:after="120" w:line="360" w:lineRule="auto"/>
        <w:ind w:left="720" w:hanging="720"/>
        <w:jc w:val="both"/>
      </w:pPr>
      <w:r>
        <w:rPr>
          <w:sz w:val="20"/>
          <w:szCs w:val="20"/>
        </w:rPr>
        <w:t>IMF — International Monetary Fund (2024) World Economic Outlook: April 2024. Washington, DC: IMF.</w:t>
      </w:r>
    </w:p>
    <w:p w14:paraId="557B39D4" w14:textId="77777777" w:rsidR="00412576" w:rsidRDefault="00000000" w:rsidP="005F6D5D">
      <w:pPr>
        <w:spacing w:after="120" w:line="360" w:lineRule="auto"/>
        <w:ind w:left="720" w:hanging="720"/>
        <w:jc w:val="both"/>
      </w:pPr>
      <w:r>
        <w:rPr>
          <w:sz w:val="20"/>
          <w:szCs w:val="20"/>
        </w:rPr>
        <w:t>Kaplinsky, R. and Morris, M. (2001) A Handbook for Value Chain Research. Brighton: Institute of Development Studies.</w:t>
      </w:r>
    </w:p>
    <w:p w14:paraId="73665CC5" w14:textId="77777777" w:rsidR="00412576" w:rsidRDefault="00000000" w:rsidP="005F6D5D">
      <w:pPr>
        <w:spacing w:after="120" w:line="360" w:lineRule="auto"/>
        <w:ind w:left="720" w:hanging="720"/>
        <w:jc w:val="both"/>
      </w:pPr>
      <w:proofErr w:type="spellStart"/>
      <w:r>
        <w:rPr>
          <w:sz w:val="20"/>
          <w:szCs w:val="20"/>
        </w:rPr>
        <w:t>Kasikorn</w:t>
      </w:r>
      <w:proofErr w:type="spellEnd"/>
      <w:r>
        <w:rPr>
          <w:sz w:val="20"/>
          <w:szCs w:val="20"/>
        </w:rPr>
        <w:t xml:space="preserve"> Research Center (2024) Thailand EV Market Outlook 2024–2030. Bangkok: </w:t>
      </w:r>
      <w:proofErr w:type="spellStart"/>
      <w:r>
        <w:rPr>
          <w:sz w:val="20"/>
          <w:szCs w:val="20"/>
        </w:rPr>
        <w:t>KResearch</w:t>
      </w:r>
      <w:proofErr w:type="spellEnd"/>
      <w:r>
        <w:rPr>
          <w:sz w:val="20"/>
          <w:szCs w:val="20"/>
        </w:rPr>
        <w:t>.</w:t>
      </w:r>
    </w:p>
    <w:p w14:paraId="3901DAD7" w14:textId="77777777" w:rsidR="00412576" w:rsidRDefault="00000000" w:rsidP="005F6D5D">
      <w:pPr>
        <w:spacing w:after="120" w:line="360" w:lineRule="auto"/>
        <w:ind w:left="720" w:hanging="720"/>
        <w:jc w:val="both"/>
      </w:pPr>
      <w:r>
        <w:rPr>
          <w:sz w:val="20"/>
          <w:szCs w:val="20"/>
        </w:rPr>
        <w:t xml:space="preserve">Keller, K.L. (2013) Strategic Brand Management: Building, Measuring, and Managing Brand Equity. 4th </w:t>
      </w:r>
      <w:proofErr w:type="spellStart"/>
      <w:r>
        <w:rPr>
          <w:sz w:val="20"/>
          <w:szCs w:val="20"/>
        </w:rPr>
        <w:t>edn</w:t>
      </w:r>
      <w:proofErr w:type="spellEnd"/>
      <w:r>
        <w:rPr>
          <w:sz w:val="20"/>
          <w:szCs w:val="20"/>
        </w:rPr>
        <w:t>. Harlow: Pearson.</w:t>
      </w:r>
    </w:p>
    <w:p w14:paraId="17354BE4" w14:textId="77777777" w:rsidR="00412576" w:rsidRDefault="00000000" w:rsidP="005F6D5D">
      <w:pPr>
        <w:spacing w:after="120" w:line="360" w:lineRule="auto"/>
        <w:ind w:left="720" w:hanging="720"/>
        <w:jc w:val="both"/>
      </w:pPr>
      <w:r>
        <w:rPr>
          <w:sz w:val="20"/>
          <w:szCs w:val="20"/>
        </w:rPr>
        <w:t>Kobrin, S.J. (1979) 'Political risk: a review and reconsideration', Journal of International Business Studies, 10(1), pp. 67–80.</w:t>
      </w:r>
    </w:p>
    <w:p w14:paraId="72AD1EE0" w14:textId="77777777" w:rsidR="00412576" w:rsidRDefault="00000000" w:rsidP="005F6D5D">
      <w:pPr>
        <w:spacing w:after="120" w:line="360" w:lineRule="auto"/>
        <w:ind w:left="720" w:hanging="720"/>
        <w:jc w:val="both"/>
      </w:pPr>
      <w:r>
        <w:rPr>
          <w:sz w:val="20"/>
          <w:szCs w:val="20"/>
        </w:rPr>
        <w:t>LME — London Metal Exchange (2024) Battery Metal Price Data: Lithium, Cobalt, Nickel 2023–2024. London: LME.</w:t>
      </w:r>
    </w:p>
    <w:p w14:paraId="7686684A" w14:textId="77777777" w:rsidR="00412576" w:rsidRDefault="00000000" w:rsidP="005F6D5D">
      <w:pPr>
        <w:spacing w:after="120" w:line="360" w:lineRule="auto"/>
        <w:ind w:left="720" w:hanging="720"/>
        <w:jc w:val="both"/>
      </w:pPr>
      <w:r>
        <w:rPr>
          <w:sz w:val="20"/>
          <w:szCs w:val="20"/>
        </w:rPr>
        <w:t>McSweeney, B. (2002) 'Hofstede's model of national cultural differences and their consequences: a triumph of faith, a failure of analysis', Human Relations, 55(1), pp. 89–118.</w:t>
      </w:r>
    </w:p>
    <w:p w14:paraId="1D5BD4E6" w14:textId="77777777" w:rsidR="00412576" w:rsidRDefault="00000000" w:rsidP="005F6D5D">
      <w:pPr>
        <w:spacing w:after="120" w:line="360" w:lineRule="auto"/>
        <w:ind w:left="720" w:hanging="720"/>
        <w:jc w:val="both"/>
      </w:pPr>
      <w:r>
        <w:rPr>
          <w:sz w:val="20"/>
          <w:szCs w:val="20"/>
        </w:rPr>
        <w:t>Moon, J.A. (2006) Learning Journals: A Handbook for Reflective Practice and Professional Development. London: Routledge.</w:t>
      </w:r>
    </w:p>
    <w:p w14:paraId="67033253" w14:textId="77777777" w:rsidR="00412576" w:rsidRDefault="00000000" w:rsidP="005F6D5D">
      <w:pPr>
        <w:spacing w:after="120" w:line="360" w:lineRule="auto"/>
        <w:ind w:left="720" w:hanging="720"/>
        <w:jc w:val="both"/>
      </w:pPr>
      <w:r>
        <w:rPr>
          <w:sz w:val="20"/>
          <w:szCs w:val="20"/>
        </w:rPr>
        <w:t>Nicol, D.J. and Macfarlane-Dick, D. (2006) 'Formative assessment and self-regulated learning: a model and seven principles of good feedback practice', Studies in Higher Education, 31(2), pp. 199–218.</w:t>
      </w:r>
    </w:p>
    <w:p w14:paraId="00AE91E4" w14:textId="77777777" w:rsidR="00412576" w:rsidRDefault="00000000" w:rsidP="005F6D5D">
      <w:pPr>
        <w:spacing w:after="120" w:line="360" w:lineRule="auto"/>
        <w:ind w:left="720" w:hanging="720"/>
        <w:jc w:val="both"/>
      </w:pPr>
      <w:r>
        <w:rPr>
          <w:sz w:val="20"/>
          <w:szCs w:val="20"/>
        </w:rPr>
        <w:t>Park, W.G. and Lippoldt, D. (2008) Technology Transfer and the Economic Implications of the Strengthening of Intellectual Property Rights in Developing Countries. Paris: OECD.</w:t>
      </w:r>
    </w:p>
    <w:p w14:paraId="441F9558" w14:textId="77777777" w:rsidR="00412576" w:rsidRDefault="00000000" w:rsidP="005F6D5D">
      <w:pPr>
        <w:spacing w:after="120" w:line="360" w:lineRule="auto"/>
        <w:ind w:left="720" w:hanging="720"/>
        <w:jc w:val="both"/>
      </w:pPr>
      <w:r>
        <w:rPr>
          <w:sz w:val="20"/>
          <w:szCs w:val="20"/>
        </w:rPr>
        <w:t>Porter, M.E. (1990) The Competitive Advantage of Nations. New York: Free Press.</w:t>
      </w:r>
    </w:p>
    <w:p w14:paraId="0AB12FAF" w14:textId="77777777" w:rsidR="00412576" w:rsidRDefault="00000000" w:rsidP="005F6D5D">
      <w:pPr>
        <w:spacing w:after="120" w:line="360" w:lineRule="auto"/>
        <w:ind w:left="720" w:hanging="720"/>
        <w:jc w:val="both"/>
      </w:pPr>
      <w:r>
        <w:rPr>
          <w:sz w:val="20"/>
          <w:szCs w:val="20"/>
        </w:rPr>
        <w:t>Reuters (2024) 'Iran, Israel and the Middle East conflict: a timeline', Reuters, 14 October. Available at: https://www.reuters.com (Accessed: 20 April 2025).</w:t>
      </w:r>
    </w:p>
    <w:p w14:paraId="4A7EFBEE" w14:textId="77777777" w:rsidR="00412576" w:rsidRDefault="00000000" w:rsidP="005F6D5D">
      <w:pPr>
        <w:spacing w:after="120" w:line="360" w:lineRule="auto"/>
        <w:ind w:left="720" w:hanging="720"/>
        <w:jc w:val="both"/>
      </w:pPr>
      <w:r>
        <w:rPr>
          <w:sz w:val="20"/>
          <w:szCs w:val="20"/>
        </w:rPr>
        <w:t>Rodrik, D. (2004) 'Industrial policy for the twenty-first century', CEPR Discussion Paper, No. 4767. London: CEPR.</w:t>
      </w:r>
    </w:p>
    <w:p w14:paraId="0493AB83" w14:textId="77777777" w:rsidR="00412576" w:rsidRDefault="00000000" w:rsidP="005F6D5D">
      <w:pPr>
        <w:spacing w:after="120" w:line="360" w:lineRule="auto"/>
        <w:ind w:left="720" w:hanging="720"/>
        <w:jc w:val="both"/>
      </w:pPr>
      <w:r>
        <w:rPr>
          <w:sz w:val="20"/>
          <w:szCs w:val="20"/>
        </w:rPr>
        <w:t>Rugman, A.M. and Verbeke, A. (2004) 'A perspective on regional and global strategies of multinational enterprises', Journal of International Business Studies, 35(1), pp. 3–18.</w:t>
      </w:r>
    </w:p>
    <w:p w14:paraId="30277018" w14:textId="77777777" w:rsidR="00412576" w:rsidRDefault="00000000" w:rsidP="005F6D5D">
      <w:pPr>
        <w:spacing w:after="120" w:line="360" w:lineRule="auto"/>
        <w:ind w:left="720" w:hanging="720"/>
        <w:jc w:val="both"/>
      </w:pPr>
      <w:r>
        <w:rPr>
          <w:sz w:val="20"/>
          <w:szCs w:val="20"/>
        </w:rPr>
        <w:t>SAIC Motor Corporation (2023) Annual Report 2023. Shanghai: SAIC Motor.</w:t>
      </w:r>
    </w:p>
    <w:p w14:paraId="740428B3" w14:textId="77777777" w:rsidR="00412576" w:rsidRDefault="00000000" w:rsidP="005F6D5D">
      <w:pPr>
        <w:spacing w:after="120" w:line="360" w:lineRule="auto"/>
        <w:ind w:left="720" w:hanging="720"/>
        <w:jc w:val="both"/>
      </w:pPr>
      <w:r>
        <w:rPr>
          <w:sz w:val="20"/>
          <w:szCs w:val="20"/>
        </w:rPr>
        <w:lastRenderedPageBreak/>
        <w:t>Schon, D.A. (1983) The Reflective Practitioner: How Professionals Think in Action. New York: Basic Books.</w:t>
      </w:r>
    </w:p>
    <w:p w14:paraId="5E9A4F04" w14:textId="77777777" w:rsidR="00412576" w:rsidRDefault="00000000" w:rsidP="005F6D5D">
      <w:pPr>
        <w:spacing w:after="120" w:line="360" w:lineRule="auto"/>
        <w:ind w:left="720" w:hanging="720"/>
        <w:jc w:val="both"/>
      </w:pPr>
      <w:r>
        <w:rPr>
          <w:sz w:val="20"/>
          <w:szCs w:val="20"/>
        </w:rPr>
        <w:t>Taras, V., Kirkman, B.L. and Steel, P. (2010) 'Examining the impact of culture's consequences: a three-decade, multi-level, meta-analytic review', Journal of Applied Psychology, 95(3), pp. 405–439.</w:t>
      </w:r>
    </w:p>
    <w:p w14:paraId="60D62D2F" w14:textId="77777777" w:rsidR="00412576" w:rsidRDefault="00000000" w:rsidP="005F6D5D">
      <w:pPr>
        <w:spacing w:after="120" w:line="360" w:lineRule="auto"/>
        <w:ind w:left="720" w:hanging="720"/>
        <w:jc w:val="both"/>
      </w:pPr>
      <w:r>
        <w:rPr>
          <w:sz w:val="20"/>
          <w:szCs w:val="20"/>
        </w:rPr>
        <w:t xml:space="preserve">Teece, D.J., Pisano, G. and </w:t>
      </w:r>
      <w:proofErr w:type="spellStart"/>
      <w:r>
        <w:rPr>
          <w:sz w:val="20"/>
          <w:szCs w:val="20"/>
        </w:rPr>
        <w:t>Shuen</w:t>
      </w:r>
      <w:proofErr w:type="spellEnd"/>
      <w:r>
        <w:rPr>
          <w:sz w:val="20"/>
          <w:szCs w:val="20"/>
        </w:rPr>
        <w:t>, A. (1997) 'Dynamic capabilities and strategic management', Strategic Management Journal, 18(7), pp. 509–533.</w:t>
      </w:r>
    </w:p>
    <w:p w14:paraId="13905106" w14:textId="77777777" w:rsidR="00412576" w:rsidRDefault="00000000" w:rsidP="005F6D5D">
      <w:pPr>
        <w:spacing w:after="120" w:line="360" w:lineRule="auto"/>
        <w:ind w:left="720" w:hanging="720"/>
        <w:jc w:val="both"/>
      </w:pPr>
      <w:r>
        <w:rPr>
          <w:sz w:val="20"/>
          <w:szCs w:val="20"/>
        </w:rPr>
        <w:t>Toyota Motor Corporation (2023) Annual Report 2023. Tokyo: Toyota Motor Corporation.</w:t>
      </w:r>
    </w:p>
    <w:p w14:paraId="22810AB4" w14:textId="77777777" w:rsidR="00412576" w:rsidRDefault="00000000" w:rsidP="005F6D5D">
      <w:pPr>
        <w:spacing w:after="120" w:line="360" w:lineRule="auto"/>
        <w:ind w:left="720" w:hanging="720"/>
        <w:jc w:val="both"/>
      </w:pPr>
      <w:r>
        <w:rPr>
          <w:sz w:val="20"/>
          <w:szCs w:val="20"/>
        </w:rPr>
        <w:t xml:space="preserve">Verbeke, A. (2013) International Business Strategy. 2nd </w:t>
      </w:r>
      <w:proofErr w:type="spellStart"/>
      <w:r>
        <w:rPr>
          <w:sz w:val="20"/>
          <w:szCs w:val="20"/>
        </w:rPr>
        <w:t>edn</w:t>
      </w:r>
      <w:proofErr w:type="spellEnd"/>
      <w:r>
        <w:rPr>
          <w:sz w:val="20"/>
          <w:szCs w:val="20"/>
        </w:rPr>
        <w:t>. Cambridge: Cambridge University Press.</w:t>
      </w:r>
    </w:p>
    <w:p w14:paraId="4B8465B8" w14:textId="77777777" w:rsidR="00412576" w:rsidRDefault="00000000" w:rsidP="005F6D5D">
      <w:pPr>
        <w:spacing w:after="120" w:line="360" w:lineRule="auto"/>
        <w:ind w:left="720" w:hanging="720"/>
        <w:jc w:val="both"/>
      </w:pPr>
      <w:r>
        <w:rPr>
          <w:sz w:val="20"/>
          <w:szCs w:val="20"/>
        </w:rPr>
        <w:t>Witt, M.A., Lewin, A.Y., Li, P.P. and Gaur, A. (2023) 'Decoupling in international business: evidence, drivers, impact and implications for IB research', Journal of World Business, 58(1), article 101272.</w:t>
      </w:r>
    </w:p>
    <w:p w14:paraId="313F24E1" w14:textId="77777777" w:rsidR="00412576" w:rsidRDefault="00000000" w:rsidP="005F6D5D">
      <w:pPr>
        <w:spacing w:after="120" w:line="360" w:lineRule="auto"/>
        <w:ind w:left="720" w:hanging="720"/>
        <w:jc w:val="both"/>
      </w:pPr>
      <w:proofErr w:type="spellStart"/>
      <w:r>
        <w:rPr>
          <w:sz w:val="20"/>
          <w:szCs w:val="20"/>
        </w:rPr>
        <w:t>Zerk</w:t>
      </w:r>
      <w:proofErr w:type="spellEnd"/>
      <w:r>
        <w:rPr>
          <w:sz w:val="20"/>
          <w:szCs w:val="20"/>
        </w:rPr>
        <w:t>, J.A. (2010) Multinationals and Corporate Social Responsibility: Limitations and Opportunities in International Law. Cambridge: Cambridge University Press.</w:t>
      </w:r>
    </w:p>
    <w:p w14:paraId="5E7687D4" w14:textId="77777777" w:rsidR="00412576" w:rsidRDefault="00000000" w:rsidP="005F6D5D">
      <w:pPr>
        <w:spacing w:after="120" w:line="360" w:lineRule="auto"/>
        <w:ind w:left="720" w:hanging="720"/>
        <w:jc w:val="both"/>
      </w:pPr>
      <w:r>
        <w:rPr>
          <w:sz w:val="20"/>
          <w:szCs w:val="20"/>
        </w:rPr>
        <w:t>Bank of Thailand (2024) Monetary Policy Report Q3 2024. Bangkok: Bank of Thailand.</w:t>
      </w:r>
    </w:p>
    <w:p w14:paraId="0445C3C9" w14:textId="77777777" w:rsidR="00412576" w:rsidRDefault="00000000" w:rsidP="005F6D5D">
      <w:pPr>
        <w:spacing w:after="120" w:line="360" w:lineRule="auto"/>
        <w:ind w:left="720" w:hanging="720"/>
        <w:jc w:val="both"/>
      </w:pPr>
      <w:r>
        <w:rPr>
          <w:sz w:val="20"/>
          <w:szCs w:val="20"/>
        </w:rPr>
        <w:t>OECD (2023) Southeast Asian Economic Outlook 2023: Structural Policy Country Notes. Paris: OECD.</w:t>
      </w:r>
    </w:p>
    <w:p w14:paraId="03749B7D" w14:textId="77777777" w:rsidR="00412576" w:rsidRDefault="00000000" w:rsidP="005F6D5D">
      <w:pPr>
        <w:spacing w:after="120" w:line="360" w:lineRule="auto"/>
        <w:ind w:left="720" w:hanging="720"/>
        <w:jc w:val="both"/>
      </w:pPr>
      <w:r>
        <w:rPr>
          <w:sz w:val="20"/>
          <w:szCs w:val="20"/>
        </w:rPr>
        <w:t>ASEAN (2024) ASEAN Investment Report 2024: Foreign Direct Investment and the Digital Economy. Jakarta: ASEAN Secretariat.</w:t>
      </w:r>
    </w:p>
    <w:p w14:paraId="2B7DB6FE" w14:textId="77777777" w:rsidR="00412576" w:rsidRDefault="00000000" w:rsidP="005F6D5D">
      <w:pPr>
        <w:spacing w:after="120" w:line="360" w:lineRule="auto"/>
        <w:ind w:left="720" w:hanging="720"/>
        <w:jc w:val="both"/>
      </w:pPr>
      <w:proofErr w:type="spellStart"/>
      <w:r>
        <w:rPr>
          <w:sz w:val="20"/>
          <w:szCs w:val="20"/>
        </w:rPr>
        <w:t>BloombergNEF</w:t>
      </w:r>
      <w:proofErr w:type="spellEnd"/>
      <w:r>
        <w:rPr>
          <w:sz w:val="20"/>
          <w:szCs w:val="20"/>
        </w:rPr>
        <w:t xml:space="preserve"> (2023) New Energy Finance — China EV Manufacturer Profitability Analysis 2023. New York: </w:t>
      </w:r>
      <w:proofErr w:type="spellStart"/>
      <w:r>
        <w:rPr>
          <w:sz w:val="20"/>
          <w:szCs w:val="20"/>
        </w:rPr>
        <w:t>BloombergNEF</w:t>
      </w:r>
      <w:proofErr w:type="spellEnd"/>
      <w:r>
        <w:rPr>
          <w:sz w:val="20"/>
          <w:szCs w:val="20"/>
        </w:rPr>
        <w:t>.</w:t>
      </w:r>
    </w:p>
    <w:p w14:paraId="10E20B0A" w14:textId="77777777" w:rsidR="00412576" w:rsidRDefault="00000000" w:rsidP="005F6D5D">
      <w:pPr>
        <w:spacing w:after="120" w:line="360" w:lineRule="auto"/>
        <w:ind w:left="720" w:hanging="720"/>
        <w:jc w:val="both"/>
      </w:pPr>
      <w:r>
        <w:rPr>
          <w:sz w:val="20"/>
          <w:szCs w:val="20"/>
        </w:rPr>
        <w:t xml:space="preserve">Dunning, J.H. and </w:t>
      </w:r>
      <w:proofErr w:type="spellStart"/>
      <w:r>
        <w:rPr>
          <w:sz w:val="20"/>
          <w:szCs w:val="20"/>
        </w:rPr>
        <w:t>Lundan</w:t>
      </w:r>
      <w:proofErr w:type="spellEnd"/>
      <w:r>
        <w:rPr>
          <w:sz w:val="20"/>
          <w:szCs w:val="20"/>
        </w:rPr>
        <w:t xml:space="preserve">, S.M. (2008) Multinational Enterprises and the Global Economy. 2nd </w:t>
      </w:r>
      <w:proofErr w:type="spellStart"/>
      <w:r>
        <w:rPr>
          <w:sz w:val="20"/>
          <w:szCs w:val="20"/>
        </w:rPr>
        <w:t>edn</w:t>
      </w:r>
      <w:proofErr w:type="spellEnd"/>
      <w:r>
        <w:rPr>
          <w:sz w:val="20"/>
          <w:szCs w:val="20"/>
        </w:rPr>
        <w:t>. Cheltenham: Edward Elgar.</w:t>
      </w:r>
    </w:p>
    <w:p w14:paraId="4ACE2D2A" w14:textId="77777777" w:rsidR="00412576" w:rsidRDefault="00000000" w:rsidP="005F6D5D">
      <w:pPr>
        <w:spacing w:after="120" w:line="360" w:lineRule="auto"/>
        <w:ind w:left="720" w:hanging="720"/>
        <w:jc w:val="both"/>
      </w:pPr>
      <w:r>
        <w:rPr>
          <w:sz w:val="20"/>
          <w:szCs w:val="20"/>
        </w:rPr>
        <w:t xml:space="preserve">Hill, C.W.L. (2020) International Business: Competing in the Global Marketplace. 13th </w:t>
      </w:r>
      <w:proofErr w:type="spellStart"/>
      <w:r>
        <w:rPr>
          <w:sz w:val="20"/>
          <w:szCs w:val="20"/>
        </w:rPr>
        <w:t>edn</w:t>
      </w:r>
      <w:proofErr w:type="spellEnd"/>
      <w:r>
        <w:rPr>
          <w:sz w:val="20"/>
          <w:szCs w:val="20"/>
        </w:rPr>
        <w:t>. New York: McGraw-Hill.</w:t>
      </w:r>
    </w:p>
    <w:p w14:paraId="62A77661" w14:textId="77777777" w:rsidR="00412576" w:rsidRDefault="00000000" w:rsidP="005F6D5D">
      <w:pPr>
        <w:spacing w:after="120" w:line="360" w:lineRule="auto"/>
        <w:ind w:left="720" w:hanging="720"/>
        <w:jc w:val="both"/>
      </w:pPr>
      <w:r>
        <w:rPr>
          <w:sz w:val="20"/>
          <w:szCs w:val="20"/>
        </w:rPr>
        <w:t>Verbeke, A. and Kano, L. (2016) 'An internalization theory rationale for MNE regional strategy', Multinational Business Review, 24(2), pp. 168–185.</w:t>
      </w:r>
    </w:p>
    <w:p w14:paraId="4D754413" w14:textId="77777777" w:rsidR="00412576" w:rsidRDefault="00000000" w:rsidP="005F6D5D">
      <w:pPr>
        <w:spacing w:after="120" w:line="360" w:lineRule="auto"/>
        <w:ind w:left="720" w:hanging="720"/>
        <w:jc w:val="both"/>
      </w:pPr>
      <w:r>
        <w:rPr>
          <w:sz w:val="20"/>
          <w:szCs w:val="20"/>
        </w:rPr>
        <w:t>Casson, M. (2013) 'Economic analysis of international supply chains: an internalization perspective', Journal of Supply Chain Management, 49(2), pp. 8–13.</w:t>
      </w:r>
    </w:p>
    <w:p w14:paraId="26C168C4" w14:textId="77777777" w:rsidR="00412576" w:rsidRDefault="00000000" w:rsidP="005F6D5D">
      <w:pPr>
        <w:spacing w:after="120" w:line="360" w:lineRule="auto"/>
        <w:ind w:left="720" w:hanging="720"/>
        <w:jc w:val="both"/>
      </w:pPr>
      <w:r>
        <w:rPr>
          <w:sz w:val="20"/>
          <w:szCs w:val="20"/>
        </w:rPr>
        <w:t xml:space="preserve">Narula, R. and Dunning, J.H. (2010) 'Explaining </w:t>
      </w:r>
      <w:proofErr w:type="spellStart"/>
      <w:r>
        <w:rPr>
          <w:sz w:val="20"/>
          <w:szCs w:val="20"/>
        </w:rPr>
        <w:t>internationalisation</w:t>
      </w:r>
      <w:proofErr w:type="spellEnd"/>
      <w:r>
        <w:rPr>
          <w:sz w:val="20"/>
          <w:szCs w:val="20"/>
        </w:rPr>
        <w:t xml:space="preserve"> from a dynamic capabilities perspective: a cross-country analysis', Journal of International Business Studies, 41(3), pp. 537–557.</w:t>
      </w:r>
    </w:p>
    <w:sectPr w:rsidR="00412576">
      <w:headerReference w:type="default" r:id="rId16"/>
      <w:footerReference w:type="default" r:id="rId1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B8CFD3" w14:textId="77777777" w:rsidR="00E07549" w:rsidRDefault="00E07549">
      <w:r>
        <w:separator/>
      </w:r>
    </w:p>
  </w:endnote>
  <w:endnote w:type="continuationSeparator" w:id="0">
    <w:p w14:paraId="58ABE1F7" w14:textId="77777777" w:rsidR="00E07549" w:rsidRDefault="00E075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B70123" w14:textId="77777777" w:rsidR="00412576" w:rsidRDefault="00000000">
    <w:pPr>
      <w:pBdr>
        <w:top w:val="single" w:sz="4" w:space="1" w:color="2E75B6"/>
      </w:pBdr>
      <w:jc w:val="center"/>
    </w:pPr>
    <w:r>
      <w:rPr>
        <w:color w:val="555555"/>
        <w:sz w:val="18"/>
        <w:szCs w:val="18"/>
      </w:rPr>
      <w:t xml:space="preserve">Page </w:t>
    </w:r>
    <w:r>
      <w:rPr>
        <w:color w:val="555555"/>
        <w:sz w:val="18"/>
        <w:szCs w:val="18"/>
      </w:rPr>
      <w:fldChar w:fldCharType="begin"/>
    </w:r>
    <w:r>
      <w:rPr>
        <w:color w:val="555555"/>
        <w:sz w:val="18"/>
        <w:szCs w:val="18"/>
      </w:rPr>
      <w:instrText>PAGE</w:instrText>
    </w:r>
    <w:r>
      <w:rPr>
        <w:color w:val="555555"/>
        <w:sz w:val="18"/>
        <w:szCs w:val="18"/>
      </w:rPr>
      <w:fldChar w:fldCharType="separate"/>
    </w:r>
    <w:r w:rsidR="0011067C">
      <w:rPr>
        <w:noProof/>
        <w:color w:val="555555"/>
        <w:sz w:val="18"/>
        <w:szCs w:val="18"/>
      </w:rPr>
      <w:t>1</w:t>
    </w:r>
    <w:r>
      <w:rPr>
        <w:color w:val="555555"/>
        <w:sz w:val="18"/>
        <w:szCs w:val="18"/>
      </w:rPr>
      <w:fldChar w:fldCharType="end"/>
    </w:r>
    <w:r>
      <w:rPr>
        <w:color w:val="555555"/>
        <w:sz w:val="18"/>
        <w:szCs w:val="18"/>
      </w:rPr>
      <w:t xml:space="preserve"> of </w:t>
    </w:r>
    <w:r>
      <w:rPr>
        <w:color w:val="555555"/>
        <w:sz w:val="18"/>
        <w:szCs w:val="18"/>
      </w:rPr>
      <w:fldChar w:fldCharType="begin"/>
    </w:r>
    <w:r>
      <w:rPr>
        <w:color w:val="555555"/>
        <w:sz w:val="18"/>
        <w:szCs w:val="18"/>
      </w:rPr>
      <w:instrText>NUMPAGES</w:instrText>
    </w:r>
    <w:r>
      <w:rPr>
        <w:color w:val="555555"/>
        <w:sz w:val="18"/>
        <w:szCs w:val="18"/>
      </w:rPr>
      <w:fldChar w:fldCharType="separate"/>
    </w:r>
    <w:r w:rsidR="0011067C">
      <w:rPr>
        <w:noProof/>
        <w:color w:val="555555"/>
        <w:sz w:val="18"/>
        <w:szCs w:val="18"/>
      </w:rPr>
      <w:t>2</w:t>
    </w:r>
    <w:r>
      <w:rPr>
        <w:color w:val="555555"/>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8C2EF" w14:textId="77777777" w:rsidR="00E07549" w:rsidRDefault="00E07549">
      <w:r>
        <w:separator/>
      </w:r>
    </w:p>
  </w:footnote>
  <w:footnote w:type="continuationSeparator" w:id="0">
    <w:p w14:paraId="1DE60006" w14:textId="77777777" w:rsidR="00E07549" w:rsidRDefault="00E075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77416E" w14:textId="1EDC1D10" w:rsidR="00412576" w:rsidRPr="00C14E33" w:rsidRDefault="00C14E33">
    <w:pPr>
      <w:pBdr>
        <w:bottom w:val="single" w:sz="6" w:space="1" w:color="2E75B6"/>
      </w:pBdr>
      <w:jc w:val="right"/>
      <w:rPr>
        <w:sz w:val="16"/>
        <w:szCs w:val="16"/>
      </w:rPr>
    </w:pPr>
    <w:r>
      <w:rPr>
        <w:i/>
        <w:iCs/>
        <w:noProof/>
        <w:color w:val="555555"/>
        <w:sz w:val="16"/>
        <w:szCs w:val="16"/>
      </w:rPr>
      <w:drawing>
        <wp:anchor distT="0" distB="0" distL="114300" distR="114300" simplePos="0" relativeHeight="251659264" behindDoc="0" locked="0" layoutInCell="1" allowOverlap="1" wp14:anchorId="7D53C0DB" wp14:editId="7465E158">
          <wp:simplePos x="0" y="0"/>
          <wp:positionH relativeFrom="column">
            <wp:posOffset>83820</wp:posOffset>
          </wp:positionH>
          <wp:positionV relativeFrom="paragraph">
            <wp:posOffset>-173355</wp:posOffset>
          </wp:positionV>
          <wp:extent cx="777240" cy="310515"/>
          <wp:effectExtent l="0" t="0" r="3810" b="0"/>
          <wp:wrapThrough wrapText="bothSides">
            <wp:wrapPolygon edited="0">
              <wp:start x="0" y="0"/>
              <wp:lineTo x="0" y="19877"/>
              <wp:lineTo x="21176" y="19877"/>
              <wp:lineTo x="21176" y="0"/>
              <wp:lineTo x="0" y="0"/>
            </wp:wrapPolygon>
          </wp:wrapThrough>
          <wp:docPr id="1994600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60072" name="Picture 199460072"/>
                  <pic:cNvPicPr/>
                </pic:nvPicPr>
                <pic:blipFill>
                  <a:blip r:embed="rId1">
                    <a:extLst>
                      <a:ext uri="{28A0092B-C50C-407E-A947-70E740481C1C}">
                        <a14:useLocalDpi xmlns:a14="http://schemas.microsoft.com/office/drawing/2010/main" val="0"/>
                      </a:ext>
                    </a:extLst>
                  </a:blip>
                  <a:stretch>
                    <a:fillRect/>
                  </a:stretch>
                </pic:blipFill>
                <pic:spPr>
                  <a:xfrm>
                    <a:off x="0" y="0"/>
                    <a:ext cx="777240" cy="310515"/>
                  </a:xfrm>
                  <a:prstGeom prst="rect">
                    <a:avLst/>
                  </a:prstGeom>
                </pic:spPr>
              </pic:pic>
            </a:graphicData>
          </a:graphic>
          <wp14:sizeRelH relativeFrom="margin">
            <wp14:pctWidth>0</wp14:pctWidth>
          </wp14:sizeRelH>
          <wp14:sizeRelV relativeFrom="margin">
            <wp14:pctHeight>0</wp14:pctHeight>
          </wp14:sizeRelV>
        </wp:anchor>
      </w:drawing>
    </w:r>
    <w:r w:rsidR="00000000" w:rsidRPr="00C14E33">
      <w:rPr>
        <w:i/>
        <w:iCs/>
        <w:color w:val="555555"/>
        <w:sz w:val="16"/>
        <w:szCs w:val="16"/>
      </w:rPr>
      <w:t xml:space="preserve">LCMB7034 – International Business </w:t>
    </w:r>
    <w:proofErr w:type="gramStart"/>
    <w:r w:rsidR="00000000" w:rsidRPr="00C14E33">
      <w:rPr>
        <w:i/>
        <w:iCs/>
        <w:color w:val="555555"/>
        <w:sz w:val="16"/>
        <w:szCs w:val="16"/>
      </w:rPr>
      <w:t>Concepts  |</w:t>
    </w:r>
    <w:proofErr w:type="gramEnd"/>
    <w:r w:rsidR="00000000" w:rsidRPr="00C14E33">
      <w:rPr>
        <w:i/>
        <w:iCs/>
        <w:color w:val="555555"/>
        <w:sz w:val="16"/>
        <w:szCs w:val="16"/>
      </w:rPr>
      <w:t xml:space="preserve">  Thailand Electric Vehicle Industry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28298E"/>
    <w:multiLevelType w:val="hybridMultilevel"/>
    <w:tmpl w:val="B724991E"/>
    <w:lvl w:ilvl="0" w:tplc="B66865FA">
      <w:start w:val="1"/>
      <w:numFmt w:val="bullet"/>
      <w:lvlText w:val="●"/>
      <w:lvlJc w:val="left"/>
      <w:pPr>
        <w:ind w:left="720" w:hanging="360"/>
      </w:pPr>
    </w:lvl>
    <w:lvl w:ilvl="1" w:tplc="B6EE3A16">
      <w:start w:val="1"/>
      <w:numFmt w:val="bullet"/>
      <w:lvlText w:val="○"/>
      <w:lvlJc w:val="left"/>
      <w:pPr>
        <w:ind w:left="1440" w:hanging="360"/>
      </w:pPr>
    </w:lvl>
    <w:lvl w:ilvl="2" w:tplc="E182C5A0">
      <w:start w:val="1"/>
      <w:numFmt w:val="bullet"/>
      <w:lvlText w:val="■"/>
      <w:lvlJc w:val="left"/>
      <w:pPr>
        <w:ind w:left="2160" w:hanging="360"/>
      </w:pPr>
    </w:lvl>
    <w:lvl w:ilvl="3" w:tplc="352C6414">
      <w:start w:val="1"/>
      <w:numFmt w:val="bullet"/>
      <w:lvlText w:val="●"/>
      <w:lvlJc w:val="left"/>
      <w:pPr>
        <w:ind w:left="2880" w:hanging="360"/>
      </w:pPr>
    </w:lvl>
    <w:lvl w:ilvl="4" w:tplc="BF664F0A">
      <w:start w:val="1"/>
      <w:numFmt w:val="bullet"/>
      <w:lvlText w:val="○"/>
      <w:lvlJc w:val="left"/>
      <w:pPr>
        <w:ind w:left="3600" w:hanging="360"/>
      </w:pPr>
    </w:lvl>
    <w:lvl w:ilvl="5" w:tplc="89B66B5A">
      <w:start w:val="1"/>
      <w:numFmt w:val="bullet"/>
      <w:lvlText w:val="■"/>
      <w:lvlJc w:val="left"/>
      <w:pPr>
        <w:ind w:left="4320" w:hanging="360"/>
      </w:pPr>
    </w:lvl>
    <w:lvl w:ilvl="6" w:tplc="F0D2690C">
      <w:start w:val="1"/>
      <w:numFmt w:val="bullet"/>
      <w:lvlText w:val="●"/>
      <w:lvlJc w:val="left"/>
      <w:pPr>
        <w:ind w:left="5040" w:hanging="360"/>
      </w:pPr>
    </w:lvl>
    <w:lvl w:ilvl="7" w:tplc="714E5BE8">
      <w:start w:val="1"/>
      <w:numFmt w:val="bullet"/>
      <w:lvlText w:val="●"/>
      <w:lvlJc w:val="left"/>
      <w:pPr>
        <w:ind w:left="5760" w:hanging="360"/>
      </w:pPr>
    </w:lvl>
    <w:lvl w:ilvl="8" w:tplc="3BA219D6">
      <w:start w:val="1"/>
      <w:numFmt w:val="bullet"/>
      <w:lvlText w:val="●"/>
      <w:lvlJc w:val="left"/>
      <w:pPr>
        <w:ind w:left="6480" w:hanging="360"/>
      </w:pPr>
    </w:lvl>
  </w:abstractNum>
  <w:num w:numId="1" w16cid:durableId="177061874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2576"/>
    <w:rsid w:val="000F5E91"/>
    <w:rsid w:val="0011067C"/>
    <w:rsid w:val="001636BD"/>
    <w:rsid w:val="00264F17"/>
    <w:rsid w:val="00412576"/>
    <w:rsid w:val="005F6D5D"/>
    <w:rsid w:val="006A6361"/>
    <w:rsid w:val="00C14E33"/>
    <w:rsid w:val="00C60B94"/>
    <w:rsid w:val="00E0754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0AB40A"/>
  <w15:docId w15:val="{60A403C0-21E7-4BDE-8683-F07D55B55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1F4E79"/>
      <w:sz w:val="30"/>
      <w:szCs w:val="30"/>
    </w:rPr>
  </w:style>
  <w:style w:type="paragraph" w:styleId="Heading2">
    <w:name w:val="heading 2"/>
    <w:uiPriority w:val="9"/>
    <w:unhideWhenUsed/>
    <w:qFormat/>
    <w:pPr>
      <w:spacing w:before="240" w:after="120"/>
      <w:outlineLvl w:val="1"/>
    </w:pPr>
    <w:rPr>
      <w:b/>
      <w:bCs/>
      <w:color w:val="2E75B6"/>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6A6361"/>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6A6361"/>
    <w:pPr>
      <w:spacing w:after="100"/>
    </w:pPr>
  </w:style>
  <w:style w:type="paragraph" w:styleId="TOC2">
    <w:name w:val="toc 2"/>
    <w:basedOn w:val="Normal"/>
    <w:next w:val="Normal"/>
    <w:autoRedefine/>
    <w:uiPriority w:val="39"/>
    <w:unhideWhenUsed/>
    <w:rsid w:val="006A6361"/>
    <w:pPr>
      <w:spacing w:after="100"/>
      <w:ind w:left="220"/>
    </w:pPr>
  </w:style>
  <w:style w:type="paragraph" w:styleId="Header">
    <w:name w:val="header"/>
    <w:basedOn w:val="Normal"/>
    <w:link w:val="HeaderChar"/>
    <w:uiPriority w:val="99"/>
    <w:unhideWhenUsed/>
    <w:rsid w:val="006A6361"/>
    <w:pPr>
      <w:tabs>
        <w:tab w:val="center" w:pos="4680"/>
        <w:tab w:val="right" w:pos="9360"/>
      </w:tabs>
    </w:pPr>
  </w:style>
  <w:style w:type="character" w:customStyle="1" w:styleId="HeaderChar">
    <w:name w:val="Header Char"/>
    <w:basedOn w:val="DefaultParagraphFont"/>
    <w:link w:val="Header"/>
    <w:uiPriority w:val="99"/>
    <w:rsid w:val="006A6361"/>
  </w:style>
  <w:style w:type="paragraph" w:styleId="Footer">
    <w:name w:val="footer"/>
    <w:basedOn w:val="Normal"/>
    <w:link w:val="FooterChar"/>
    <w:uiPriority w:val="99"/>
    <w:unhideWhenUsed/>
    <w:rsid w:val="006A6361"/>
    <w:pPr>
      <w:tabs>
        <w:tab w:val="center" w:pos="4680"/>
        <w:tab w:val="right" w:pos="9360"/>
      </w:tabs>
    </w:pPr>
  </w:style>
  <w:style w:type="character" w:customStyle="1" w:styleId="FooterChar">
    <w:name w:val="Footer Char"/>
    <w:basedOn w:val="DefaultParagraphFont"/>
    <w:link w:val="Footer"/>
    <w:uiPriority w:val="99"/>
    <w:rsid w:val="006A63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87B0895-D1D4-48DB-98C1-F28F49921C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6880</Words>
  <Characters>39217</Characters>
  <Application>Microsoft Office Word</Application>
  <DocSecurity>0</DocSecurity>
  <Lines>326</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Farjan Ali</cp:lastModifiedBy>
  <cp:revision>2</cp:revision>
  <dcterms:created xsi:type="dcterms:W3CDTF">2026-04-27T06:14:00Z</dcterms:created>
  <dcterms:modified xsi:type="dcterms:W3CDTF">2026-04-27T06:14:00Z</dcterms:modified>
</cp:coreProperties>
</file>