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B9BD5" w:themeColor="accent1"/>
        </w:rPr>
        <w:id w:val="137461573"/>
      </w:sdtPr>
      <w:sdtEndPr>
        <w:rPr>
          <w:rFonts w:eastAsia="Times New Roman" w:cstheme="minorHAnsi"/>
          <w:b/>
          <w:bCs/>
          <w:color w:val="0F1115"/>
          <w:kern w:val="36"/>
          <w:sz w:val="24"/>
          <w:szCs w:val="24"/>
        </w:rPr>
      </w:sdtEndPr>
      <w:sdtContent>
        <w:p w14:paraId="49E3EEFE" w14:textId="77777777" w:rsidR="00DC730F" w:rsidRDefault="00DC730F" w:rsidP="00DC730F">
          <w:pPr>
            <w:rPr>
              <w:rFonts w:ascii="Times New Roman" w:hAnsi="Times New Roman" w:cs="Times New Roman"/>
              <w:sz w:val="24"/>
              <w:szCs w:val="24"/>
            </w:rPr>
          </w:pPr>
          <w:r w:rsidRPr="00290A37">
            <w:rPr>
              <w:rFonts w:ascii="Times New Roman" w:hAnsi="Times New Roman" w:cs="Times New Roman"/>
              <w:noProof/>
              <w:sz w:val="24"/>
              <w:szCs w:val="24"/>
            </w:rPr>
            <w:drawing>
              <wp:inline distT="0" distB="0" distL="0" distR="0" wp14:anchorId="7FE8636F" wp14:editId="113B842D">
                <wp:extent cx="1889986" cy="662940"/>
                <wp:effectExtent l="0" t="0" r="0" b="3810"/>
                <wp:docPr id="1064998740" name="Picture 2" descr="Prifysgol Cymru Y Drindod Dewi Sant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ifysgol Cymru Y Drindod Dewi Sant University of Wales Trinity Saint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6750" cy="665313"/>
                        </a:xfrm>
                        <a:prstGeom prst="rect">
                          <a:avLst/>
                        </a:prstGeom>
                        <a:noFill/>
                        <a:ln>
                          <a:noFill/>
                        </a:ln>
                      </pic:spPr>
                    </pic:pic>
                  </a:graphicData>
                </a:graphic>
              </wp:inline>
            </w:drawing>
          </w:r>
        </w:p>
        <w:p w14:paraId="48547445" w14:textId="77777777" w:rsidR="00DC730F" w:rsidRDefault="00DC730F" w:rsidP="00DC730F">
          <w:pPr>
            <w:jc w:val="both"/>
            <w:rPr>
              <w:rFonts w:ascii="Times New Roman" w:hAnsi="Times New Roman" w:cs="Times New Roman"/>
              <w:sz w:val="24"/>
              <w:szCs w:val="24"/>
            </w:rPr>
          </w:pPr>
        </w:p>
        <w:p w14:paraId="6AFD476B" w14:textId="77777777" w:rsidR="00DC730F" w:rsidRPr="000F6353" w:rsidRDefault="00DC730F" w:rsidP="00DC730F">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34A66B9" wp14:editId="48539FC6">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114540" cy="154940"/>
                    <wp:effectExtent l="0" t="0" r="0" b="10160"/>
                    <wp:wrapSquare wrapText="bothSides"/>
                    <wp:docPr id="12402474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154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4EAA31" w14:textId="77777777" w:rsidR="00DC730F" w:rsidRDefault="00DC730F" w:rsidP="00DC730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34A66B9" id="_x0000_t202" coordsize="21600,21600" o:spt="202" path="m,l,21600r21600,l21600,xe">
                    <v:stroke joinstyle="miter"/>
                    <v:path gradientshapeok="t" o:connecttype="rect"/>
                  </v:shapetype>
                  <v:shape id="Text Box 2" o:spid="_x0000_s1026" type="#_x0000_t202" style="position:absolute;left:0;text-align:left;margin-left:0;margin-top:0;width:560.2pt;height:12.2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J/JeAIAAFEFAAAOAAAAZHJzL2Uyb0RvYy54bWysVE1v2zAMvQ/YfxB0X213TdYZdYqsRYcB&#10;wVqsHXpWZKkxKouaxMTOfv0o2U6GbpcOu8i0+Ejx45EXl31r2E750ICteHGSc6ashLqxTxX//nDz&#10;7pyzgMLWwoBVFd+rwC8Xb99cdK5Up7ABUyvPyIkNZecqvkF0ZZYFuVGtCCfglCWlBt8KpF//lNVe&#10;dOS9Ndlpns+zDnztPEgVAt1eD0q+SP61VhJvtQ4Kmak4xYbp9OlcxzNbXIjyyQu3aeQYhviHKFrR&#10;WHr04OpaoGBb3/zhqm2khwAaTyS0GWjdSJVyoGyK/EU29xvhVMqFihPcoUzh/7mVX3f37s4z7D9B&#10;Tw1MSQS3AvkcqDZZ50I5YmJNQxkIHRPttW/jl1JgZEi13R/qqXpkki4/FMXZ7IxUknTF7OwjydHp&#10;0dr5gJ8VtCwKFffUrxSB2K0CDtAJEh+zcNMYk3pmLOsqPn8/y5PBQUPOjY1Ylbo/ujlGniTcGxUx&#10;xn5TmjV1SiBeJN6pK+PZThBjhJTKYjEGndARpSmI1xiO+GNUrzEe8iCL9DJYPBi3jQU/NCyOyzHs&#10;+nkKWQ/4sZFhyDuWAPt1T3WM4hrqPTHAwzAcwcmbhrqxEgHvhKdpoAbShOMtHdoAVR1GibMN+J9/&#10;u494IilpOetouioefmyFV5yZL5boW8zznMaXBjL9kuCTMD+fncfr9XRtt+0VUCcKWiNOJjGC0Uyi&#10;9tA+0g5YxgdJJaykZyuOk3iFw7jTDpFquUwgmj0ncGXvnZw4H2n20D8K70YuIrH4K0wjKMoXlByw&#10;iTNuuUUiZuLrsaBjzWluE+PHHRMXw+//CXXchItfAAAA//8DAFBLAwQUAAYACAAAACEARLr0pNwA&#10;AAAFAQAADwAAAGRycy9kb3ducmV2LnhtbEyPQUvDQBCF74L/YRnBm900RqsxkyIFoVo8WPsDptkx&#10;CWZnQ3bTpv/erRe9DDze471viuVkO3XgwbdOEOazBBRL5UwrNcLu8+XmAZQPJIY6J4xwYg/L8vKi&#10;oNy4o3zwYRtqFUvE54TQhNDnWvuqYUt+5nqW6H25wVKIcqi1GegYy22n0yS515ZaiQsN9bxquPre&#10;jhZh3K3X/Vt6cpv69X3R3q1kMT7eIl5fTc9PoAJP4S8MZ/yIDmVk2rtRjFcdQnwk/N6zN0+TDNQe&#10;Ic0y0GWh/9OXPwAAAP//AwBQSwECLQAUAAYACAAAACEAtoM4kv4AAADhAQAAEwAAAAAAAAAAAAAA&#10;AAAAAAAAW0NvbnRlbnRfVHlwZXNdLnhtbFBLAQItABQABgAIAAAAIQA4/SH/1gAAAJQBAAALAAAA&#10;AAAAAAAAAAAAAC8BAABfcmVscy8ucmVsc1BLAQItABQABgAIAAAAIQBnuJ/JeAIAAFEFAAAOAAAA&#10;AAAAAAAAAAAAAC4CAABkcnMvZTJvRG9jLnhtbFBLAQItABQABgAIAAAAIQBEuvSk3AAAAAUBAAAP&#10;AAAAAAAAAAAAAAAAANIEAABkcnMvZG93bnJldi54bWxQSwUGAAAAAAQABADzAAAA2wUAAAAA&#10;" filled="f" stroked="f" strokeweight=".5pt">
                    <v:textbox style="mso-fit-shape-to-text:t" inset="126pt,0,54pt,0">
                      <w:txbxContent>
                        <w:p w14:paraId="294EAA31" w14:textId="77777777" w:rsidR="00DC730F" w:rsidRDefault="00DC730F" w:rsidP="00DC730F">
                          <w:pPr>
                            <w:pStyle w:val="NoSpacing"/>
                            <w:jc w:val="right"/>
                            <w:rPr>
                              <w:color w:val="595959" w:themeColor="text1" w:themeTint="A6"/>
                              <w:sz w:val="20"/>
                              <w:szCs w:val="20"/>
                            </w:rPr>
                          </w:pPr>
                        </w:p>
                      </w:txbxContent>
                    </v:textbox>
                    <w10:wrap type="square" anchorx="page" anchory="page"/>
                  </v:shape>
                </w:pict>
              </mc:Fallback>
            </mc:AlternateContent>
          </w:r>
        </w:p>
        <w:p w14:paraId="11A9B13C" w14:textId="77777777" w:rsidR="00DC730F" w:rsidRDefault="00DC730F" w:rsidP="00DC730F">
          <w:pPr>
            <w:jc w:val="center"/>
            <w:rPr>
              <w:rFonts w:cstheme="minorHAnsi"/>
              <w:b/>
              <w:color w:val="000000" w:themeColor="text1"/>
              <w:sz w:val="46"/>
              <w:szCs w:val="46"/>
            </w:rPr>
          </w:pPr>
          <w:r w:rsidRPr="004A5F67">
            <w:rPr>
              <w:rFonts w:cstheme="minorHAnsi"/>
              <w:b/>
              <w:color w:val="000000" w:themeColor="text1"/>
              <w:sz w:val="46"/>
              <w:szCs w:val="46"/>
            </w:rPr>
            <w:t>Data Warehousing &amp; Data Mining</w:t>
          </w:r>
        </w:p>
        <w:p w14:paraId="212D8F75" w14:textId="158BEEC2" w:rsidR="00DC730F" w:rsidRPr="004A5F67" w:rsidRDefault="00DC730F" w:rsidP="00DC730F">
          <w:pPr>
            <w:jc w:val="center"/>
            <w:rPr>
              <w:rFonts w:cstheme="minorHAnsi"/>
              <w:b/>
              <w:color w:val="000000" w:themeColor="text1"/>
              <w:sz w:val="46"/>
              <w:szCs w:val="46"/>
            </w:rPr>
          </w:pPr>
          <w:r>
            <w:rPr>
              <w:rFonts w:cstheme="minorHAnsi"/>
              <w:b/>
              <w:color w:val="000000" w:themeColor="text1"/>
              <w:sz w:val="46"/>
              <w:szCs w:val="46"/>
            </w:rPr>
            <w:t>Component 1</w:t>
          </w:r>
        </w:p>
        <w:p w14:paraId="36010ADD" w14:textId="77777777" w:rsidR="00DC730F" w:rsidRDefault="00DC730F" w:rsidP="00DC730F">
          <w:pPr>
            <w:rPr>
              <w:rFonts w:cstheme="minorHAnsi"/>
              <w:color w:val="000000" w:themeColor="text1"/>
              <w:sz w:val="24"/>
              <w:szCs w:val="24"/>
            </w:rPr>
          </w:pPr>
        </w:p>
        <w:p w14:paraId="610A7F60" w14:textId="77777777" w:rsidR="00DC730F" w:rsidRDefault="00DC730F" w:rsidP="00DC730F">
          <w:pPr>
            <w:rPr>
              <w:rFonts w:cstheme="minorHAnsi"/>
              <w:color w:val="000000" w:themeColor="text1"/>
              <w:sz w:val="24"/>
              <w:szCs w:val="24"/>
            </w:rPr>
          </w:pPr>
        </w:p>
        <w:p w14:paraId="6AC55D77" w14:textId="77777777" w:rsidR="00DC730F" w:rsidRPr="0020320E" w:rsidRDefault="00DC730F" w:rsidP="00DC730F">
          <w:pPr>
            <w:jc w:val="center"/>
            <w:rPr>
              <w:rFonts w:cstheme="minorHAnsi"/>
              <w:b/>
              <w:color w:val="000000" w:themeColor="text1"/>
              <w:sz w:val="26"/>
              <w:szCs w:val="24"/>
            </w:rPr>
          </w:pPr>
          <w:r>
            <w:rPr>
              <w:rFonts w:cstheme="minorHAnsi"/>
              <w:b/>
              <w:color w:val="000000" w:themeColor="text1"/>
              <w:sz w:val="26"/>
              <w:szCs w:val="24"/>
            </w:rPr>
            <w:t xml:space="preserve">Student Name: </w:t>
          </w:r>
          <w:r>
            <w:rPr>
              <w:rFonts w:cstheme="minorHAnsi"/>
              <w:b/>
              <w:color w:val="000000" w:themeColor="text1"/>
              <w:sz w:val="26"/>
              <w:szCs w:val="24"/>
            </w:rPr>
            <w:tab/>
            <w:t>Iram Naz</w:t>
          </w:r>
        </w:p>
        <w:p w14:paraId="309F8509" w14:textId="77777777" w:rsidR="00DC730F" w:rsidRPr="0020320E" w:rsidRDefault="00DC730F" w:rsidP="00DC730F">
          <w:pPr>
            <w:jc w:val="center"/>
            <w:rPr>
              <w:rFonts w:cstheme="minorHAnsi"/>
              <w:b/>
              <w:color w:val="000000" w:themeColor="text1"/>
              <w:sz w:val="26"/>
              <w:szCs w:val="24"/>
            </w:rPr>
          </w:pPr>
          <w:r w:rsidRPr="0020320E">
            <w:rPr>
              <w:rFonts w:cstheme="minorHAnsi"/>
              <w:b/>
              <w:color w:val="000000" w:themeColor="text1"/>
              <w:sz w:val="26"/>
              <w:szCs w:val="24"/>
            </w:rPr>
            <w:t>Student ID:</w:t>
          </w:r>
          <w:r>
            <w:rPr>
              <w:rFonts w:cstheme="minorHAnsi"/>
              <w:b/>
              <w:color w:val="000000" w:themeColor="text1"/>
              <w:sz w:val="26"/>
              <w:szCs w:val="24"/>
            </w:rPr>
            <w:t xml:space="preserve"> </w:t>
          </w:r>
          <w:r>
            <w:rPr>
              <w:rFonts w:cstheme="minorHAnsi"/>
              <w:b/>
              <w:color w:val="000000" w:themeColor="text1"/>
              <w:sz w:val="26"/>
              <w:szCs w:val="24"/>
            </w:rPr>
            <w:tab/>
          </w:r>
          <w:r>
            <w:rPr>
              <w:rFonts w:cstheme="minorHAnsi"/>
              <w:b/>
              <w:color w:val="000000" w:themeColor="text1"/>
              <w:sz w:val="26"/>
              <w:szCs w:val="24"/>
            </w:rPr>
            <w:tab/>
            <w:t>2</w:t>
          </w:r>
          <w:r w:rsidRPr="0020320E">
            <w:rPr>
              <w:rFonts w:cstheme="minorHAnsi"/>
              <w:b/>
              <w:color w:val="000000" w:themeColor="text1"/>
              <w:sz w:val="26"/>
              <w:szCs w:val="24"/>
            </w:rPr>
            <w:t>24</w:t>
          </w:r>
          <w:r>
            <w:rPr>
              <w:rFonts w:cstheme="minorHAnsi"/>
              <w:b/>
              <w:color w:val="000000" w:themeColor="text1"/>
              <w:sz w:val="26"/>
              <w:szCs w:val="24"/>
            </w:rPr>
            <w:t>5084</w:t>
          </w:r>
        </w:p>
        <w:p w14:paraId="72BF65D6" w14:textId="77777777" w:rsidR="00DC730F" w:rsidRDefault="00DC730F" w:rsidP="00DC730F">
          <w:pPr>
            <w:rPr>
              <w:rFonts w:cstheme="minorHAnsi"/>
              <w:color w:val="000000" w:themeColor="text1"/>
              <w:sz w:val="24"/>
              <w:szCs w:val="24"/>
            </w:rPr>
          </w:pPr>
        </w:p>
        <w:p w14:paraId="33B2AC18" w14:textId="77777777" w:rsidR="00DC730F" w:rsidRDefault="00DC730F" w:rsidP="00DC730F">
          <w:pPr>
            <w:jc w:val="center"/>
            <w:rPr>
              <w:rFonts w:cstheme="minorHAnsi"/>
              <w:color w:val="000000" w:themeColor="text1"/>
              <w:sz w:val="24"/>
              <w:szCs w:val="24"/>
            </w:rPr>
          </w:pPr>
        </w:p>
        <w:p w14:paraId="6880D72E" w14:textId="77777777" w:rsidR="00DC730F" w:rsidRDefault="00DC730F" w:rsidP="00DC730F">
          <w:pPr>
            <w:jc w:val="center"/>
            <w:rPr>
              <w:rFonts w:cstheme="minorHAnsi"/>
              <w:color w:val="000000" w:themeColor="text1"/>
              <w:sz w:val="24"/>
              <w:szCs w:val="24"/>
            </w:rPr>
          </w:pPr>
        </w:p>
        <w:p w14:paraId="31CBDDF9" w14:textId="77777777" w:rsidR="00DC730F" w:rsidRDefault="00DC730F" w:rsidP="00DC730F">
          <w:pPr>
            <w:jc w:val="center"/>
            <w:rPr>
              <w:rFonts w:cstheme="minorHAnsi"/>
              <w:color w:val="000000" w:themeColor="text1"/>
              <w:sz w:val="24"/>
              <w:szCs w:val="24"/>
            </w:rPr>
          </w:pPr>
        </w:p>
        <w:p w14:paraId="750F6043" w14:textId="77777777" w:rsidR="00DC730F" w:rsidRPr="007E1A04" w:rsidRDefault="00DC730F" w:rsidP="00DC730F">
          <w:pPr>
            <w:spacing w:after="0" w:line="240" w:lineRule="auto"/>
            <w:jc w:val="center"/>
            <w:rPr>
              <w:rFonts w:cstheme="minorHAnsi"/>
              <w:b/>
              <w:color w:val="002060"/>
              <w:sz w:val="34"/>
              <w:szCs w:val="24"/>
            </w:rPr>
          </w:pPr>
          <w:r w:rsidRPr="007E1A04">
            <w:rPr>
              <w:rFonts w:cstheme="minorHAnsi"/>
              <w:b/>
              <w:color w:val="002060"/>
              <w:sz w:val="34"/>
              <w:szCs w:val="24"/>
            </w:rPr>
            <w:t>Module Name: ACCA</w:t>
          </w:r>
          <w:r>
            <w:rPr>
              <w:rFonts w:cstheme="minorHAnsi"/>
              <w:b/>
              <w:color w:val="002060"/>
              <w:sz w:val="34"/>
              <w:szCs w:val="24"/>
            </w:rPr>
            <w:t>6026</w:t>
          </w:r>
        </w:p>
        <w:p w14:paraId="69ECDD21" w14:textId="77777777" w:rsidR="00DC730F" w:rsidRDefault="00DC730F" w:rsidP="00DC730F">
          <w:pPr>
            <w:spacing w:after="0" w:line="240" w:lineRule="auto"/>
            <w:jc w:val="center"/>
            <w:rPr>
              <w:rFonts w:cstheme="minorHAnsi"/>
              <w:b/>
              <w:color w:val="002060"/>
              <w:sz w:val="34"/>
              <w:szCs w:val="24"/>
            </w:rPr>
          </w:pPr>
          <w:r w:rsidRPr="007E1A04">
            <w:rPr>
              <w:rFonts w:cstheme="minorHAnsi"/>
              <w:b/>
              <w:color w:val="002060"/>
              <w:sz w:val="34"/>
              <w:szCs w:val="24"/>
            </w:rPr>
            <w:t xml:space="preserve">Lecturer’s Name:  </w:t>
          </w:r>
          <w:r w:rsidRPr="3522EE0F">
            <w:rPr>
              <w:b/>
              <w:bCs/>
            </w:rPr>
            <w:t>Dr Mobolanle Bello</w:t>
          </w:r>
          <w:r>
            <w:rPr>
              <w:rFonts w:cstheme="minorHAnsi"/>
              <w:b/>
              <w:color w:val="002060"/>
              <w:sz w:val="34"/>
              <w:szCs w:val="24"/>
            </w:rPr>
            <w:t xml:space="preserve"> </w:t>
          </w:r>
        </w:p>
        <w:p w14:paraId="3EEC1F51" w14:textId="77777777" w:rsidR="00DC730F" w:rsidRDefault="00DC730F" w:rsidP="00DC730F">
          <w:pPr>
            <w:jc w:val="both"/>
            <w:rPr>
              <w:rFonts w:ascii="Times New Roman" w:hAnsi="Times New Roman" w:cs="Times New Roman"/>
              <w:sz w:val="24"/>
              <w:szCs w:val="24"/>
            </w:rPr>
          </w:pPr>
        </w:p>
        <w:p w14:paraId="037A4896" w14:textId="77777777" w:rsidR="00DC730F" w:rsidRDefault="00DC730F" w:rsidP="00DC730F">
          <w:pPr>
            <w:jc w:val="both"/>
            <w:rPr>
              <w:rFonts w:ascii="Times New Roman" w:hAnsi="Times New Roman" w:cs="Times New Roman"/>
              <w:sz w:val="24"/>
              <w:szCs w:val="24"/>
            </w:rPr>
          </w:pPr>
        </w:p>
        <w:p w14:paraId="053F5406" w14:textId="77777777" w:rsidR="00DC730F" w:rsidRPr="00DE5165" w:rsidRDefault="00DC730F" w:rsidP="00DC730F">
          <w:pPr>
            <w:pStyle w:val="NormalWeb"/>
            <w:jc w:val="center"/>
            <w:rPr>
              <w:b/>
              <w:bCs/>
              <w:sz w:val="32"/>
              <w:szCs w:val="32"/>
            </w:rPr>
          </w:pPr>
          <w:r w:rsidRPr="00DE5165">
            <w:rPr>
              <w:b/>
              <w:bCs/>
              <w:sz w:val="32"/>
              <w:szCs w:val="32"/>
            </w:rPr>
            <w:t xml:space="preserve">Submission Date: </w:t>
          </w:r>
          <w:r>
            <w:rPr>
              <w:b/>
              <w:bCs/>
              <w:sz w:val="32"/>
              <w:szCs w:val="32"/>
            </w:rPr>
            <w:t>7</w:t>
          </w:r>
          <w:r w:rsidRPr="00DE5165">
            <w:rPr>
              <w:b/>
              <w:bCs/>
              <w:sz w:val="32"/>
              <w:szCs w:val="32"/>
            </w:rPr>
            <w:t xml:space="preserve"> November 202</w:t>
          </w:r>
          <w:r>
            <w:rPr>
              <w:b/>
              <w:bCs/>
              <w:sz w:val="32"/>
              <w:szCs w:val="32"/>
            </w:rPr>
            <w:t>5</w:t>
          </w:r>
        </w:p>
        <w:p w14:paraId="09266BF2" w14:textId="69872020" w:rsidR="00AE63F9" w:rsidRDefault="00AE63F9" w:rsidP="00DC730F">
          <w:pPr>
            <w:pStyle w:val="NoSpacing"/>
            <w:spacing w:before="1540" w:after="240"/>
            <w:jc w:val="center"/>
            <w:rPr>
              <w:rFonts w:eastAsia="Times New Roman" w:cstheme="minorHAnsi"/>
              <w:b/>
              <w:bCs/>
              <w:color w:val="0F1115"/>
              <w:kern w:val="36"/>
              <w:sz w:val="24"/>
              <w:szCs w:val="24"/>
            </w:rPr>
          </w:pPr>
        </w:p>
        <w:p w14:paraId="2207C575" w14:textId="77777777" w:rsidR="00AE63F9" w:rsidRDefault="00AE63F9">
          <w:pPr>
            <w:rPr>
              <w:rFonts w:eastAsia="Times New Roman" w:cstheme="minorHAnsi"/>
              <w:b/>
              <w:bCs/>
              <w:color w:val="0F1115"/>
              <w:kern w:val="36"/>
              <w:sz w:val="24"/>
              <w:szCs w:val="24"/>
            </w:rPr>
          </w:pPr>
        </w:p>
        <w:p w14:paraId="459DBC5F" w14:textId="77777777" w:rsidR="00AE63F9" w:rsidRDefault="00000000">
          <w:pPr>
            <w:rPr>
              <w:rFonts w:eastAsia="Times New Roman" w:cstheme="minorHAnsi"/>
              <w:b/>
              <w:bCs/>
              <w:color w:val="0F1115"/>
              <w:kern w:val="36"/>
              <w:sz w:val="24"/>
              <w:szCs w:val="24"/>
            </w:rPr>
          </w:pPr>
        </w:p>
      </w:sdtContent>
    </w:sdt>
    <w:sdt>
      <w:sdtPr>
        <w:rPr>
          <w:rFonts w:asciiTheme="minorHAnsi" w:eastAsiaTheme="minorHAnsi" w:hAnsiTheme="minorHAnsi" w:cstheme="minorHAnsi"/>
          <w:color w:val="auto"/>
          <w:sz w:val="24"/>
          <w:szCs w:val="24"/>
        </w:rPr>
        <w:id w:val="-1292433395"/>
        <w:docPartObj>
          <w:docPartGallery w:val="Table of Contents"/>
          <w:docPartUnique/>
        </w:docPartObj>
      </w:sdtPr>
      <w:sdtEndPr>
        <w:rPr>
          <w:b/>
          <w:bCs/>
        </w:rPr>
      </w:sdtEndPr>
      <w:sdtContent>
        <w:p w14:paraId="4F505623" w14:textId="77777777" w:rsidR="00AE63F9" w:rsidRDefault="00000000">
          <w:pPr>
            <w:pStyle w:val="TOCHeading1"/>
            <w:spacing w:line="360" w:lineRule="auto"/>
            <w:rPr>
              <w:rFonts w:asciiTheme="minorHAnsi" w:hAnsiTheme="minorHAnsi" w:cstheme="minorHAnsi"/>
              <w:sz w:val="24"/>
              <w:szCs w:val="24"/>
            </w:rPr>
          </w:pPr>
          <w:r>
            <w:rPr>
              <w:rFonts w:asciiTheme="minorHAnsi" w:hAnsiTheme="minorHAnsi" w:cstheme="minorHAnsi"/>
              <w:sz w:val="24"/>
              <w:szCs w:val="24"/>
            </w:rPr>
            <w:t>Table of Contents</w:t>
          </w:r>
        </w:p>
        <w:p w14:paraId="58055D72" w14:textId="77777777" w:rsidR="00AE63F9" w:rsidRDefault="00000000">
          <w:pPr>
            <w:pStyle w:val="TOC1"/>
            <w:tabs>
              <w:tab w:val="right" w:leader="dot" w:pos="9350"/>
            </w:tabs>
            <w:rPr>
              <w:rFonts w:eastAsiaTheme="minorEastAsia"/>
            </w:rPr>
          </w:pPr>
          <w:r>
            <w:rPr>
              <w:rFonts w:cstheme="minorHAnsi"/>
              <w:b/>
              <w:bCs/>
              <w:sz w:val="24"/>
              <w:szCs w:val="24"/>
            </w:rPr>
            <w:fldChar w:fldCharType="begin"/>
          </w:r>
          <w:r>
            <w:rPr>
              <w:rFonts w:cstheme="minorHAnsi"/>
              <w:b/>
              <w:bCs/>
              <w:sz w:val="24"/>
              <w:szCs w:val="24"/>
            </w:rPr>
            <w:instrText xml:space="preserve"> TOC \o "1-3" \h \z \u </w:instrText>
          </w:r>
          <w:r>
            <w:rPr>
              <w:rFonts w:cstheme="minorHAnsi"/>
              <w:b/>
              <w:bCs/>
              <w:sz w:val="24"/>
              <w:szCs w:val="24"/>
            </w:rPr>
            <w:fldChar w:fldCharType="separate"/>
          </w:r>
          <w:hyperlink w:anchor="_Toc213368052" w:history="1">
            <w:r>
              <w:rPr>
                <w:rStyle w:val="Hyperlink"/>
                <w:rFonts w:cstheme="minorHAnsi"/>
              </w:rPr>
              <w:t>TASK 1 — Data Warehousing Concepts and Benefits</w:t>
            </w:r>
            <w:r>
              <w:tab/>
            </w:r>
            <w:r>
              <w:fldChar w:fldCharType="begin"/>
            </w:r>
            <w:r>
              <w:instrText xml:space="preserve"> PAGEREF _Toc213368052 \h </w:instrText>
            </w:r>
            <w:r>
              <w:fldChar w:fldCharType="separate"/>
            </w:r>
            <w:r>
              <w:t>3</w:t>
            </w:r>
            <w:r>
              <w:fldChar w:fldCharType="end"/>
            </w:r>
          </w:hyperlink>
        </w:p>
        <w:p w14:paraId="60DECB5C" w14:textId="77777777" w:rsidR="00AE63F9" w:rsidRDefault="00000000">
          <w:pPr>
            <w:pStyle w:val="TOC2"/>
            <w:tabs>
              <w:tab w:val="right" w:leader="dot" w:pos="9350"/>
            </w:tabs>
            <w:rPr>
              <w:rFonts w:eastAsiaTheme="minorEastAsia"/>
            </w:rPr>
          </w:pPr>
          <w:hyperlink w:anchor="_Toc213368053" w:history="1">
            <w:r>
              <w:rPr>
                <w:rStyle w:val="Hyperlink"/>
                <w:rFonts w:cstheme="minorHAnsi"/>
              </w:rPr>
              <w:t>1. Introduction</w:t>
            </w:r>
            <w:r>
              <w:tab/>
            </w:r>
            <w:r>
              <w:fldChar w:fldCharType="begin"/>
            </w:r>
            <w:r>
              <w:instrText xml:space="preserve"> PAGEREF _Toc213368053 \h </w:instrText>
            </w:r>
            <w:r>
              <w:fldChar w:fldCharType="separate"/>
            </w:r>
            <w:r>
              <w:t>3</w:t>
            </w:r>
            <w:r>
              <w:fldChar w:fldCharType="end"/>
            </w:r>
          </w:hyperlink>
        </w:p>
        <w:p w14:paraId="5E2C664E" w14:textId="77777777" w:rsidR="00AE63F9" w:rsidRDefault="00000000">
          <w:pPr>
            <w:pStyle w:val="TOC2"/>
            <w:tabs>
              <w:tab w:val="right" w:leader="dot" w:pos="9350"/>
            </w:tabs>
            <w:rPr>
              <w:rFonts w:eastAsiaTheme="minorEastAsia"/>
            </w:rPr>
          </w:pPr>
          <w:hyperlink w:anchor="_Toc213368054" w:history="1">
            <w:r>
              <w:rPr>
                <w:rStyle w:val="Hyperlink"/>
                <w:rFonts w:cstheme="minorHAnsi"/>
              </w:rPr>
              <w:t>2. OLTP vs Data Warehouse</w:t>
            </w:r>
            <w:r>
              <w:tab/>
            </w:r>
            <w:r>
              <w:fldChar w:fldCharType="begin"/>
            </w:r>
            <w:r>
              <w:instrText xml:space="preserve"> PAGEREF _Toc213368054 \h </w:instrText>
            </w:r>
            <w:r>
              <w:fldChar w:fldCharType="separate"/>
            </w:r>
            <w:r>
              <w:t>3</w:t>
            </w:r>
            <w:r>
              <w:fldChar w:fldCharType="end"/>
            </w:r>
          </w:hyperlink>
        </w:p>
        <w:p w14:paraId="685DAF07" w14:textId="77777777" w:rsidR="00AE63F9" w:rsidRDefault="00000000">
          <w:pPr>
            <w:pStyle w:val="TOC2"/>
            <w:tabs>
              <w:tab w:val="right" w:leader="dot" w:pos="9350"/>
            </w:tabs>
            <w:rPr>
              <w:rFonts w:eastAsiaTheme="minorEastAsia"/>
            </w:rPr>
          </w:pPr>
          <w:hyperlink w:anchor="_Toc213368055" w:history="1">
            <w:r>
              <w:rPr>
                <w:rStyle w:val="Hyperlink"/>
                <w:rFonts w:cstheme="minorHAnsi"/>
              </w:rPr>
              <w:t>3. Data Warehouse Architecture and ETL</w:t>
            </w:r>
            <w:r>
              <w:tab/>
            </w:r>
            <w:r>
              <w:fldChar w:fldCharType="begin"/>
            </w:r>
            <w:r>
              <w:instrText xml:space="preserve"> PAGEREF _Toc213368055 \h </w:instrText>
            </w:r>
            <w:r>
              <w:fldChar w:fldCharType="separate"/>
            </w:r>
            <w:r>
              <w:t>5</w:t>
            </w:r>
            <w:r>
              <w:fldChar w:fldCharType="end"/>
            </w:r>
          </w:hyperlink>
        </w:p>
        <w:p w14:paraId="6D108093" w14:textId="77777777" w:rsidR="00AE63F9" w:rsidRDefault="00000000">
          <w:pPr>
            <w:pStyle w:val="TOC3"/>
            <w:tabs>
              <w:tab w:val="right" w:leader="dot" w:pos="9350"/>
            </w:tabs>
            <w:rPr>
              <w:rFonts w:eastAsiaTheme="minorEastAsia"/>
            </w:rPr>
          </w:pPr>
          <w:hyperlink w:anchor="_Toc213368056" w:history="1">
            <w:r>
              <w:rPr>
                <w:rStyle w:val="Hyperlink"/>
                <w:rFonts w:cstheme="minorHAnsi"/>
                <w:b/>
              </w:rPr>
              <w:t>1.3 Data Marts for Targeted Management Decisions</w:t>
            </w:r>
            <w:r>
              <w:tab/>
            </w:r>
            <w:r>
              <w:fldChar w:fldCharType="begin"/>
            </w:r>
            <w:r>
              <w:instrText xml:space="preserve"> PAGEREF _Toc213368056 \h </w:instrText>
            </w:r>
            <w:r>
              <w:fldChar w:fldCharType="separate"/>
            </w:r>
            <w:r>
              <w:t>9</w:t>
            </w:r>
            <w:r>
              <w:fldChar w:fldCharType="end"/>
            </w:r>
          </w:hyperlink>
        </w:p>
        <w:p w14:paraId="2D2169DC" w14:textId="77777777" w:rsidR="00AE63F9" w:rsidRDefault="00000000">
          <w:pPr>
            <w:pStyle w:val="TOC3"/>
            <w:tabs>
              <w:tab w:val="right" w:leader="dot" w:pos="9350"/>
            </w:tabs>
            <w:rPr>
              <w:rFonts w:eastAsiaTheme="minorEastAsia"/>
            </w:rPr>
          </w:pPr>
          <w:hyperlink w:anchor="_Toc213368057" w:history="1">
            <w:r>
              <w:rPr>
                <w:rStyle w:val="Hyperlink"/>
                <w:rFonts w:cstheme="minorHAnsi"/>
                <w:b/>
              </w:rPr>
              <w:t>1.4 Normalised vs. Dimensional Structures: A Schema for Analysis</w:t>
            </w:r>
            <w:r>
              <w:tab/>
            </w:r>
            <w:r>
              <w:fldChar w:fldCharType="begin"/>
            </w:r>
            <w:r>
              <w:instrText xml:space="preserve"> PAGEREF _Toc213368057 \h </w:instrText>
            </w:r>
            <w:r>
              <w:fldChar w:fldCharType="separate"/>
            </w:r>
            <w:r>
              <w:t>12</w:t>
            </w:r>
            <w:r>
              <w:fldChar w:fldCharType="end"/>
            </w:r>
          </w:hyperlink>
        </w:p>
        <w:p w14:paraId="75E6EA78" w14:textId="77777777" w:rsidR="00AE63F9" w:rsidRDefault="00000000">
          <w:pPr>
            <w:pStyle w:val="TOC3"/>
            <w:tabs>
              <w:tab w:val="right" w:leader="dot" w:pos="9350"/>
            </w:tabs>
            <w:rPr>
              <w:rFonts w:eastAsiaTheme="minorEastAsia"/>
            </w:rPr>
          </w:pPr>
          <w:hyperlink w:anchor="_Toc213368058" w:history="1">
            <w:r>
              <w:rPr>
                <w:rStyle w:val="Hyperlink"/>
                <w:rFonts w:cstheme="minorHAnsi"/>
              </w:rPr>
              <w:t>Conclusion</w:t>
            </w:r>
            <w:r>
              <w:tab/>
            </w:r>
            <w:r>
              <w:fldChar w:fldCharType="begin"/>
            </w:r>
            <w:r>
              <w:instrText xml:space="preserve"> PAGEREF _Toc213368058 \h </w:instrText>
            </w:r>
            <w:r>
              <w:fldChar w:fldCharType="separate"/>
            </w:r>
            <w:r>
              <w:t>14</w:t>
            </w:r>
            <w:r>
              <w:fldChar w:fldCharType="end"/>
            </w:r>
          </w:hyperlink>
        </w:p>
        <w:p w14:paraId="36BDFDB9" w14:textId="77777777" w:rsidR="00AE63F9" w:rsidRDefault="00000000">
          <w:pPr>
            <w:pStyle w:val="TOC3"/>
            <w:tabs>
              <w:tab w:val="right" w:leader="dot" w:pos="9350"/>
            </w:tabs>
            <w:rPr>
              <w:rFonts w:eastAsiaTheme="minorEastAsia"/>
            </w:rPr>
          </w:pPr>
          <w:hyperlink w:anchor="_Toc213368059" w:history="1">
            <w:r>
              <w:rPr>
                <w:rStyle w:val="Hyperlink"/>
                <w:rFonts w:cstheme="minorHAnsi"/>
              </w:rPr>
              <w:t>References</w:t>
            </w:r>
            <w:r>
              <w:tab/>
            </w:r>
            <w:r>
              <w:fldChar w:fldCharType="begin"/>
            </w:r>
            <w:r>
              <w:instrText xml:space="preserve"> PAGEREF _Toc213368059 \h </w:instrText>
            </w:r>
            <w:r>
              <w:fldChar w:fldCharType="separate"/>
            </w:r>
            <w:r>
              <w:t>15</w:t>
            </w:r>
            <w:r>
              <w:fldChar w:fldCharType="end"/>
            </w:r>
          </w:hyperlink>
        </w:p>
        <w:p w14:paraId="31BB6D10" w14:textId="77777777" w:rsidR="00AE63F9" w:rsidRDefault="00000000">
          <w:pPr>
            <w:pStyle w:val="TOC2"/>
            <w:tabs>
              <w:tab w:val="right" w:leader="dot" w:pos="9350"/>
            </w:tabs>
            <w:rPr>
              <w:rFonts w:eastAsiaTheme="minorEastAsia"/>
            </w:rPr>
          </w:pPr>
          <w:hyperlink w:anchor="_Toc213368060" w:history="1">
            <w:r>
              <w:rPr>
                <w:rStyle w:val="Hyperlink"/>
                <w:rFonts w:eastAsia="Times New Roman" w:cstheme="minorHAnsi"/>
              </w:rPr>
              <w:t>4. Executive Data Marts</w:t>
            </w:r>
            <w:r>
              <w:tab/>
            </w:r>
            <w:r>
              <w:fldChar w:fldCharType="begin"/>
            </w:r>
            <w:r>
              <w:instrText xml:space="preserve"> PAGEREF _Toc213368060 \h </w:instrText>
            </w:r>
            <w:r>
              <w:fldChar w:fldCharType="separate"/>
            </w:r>
            <w:r>
              <w:t>19</w:t>
            </w:r>
            <w:r>
              <w:fldChar w:fldCharType="end"/>
            </w:r>
          </w:hyperlink>
        </w:p>
        <w:p w14:paraId="7E53C3E5" w14:textId="77777777" w:rsidR="00AE63F9" w:rsidRDefault="00000000">
          <w:pPr>
            <w:pStyle w:val="TOC2"/>
            <w:tabs>
              <w:tab w:val="right" w:leader="dot" w:pos="9350"/>
            </w:tabs>
            <w:rPr>
              <w:rFonts w:eastAsiaTheme="minorEastAsia"/>
            </w:rPr>
          </w:pPr>
          <w:hyperlink w:anchor="_Toc213368061" w:history="1">
            <w:r>
              <w:rPr>
                <w:rStyle w:val="Hyperlink"/>
                <w:rFonts w:cstheme="minorHAnsi"/>
              </w:rPr>
              <w:t>5. Normalised vs Dimensional Modelling</w:t>
            </w:r>
            <w:r>
              <w:tab/>
            </w:r>
            <w:r>
              <w:fldChar w:fldCharType="begin"/>
            </w:r>
            <w:r>
              <w:instrText xml:space="preserve"> PAGEREF _Toc213368061 \h </w:instrText>
            </w:r>
            <w:r>
              <w:fldChar w:fldCharType="separate"/>
            </w:r>
            <w:r>
              <w:t>20</w:t>
            </w:r>
            <w:r>
              <w:fldChar w:fldCharType="end"/>
            </w:r>
          </w:hyperlink>
        </w:p>
        <w:p w14:paraId="6E8F1429" w14:textId="77777777" w:rsidR="00AE63F9" w:rsidRDefault="00000000">
          <w:pPr>
            <w:pStyle w:val="TOC2"/>
            <w:tabs>
              <w:tab w:val="right" w:leader="dot" w:pos="9350"/>
            </w:tabs>
            <w:rPr>
              <w:rFonts w:eastAsiaTheme="minorEastAsia"/>
            </w:rPr>
          </w:pPr>
          <w:hyperlink w:anchor="_Toc213368062" w:history="1">
            <w:r>
              <w:rPr>
                <w:rStyle w:val="Hyperlink"/>
                <w:rFonts w:cstheme="minorHAnsi"/>
              </w:rPr>
              <w:t>Conclusion</w:t>
            </w:r>
            <w:r>
              <w:tab/>
            </w:r>
            <w:r>
              <w:fldChar w:fldCharType="begin"/>
            </w:r>
            <w:r>
              <w:instrText xml:space="preserve"> PAGEREF _Toc213368062 \h </w:instrText>
            </w:r>
            <w:r>
              <w:fldChar w:fldCharType="separate"/>
            </w:r>
            <w:r>
              <w:t>21</w:t>
            </w:r>
            <w:r>
              <w:fldChar w:fldCharType="end"/>
            </w:r>
          </w:hyperlink>
        </w:p>
        <w:p w14:paraId="02055F5C" w14:textId="77777777" w:rsidR="00AE63F9" w:rsidRDefault="00000000">
          <w:pPr>
            <w:pStyle w:val="TOC2"/>
            <w:tabs>
              <w:tab w:val="right" w:leader="dot" w:pos="9350"/>
            </w:tabs>
            <w:rPr>
              <w:rFonts w:eastAsiaTheme="minorEastAsia"/>
            </w:rPr>
          </w:pPr>
          <w:hyperlink w:anchor="_Toc213368063" w:history="1">
            <w:r>
              <w:rPr>
                <w:rStyle w:val="Hyperlink"/>
                <w:rFonts w:cstheme="minorHAnsi"/>
              </w:rPr>
              <w:t>Reference</w:t>
            </w:r>
            <w:r>
              <w:tab/>
            </w:r>
            <w:r>
              <w:fldChar w:fldCharType="begin"/>
            </w:r>
            <w:r>
              <w:instrText xml:space="preserve"> PAGEREF _Toc213368063 \h </w:instrText>
            </w:r>
            <w:r>
              <w:fldChar w:fldCharType="separate"/>
            </w:r>
            <w:r>
              <w:t>21</w:t>
            </w:r>
            <w:r>
              <w:fldChar w:fldCharType="end"/>
            </w:r>
          </w:hyperlink>
        </w:p>
        <w:p w14:paraId="232806A5" w14:textId="77777777" w:rsidR="00AE63F9" w:rsidRDefault="00000000">
          <w:pPr>
            <w:spacing w:line="360" w:lineRule="auto"/>
            <w:rPr>
              <w:rFonts w:cstheme="minorHAnsi"/>
              <w:sz w:val="24"/>
              <w:szCs w:val="24"/>
            </w:rPr>
          </w:pPr>
          <w:r>
            <w:rPr>
              <w:rFonts w:cstheme="minorHAnsi"/>
              <w:b/>
              <w:bCs/>
              <w:sz w:val="24"/>
              <w:szCs w:val="24"/>
            </w:rPr>
            <w:fldChar w:fldCharType="end"/>
          </w:r>
        </w:p>
      </w:sdtContent>
    </w:sdt>
    <w:p w14:paraId="5193A097" w14:textId="77777777" w:rsidR="00AE63F9" w:rsidRDefault="00AE63F9">
      <w:pPr>
        <w:shd w:val="clear" w:color="auto" w:fill="FFFFFF"/>
        <w:spacing w:before="480" w:after="240" w:line="360" w:lineRule="auto"/>
        <w:outlineLvl w:val="0"/>
        <w:rPr>
          <w:rFonts w:eastAsia="Times New Roman" w:cstheme="minorHAnsi"/>
          <w:b/>
          <w:bCs/>
          <w:color w:val="0F1115"/>
          <w:kern w:val="36"/>
          <w:sz w:val="24"/>
          <w:szCs w:val="24"/>
        </w:rPr>
      </w:pPr>
    </w:p>
    <w:p w14:paraId="278497A0" w14:textId="77777777" w:rsidR="00AE63F9" w:rsidRDefault="00AE63F9">
      <w:pPr>
        <w:shd w:val="clear" w:color="auto" w:fill="FFFFFF"/>
        <w:spacing w:before="480" w:after="240" w:line="360" w:lineRule="auto"/>
        <w:outlineLvl w:val="0"/>
        <w:rPr>
          <w:rFonts w:eastAsia="Times New Roman" w:cstheme="minorHAnsi"/>
          <w:b/>
          <w:bCs/>
          <w:color w:val="0F1115"/>
          <w:kern w:val="36"/>
          <w:sz w:val="24"/>
          <w:szCs w:val="24"/>
        </w:rPr>
      </w:pPr>
    </w:p>
    <w:p w14:paraId="24B995A4" w14:textId="77777777" w:rsidR="00AE63F9" w:rsidRDefault="00AE63F9">
      <w:pPr>
        <w:shd w:val="clear" w:color="auto" w:fill="FFFFFF"/>
        <w:spacing w:before="480" w:after="240" w:line="360" w:lineRule="auto"/>
        <w:outlineLvl w:val="0"/>
        <w:rPr>
          <w:rFonts w:eastAsia="Times New Roman" w:cstheme="minorHAnsi"/>
          <w:b/>
          <w:bCs/>
          <w:color w:val="0F1115"/>
          <w:kern w:val="36"/>
          <w:sz w:val="24"/>
          <w:szCs w:val="24"/>
        </w:rPr>
      </w:pPr>
    </w:p>
    <w:p w14:paraId="7EAE771C" w14:textId="77777777" w:rsidR="00AE63F9" w:rsidRDefault="00AE63F9">
      <w:pPr>
        <w:shd w:val="clear" w:color="auto" w:fill="FFFFFF"/>
        <w:spacing w:before="480" w:after="240" w:line="360" w:lineRule="auto"/>
        <w:outlineLvl w:val="0"/>
        <w:rPr>
          <w:rFonts w:eastAsia="Times New Roman" w:cstheme="minorHAnsi"/>
          <w:b/>
          <w:bCs/>
          <w:color w:val="0F1115"/>
          <w:kern w:val="36"/>
          <w:sz w:val="24"/>
          <w:szCs w:val="24"/>
        </w:rPr>
      </w:pPr>
    </w:p>
    <w:p w14:paraId="061C78C4" w14:textId="77777777" w:rsidR="00AE63F9" w:rsidRDefault="00AE63F9">
      <w:pPr>
        <w:shd w:val="clear" w:color="auto" w:fill="FFFFFF"/>
        <w:spacing w:before="480" w:after="240" w:line="360" w:lineRule="auto"/>
        <w:outlineLvl w:val="0"/>
        <w:rPr>
          <w:rFonts w:eastAsia="Times New Roman" w:cstheme="minorHAnsi"/>
          <w:b/>
          <w:bCs/>
          <w:color w:val="0F1115"/>
          <w:kern w:val="36"/>
          <w:sz w:val="24"/>
          <w:szCs w:val="24"/>
        </w:rPr>
      </w:pPr>
    </w:p>
    <w:p w14:paraId="0D51B9F8" w14:textId="77777777" w:rsidR="00AE63F9" w:rsidRDefault="00AE63F9">
      <w:pPr>
        <w:shd w:val="clear" w:color="auto" w:fill="FFFFFF"/>
        <w:spacing w:before="480" w:after="240" w:line="360" w:lineRule="auto"/>
        <w:outlineLvl w:val="0"/>
        <w:rPr>
          <w:rFonts w:eastAsia="Times New Roman" w:cstheme="minorHAnsi"/>
          <w:b/>
          <w:bCs/>
          <w:color w:val="0F1115"/>
          <w:kern w:val="36"/>
          <w:sz w:val="24"/>
          <w:szCs w:val="24"/>
        </w:rPr>
      </w:pPr>
    </w:p>
    <w:p w14:paraId="13580C81" w14:textId="77777777" w:rsidR="00AE63F9" w:rsidRDefault="00AE63F9">
      <w:pPr>
        <w:shd w:val="clear" w:color="auto" w:fill="FFFFFF"/>
        <w:spacing w:before="480" w:after="240" w:line="360" w:lineRule="auto"/>
        <w:outlineLvl w:val="0"/>
        <w:rPr>
          <w:rFonts w:eastAsia="Times New Roman" w:cstheme="minorHAnsi"/>
          <w:b/>
          <w:bCs/>
          <w:color w:val="0F1115"/>
          <w:kern w:val="36"/>
          <w:sz w:val="24"/>
          <w:szCs w:val="24"/>
        </w:rPr>
      </w:pPr>
    </w:p>
    <w:p w14:paraId="33E46730" w14:textId="77777777" w:rsidR="00AE63F9" w:rsidRDefault="00AE63F9">
      <w:pPr>
        <w:shd w:val="clear" w:color="auto" w:fill="FFFFFF"/>
        <w:spacing w:before="480" w:after="240" w:line="360" w:lineRule="auto"/>
        <w:outlineLvl w:val="0"/>
        <w:rPr>
          <w:rFonts w:eastAsia="Times New Roman" w:cstheme="minorHAnsi"/>
          <w:b/>
          <w:bCs/>
          <w:color w:val="0F1115"/>
          <w:kern w:val="36"/>
          <w:sz w:val="24"/>
          <w:szCs w:val="24"/>
        </w:rPr>
      </w:pPr>
    </w:p>
    <w:p w14:paraId="5C576A5D" w14:textId="77777777" w:rsidR="00AE63F9" w:rsidRDefault="00000000">
      <w:pPr>
        <w:pStyle w:val="Heading1"/>
        <w:spacing w:line="360" w:lineRule="auto"/>
        <w:rPr>
          <w:rFonts w:asciiTheme="minorHAnsi" w:hAnsiTheme="minorHAnsi" w:cstheme="minorHAnsi"/>
          <w:sz w:val="24"/>
          <w:szCs w:val="24"/>
        </w:rPr>
      </w:pPr>
      <w:bookmarkStart w:id="0" w:name="_Toc213368052"/>
      <w:r>
        <w:rPr>
          <w:rFonts w:asciiTheme="minorHAnsi" w:hAnsiTheme="minorHAnsi" w:cstheme="minorHAnsi"/>
          <w:sz w:val="24"/>
          <w:szCs w:val="24"/>
        </w:rPr>
        <w:t>TASK 1 — Data Warehousing Concepts and Benefits</w:t>
      </w:r>
      <w:bookmarkEnd w:id="0"/>
    </w:p>
    <w:p w14:paraId="20984808" w14:textId="77777777" w:rsidR="00AE63F9" w:rsidRDefault="00AE63F9">
      <w:pPr>
        <w:shd w:val="clear" w:color="auto" w:fill="FFFFFF"/>
        <w:spacing w:before="240" w:after="240" w:line="360" w:lineRule="auto"/>
        <w:rPr>
          <w:rFonts w:eastAsia="Times New Roman" w:cstheme="minorHAnsi"/>
          <w:color w:val="0F1115"/>
          <w:sz w:val="24"/>
          <w:szCs w:val="24"/>
        </w:rPr>
      </w:pPr>
    </w:p>
    <w:p w14:paraId="0D101102" w14:textId="77777777" w:rsidR="00AE63F9" w:rsidRDefault="00000000">
      <w:pPr>
        <w:pStyle w:val="Heading2"/>
        <w:spacing w:line="360" w:lineRule="auto"/>
        <w:rPr>
          <w:rFonts w:asciiTheme="minorHAnsi" w:hAnsiTheme="minorHAnsi" w:cstheme="minorHAnsi"/>
          <w:sz w:val="24"/>
          <w:szCs w:val="24"/>
        </w:rPr>
      </w:pPr>
      <w:bookmarkStart w:id="1" w:name="_Toc213368053"/>
      <w:r>
        <w:rPr>
          <w:rFonts w:asciiTheme="minorHAnsi" w:hAnsiTheme="minorHAnsi" w:cstheme="minorHAnsi"/>
          <w:sz w:val="24"/>
          <w:szCs w:val="24"/>
        </w:rPr>
        <w:t>1. Introduction</w:t>
      </w:r>
      <w:bookmarkEnd w:id="1"/>
      <w:r>
        <w:rPr>
          <w:rFonts w:asciiTheme="minorHAnsi" w:hAnsiTheme="minorHAnsi" w:cstheme="minorHAnsi"/>
          <w:sz w:val="24"/>
          <w:szCs w:val="24"/>
        </w:rPr>
        <w:t xml:space="preserve"> </w:t>
      </w:r>
    </w:p>
    <w:p w14:paraId="3C6932BF" w14:textId="77777777" w:rsidR="00AE63F9" w:rsidRDefault="00000000">
      <w:pPr>
        <w:spacing w:line="360" w:lineRule="auto"/>
        <w:rPr>
          <w:rFonts w:eastAsia="Times New Roman" w:cstheme="minorHAnsi"/>
          <w:sz w:val="24"/>
          <w:szCs w:val="24"/>
        </w:rPr>
      </w:pPr>
      <w:r>
        <w:rPr>
          <w:rFonts w:eastAsia="Times New Roman" w:cstheme="minorHAnsi"/>
          <w:sz w:val="24"/>
          <w:szCs w:val="24"/>
        </w:rPr>
        <w:br/>
        <w:t>Rags'n'Riches Ltd. is at a crucial juncture. The expected UK government tax incentives offer a substantial possibility for expansion; however, the firm must streamline its operations and enhance profitability to take advantage of this. An essential component of this rationalization is a strategic evaluation of your IT systems. Your data is now confined to several operational systems tailored for everyday functions such as order input, transportation logistics, and billing. Although Online Transaction Processing (OLTP) systems are crucial for corporate operations, they lack the capability to deliver the comprehensive, strategic insights necessary for future growth guidance. This paper will elucidate how investing in a Data Warehouse (DW) will convert your disparate data into a pivotal strategic asset, facilitating informed, data-driven decisions that immediately improve profitability and operational efficiency.</w:t>
      </w:r>
    </w:p>
    <w:p w14:paraId="2ACCABFE" w14:textId="77777777" w:rsidR="00AE63F9" w:rsidRDefault="00000000">
      <w:pPr>
        <w:pStyle w:val="Heading2"/>
        <w:spacing w:line="360" w:lineRule="auto"/>
        <w:rPr>
          <w:rFonts w:asciiTheme="minorHAnsi" w:hAnsiTheme="minorHAnsi" w:cstheme="minorHAnsi"/>
          <w:sz w:val="24"/>
          <w:szCs w:val="24"/>
        </w:rPr>
      </w:pPr>
      <w:bookmarkStart w:id="2" w:name="_Toc213368054"/>
      <w:r>
        <w:rPr>
          <w:rStyle w:val="Strong"/>
          <w:rFonts w:asciiTheme="minorHAnsi" w:hAnsiTheme="minorHAnsi" w:cstheme="minorHAnsi"/>
          <w:b w:val="0"/>
          <w:bCs w:val="0"/>
          <w:sz w:val="24"/>
          <w:szCs w:val="24"/>
        </w:rPr>
        <w:t>2. OLTP vs Data Warehouse</w:t>
      </w:r>
      <w:bookmarkEnd w:id="2"/>
    </w:p>
    <w:p w14:paraId="08EF0A9D" w14:textId="77777777" w:rsidR="00AE63F9" w:rsidRDefault="00AE63F9">
      <w:pPr>
        <w:spacing w:after="0" w:line="360" w:lineRule="auto"/>
        <w:rPr>
          <w:rFonts w:eastAsia="Times New Roman" w:cstheme="minorHAnsi"/>
          <w:sz w:val="24"/>
          <w:szCs w:val="24"/>
        </w:rPr>
      </w:pPr>
    </w:p>
    <w:p w14:paraId="5576EC9F" w14:textId="77777777" w:rsidR="00AE63F9" w:rsidRDefault="00000000">
      <w:pPr>
        <w:spacing w:after="0" w:line="360" w:lineRule="auto"/>
        <w:rPr>
          <w:rFonts w:eastAsia="Times New Roman" w:cstheme="minorHAnsi"/>
          <w:sz w:val="24"/>
          <w:szCs w:val="24"/>
        </w:rPr>
      </w:pPr>
      <w:r>
        <w:rPr>
          <w:rFonts w:eastAsia="Times New Roman" w:cstheme="minorHAnsi"/>
          <w:sz w:val="24"/>
          <w:szCs w:val="24"/>
        </w:rPr>
        <w:t xml:space="preserve">Your organization possesses a functional OLTP system, serving as the core of your everyday operations. It is optimized for handling a substantial amount of straightforward, rapid transactions—such as inputting a new order, modifying an item's position post-stock movement, or producing an invoice. The structure is complex, comprising several interrelated tables (a condition referred to as normalization) to maintain data integrity and prevent duplication during frequent changes. </w:t>
      </w:r>
      <w:r>
        <w:rPr>
          <w:rFonts w:eastAsia="Times New Roman" w:cstheme="minorHAnsi"/>
          <w:sz w:val="24"/>
          <w:szCs w:val="24"/>
        </w:rPr>
        <w:br/>
      </w:r>
      <w:r>
        <w:rPr>
          <w:rFonts w:eastAsia="Times New Roman" w:cstheme="minorHAnsi"/>
          <w:sz w:val="24"/>
          <w:szCs w:val="24"/>
        </w:rPr>
        <w:br/>
        <w:t xml:space="preserve">A Data Warehouse is designed for strategic analysis and decision assistance, rather than for everyday transactions. It is an independent, specialized repository that consolidates data from </w:t>
      </w:r>
      <w:r>
        <w:rPr>
          <w:rFonts w:eastAsia="Times New Roman" w:cstheme="minorHAnsi"/>
          <w:sz w:val="24"/>
          <w:szCs w:val="24"/>
        </w:rPr>
        <w:lastRenderedPageBreak/>
        <w:t>all your OLTP systems (orders, transport, finance, inventory) into a singular, cohesive, and historical perspective. The primary distinctions are:</w:t>
      </w:r>
    </w:p>
    <w:p w14:paraId="4E606375" w14:textId="77777777" w:rsidR="00AE63F9" w:rsidRDefault="00AE63F9">
      <w:pPr>
        <w:spacing w:after="0" w:line="360" w:lineRule="auto"/>
        <w:rPr>
          <w:rFonts w:eastAsia="Times New Roman" w:cstheme="minorHAnsi"/>
          <w:sz w:val="24"/>
          <w:szCs w:val="24"/>
        </w:rPr>
      </w:pPr>
    </w:p>
    <w:tbl>
      <w:tblPr>
        <w:tblStyle w:val="PlainTable31"/>
        <w:tblW w:w="9566" w:type="dxa"/>
        <w:tblInd w:w="-467" w:type="dxa"/>
        <w:tblLook w:val="04A0" w:firstRow="1" w:lastRow="0" w:firstColumn="1" w:lastColumn="0" w:noHBand="0" w:noVBand="1"/>
      </w:tblPr>
      <w:tblGrid>
        <w:gridCol w:w="1885"/>
        <w:gridCol w:w="2973"/>
        <w:gridCol w:w="4708"/>
      </w:tblGrid>
      <w:tr w:rsidR="00AE63F9" w14:paraId="38427F2B" w14:textId="77777777" w:rsidTr="00AE63F9">
        <w:trPr>
          <w:cnfStyle w:val="100000000000" w:firstRow="1" w:lastRow="0" w:firstColumn="0" w:lastColumn="0" w:oddVBand="0" w:evenVBand="0" w:oddHBand="0" w:evenHBand="0" w:firstRowFirstColumn="0" w:firstRowLastColumn="0" w:lastRowFirstColumn="0" w:lastRowLastColumn="0"/>
          <w:trHeight w:val="337"/>
        </w:trPr>
        <w:tc>
          <w:tcPr>
            <w:cnfStyle w:val="001000000100" w:firstRow="0" w:lastRow="0" w:firstColumn="1" w:lastColumn="0" w:oddVBand="0" w:evenVBand="0" w:oddHBand="0" w:evenHBand="0" w:firstRowFirstColumn="1" w:firstRowLastColumn="0" w:lastRowFirstColumn="0" w:lastRowLastColumn="0"/>
            <w:tcW w:w="1885" w:type="dxa"/>
          </w:tcPr>
          <w:p w14:paraId="62D45538" w14:textId="77777777" w:rsidR="00AE63F9" w:rsidRDefault="00000000">
            <w:pPr>
              <w:spacing w:after="0" w:line="360" w:lineRule="auto"/>
              <w:rPr>
                <w:rFonts w:eastAsia="Times New Roman" w:cstheme="minorHAnsi"/>
                <w:b w:val="0"/>
                <w:bCs w:val="0"/>
                <w:caps w:val="0"/>
                <w:color w:val="0F1115"/>
                <w:sz w:val="24"/>
                <w:szCs w:val="24"/>
              </w:rPr>
            </w:pPr>
            <w:r>
              <w:rPr>
                <w:rFonts w:eastAsia="Times New Roman" w:cstheme="minorHAnsi"/>
                <w:color w:val="0F1115"/>
                <w:sz w:val="24"/>
                <w:szCs w:val="24"/>
              </w:rPr>
              <w:t>Feature</w:t>
            </w:r>
          </w:p>
        </w:tc>
        <w:tc>
          <w:tcPr>
            <w:tcW w:w="2973" w:type="dxa"/>
          </w:tcPr>
          <w:p w14:paraId="06D63DC2" w14:textId="77777777" w:rsidR="00AE63F9" w:rsidRDefault="00000000">
            <w:pPr>
              <w:spacing w:after="0" w:line="360" w:lineRule="auto"/>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aps w:val="0"/>
                <w:color w:val="0F1115"/>
                <w:sz w:val="24"/>
                <w:szCs w:val="24"/>
              </w:rPr>
            </w:pPr>
            <w:r>
              <w:rPr>
                <w:rFonts w:eastAsia="Times New Roman" w:cstheme="minorHAnsi"/>
                <w:color w:val="0F1115"/>
                <w:sz w:val="24"/>
                <w:szCs w:val="24"/>
              </w:rPr>
              <w:t>OLTP System (Operational)</w:t>
            </w:r>
          </w:p>
        </w:tc>
        <w:tc>
          <w:tcPr>
            <w:tcW w:w="0" w:type="auto"/>
          </w:tcPr>
          <w:p w14:paraId="640BEAFB" w14:textId="77777777" w:rsidR="00AE63F9" w:rsidRDefault="00000000">
            <w:pPr>
              <w:spacing w:after="0" w:line="360" w:lineRule="auto"/>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aps w:val="0"/>
                <w:color w:val="0F1115"/>
                <w:sz w:val="24"/>
                <w:szCs w:val="24"/>
              </w:rPr>
            </w:pPr>
            <w:r>
              <w:rPr>
                <w:rFonts w:eastAsia="Times New Roman" w:cstheme="minorHAnsi"/>
                <w:color w:val="0F1115"/>
                <w:sz w:val="24"/>
                <w:szCs w:val="24"/>
              </w:rPr>
              <w:t>Data Warehouse (Strategic)</w:t>
            </w:r>
          </w:p>
        </w:tc>
      </w:tr>
      <w:tr w:rsidR="00AE63F9" w14:paraId="208F82DB" w14:textId="77777777" w:rsidTr="00AE63F9">
        <w:trPr>
          <w:trHeight w:val="675"/>
        </w:trPr>
        <w:tc>
          <w:tcPr>
            <w:cnfStyle w:val="001000000000" w:firstRow="0" w:lastRow="0" w:firstColumn="1" w:lastColumn="0" w:oddVBand="0" w:evenVBand="0" w:oddHBand="0" w:evenHBand="0" w:firstRowFirstColumn="0" w:firstRowLastColumn="0" w:lastRowFirstColumn="0" w:lastRowLastColumn="0"/>
            <w:tcW w:w="1885" w:type="dxa"/>
            <w:shd w:val="clear" w:color="auto" w:fill="F2F2F2" w:themeFill="background1" w:themeFillShade="F2"/>
          </w:tcPr>
          <w:p w14:paraId="6A15623F" w14:textId="77777777" w:rsidR="00AE63F9" w:rsidRDefault="00000000">
            <w:pPr>
              <w:spacing w:after="0" w:line="360" w:lineRule="auto"/>
              <w:rPr>
                <w:rFonts w:eastAsia="Times New Roman" w:cstheme="minorHAnsi"/>
                <w:b w:val="0"/>
                <w:bCs w:val="0"/>
                <w:caps w:val="0"/>
                <w:color w:val="0F1115"/>
                <w:sz w:val="24"/>
                <w:szCs w:val="24"/>
              </w:rPr>
            </w:pPr>
            <w:r>
              <w:rPr>
                <w:rFonts w:eastAsia="Times New Roman" w:cstheme="minorHAnsi"/>
                <w:color w:val="0F1115"/>
                <w:sz w:val="24"/>
                <w:szCs w:val="24"/>
              </w:rPr>
              <w:t>Purpose</w:t>
            </w:r>
          </w:p>
        </w:tc>
        <w:tc>
          <w:tcPr>
            <w:tcW w:w="2973" w:type="dxa"/>
            <w:shd w:val="clear" w:color="auto" w:fill="F2F2F2" w:themeFill="background1" w:themeFillShade="F2"/>
          </w:tcPr>
          <w:p w14:paraId="5166EB9E" w14:textId="77777777" w:rsidR="00AE63F9"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Pr>
                <w:rFonts w:eastAsia="Times New Roman" w:cstheme="minorHAnsi"/>
                <w:color w:val="0F1115"/>
                <w:sz w:val="24"/>
                <w:szCs w:val="24"/>
              </w:rPr>
              <w:t>Run the business: Process orders, track deliveries.</w:t>
            </w:r>
          </w:p>
        </w:tc>
        <w:tc>
          <w:tcPr>
            <w:tcW w:w="0" w:type="auto"/>
            <w:shd w:val="clear" w:color="auto" w:fill="F2F2F2" w:themeFill="background1" w:themeFillShade="F2"/>
          </w:tcPr>
          <w:p w14:paraId="7469F957" w14:textId="77777777" w:rsidR="00AE63F9"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Pr>
                <w:rFonts w:eastAsia="Times New Roman" w:cstheme="minorHAnsi"/>
                <w:color w:val="0F1115"/>
                <w:sz w:val="24"/>
                <w:szCs w:val="24"/>
              </w:rPr>
              <w:t>Understand the business: Analyse trends, inform strategy.</w:t>
            </w:r>
          </w:p>
        </w:tc>
      </w:tr>
      <w:tr w:rsidR="00AE63F9" w14:paraId="0419DCD4" w14:textId="77777777" w:rsidTr="00AE63F9">
        <w:trPr>
          <w:trHeight w:val="675"/>
        </w:trPr>
        <w:tc>
          <w:tcPr>
            <w:cnfStyle w:val="001000000000" w:firstRow="0" w:lastRow="0" w:firstColumn="1" w:lastColumn="0" w:oddVBand="0" w:evenVBand="0" w:oddHBand="0" w:evenHBand="0" w:firstRowFirstColumn="0" w:firstRowLastColumn="0" w:lastRowFirstColumn="0" w:lastRowLastColumn="0"/>
            <w:tcW w:w="1885" w:type="dxa"/>
          </w:tcPr>
          <w:p w14:paraId="3C9BD5F7" w14:textId="77777777" w:rsidR="00AE63F9" w:rsidRDefault="00000000">
            <w:pPr>
              <w:spacing w:after="0" w:line="360" w:lineRule="auto"/>
              <w:rPr>
                <w:rFonts w:eastAsia="Times New Roman" w:cstheme="minorHAnsi"/>
                <w:b w:val="0"/>
                <w:bCs w:val="0"/>
                <w:caps w:val="0"/>
                <w:color w:val="0F1115"/>
                <w:sz w:val="24"/>
                <w:szCs w:val="24"/>
              </w:rPr>
            </w:pPr>
            <w:r>
              <w:rPr>
                <w:rFonts w:eastAsia="Times New Roman" w:cstheme="minorHAnsi"/>
                <w:color w:val="0F1115"/>
                <w:sz w:val="24"/>
                <w:szCs w:val="24"/>
              </w:rPr>
              <w:t>Data Source</w:t>
            </w:r>
          </w:p>
        </w:tc>
        <w:tc>
          <w:tcPr>
            <w:tcW w:w="2973" w:type="dxa"/>
          </w:tcPr>
          <w:p w14:paraId="416C265E" w14:textId="77777777" w:rsidR="00AE63F9"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Pr>
                <w:rFonts w:eastAsia="Times New Roman" w:cstheme="minorHAnsi"/>
                <w:color w:val="0F1115"/>
                <w:sz w:val="24"/>
                <w:szCs w:val="24"/>
              </w:rPr>
              <w:t>A single, specific process (e.g., order entry).</w:t>
            </w:r>
          </w:p>
        </w:tc>
        <w:tc>
          <w:tcPr>
            <w:tcW w:w="0" w:type="auto"/>
          </w:tcPr>
          <w:p w14:paraId="6D08C27B" w14:textId="77777777" w:rsidR="00AE63F9"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Pr>
                <w:rFonts w:eastAsia="Times New Roman" w:cstheme="minorHAnsi"/>
                <w:color w:val="0F1115"/>
                <w:sz w:val="24"/>
                <w:szCs w:val="24"/>
              </w:rPr>
              <w:t>Multiple integrated OLTP and external systems.</w:t>
            </w:r>
          </w:p>
        </w:tc>
      </w:tr>
      <w:tr w:rsidR="00AE63F9" w14:paraId="1785B2C3" w14:textId="77777777" w:rsidTr="00AE63F9">
        <w:trPr>
          <w:trHeight w:val="675"/>
        </w:trPr>
        <w:tc>
          <w:tcPr>
            <w:cnfStyle w:val="001000000000" w:firstRow="0" w:lastRow="0" w:firstColumn="1" w:lastColumn="0" w:oddVBand="0" w:evenVBand="0" w:oddHBand="0" w:evenHBand="0" w:firstRowFirstColumn="0" w:firstRowLastColumn="0" w:lastRowFirstColumn="0" w:lastRowLastColumn="0"/>
            <w:tcW w:w="1885" w:type="dxa"/>
            <w:shd w:val="clear" w:color="auto" w:fill="F2F2F2" w:themeFill="background1" w:themeFillShade="F2"/>
          </w:tcPr>
          <w:p w14:paraId="6F39531B" w14:textId="77777777" w:rsidR="00AE63F9" w:rsidRDefault="00000000">
            <w:pPr>
              <w:spacing w:after="0" w:line="360" w:lineRule="auto"/>
              <w:rPr>
                <w:rFonts w:eastAsia="Times New Roman" w:cstheme="minorHAnsi"/>
                <w:b w:val="0"/>
                <w:bCs w:val="0"/>
                <w:caps w:val="0"/>
                <w:color w:val="0F1115"/>
                <w:sz w:val="24"/>
                <w:szCs w:val="24"/>
              </w:rPr>
            </w:pPr>
            <w:r>
              <w:rPr>
                <w:rFonts w:eastAsia="Times New Roman" w:cstheme="minorHAnsi"/>
                <w:color w:val="0F1115"/>
                <w:sz w:val="24"/>
                <w:szCs w:val="24"/>
              </w:rPr>
              <w:t>Data Content</w:t>
            </w:r>
          </w:p>
        </w:tc>
        <w:tc>
          <w:tcPr>
            <w:tcW w:w="2973" w:type="dxa"/>
            <w:shd w:val="clear" w:color="auto" w:fill="F2F2F2" w:themeFill="background1" w:themeFillShade="F2"/>
          </w:tcPr>
          <w:p w14:paraId="05362574" w14:textId="77777777" w:rsidR="00AE63F9"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Pr>
                <w:rFonts w:eastAsia="Times New Roman" w:cstheme="minorHAnsi"/>
                <w:color w:val="0F1115"/>
                <w:sz w:val="24"/>
                <w:szCs w:val="24"/>
              </w:rPr>
              <w:t>Current, detailed transactional data.</w:t>
            </w:r>
          </w:p>
        </w:tc>
        <w:tc>
          <w:tcPr>
            <w:tcW w:w="0" w:type="auto"/>
            <w:shd w:val="clear" w:color="auto" w:fill="F2F2F2" w:themeFill="background1" w:themeFillShade="F2"/>
          </w:tcPr>
          <w:p w14:paraId="09478353" w14:textId="77777777" w:rsidR="00AE63F9"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Pr>
                <w:rFonts w:eastAsia="Times New Roman" w:cstheme="minorHAnsi"/>
                <w:color w:val="0F1115"/>
                <w:sz w:val="24"/>
                <w:szCs w:val="24"/>
              </w:rPr>
              <w:t>Historical, summarised, and integrated data.</w:t>
            </w:r>
          </w:p>
        </w:tc>
      </w:tr>
      <w:tr w:rsidR="00AE63F9" w14:paraId="27401D66" w14:textId="77777777" w:rsidTr="00AE63F9">
        <w:trPr>
          <w:trHeight w:val="1012"/>
        </w:trPr>
        <w:tc>
          <w:tcPr>
            <w:cnfStyle w:val="001000000000" w:firstRow="0" w:lastRow="0" w:firstColumn="1" w:lastColumn="0" w:oddVBand="0" w:evenVBand="0" w:oddHBand="0" w:evenHBand="0" w:firstRowFirstColumn="0" w:firstRowLastColumn="0" w:lastRowFirstColumn="0" w:lastRowLastColumn="0"/>
            <w:tcW w:w="1885" w:type="dxa"/>
          </w:tcPr>
          <w:p w14:paraId="7F27B1BC" w14:textId="77777777" w:rsidR="00AE63F9" w:rsidRDefault="00000000">
            <w:pPr>
              <w:spacing w:after="0" w:line="360" w:lineRule="auto"/>
              <w:rPr>
                <w:rFonts w:eastAsia="Times New Roman" w:cstheme="minorHAnsi"/>
                <w:b w:val="0"/>
                <w:bCs w:val="0"/>
                <w:caps w:val="0"/>
                <w:color w:val="0F1115"/>
                <w:sz w:val="24"/>
                <w:szCs w:val="24"/>
              </w:rPr>
            </w:pPr>
            <w:r>
              <w:rPr>
                <w:rFonts w:eastAsia="Times New Roman" w:cstheme="minorHAnsi"/>
                <w:color w:val="0F1115"/>
                <w:sz w:val="24"/>
                <w:szCs w:val="24"/>
              </w:rPr>
              <w:t>Query Type</w:t>
            </w:r>
          </w:p>
        </w:tc>
        <w:tc>
          <w:tcPr>
            <w:tcW w:w="2973" w:type="dxa"/>
          </w:tcPr>
          <w:p w14:paraId="30DA83C4" w14:textId="77777777" w:rsidR="00AE63F9"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Pr>
                <w:rFonts w:eastAsia="Times New Roman" w:cstheme="minorHAnsi"/>
                <w:color w:val="0F1115"/>
                <w:sz w:val="24"/>
                <w:szCs w:val="24"/>
              </w:rPr>
              <w:t>Simple, fast, frequent reads and writes (e.g., "What is the status of Order #123?").</w:t>
            </w:r>
          </w:p>
        </w:tc>
        <w:tc>
          <w:tcPr>
            <w:tcW w:w="0" w:type="auto"/>
          </w:tcPr>
          <w:p w14:paraId="49FDC374" w14:textId="77777777" w:rsidR="00AE63F9" w:rsidRDefault="00000000">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F1115"/>
                <w:sz w:val="24"/>
                <w:szCs w:val="24"/>
              </w:rPr>
            </w:pPr>
            <w:r>
              <w:rPr>
                <w:rFonts w:eastAsia="Times New Roman" w:cstheme="minorHAnsi"/>
                <w:color w:val="0F1115"/>
                <w:sz w:val="24"/>
                <w:szCs w:val="24"/>
              </w:rPr>
              <w:t>Complex, long-running, read-only queries (e.g., "What is the profitability of 'Complete Set' rentals vs. 'Individual Items' over the last 3 years?").</w:t>
            </w:r>
          </w:p>
        </w:tc>
      </w:tr>
    </w:tbl>
    <w:p w14:paraId="61B486E1" w14:textId="77777777" w:rsidR="00AE63F9" w:rsidRDefault="00AE63F9">
      <w:pPr>
        <w:pStyle w:val="Heading3"/>
        <w:rPr>
          <w:rFonts w:eastAsia="Times New Roman"/>
        </w:rPr>
      </w:pPr>
    </w:p>
    <w:p w14:paraId="65A741C0" w14:textId="77777777" w:rsidR="00AE63F9" w:rsidRDefault="00000000">
      <w:pPr>
        <w:pStyle w:val="Heading3"/>
        <w:rPr>
          <w:color w:val="0F1115"/>
          <w:shd w:val="clear" w:color="auto" w:fill="FFFFFF"/>
        </w:rPr>
      </w:pPr>
      <w:r>
        <w:rPr>
          <w:rStyle w:val="Strong"/>
          <w:rFonts w:asciiTheme="minorHAnsi" w:hAnsiTheme="minorHAnsi" w:cstheme="minorHAnsi"/>
          <w:color w:val="0F1115"/>
          <w:shd w:val="clear" w:color="auto" w:fill="FFFFFF"/>
        </w:rPr>
        <w:t>The benefit for Rags'n'Riches</w:t>
      </w:r>
      <w:r>
        <w:rPr>
          <w:color w:val="0F1115"/>
          <w:shd w:val="clear" w:color="auto" w:fill="FFFFFF"/>
        </w:rPr>
        <w:t> </w:t>
      </w:r>
    </w:p>
    <w:p w14:paraId="5C923EB0" w14:textId="77777777" w:rsidR="00AE63F9" w:rsidRDefault="00AE63F9">
      <w:pPr>
        <w:spacing w:after="0" w:line="360" w:lineRule="auto"/>
        <w:rPr>
          <w:rFonts w:eastAsia="Times New Roman" w:cstheme="minorHAnsi"/>
          <w:sz w:val="24"/>
          <w:szCs w:val="24"/>
        </w:rPr>
      </w:pPr>
    </w:p>
    <w:p w14:paraId="717BBAE7" w14:textId="77777777" w:rsidR="00AE63F9" w:rsidRDefault="00000000">
      <w:pPr>
        <w:spacing w:after="0" w:line="360" w:lineRule="auto"/>
        <w:rPr>
          <w:rFonts w:eastAsia="Times New Roman" w:cstheme="minorHAnsi"/>
          <w:sz w:val="24"/>
          <w:szCs w:val="24"/>
        </w:rPr>
      </w:pPr>
      <w:r>
        <w:rPr>
          <w:rFonts w:eastAsia="Times New Roman" w:cstheme="minorHAnsi"/>
          <w:sz w:val="24"/>
          <w:szCs w:val="24"/>
        </w:rPr>
        <w:t>The advantage for Rags'n'Riches is significant. A DW will let you to go from inquiring "what occurred?" to "why did it transpire?" and "what actions should we undertake subsequently?". This will allow you to discern your most lucrative rental strategies, enhance warehouse specializations, and comprehend the actual cost-to-serve for various customer segments, ranging from little theaters to large film studios</w:t>
      </w:r>
    </w:p>
    <w:p w14:paraId="32BE2F5F" w14:textId="77777777" w:rsidR="00AE63F9" w:rsidRDefault="00000000">
      <w:pPr>
        <w:pStyle w:val="Heading2"/>
        <w:spacing w:line="360" w:lineRule="auto"/>
        <w:rPr>
          <w:rFonts w:asciiTheme="minorHAnsi" w:hAnsiTheme="minorHAnsi" w:cstheme="minorHAnsi"/>
          <w:sz w:val="24"/>
          <w:szCs w:val="24"/>
        </w:rPr>
      </w:pPr>
      <w:bookmarkStart w:id="3" w:name="_Toc213368055"/>
      <w:r>
        <w:rPr>
          <w:rStyle w:val="Strong"/>
          <w:rFonts w:asciiTheme="minorHAnsi" w:hAnsiTheme="minorHAnsi" w:cstheme="minorHAnsi"/>
          <w:b w:val="0"/>
          <w:bCs w:val="0"/>
          <w:sz w:val="24"/>
          <w:szCs w:val="24"/>
        </w:rPr>
        <w:t>3. Data Warehouse Architecture and ETL</w:t>
      </w:r>
      <w:bookmarkEnd w:id="3"/>
    </w:p>
    <w:p w14:paraId="452C284D" w14:textId="77777777" w:rsidR="00AE63F9" w:rsidRDefault="00000000">
      <w:pPr>
        <w:spacing w:after="0" w:line="360" w:lineRule="auto"/>
        <w:rPr>
          <w:rFonts w:eastAsia="Times New Roman" w:cstheme="minorHAnsi"/>
          <w:sz w:val="24"/>
          <w:szCs w:val="24"/>
        </w:rPr>
      </w:pPr>
      <w:r>
        <w:rPr>
          <w:rFonts w:eastAsia="Times New Roman" w:cstheme="minorHAnsi"/>
          <w:sz w:val="24"/>
          <w:szCs w:val="24"/>
        </w:rPr>
        <w:t xml:space="preserve">Comprehending the usefulness of a Data Warehouse necessitates an understanding of its design and the data ingestion process. The system is structured as an independent analytical environment that does not disrupt the daily operations of your key business processes. </w:t>
      </w:r>
      <w:r>
        <w:rPr>
          <w:rFonts w:eastAsia="Times New Roman" w:cstheme="minorHAnsi"/>
          <w:sz w:val="24"/>
          <w:szCs w:val="24"/>
        </w:rPr>
        <w:br/>
      </w:r>
      <w:r>
        <w:rPr>
          <w:rFonts w:eastAsia="Times New Roman" w:cstheme="minorHAnsi"/>
          <w:sz w:val="24"/>
          <w:szCs w:val="24"/>
        </w:rPr>
        <w:br/>
      </w:r>
      <w:r>
        <w:rPr>
          <w:rFonts w:eastAsia="Times New Roman" w:cstheme="minorHAnsi"/>
          <w:b/>
          <w:sz w:val="24"/>
          <w:szCs w:val="24"/>
        </w:rPr>
        <w:t>Components of Data Warehouse Architecture</w:t>
      </w:r>
      <w:r>
        <w:rPr>
          <w:rFonts w:eastAsia="Times New Roman" w:cstheme="minorHAnsi"/>
          <w:sz w:val="24"/>
          <w:szCs w:val="24"/>
        </w:rPr>
        <w:t xml:space="preserve"> </w:t>
      </w:r>
      <w:r>
        <w:rPr>
          <w:rFonts w:eastAsia="Times New Roman" w:cstheme="minorHAnsi"/>
          <w:sz w:val="24"/>
          <w:szCs w:val="24"/>
        </w:rPr>
        <w:br/>
        <w:t xml:space="preserve">A data warehouse design has many essential components that together convert raw </w:t>
      </w:r>
      <w:r>
        <w:rPr>
          <w:rFonts w:eastAsia="Times New Roman" w:cstheme="minorHAnsi"/>
          <w:sz w:val="24"/>
          <w:szCs w:val="24"/>
        </w:rPr>
        <w:lastRenderedPageBreak/>
        <w:t xml:space="preserve">operational data into strategic insights. </w:t>
      </w:r>
      <w:r>
        <w:rPr>
          <w:rFonts w:eastAsia="Times New Roman" w:cstheme="minorHAnsi"/>
          <w:sz w:val="24"/>
          <w:szCs w:val="24"/>
        </w:rPr>
        <w:br/>
      </w:r>
      <w:r>
        <w:rPr>
          <w:rFonts w:eastAsia="Times New Roman" w:cstheme="minorHAnsi"/>
          <w:sz w:val="24"/>
          <w:szCs w:val="24"/>
        </w:rPr>
        <w:br/>
      </w:r>
      <w:r>
        <w:rPr>
          <w:rFonts w:eastAsia="Times New Roman" w:cstheme="minorHAnsi"/>
          <w:b/>
          <w:sz w:val="24"/>
          <w:szCs w:val="24"/>
        </w:rPr>
        <w:t>Source Systems:</w:t>
      </w:r>
      <w:r>
        <w:rPr>
          <w:rFonts w:eastAsia="Times New Roman" w:cstheme="minorHAnsi"/>
          <w:sz w:val="24"/>
          <w:szCs w:val="24"/>
        </w:rPr>
        <w:t xml:space="preserve"> These comprise your current operating databases and external data streams, including the Orders Database, Transport Management System, Finance System, and Inventory records. They serve as the first reference. </w:t>
      </w:r>
      <w:r>
        <w:rPr>
          <w:rFonts w:eastAsia="Times New Roman" w:cstheme="minorHAnsi"/>
          <w:sz w:val="24"/>
          <w:szCs w:val="24"/>
        </w:rPr>
        <w:br/>
      </w:r>
      <w:r>
        <w:rPr>
          <w:rFonts w:eastAsia="Times New Roman" w:cstheme="minorHAnsi"/>
          <w:sz w:val="24"/>
          <w:szCs w:val="24"/>
        </w:rPr>
        <w:br/>
      </w:r>
      <w:r>
        <w:rPr>
          <w:rFonts w:eastAsia="Times New Roman" w:cstheme="minorHAnsi"/>
          <w:b/>
          <w:sz w:val="24"/>
          <w:szCs w:val="24"/>
        </w:rPr>
        <w:t>Staging Area:</w:t>
      </w:r>
      <w:r>
        <w:rPr>
          <w:rFonts w:eastAsia="Times New Roman" w:cstheme="minorHAnsi"/>
          <w:sz w:val="24"/>
          <w:szCs w:val="24"/>
        </w:rPr>
        <w:t xml:space="preserve"> This is a provisional storage location. Data is initially taken from the source systems and deposited here in its raw, unaltered state. The staging area serves as a buffer, separating the source systems from the ensuing transformation processes. </w:t>
      </w:r>
      <w:r>
        <w:rPr>
          <w:rFonts w:eastAsia="Times New Roman" w:cstheme="minorHAnsi"/>
          <w:sz w:val="24"/>
          <w:szCs w:val="24"/>
        </w:rPr>
        <w:br/>
      </w:r>
      <w:r>
        <w:rPr>
          <w:rFonts w:eastAsia="Times New Roman" w:cstheme="minorHAnsi"/>
          <w:sz w:val="24"/>
          <w:szCs w:val="24"/>
        </w:rPr>
        <w:br/>
      </w:r>
      <w:r>
        <w:rPr>
          <w:rFonts w:eastAsia="Times New Roman" w:cstheme="minorHAnsi"/>
          <w:b/>
          <w:sz w:val="24"/>
          <w:szCs w:val="24"/>
        </w:rPr>
        <w:t>Data Warehouse (DW):</w:t>
      </w:r>
      <w:r>
        <w:rPr>
          <w:rFonts w:eastAsia="Times New Roman" w:cstheme="minorHAnsi"/>
          <w:sz w:val="24"/>
          <w:szCs w:val="24"/>
        </w:rPr>
        <w:t xml:space="preserve"> This serves as the core, integrated repository. It contains both current and historical data that has been purified, standardized, and structured for analysis. Its architecture is optimized for querying rather than for transaction processing. </w:t>
      </w:r>
      <w:r>
        <w:rPr>
          <w:rFonts w:eastAsia="Times New Roman" w:cstheme="minorHAnsi"/>
          <w:sz w:val="24"/>
          <w:szCs w:val="24"/>
        </w:rPr>
        <w:br/>
      </w:r>
      <w:r>
        <w:rPr>
          <w:rFonts w:eastAsia="Times New Roman" w:cstheme="minorHAnsi"/>
          <w:sz w:val="24"/>
          <w:szCs w:val="24"/>
        </w:rPr>
        <w:br/>
      </w:r>
      <w:r>
        <w:rPr>
          <w:rFonts w:eastAsia="Times New Roman" w:cstheme="minorHAnsi"/>
          <w:b/>
          <w:sz w:val="24"/>
          <w:szCs w:val="24"/>
        </w:rPr>
        <w:t>Data Marts:</w:t>
      </w:r>
      <w:r>
        <w:rPr>
          <w:rFonts w:eastAsia="Times New Roman" w:cstheme="minorHAnsi"/>
          <w:sz w:val="24"/>
          <w:szCs w:val="24"/>
        </w:rPr>
        <w:t xml:space="preserve"> These are specialized databases derived from the data warehouse, customized to meet the distinct requirements of several departments, such Finance, Sales, or Executive Management. They offer a concentrated perspective on the facts.</w:t>
      </w:r>
    </w:p>
    <w:p w14:paraId="4A12F52D" w14:textId="77777777" w:rsidR="00AE63F9" w:rsidRDefault="00AE63F9">
      <w:pPr>
        <w:spacing w:after="0" w:line="360" w:lineRule="auto"/>
        <w:rPr>
          <w:rFonts w:eastAsia="Times New Roman" w:cstheme="minorHAnsi"/>
          <w:sz w:val="24"/>
          <w:szCs w:val="24"/>
        </w:rPr>
      </w:pPr>
    </w:p>
    <w:p w14:paraId="5454AC11" w14:textId="77777777" w:rsidR="00AE63F9" w:rsidRDefault="00AE63F9">
      <w:pPr>
        <w:spacing w:after="0" w:line="360" w:lineRule="auto"/>
        <w:rPr>
          <w:rFonts w:eastAsia="Times New Roman" w:cstheme="minorHAnsi"/>
          <w:sz w:val="24"/>
          <w:szCs w:val="24"/>
        </w:rPr>
      </w:pPr>
    </w:p>
    <w:p w14:paraId="4F59F785" w14:textId="77777777" w:rsidR="00AE63F9" w:rsidRDefault="00AE63F9">
      <w:pPr>
        <w:spacing w:after="0" w:line="360" w:lineRule="auto"/>
        <w:rPr>
          <w:rFonts w:eastAsia="Times New Roman" w:cstheme="minorHAnsi"/>
          <w:sz w:val="24"/>
          <w:szCs w:val="24"/>
        </w:rPr>
      </w:pPr>
    </w:p>
    <w:p w14:paraId="49798002" w14:textId="77777777" w:rsidR="00AE63F9" w:rsidRDefault="00AE63F9">
      <w:pPr>
        <w:spacing w:after="0" w:line="360" w:lineRule="auto"/>
        <w:rPr>
          <w:rFonts w:eastAsia="Times New Roman" w:cstheme="minorHAnsi"/>
          <w:sz w:val="24"/>
          <w:szCs w:val="24"/>
        </w:rPr>
      </w:pPr>
    </w:p>
    <w:p w14:paraId="5530ACA2" w14:textId="77777777" w:rsidR="00AE63F9" w:rsidRDefault="00AE63F9">
      <w:pPr>
        <w:spacing w:after="0" w:line="360" w:lineRule="auto"/>
        <w:rPr>
          <w:rFonts w:eastAsia="Times New Roman" w:cstheme="minorHAnsi"/>
          <w:sz w:val="24"/>
          <w:szCs w:val="24"/>
        </w:rPr>
      </w:pPr>
    </w:p>
    <w:p w14:paraId="475BAFDF" w14:textId="77777777" w:rsidR="00AE63F9" w:rsidRDefault="00AE63F9">
      <w:pPr>
        <w:spacing w:after="0" w:line="360" w:lineRule="auto"/>
        <w:rPr>
          <w:rFonts w:eastAsia="Times New Roman" w:cstheme="minorHAnsi"/>
          <w:sz w:val="24"/>
          <w:szCs w:val="24"/>
        </w:rPr>
      </w:pPr>
    </w:p>
    <w:p w14:paraId="2376E2DE" w14:textId="77777777" w:rsidR="00AE63F9" w:rsidRDefault="00AE63F9">
      <w:pPr>
        <w:spacing w:after="0" w:line="360" w:lineRule="auto"/>
        <w:rPr>
          <w:rFonts w:eastAsia="Times New Roman" w:cstheme="minorHAnsi"/>
          <w:sz w:val="24"/>
          <w:szCs w:val="24"/>
        </w:rPr>
      </w:pPr>
    </w:p>
    <w:p w14:paraId="22EA24DC" w14:textId="77777777" w:rsidR="00AE63F9" w:rsidRDefault="00AE63F9">
      <w:pPr>
        <w:spacing w:after="0" w:line="360" w:lineRule="auto"/>
        <w:rPr>
          <w:rFonts w:eastAsia="Times New Roman" w:cstheme="minorHAnsi"/>
          <w:sz w:val="24"/>
          <w:szCs w:val="24"/>
        </w:rPr>
      </w:pPr>
    </w:p>
    <w:p w14:paraId="0B94C6F8" w14:textId="77777777" w:rsidR="00AE63F9" w:rsidRDefault="00AE63F9">
      <w:pPr>
        <w:spacing w:after="0" w:line="360" w:lineRule="auto"/>
        <w:rPr>
          <w:rFonts w:eastAsia="Times New Roman" w:cstheme="minorHAnsi"/>
          <w:sz w:val="24"/>
          <w:szCs w:val="24"/>
        </w:rPr>
      </w:pPr>
    </w:p>
    <w:p w14:paraId="65A1D0AA" w14:textId="77777777" w:rsidR="00AE63F9" w:rsidRDefault="00AE63F9">
      <w:pPr>
        <w:spacing w:after="0" w:line="360" w:lineRule="auto"/>
        <w:rPr>
          <w:rFonts w:eastAsia="Times New Roman" w:cstheme="minorHAnsi"/>
          <w:sz w:val="24"/>
          <w:szCs w:val="24"/>
        </w:rPr>
      </w:pPr>
    </w:p>
    <w:p w14:paraId="0BCEE8EC" w14:textId="77777777" w:rsidR="00AE63F9" w:rsidRDefault="00AE63F9">
      <w:pPr>
        <w:spacing w:after="0" w:line="360" w:lineRule="auto"/>
        <w:rPr>
          <w:rFonts w:eastAsia="Times New Roman" w:cstheme="minorHAnsi"/>
          <w:sz w:val="24"/>
          <w:szCs w:val="24"/>
        </w:rPr>
      </w:pPr>
    </w:p>
    <w:p w14:paraId="1BCA4D13" w14:textId="77777777" w:rsidR="00AE63F9" w:rsidRDefault="00AE63F9">
      <w:pPr>
        <w:spacing w:after="0" w:line="360" w:lineRule="auto"/>
        <w:rPr>
          <w:rFonts w:eastAsia="Times New Roman" w:cstheme="minorHAnsi"/>
          <w:sz w:val="24"/>
          <w:szCs w:val="24"/>
        </w:rPr>
      </w:pPr>
    </w:p>
    <w:p w14:paraId="3AFB933E" w14:textId="77777777" w:rsidR="00AE63F9" w:rsidRDefault="00AE63F9">
      <w:pPr>
        <w:spacing w:after="0" w:line="360" w:lineRule="auto"/>
        <w:rPr>
          <w:rFonts w:eastAsia="Times New Roman" w:cstheme="minorHAnsi"/>
          <w:sz w:val="24"/>
          <w:szCs w:val="24"/>
        </w:rPr>
      </w:pPr>
    </w:p>
    <w:p w14:paraId="604C73FC" w14:textId="77777777" w:rsidR="00AE63F9" w:rsidRDefault="00000000">
      <w:pPr>
        <w:pStyle w:val="Heading4"/>
        <w:shd w:val="clear" w:color="auto" w:fill="FFFFFF"/>
        <w:spacing w:before="240" w:after="240" w:line="360" w:lineRule="auto"/>
        <w:rPr>
          <w:rFonts w:asciiTheme="minorHAnsi" w:hAnsiTheme="minorHAnsi" w:cstheme="minorHAnsi"/>
          <w:color w:val="0F1115"/>
          <w:sz w:val="24"/>
          <w:szCs w:val="24"/>
        </w:rPr>
      </w:pPr>
      <w:r>
        <w:rPr>
          <w:rStyle w:val="Strong"/>
          <w:rFonts w:asciiTheme="minorHAnsi" w:hAnsiTheme="minorHAnsi" w:cstheme="minorHAnsi"/>
          <w:bCs w:val="0"/>
          <w:color w:val="0F1115"/>
          <w:sz w:val="24"/>
          <w:szCs w:val="24"/>
        </w:rPr>
        <w:t>Architecture Diagram and Data Flow</w:t>
      </w:r>
    </w:p>
    <w:p w14:paraId="700A68CE" w14:textId="77777777" w:rsidR="00AE63F9" w:rsidRDefault="00000000">
      <w:pPr>
        <w:pStyle w:val="ds-markdown-paragraph"/>
        <w:shd w:val="clear" w:color="auto" w:fill="FFFFFF"/>
        <w:spacing w:before="240" w:beforeAutospacing="0" w:after="240" w:afterAutospacing="0" w:line="360" w:lineRule="auto"/>
        <w:rPr>
          <w:rFonts w:asciiTheme="minorHAnsi" w:hAnsiTheme="minorHAnsi" w:cstheme="minorHAnsi"/>
          <w:color w:val="0F1115"/>
        </w:rPr>
      </w:pPr>
      <w:r>
        <w:rPr>
          <w:rFonts w:asciiTheme="minorHAnsi" w:hAnsiTheme="minorHAnsi" w:cstheme="minorHAnsi"/>
          <w:color w:val="0F1115"/>
        </w:rPr>
        <w:t>The following diagram illustrates how data moves from your various sources, through the ETL process, and into the hands of decision-makers:</w:t>
      </w:r>
    </w:p>
    <w:p w14:paraId="5A639401" w14:textId="77777777" w:rsidR="00AE63F9" w:rsidRDefault="00AE63F9">
      <w:pPr>
        <w:spacing w:after="0" w:line="360" w:lineRule="auto"/>
        <w:rPr>
          <w:rFonts w:eastAsia="Times New Roman" w:cstheme="minorHAnsi"/>
          <w:sz w:val="24"/>
          <w:szCs w:val="24"/>
        </w:rPr>
      </w:pPr>
    </w:p>
    <w:p w14:paraId="3931DD3B" w14:textId="77777777" w:rsidR="00AE63F9" w:rsidRDefault="00000000">
      <w:pPr>
        <w:spacing w:after="0" w:line="360" w:lineRule="auto"/>
        <w:jc w:val="center"/>
        <w:rPr>
          <w:rStyle w:val="Strong"/>
          <w:rFonts w:cstheme="minorHAnsi"/>
          <w:color w:val="0F1115"/>
          <w:sz w:val="24"/>
          <w:szCs w:val="24"/>
          <w:shd w:val="clear" w:color="auto" w:fill="FFFFFF"/>
        </w:rPr>
      </w:pPr>
      <w:r>
        <w:rPr>
          <w:rFonts w:cstheme="minorHAnsi"/>
          <w:noProof/>
          <w:sz w:val="24"/>
          <w:szCs w:val="24"/>
        </w:rPr>
        <w:drawing>
          <wp:inline distT="0" distB="0" distL="0" distR="0" wp14:anchorId="1CDB77F1" wp14:editId="2A9527FA">
            <wp:extent cx="4800600" cy="3857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stretch>
                      <a:fillRect/>
                    </a:stretch>
                  </pic:blipFill>
                  <pic:spPr>
                    <a:xfrm>
                      <a:off x="0" y="0"/>
                      <a:ext cx="4800600" cy="3857625"/>
                    </a:xfrm>
                    <a:prstGeom prst="rect">
                      <a:avLst/>
                    </a:prstGeom>
                  </pic:spPr>
                </pic:pic>
              </a:graphicData>
            </a:graphic>
          </wp:inline>
        </w:drawing>
      </w:r>
    </w:p>
    <w:p w14:paraId="4900E55E" w14:textId="77777777" w:rsidR="00AE63F9" w:rsidRDefault="00000000">
      <w:pPr>
        <w:spacing w:after="0" w:line="360" w:lineRule="auto"/>
        <w:rPr>
          <w:rFonts w:eastAsia="Times New Roman" w:cstheme="minorHAnsi"/>
          <w:b/>
          <w:sz w:val="24"/>
          <w:szCs w:val="24"/>
        </w:rPr>
      </w:pPr>
      <w:r>
        <w:rPr>
          <w:rFonts w:eastAsia="Times New Roman" w:cstheme="minorHAnsi"/>
          <w:b/>
          <w:sz w:val="24"/>
          <w:szCs w:val="24"/>
        </w:rPr>
        <w:t xml:space="preserve">Filling the Warehouse from Internal and External Sources </w:t>
      </w:r>
    </w:p>
    <w:p w14:paraId="426C252F" w14:textId="77777777" w:rsidR="00AE63F9" w:rsidRDefault="00000000">
      <w:pPr>
        <w:spacing w:after="0" w:line="360" w:lineRule="auto"/>
        <w:rPr>
          <w:rFonts w:eastAsia="Times New Roman" w:cstheme="minorHAnsi"/>
          <w:sz w:val="24"/>
          <w:szCs w:val="24"/>
        </w:rPr>
      </w:pPr>
      <w:r>
        <w:rPr>
          <w:rFonts w:eastAsia="Times New Roman" w:cstheme="minorHAnsi"/>
          <w:sz w:val="24"/>
          <w:szCs w:val="24"/>
        </w:rPr>
        <w:br/>
        <w:t xml:space="preserve">The data warehouse is filled by extracting data from all pertinent internal and external sources: </w:t>
      </w:r>
      <w:r>
        <w:rPr>
          <w:rFonts w:eastAsia="Times New Roman" w:cstheme="minorHAnsi"/>
          <w:sz w:val="24"/>
          <w:szCs w:val="24"/>
        </w:rPr>
        <w:br/>
      </w:r>
      <w:r>
        <w:rPr>
          <w:rFonts w:eastAsia="Times New Roman" w:cstheme="minorHAnsi"/>
          <w:sz w:val="24"/>
          <w:szCs w:val="24"/>
        </w:rPr>
        <w:br/>
      </w:r>
      <w:r>
        <w:rPr>
          <w:rFonts w:eastAsia="Times New Roman" w:cstheme="minorHAnsi"/>
          <w:b/>
          <w:sz w:val="24"/>
          <w:szCs w:val="24"/>
        </w:rPr>
        <w:t>Internal sources are the foundation of the storehouse.</w:t>
      </w:r>
      <w:r>
        <w:rPr>
          <w:rFonts w:eastAsia="Times New Roman" w:cstheme="minorHAnsi"/>
          <w:sz w:val="24"/>
          <w:szCs w:val="24"/>
        </w:rPr>
        <w:t xml:space="preserve"> </w:t>
      </w:r>
      <w:r>
        <w:rPr>
          <w:rFonts w:eastAsia="Times New Roman" w:cstheme="minorHAnsi"/>
          <w:sz w:val="24"/>
          <w:szCs w:val="24"/>
        </w:rPr>
        <w:br/>
      </w:r>
      <w:r>
        <w:rPr>
          <w:rFonts w:eastAsia="Times New Roman" w:cstheme="minorHAnsi"/>
          <w:sz w:val="24"/>
          <w:szCs w:val="24"/>
        </w:rPr>
        <w:br/>
        <w:t xml:space="preserve">Orders Database: Supplies the "what" - rental products, clients, dates, and plans. </w:t>
      </w:r>
      <w:r>
        <w:rPr>
          <w:rFonts w:eastAsia="Times New Roman" w:cstheme="minorHAnsi"/>
          <w:sz w:val="24"/>
          <w:szCs w:val="24"/>
        </w:rPr>
        <w:br/>
      </w:r>
      <w:r>
        <w:rPr>
          <w:rFonts w:eastAsia="Times New Roman" w:cstheme="minorHAnsi"/>
          <w:sz w:val="24"/>
          <w:szCs w:val="24"/>
        </w:rPr>
        <w:br/>
      </w:r>
      <w:r>
        <w:rPr>
          <w:rFonts w:eastAsia="Times New Roman" w:cstheme="minorHAnsi"/>
          <w:b/>
          <w:sz w:val="24"/>
          <w:szCs w:val="24"/>
        </w:rPr>
        <w:lastRenderedPageBreak/>
        <w:t>Transport Database:</w:t>
      </w:r>
      <w:r>
        <w:rPr>
          <w:rFonts w:eastAsia="Times New Roman" w:cstheme="minorHAnsi"/>
          <w:sz w:val="24"/>
          <w:szCs w:val="24"/>
        </w:rPr>
        <w:t xml:space="preserve"> Offers insights into delivery expenses, distances, inventory transit durations, and fuel card information. </w:t>
      </w:r>
      <w:r>
        <w:rPr>
          <w:rFonts w:eastAsia="Times New Roman" w:cstheme="minorHAnsi"/>
          <w:sz w:val="24"/>
          <w:szCs w:val="24"/>
        </w:rPr>
        <w:br/>
      </w:r>
      <w:r>
        <w:rPr>
          <w:rFonts w:eastAsia="Times New Roman" w:cstheme="minorHAnsi"/>
          <w:sz w:val="24"/>
          <w:szCs w:val="24"/>
        </w:rPr>
        <w:br/>
      </w:r>
      <w:r>
        <w:rPr>
          <w:rFonts w:eastAsia="Times New Roman" w:cstheme="minorHAnsi"/>
          <w:b/>
          <w:sz w:val="24"/>
          <w:szCs w:val="24"/>
        </w:rPr>
        <w:t>Finance System:</w:t>
      </w:r>
      <w:r>
        <w:rPr>
          <w:rFonts w:eastAsia="Times New Roman" w:cstheme="minorHAnsi"/>
          <w:sz w:val="24"/>
          <w:szCs w:val="24"/>
        </w:rPr>
        <w:t xml:space="preserve"> Delivers the "outcome" — invoices, payments, write-offs, and profitability metrics. </w:t>
      </w:r>
      <w:r>
        <w:rPr>
          <w:rFonts w:eastAsia="Times New Roman" w:cstheme="minorHAnsi"/>
          <w:sz w:val="24"/>
          <w:szCs w:val="24"/>
        </w:rPr>
        <w:br/>
      </w:r>
      <w:r>
        <w:rPr>
          <w:rFonts w:eastAsia="Times New Roman" w:cstheme="minorHAnsi"/>
          <w:sz w:val="24"/>
          <w:szCs w:val="24"/>
        </w:rPr>
        <w:br/>
      </w:r>
      <w:r>
        <w:rPr>
          <w:rFonts w:eastAsia="Times New Roman" w:cstheme="minorHAnsi"/>
          <w:b/>
          <w:sz w:val="24"/>
          <w:szCs w:val="24"/>
        </w:rPr>
        <w:t>Inventory System:</w:t>
      </w:r>
      <w:r>
        <w:rPr>
          <w:rFonts w:eastAsia="Times New Roman" w:cstheme="minorHAnsi"/>
          <w:sz w:val="24"/>
          <w:szCs w:val="24"/>
        </w:rPr>
        <w:t xml:space="preserve"> Supplies the "assets" — master data for each prop and outfit. </w:t>
      </w:r>
      <w:r>
        <w:rPr>
          <w:rFonts w:eastAsia="Times New Roman" w:cstheme="minorHAnsi"/>
          <w:sz w:val="24"/>
          <w:szCs w:val="24"/>
        </w:rPr>
        <w:br/>
      </w:r>
      <w:r>
        <w:rPr>
          <w:rFonts w:eastAsia="Times New Roman" w:cstheme="minorHAnsi"/>
          <w:sz w:val="24"/>
          <w:szCs w:val="24"/>
        </w:rPr>
        <w:br/>
      </w:r>
      <w:r>
        <w:rPr>
          <w:rFonts w:eastAsia="Times New Roman" w:cstheme="minorHAnsi"/>
          <w:b/>
          <w:sz w:val="24"/>
          <w:szCs w:val="24"/>
        </w:rPr>
        <w:t>External Sources:</w:t>
      </w:r>
      <w:r>
        <w:rPr>
          <w:rFonts w:eastAsia="Times New Roman" w:cstheme="minorHAnsi"/>
          <w:sz w:val="24"/>
          <w:szCs w:val="24"/>
        </w:rPr>
        <w:t xml:space="preserve"> These offer significant context. </w:t>
      </w:r>
      <w:r>
        <w:rPr>
          <w:rFonts w:eastAsia="Times New Roman" w:cstheme="minorHAnsi"/>
          <w:sz w:val="24"/>
          <w:szCs w:val="24"/>
        </w:rPr>
        <w:br/>
      </w:r>
      <w:r>
        <w:rPr>
          <w:rFonts w:eastAsia="Times New Roman" w:cstheme="minorHAnsi"/>
          <w:sz w:val="24"/>
          <w:szCs w:val="24"/>
        </w:rPr>
        <w:br/>
      </w:r>
      <w:r>
        <w:rPr>
          <w:rFonts w:eastAsia="Times New Roman" w:cstheme="minorHAnsi"/>
          <w:b/>
          <w:sz w:val="24"/>
          <w:szCs w:val="24"/>
        </w:rPr>
        <w:t>Fuel Card Provider Data:</w:t>
      </w:r>
      <w:r>
        <w:rPr>
          <w:rFonts w:eastAsia="Times New Roman" w:cstheme="minorHAnsi"/>
          <w:sz w:val="24"/>
          <w:szCs w:val="24"/>
        </w:rPr>
        <w:t xml:space="preserve"> Utilized to authenticate and enhance the internal transportation cost data. </w:t>
      </w:r>
      <w:r>
        <w:rPr>
          <w:rFonts w:eastAsia="Times New Roman" w:cstheme="minorHAnsi"/>
          <w:sz w:val="24"/>
          <w:szCs w:val="24"/>
        </w:rPr>
        <w:br/>
      </w:r>
      <w:r>
        <w:rPr>
          <w:rFonts w:eastAsia="Times New Roman" w:cstheme="minorHAnsi"/>
          <w:sz w:val="24"/>
          <w:szCs w:val="24"/>
        </w:rPr>
        <w:br/>
        <w:t>During the ETL process, various diverse data sources are consolidated. A comprehensive overview of a "completed rental" in the warehouse would amalgamate the order specifics, transportation expenses from the logistics system, and the conclusive payment status from the financial system.</w:t>
      </w:r>
    </w:p>
    <w:p w14:paraId="49DB5457" w14:textId="77777777" w:rsidR="00AE63F9" w:rsidRDefault="00AE63F9">
      <w:pPr>
        <w:spacing w:after="0" w:line="360" w:lineRule="auto"/>
        <w:rPr>
          <w:rStyle w:val="Strong"/>
          <w:rFonts w:cstheme="minorHAnsi"/>
          <w:color w:val="0F1115"/>
          <w:sz w:val="24"/>
          <w:szCs w:val="24"/>
          <w:shd w:val="clear" w:color="auto" w:fill="FFFFFF"/>
        </w:rPr>
      </w:pPr>
    </w:p>
    <w:p w14:paraId="7E3F6664" w14:textId="77777777" w:rsidR="00AE63F9" w:rsidRDefault="00000000">
      <w:pPr>
        <w:pStyle w:val="Heading4"/>
        <w:shd w:val="clear" w:color="auto" w:fill="FFFFFF"/>
        <w:spacing w:before="240" w:after="240" w:line="360" w:lineRule="auto"/>
        <w:rPr>
          <w:rFonts w:asciiTheme="minorHAnsi" w:hAnsiTheme="minorHAnsi" w:cstheme="minorHAnsi"/>
          <w:color w:val="0F1115"/>
          <w:sz w:val="24"/>
          <w:szCs w:val="24"/>
        </w:rPr>
      </w:pPr>
      <w:r>
        <w:rPr>
          <w:rStyle w:val="Strong"/>
          <w:rFonts w:asciiTheme="minorHAnsi" w:hAnsiTheme="minorHAnsi" w:cstheme="minorHAnsi"/>
          <w:bCs w:val="0"/>
          <w:color w:val="0F1115"/>
          <w:sz w:val="24"/>
          <w:szCs w:val="24"/>
        </w:rPr>
        <w:t>Explaining ETL in Simple Terms</w:t>
      </w:r>
    </w:p>
    <w:p w14:paraId="614813E5" w14:textId="77777777" w:rsidR="00AE63F9" w:rsidRDefault="00000000">
      <w:pPr>
        <w:pStyle w:val="ds-markdown-paragraph"/>
        <w:shd w:val="clear" w:color="auto" w:fill="FFFFFF"/>
        <w:spacing w:before="240" w:beforeAutospacing="0" w:after="240" w:afterAutospacing="0" w:line="360" w:lineRule="auto"/>
        <w:rPr>
          <w:rFonts w:asciiTheme="minorHAnsi" w:hAnsiTheme="minorHAnsi" w:cstheme="minorHAnsi"/>
          <w:color w:val="0F1115"/>
        </w:rPr>
      </w:pPr>
      <w:r>
        <w:rPr>
          <w:rFonts w:asciiTheme="minorHAnsi" w:hAnsiTheme="minorHAnsi" w:cstheme="minorHAnsi"/>
          <w:color w:val="0F1115"/>
        </w:rPr>
        <w:t>ETL is the automated process that takes data from your source systems and prepares it for the data warehouse. It can be thought of as a highly organised kitchen workflow:</w:t>
      </w:r>
    </w:p>
    <w:p w14:paraId="253024EA" w14:textId="77777777" w:rsidR="00AE63F9" w:rsidRDefault="00000000">
      <w:pPr>
        <w:spacing w:line="360" w:lineRule="auto"/>
        <w:rPr>
          <w:rFonts w:eastAsia="Times New Roman" w:cstheme="minorHAnsi"/>
          <w:sz w:val="24"/>
          <w:szCs w:val="24"/>
        </w:rPr>
      </w:pPr>
      <w:r>
        <w:rPr>
          <w:rStyle w:val="Strong"/>
          <w:rFonts w:cstheme="minorHAnsi"/>
          <w:color w:val="0F1115"/>
          <w:sz w:val="24"/>
          <w:szCs w:val="24"/>
        </w:rPr>
        <w:t>Extract (Collect the Ingredients):</w:t>
      </w:r>
      <w:r>
        <w:rPr>
          <w:rFonts w:cstheme="minorHAnsi"/>
          <w:color w:val="0F1115"/>
          <w:sz w:val="24"/>
          <w:szCs w:val="24"/>
        </w:rPr>
        <w:t> </w:t>
      </w:r>
      <w:r>
        <w:rPr>
          <w:rFonts w:eastAsia="Times New Roman" w:cstheme="minorHAnsi"/>
          <w:sz w:val="24"/>
          <w:szCs w:val="24"/>
        </w:rPr>
        <w:t>This is the initial phase in which data is extracted from your many source systems. Similar to a chef procuring ingredients from many vendors, the ETL process aggregates data from the Orders, Transport, and Finance systems. The original data is preserved in the source systems.</w:t>
      </w:r>
    </w:p>
    <w:p w14:paraId="4304EDFD" w14:textId="77777777" w:rsidR="00AE63F9" w:rsidRDefault="00000000">
      <w:pPr>
        <w:pStyle w:val="Heading4"/>
        <w:shd w:val="clear" w:color="auto" w:fill="FFFFFF"/>
        <w:spacing w:before="240" w:after="240" w:line="360" w:lineRule="auto"/>
        <w:rPr>
          <w:rFonts w:asciiTheme="minorHAnsi" w:hAnsiTheme="minorHAnsi" w:cstheme="minorHAnsi"/>
          <w:color w:val="0F1115"/>
          <w:sz w:val="24"/>
          <w:szCs w:val="24"/>
        </w:rPr>
      </w:pPr>
      <w:r>
        <w:rPr>
          <w:rStyle w:val="Strong"/>
          <w:rFonts w:asciiTheme="minorHAnsi" w:hAnsiTheme="minorHAnsi" w:cstheme="minorHAnsi"/>
          <w:bCs w:val="0"/>
          <w:color w:val="0F1115"/>
          <w:sz w:val="24"/>
          <w:szCs w:val="24"/>
        </w:rPr>
        <w:lastRenderedPageBreak/>
        <w:t>Explaining ETL in Simple Terms</w:t>
      </w:r>
    </w:p>
    <w:p w14:paraId="2F2AD99B" w14:textId="77777777" w:rsidR="00AE63F9" w:rsidRDefault="00000000">
      <w:pPr>
        <w:pStyle w:val="ds-markdown-paragraph"/>
        <w:shd w:val="clear" w:color="auto" w:fill="FFFFFF"/>
        <w:spacing w:before="240" w:beforeAutospacing="0" w:after="240" w:afterAutospacing="0" w:line="360" w:lineRule="auto"/>
        <w:rPr>
          <w:rFonts w:asciiTheme="minorHAnsi" w:hAnsiTheme="minorHAnsi" w:cstheme="minorHAnsi"/>
          <w:color w:val="0F1115"/>
        </w:rPr>
      </w:pPr>
      <w:r>
        <w:rPr>
          <w:rFonts w:asciiTheme="minorHAnsi" w:hAnsiTheme="minorHAnsi" w:cstheme="minorHAnsi"/>
          <w:color w:val="0F1115"/>
        </w:rPr>
        <w:t>ETL is the automated process that takes data from your source systems and prepares it for the data warehouse. It can be thought of as a highly organised kitchen workflow:</w:t>
      </w:r>
    </w:p>
    <w:p w14:paraId="19EAC8DB" w14:textId="77777777" w:rsidR="00AE63F9" w:rsidRDefault="00000000">
      <w:pPr>
        <w:pStyle w:val="ds-markdown-paragraph"/>
        <w:numPr>
          <w:ilvl w:val="0"/>
          <w:numId w:val="1"/>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Extract (Collect the Ingredients):</w:t>
      </w:r>
      <w:r>
        <w:rPr>
          <w:rFonts w:asciiTheme="minorHAnsi" w:hAnsiTheme="minorHAnsi" w:cstheme="minorHAnsi"/>
          <w:color w:val="0F1115"/>
        </w:rPr>
        <w:t> This is the first step where data is </w:t>
      </w:r>
      <w:r>
        <w:rPr>
          <w:rStyle w:val="Emphasis"/>
          <w:rFonts w:asciiTheme="minorHAnsi" w:eastAsiaTheme="majorEastAsia" w:hAnsiTheme="minorHAnsi" w:cstheme="minorHAnsi"/>
          <w:color w:val="0F1115"/>
        </w:rPr>
        <w:t>copied</w:t>
      </w:r>
      <w:r>
        <w:rPr>
          <w:rFonts w:asciiTheme="minorHAnsi" w:hAnsiTheme="minorHAnsi" w:cstheme="minorHAnsi"/>
          <w:color w:val="0F1115"/>
        </w:rPr>
        <w:t> from your various source systems. Just as a chef gathers ingredients from different suppliers, the ETL process collects data from the Orders, Transport, and Finance systems. The original data remains untouched in the source systems.</w:t>
      </w:r>
    </w:p>
    <w:p w14:paraId="5F284037" w14:textId="77777777" w:rsidR="00AE63F9" w:rsidRDefault="00000000">
      <w:pPr>
        <w:pStyle w:val="ds-markdown-paragraph"/>
        <w:numPr>
          <w:ilvl w:val="0"/>
          <w:numId w:val="1"/>
        </w:numPr>
        <w:shd w:val="clear" w:color="auto" w:fill="FFFFFF"/>
        <w:spacing w:after="12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Transform (Wash, Chop, and Prepare):</w:t>
      </w:r>
      <w:r>
        <w:rPr>
          <w:rFonts w:asciiTheme="minorHAnsi" w:hAnsiTheme="minorHAnsi" w:cstheme="minorHAnsi"/>
          <w:color w:val="0F1115"/>
        </w:rPr>
        <w:t> This is the most critical phase. Here, the raw data is cleaned and prepared. For Rags'n'Riches, this means:</w:t>
      </w:r>
    </w:p>
    <w:p w14:paraId="263462D6" w14:textId="77777777" w:rsidR="00AE63F9" w:rsidRDefault="00000000">
      <w:pPr>
        <w:pStyle w:val="ds-markdown-paragraph"/>
        <w:numPr>
          <w:ilvl w:val="1"/>
          <w:numId w:val="1"/>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Cleansing:</w:t>
      </w:r>
      <w:r>
        <w:rPr>
          <w:rFonts w:asciiTheme="minorHAnsi" w:hAnsiTheme="minorHAnsi" w:cstheme="minorHAnsi"/>
          <w:color w:val="0F1115"/>
        </w:rPr>
        <w:t> Standardising customer names and postcodes.</w:t>
      </w:r>
    </w:p>
    <w:p w14:paraId="42C071F3" w14:textId="77777777" w:rsidR="00AE63F9" w:rsidRDefault="00000000">
      <w:pPr>
        <w:pStyle w:val="ds-markdown-paragraph"/>
        <w:numPr>
          <w:ilvl w:val="1"/>
          <w:numId w:val="1"/>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Integration:</w:t>
      </w:r>
      <w:r>
        <w:rPr>
          <w:rFonts w:asciiTheme="minorHAnsi" w:hAnsiTheme="minorHAnsi" w:cstheme="minorHAnsi"/>
          <w:color w:val="0F1115"/>
        </w:rPr>
        <w:t> Matching product IDs from different warehouse systems into a single master list.</w:t>
      </w:r>
    </w:p>
    <w:p w14:paraId="6BE058AF" w14:textId="77777777" w:rsidR="00AE63F9" w:rsidRDefault="00000000">
      <w:pPr>
        <w:pStyle w:val="ds-markdown-paragraph"/>
        <w:numPr>
          <w:ilvl w:val="1"/>
          <w:numId w:val="1"/>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Calculation:</w:t>
      </w:r>
      <w:r>
        <w:rPr>
          <w:rFonts w:asciiTheme="minorHAnsi" w:hAnsiTheme="minorHAnsi" w:cstheme="minorHAnsi"/>
          <w:color w:val="0F1115"/>
        </w:rPr>
        <w:t> Deriving new values, like applying the 10% discount for set rentals or calculating profit.</w:t>
      </w:r>
    </w:p>
    <w:p w14:paraId="18B71083" w14:textId="77777777" w:rsidR="00AE63F9" w:rsidRDefault="00000000">
      <w:pPr>
        <w:pStyle w:val="ds-markdown-paragraph"/>
        <w:numPr>
          <w:ilvl w:val="1"/>
          <w:numId w:val="1"/>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Business Rules:</w:t>
      </w:r>
      <w:r>
        <w:rPr>
          <w:rFonts w:asciiTheme="minorHAnsi" w:hAnsiTheme="minorHAnsi" w:cstheme="minorHAnsi"/>
          <w:color w:val="0F1115"/>
        </w:rPr>
        <w:t> Handling specific cases like the 15% emergency surcharge consistently.</w:t>
      </w:r>
    </w:p>
    <w:p w14:paraId="42012A76" w14:textId="77777777" w:rsidR="00AE63F9" w:rsidRDefault="00000000">
      <w:pPr>
        <w:pStyle w:val="ds-markdown-paragraph"/>
        <w:numPr>
          <w:ilvl w:val="0"/>
          <w:numId w:val="1"/>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Load (Plate and Serve the Meal):</w:t>
      </w:r>
      <w:r>
        <w:rPr>
          <w:rFonts w:asciiTheme="minorHAnsi" w:hAnsiTheme="minorHAnsi" w:cstheme="minorHAnsi"/>
          <w:color w:val="0F1115"/>
        </w:rPr>
        <w:t> The final, transformed, high-quality data is loaded into the target tables in the data warehouse, ready to be "consumed" by reports, dashboards, and data marts.</w:t>
      </w:r>
    </w:p>
    <w:p w14:paraId="41C6C589" w14:textId="77777777" w:rsidR="00AE63F9" w:rsidRDefault="00AE63F9">
      <w:pPr>
        <w:spacing w:after="0" w:line="360" w:lineRule="auto"/>
        <w:rPr>
          <w:rStyle w:val="Strong"/>
          <w:rFonts w:cstheme="minorHAnsi"/>
          <w:color w:val="0F1115"/>
          <w:sz w:val="24"/>
          <w:szCs w:val="24"/>
          <w:shd w:val="clear" w:color="auto" w:fill="FFFFFF"/>
        </w:rPr>
      </w:pPr>
    </w:p>
    <w:p w14:paraId="0194FC5A" w14:textId="77777777" w:rsidR="00AE63F9" w:rsidRDefault="00000000">
      <w:pPr>
        <w:pStyle w:val="Heading4"/>
        <w:shd w:val="clear" w:color="auto" w:fill="FFFFFF"/>
        <w:spacing w:before="240" w:after="240" w:line="360" w:lineRule="auto"/>
        <w:rPr>
          <w:rFonts w:asciiTheme="minorHAnsi" w:hAnsiTheme="minorHAnsi" w:cstheme="minorHAnsi"/>
          <w:color w:val="0F1115"/>
          <w:sz w:val="24"/>
          <w:szCs w:val="24"/>
        </w:rPr>
      </w:pPr>
      <w:r>
        <w:rPr>
          <w:rStyle w:val="Strong"/>
          <w:rFonts w:asciiTheme="minorHAnsi" w:hAnsiTheme="minorHAnsi" w:cstheme="minorHAnsi"/>
          <w:bCs w:val="0"/>
          <w:color w:val="0F1115"/>
          <w:sz w:val="24"/>
          <w:szCs w:val="24"/>
        </w:rPr>
        <w:t>Assurance: ETL Does Not Interrupt Daily Operations</w:t>
      </w:r>
    </w:p>
    <w:p w14:paraId="4BA1CB88" w14:textId="77777777" w:rsidR="00AE63F9" w:rsidRDefault="00000000">
      <w:pPr>
        <w:pStyle w:val="ds-markdown-paragraph"/>
        <w:shd w:val="clear" w:color="auto" w:fill="FFFFFF"/>
        <w:spacing w:before="240" w:beforeAutospacing="0" w:after="240" w:afterAutospacing="0" w:line="360" w:lineRule="auto"/>
        <w:rPr>
          <w:rFonts w:asciiTheme="minorHAnsi" w:hAnsiTheme="minorHAnsi" w:cstheme="minorHAnsi"/>
          <w:color w:val="0F1115"/>
        </w:rPr>
      </w:pPr>
      <w:r>
        <w:rPr>
          <w:rFonts w:asciiTheme="minorHAnsi" w:hAnsiTheme="minorHAnsi" w:cstheme="minorHAnsi"/>
          <w:color w:val="0F1115"/>
        </w:rPr>
        <w:t>It is a common and understandable concern that this process might slow down your vital operational systems. I can assure you that the architecture is specifically designed to prevent this.</w:t>
      </w:r>
    </w:p>
    <w:p w14:paraId="1909FB26" w14:textId="77777777" w:rsidR="00AE63F9" w:rsidRDefault="00000000">
      <w:pPr>
        <w:pStyle w:val="ds-markdown-paragraph"/>
        <w:numPr>
          <w:ilvl w:val="0"/>
          <w:numId w:val="2"/>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The Extract phase is a read-only copy,</w:t>
      </w:r>
      <w:r>
        <w:rPr>
          <w:rFonts w:asciiTheme="minorHAnsi" w:hAnsiTheme="minorHAnsi" w:cstheme="minorHAnsi"/>
          <w:color w:val="0F1115"/>
        </w:rPr>
        <w:t> typically scheduled during off-peak hours (e.g., overnight). It places a minimal, temporary load on the source systems, similar to running a standard report.</w:t>
      </w:r>
    </w:p>
    <w:p w14:paraId="2EF49E79" w14:textId="77777777" w:rsidR="00AE63F9" w:rsidRDefault="00000000">
      <w:pPr>
        <w:pStyle w:val="ds-markdown-paragraph"/>
        <w:numPr>
          <w:ilvl w:val="0"/>
          <w:numId w:val="2"/>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lastRenderedPageBreak/>
        <w:t>The Staging Area acts as an isolation chamber.</w:t>
      </w:r>
      <w:r>
        <w:rPr>
          <w:rFonts w:asciiTheme="minorHAnsi" w:hAnsiTheme="minorHAnsi" w:cstheme="minorHAnsi"/>
          <w:color w:val="0F1115"/>
        </w:rPr>
        <w:t> Once the raw data is copied, all the intensive processing work of the Transform phase happens in this separate area. Your live Orders and Transport databases are completely unaffected by this heavy lifting.</w:t>
      </w:r>
    </w:p>
    <w:p w14:paraId="79704E3D" w14:textId="77777777" w:rsidR="00AE63F9" w:rsidRDefault="00000000">
      <w:pPr>
        <w:pStyle w:val="ds-markdown-paragraph"/>
        <w:numPr>
          <w:ilvl w:val="0"/>
          <w:numId w:val="2"/>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The Load phase only interacts with the Data Warehouse,</w:t>
      </w:r>
      <w:r>
        <w:rPr>
          <w:rFonts w:asciiTheme="minorHAnsi" w:hAnsiTheme="minorHAnsi" w:cstheme="minorHAnsi"/>
          <w:color w:val="0F1115"/>
        </w:rPr>
        <w:t> not the source systems.</w:t>
      </w:r>
    </w:p>
    <w:p w14:paraId="64766289" w14:textId="77777777" w:rsidR="00AE63F9" w:rsidRDefault="00000000">
      <w:pPr>
        <w:pStyle w:val="ds-markdown-paragraph"/>
        <w:shd w:val="clear" w:color="auto" w:fill="FFFFFF"/>
        <w:spacing w:before="240" w:beforeAutospacing="0" w:line="360" w:lineRule="auto"/>
        <w:rPr>
          <w:rFonts w:asciiTheme="minorHAnsi" w:hAnsiTheme="minorHAnsi" w:cstheme="minorHAnsi"/>
          <w:color w:val="0F1115"/>
        </w:rPr>
      </w:pPr>
      <w:r>
        <w:rPr>
          <w:rFonts w:asciiTheme="minorHAnsi" w:hAnsiTheme="minorHAnsi" w:cstheme="minorHAnsi"/>
          <w:color w:val="0F1115"/>
        </w:rPr>
        <w:t>In essence, the ETL process is a background operation that works on a </w:t>
      </w:r>
      <w:r>
        <w:rPr>
          <w:rStyle w:val="Emphasis"/>
          <w:rFonts w:asciiTheme="minorHAnsi" w:hAnsiTheme="minorHAnsi" w:cstheme="minorHAnsi"/>
          <w:color w:val="0F1115"/>
        </w:rPr>
        <w:t>copy</w:t>
      </w:r>
      <w:r>
        <w:rPr>
          <w:rFonts w:asciiTheme="minorHAnsi" w:hAnsiTheme="minorHAnsi" w:cstheme="minorHAnsi"/>
          <w:color w:val="0F1115"/>
        </w:rPr>
        <w:t> of your data. Your staff will be able to enter orders, schedule deliveries, and manage inventory in your existing OLTP systems without any perceived performance impact, while simultaneously building a powerful resource for strategic analysis.</w:t>
      </w:r>
    </w:p>
    <w:p w14:paraId="2CAEFCA9" w14:textId="77777777" w:rsidR="00AE63F9" w:rsidRDefault="00000000">
      <w:pPr>
        <w:pStyle w:val="Heading3"/>
        <w:shd w:val="clear" w:color="auto" w:fill="FFFFFF"/>
        <w:spacing w:before="480" w:after="240" w:line="360" w:lineRule="auto"/>
        <w:rPr>
          <w:rFonts w:asciiTheme="minorHAnsi" w:hAnsiTheme="minorHAnsi" w:cstheme="minorHAnsi"/>
          <w:color w:val="0F1115"/>
        </w:rPr>
      </w:pPr>
      <w:bookmarkStart w:id="4" w:name="_Toc213368056"/>
      <w:r>
        <w:rPr>
          <w:rStyle w:val="Strong"/>
          <w:rFonts w:asciiTheme="minorHAnsi" w:hAnsiTheme="minorHAnsi" w:cstheme="minorHAnsi"/>
          <w:bCs w:val="0"/>
          <w:color w:val="0F1115"/>
        </w:rPr>
        <w:t>1.3 Data Marts for Targeted Management Decisions</w:t>
      </w:r>
      <w:bookmarkEnd w:id="4"/>
    </w:p>
    <w:p w14:paraId="501F9F88" w14:textId="77777777" w:rsidR="00AE63F9" w:rsidRDefault="00AE63F9">
      <w:pPr>
        <w:spacing w:after="0" w:line="360" w:lineRule="auto"/>
        <w:rPr>
          <w:rFonts w:eastAsia="Times New Roman" w:cstheme="minorHAnsi"/>
          <w:sz w:val="24"/>
          <w:szCs w:val="24"/>
        </w:rPr>
      </w:pPr>
    </w:p>
    <w:p w14:paraId="683810D3" w14:textId="77777777" w:rsidR="00AE63F9" w:rsidRDefault="00000000">
      <w:pPr>
        <w:spacing w:after="0" w:line="360" w:lineRule="auto"/>
        <w:rPr>
          <w:rFonts w:eastAsia="Times New Roman" w:cstheme="minorHAnsi"/>
          <w:sz w:val="24"/>
          <w:szCs w:val="24"/>
        </w:rPr>
      </w:pPr>
      <w:r>
        <w:rPr>
          <w:rFonts w:eastAsia="Times New Roman" w:cstheme="minorHAnsi"/>
          <w:sz w:val="24"/>
          <w:szCs w:val="24"/>
        </w:rPr>
        <w:t>A data warehouse serves as the organization's definitive source of truth.</w:t>
      </w:r>
    </w:p>
    <w:p w14:paraId="49EA687C" w14:textId="77777777" w:rsidR="00AE63F9" w:rsidRDefault="00000000">
      <w:pPr>
        <w:spacing w:after="0" w:line="360" w:lineRule="auto"/>
        <w:rPr>
          <w:rFonts w:eastAsia="Times New Roman" w:cstheme="minorHAnsi"/>
          <w:sz w:val="24"/>
          <w:szCs w:val="24"/>
        </w:rPr>
      </w:pPr>
      <w:r>
        <w:rPr>
          <w:rFonts w:eastAsia="Times New Roman" w:cstheme="minorHAnsi"/>
          <w:sz w:val="24"/>
          <w:szCs w:val="24"/>
        </w:rPr>
        <w:t>Data marts are compact, specialized subsets designed for certain departments or purposes.</w:t>
      </w:r>
    </w:p>
    <w:p w14:paraId="40B74439" w14:textId="77777777" w:rsidR="00AE63F9" w:rsidRDefault="00000000">
      <w:pPr>
        <w:spacing w:after="0" w:line="360" w:lineRule="auto"/>
        <w:rPr>
          <w:rFonts w:eastAsia="Times New Roman" w:cstheme="minorHAnsi"/>
          <w:sz w:val="24"/>
          <w:szCs w:val="24"/>
        </w:rPr>
      </w:pPr>
      <w:r>
        <w:rPr>
          <w:rFonts w:eastAsia="Times New Roman" w:cstheme="minorHAnsi"/>
          <w:sz w:val="24"/>
          <w:szCs w:val="24"/>
        </w:rPr>
        <w:t>They provide accurate, sophisticated information for focused decision-making.</w:t>
      </w:r>
      <w:r>
        <w:rPr>
          <w:rFonts w:eastAsia="Times New Roman" w:cstheme="minorHAnsi"/>
          <w:sz w:val="24"/>
          <w:szCs w:val="24"/>
        </w:rPr>
        <w:br/>
      </w:r>
      <w:r>
        <w:rPr>
          <w:rFonts w:eastAsia="Times New Roman" w:cstheme="minorHAnsi"/>
          <w:sz w:val="24"/>
          <w:szCs w:val="24"/>
        </w:rPr>
        <w:br/>
        <w:t>By establishing specialized data marts, each director may obtain the specific information required, presented in a context directly pertinent to their decision-making, without the intricacies of traversing the full warehouse.</w:t>
      </w:r>
    </w:p>
    <w:p w14:paraId="51C11D1E" w14:textId="77777777" w:rsidR="00AE63F9" w:rsidRDefault="00000000">
      <w:pPr>
        <w:spacing w:after="0" w:line="360" w:lineRule="auto"/>
        <w:rPr>
          <w:rStyle w:val="Strong"/>
          <w:rFonts w:cstheme="minorHAnsi"/>
          <w:color w:val="0F1115"/>
          <w:sz w:val="24"/>
          <w:szCs w:val="24"/>
          <w:shd w:val="clear" w:color="auto" w:fill="FFFFFF"/>
        </w:rPr>
      </w:pPr>
      <w:r>
        <w:rPr>
          <w:rFonts w:cstheme="minorHAnsi"/>
          <w:noProof/>
          <w:sz w:val="24"/>
          <w:szCs w:val="24"/>
        </w:rPr>
        <w:lastRenderedPageBreak/>
        <w:drawing>
          <wp:inline distT="0" distB="0" distL="0" distR="0" wp14:anchorId="372B69FA" wp14:editId="178D7297">
            <wp:extent cx="4724400" cy="3162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a:stretch>
                      <a:fillRect/>
                    </a:stretch>
                  </pic:blipFill>
                  <pic:spPr>
                    <a:xfrm>
                      <a:off x="0" y="0"/>
                      <a:ext cx="4724400" cy="3162300"/>
                    </a:xfrm>
                    <a:prstGeom prst="rect">
                      <a:avLst/>
                    </a:prstGeom>
                  </pic:spPr>
                </pic:pic>
              </a:graphicData>
            </a:graphic>
          </wp:inline>
        </w:drawing>
      </w:r>
      <w:r>
        <w:rPr>
          <w:rFonts w:eastAsia="Times New Roman" w:cstheme="minorHAnsi"/>
          <w:sz w:val="24"/>
          <w:szCs w:val="24"/>
        </w:rPr>
        <w:br/>
      </w:r>
      <w:r>
        <w:rPr>
          <w:rFonts w:eastAsia="Times New Roman" w:cstheme="minorHAnsi"/>
          <w:b/>
          <w:sz w:val="24"/>
          <w:szCs w:val="24"/>
        </w:rPr>
        <w:t>The way each data mart will support our directors:</w:t>
      </w:r>
    </w:p>
    <w:p w14:paraId="7886DCA4" w14:textId="77777777" w:rsidR="00AE63F9" w:rsidRDefault="00000000">
      <w:pPr>
        <w:pStyle w:val="Heading4"/>
        <w:shd w:val="clear" w:color="auto" w:fill="FFFFFF"/>
        <w:spacing w:before="240" w:after="240" w:line="360" w:lineRule="auto"/>
        <w:rPr>
          <w:rFonts w:asciiTheme="minorHAnsi" w:hAnsiTheme="minorHAnsi" w:cstheme="minorHAnsi"/>
          <w:color w:val="0F1115"/>
          <w:sz w:val="24"/>
          <w:szCs w:val="24"/>
        </w:rPr>
      </w:pPr>
      <w:r>
        <w:rPr>
          <w:rStyle w:val="Strong"/>
          <w:rFonts w:asciiTheme="minorHAnsi" w:hAnsiTheme="minorHAnsi" w:cstheme="minorHAnsi"/>
          <w:b w:val="0"/>
          <w:bCs w:val="0"/>
          <w:color w:val="0F1115"/>
          <w:sz w:val="24"/>
          <w:szCs w:val="24"/>
        </w:rPr>
        <w:t>Tailored Data Marts for Rags'n'Riches Leadership</w:t>
      </w:r>
    </w:p>
    <w:p w14:paraId="68CB6A20" w14:textId="77777777" w:rsidR="00AE63F9" w:rsidRDefault="00000000">
      <w:pPr>
        <w:spacing w:line="360" w:lineRule="auto"/>
        <w:rPr>
          <w:rFonts w:eastAsia="Times New Roman" w:cstheme="minorHAnsi"/>
          <w:sz w:val="24"/>
          <w:szCs w:val="24"/>
        </w:rPr>
      </w:pPr>
      <w:r>
        <w:rPr>
          <w:rStyle w:val="Strong"/>
          <w:rFonts w:cstheme="minorHAnsi"/>
          <w:color w:val="0F1115"/>
          <w:sz w:val="24"/>
          <w:szCs w:val="24"/>
        </w:rPr>
        <w:t>1. Executive Data Mart for the Managing Director</w:t>
      </w:r>
      <w:r>
        <w:rPr>
          <w:rFonts w:cstheme="minorHAnsi"/>
          <w:color w:val="0F1115"/>
          <w:sz w:val="24"/>
          <w:szCs w:val="24"/>
        </w:rPr>
        <w:br/>
      </w:r>
      <w:r>
        <w:rPr>
          <w:rFonts w:eastAsia="Times New Roman" w:cstheme="minorHAnsi"/>
          <w:sz w:val="24"/>
          <w:szCs w:val="24"/>
        </w:rPr>
        <w:t>The Managing Director need a comprehensive, strategic perspective of the complete organization. Their data mart will serve as an executive dashboard, displaying Key Performance Indicators (KPIs) that assess the company's overall health and strategic trajectory.</w:t>
      </w:r>
    </w:p>
    <w:p w14:paraId="5EB332DA" w14:textId="77777777" w:rsidR="00AE63F9" w:rsidRDefault="00000000">
      <w:pPr>
        <w:pStyle w:val="ds-markdown-paragraph"/>
        <w:shd w:val="clear" w:color="auto" w:fill="FFFFFF"/>
        <w:spacing w:before="240" w:beforeAutospacing="0" w:after="240" w:afterAutospacing="0" w:line="360" w:lineRule="auto"/>
        <w:rPr>
          <w:rFonts w:asciiTheme="minorHAnsi" w:hAnsiTheme="minorHAnsi" w:cstheme="minorHAnsi"/>
          <w:color w:val="0F1115"/>
        </w:rPr>
      </w:pPr>
      <w:r>
        <w:rPr>
          <w:rStyle w:val="Strong"/>
          <w:rFonts w:asciiTheme="minorHAnsi" w:hAnsiTheme="minorHAnsi" w:cstheme="minorHAnsi"/>
          <w:color w:val="0F1115"/>
        </w:rPr>
        <w:t>Example Metrics:</w:t>
      </w:r>
    </w:p>
    <w:p w14:paraId="1BB2BE3F" w14:textId="77777777" w:rsidR="00AE63F9" w:rsidRDefault="00000000">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Overall Company Profitability:</w:t>
      </w:r>
      <w:r>
        <w:rPr>
          <w:rFonts w:asciiTheme="minorHAnsi" w:hAnsiTheme="minorHAnsi" w:cstheme="minorHAnsi"/>
          <w:color w:val="0F1115"/>
        </w:rPr>
        <w:t> Track profit margins against revenue targets.</w:t>
      </w:r>
    </w:p>
    <w:p w14:paraId="333943B0" w14:textId="77777777" w:rsidR="00AE63F9" w:rsidRDefault="00000000">
      <w:pPr>
        <w:pStyle w:val="ds-markdown-paragraph"/>
        <w:shd w:val="clear" w:color="auto" w:fill="FFFFFF"/>
        <w:spacing w:after="0" w:afterAutospacing="0" w:line="360" w:lineRule="auto"/>
        <w:rPr>
          <w:rFonts w:asciiTheme="minorHAnsi" w:hAnsiTheme="minorHAnsi" w:cstheme="minorHAnsi"/>
          <w:color w:val="0F1115"/>
        </w:rPr>
      </w:pPr>
      <w:r>
        <w:rPr>
          <w:rStyle w:val="Strong"/>
          <w:rFonts w:asciiTheme="minorHAnsi" w:hAnsiTheme="minorHAnsi" w:cstheme="minorHAnsi"/>
          <w:color w:val="0F1115"/>
        </w:rPr>
        <w:t>Warehouse Utilisation &amp; Efficiency:</w:t>
      </w:r>
      <w:r>
        <w:rPr>
          <w:rFonts w:asciiTheme="minorHAnsi" w:hAnsiTheme="minorHAnsi" w:cstheme="minorHAnsi"/>
          <w:color w:val="0F1115"/>
        </w:rPr>
        <w:t> Assess if some warehouses, such as Freuchie for tiny props, are over-utilized while others are underperforming, hence guiding judgments on resource allocation or specialization strategy.</w:t>
      </w:r>
      <w:r>
        <w:rPr>
          <w:rStyle w:val="Strong"/>
          <w:rFonts w:asciiTheme="minorHAnsi" w:hAnsiTheme="minorHAnsi" w:cstheme="minorHAnsi"/>
          <w:color w:val="0F1115"/>
        </w:rPr>
        <w:t>Trends in High-Value Client Orders:</w:t>
      </w:r>
      <w:r>
        <w:rPr>
          <w:rFonts w:asciiTheme="minorHAnsi" w:hAnsiTheme="minorHAnsi" w:cstheme="minorHAnsi"/>
          <w:color w:val="0F1115"/>
        </w:rPr>
        <w:t> Monitor the volume and value of business from major film studios versus local theatre groups.</w:t>
      </w:r>
    </w:p>
    <w:p w14:paraId="36E697BF" w14:textId="77777777" w:rsidR="00AE63F9" w:rsidRDefault="00000000">
      <w:pPr>
        <w:pStyle w:val="ds-markdown-paragraph"/>
        <w:numPr>
          <w:ilvl w:val="1"/>
          <w:numId w:val="3"/>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Acquisition Strategy ROI:</w:t>
      </w:r>
      <w:r>
        <w:rPr>
          <w:rFonts w:asciiTheme="minorHAnsi" w:hAnsiTheme="minorHAnsi" w:cstheme="minorHAnsi"/>
          <w:color w:val="0F1115"/>
        </w:rPr>
        <w:t> Assess whether newly acquired props and costumes are generating their expected return on investment.</w:t>
      </w:r>
    </w:p>
    <w:p w14:paraId="475847F0" w14:textId="77777777" w:rsidR="00AE63F9" w:rsidRDefault="00000000">
      <w:pPr>
        <w:pStyle w:val="ds-markdown-paragraph"/>
        <w:shd w:val="clear" w:color="auto" w:fill="FFFFFF"/>
        <w:spacing w:before="240" w:beforeAutospacing="0" w:after="240" w:afterAutospacing="0" w:line="360" w:lineRule="auto"/>
        <w:rPr>
          <w:rFonts w:asciiTheme="minorHAnsi" w:hAnsiTheme="minorHAnsi" w:cstheme="minorHAnsi"/>
          <w:color w:val="0F1115"/>
        </w:rPr>
      </w:pPr>
      <w:r>
        <w:rPr>
          <w:rStyle w:val="Strong"/>
          <w:rFonts w:asciiTheme="minorHAnsi" w:hAnsiTheme="minorHAnsi" w:cstheme="minorHAnsi"/>
          <w:color w:val="0F1115"/>
        </w:rPr>
        <w:lastRenderedPageBreak/>
        <w:t>2. Sales &amp; Marketing Data Mart for the Sales &amp; Marketing Director</w:t>
      </w:r>
      <w:r>
        <w:rPr>
          <w:rFonts w:asciiTheme="minorHAnsi" w:hAnsiTheme="minorHAnsi" w:cstheme="minorHAnsi"/>
          <w:color w:val="0F1115"/>
        </w:rPr>
        <w:br/>
        <w:t>This director must comprehend consumer behavior and product efficacy to enhance income. Their data mart will focus on clients, rental programs, and market trends.</w:t>
      </w:r>
    </w:p>
    <w:p w14:paraId="20CC9BF4" w14:textId="77777777" w:rsidR="00AE63F9" w:rsidRDefault="00000000">
      <w:pPr>
        <w:pStyle w:val="ds-markdown-paragraph"/>
        <w:numPr>
          <w:ilvl w:val="0"/>
          <w:numId w:val="4"/>
        </w:numPr>
        <w:shd w:val="clear" w:color="auto" w:fill="FFFFFF"/>
        <w:spacing w:after="12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Example Metrics:</w:t>
      </w:r>
    </w:p>
    <w:p w14:paraId="6487AA58" w14:textId="77777777" w:rsidR="00AE63F9" w:rsidRDefault="00000000">
      <w:pPr>
        <w:pStyle w:val="ds-markdown-paragraph"/>
        <w:numPr>
          <w:ilvl w:val="1"/>
          <w:numId w:val="4"/>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Rental Scheme Profitability:</w:t>
      </w:r>
      <w:r>
        <w:rPr>
          <w:rFonts w:asciiTheme="minorHAnsi" w:hAnsiTheme="minorHAnsi" w:cstheme="minorHAnsi"/>
          <w:color w:val="0F1115"/>
        </w:rPr>
        <w:t> Analyse which schemes (e.g., "Complete Sets," "Room in a Box") are the most and least profitable, guiding pricing and promotional strategies.</w:t>
      </w:r>
    </w:p>
    <w:p w14:paraId="439ECF7B" w14:textId="77777777" w:rsidR="00AE63F9" w:rsidRDefault="00000000">
      <w:pPr>
        <w:pStyle w:val="ds-markdown-paragraph"/>
        <w:numPr>
          <w:ilvl w:val="1"/>
          <w:numId w:val="4"/>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Customer Lifetime Value &amp; Segmentation:</w:t>
      </w:r>
      <w:r>
        <w:rPr>
          <w:rFonts w:asciiTheme="minorHAnsi" w:hAnsiTheme="minorHAnsi" w:cstheme="minorHAnsi"/>
          <w:color w:val="0F1115"/>
        </w:rPr>
        <w:t> Identify the most valuable clients (e.g., recurring film studios) and those that may be cost-intensive (e.g., amateur groups with frequent short-notice orders).</w:t>
      </w:r>
    </w:p>
    <w:p w14:paraId="3E8A6F89" w14:textId="77777777" w:rsidR="00AE63F9" w:rsidRDefault="00000000">
      <w:pPr>
        <w:pStyle w:val="ds-markdown-paragraph"/>
        <w:numPr>
          <w:ilvl w:val="1"/>
          <w:numId w:val="4"/>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Product Demand Trends:</w:t>
      </w:r>
      <w:r>
        <w:rPr>
          <w:rFonts w:asciiTheme="minorHAnsi" w:hAnsiTheme="minorHAnsi" w:cstheme="minorHAnsi"/>
          <w:color w:val="0F1115"/>
        </w:rPr>
        <w:t> See which item categories (e.g., 1980s costumes, militaria) are growing or declining in popularity, enabling targeted acquisitions and marketing campaigns.</w:t>
      </w:r>
    </w:p>
    <w:p w14:paraId="5FE5AA0B" w14:textId="77777777" w:rsidR="00AE63F9" w:rsidRDefault="00000000">
      <w:pPr>
        <w:pStyle w:val="ds-markdown-paragraph"/>
        <w:numPr>
          <w:ilvl w:val="1"/>
          <w:numId w:val="4"/>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Discount Effectiveness:</w:t>
      </w:r>
      <w:r>
        <w:rPr>
          <w:rFonts w:asciiTheme="minorHAnsi" w:hAnsiTheme="minorHAnsi" w:cstheme="minorHAnsi"/>
          <w:color w:val="0F1115"/>
        </w:rPr>
        <w:t> Measure the impact of the 10% set discount on overall order size and profitability.</w:t>
      </w:r>
    </w:p>
    <w:p w14:paraId="08B94895" w14:textId="77777777" w:rsidR="00AE63F9" w:rsidRDefault="00000000">
      <w:pPr>
        <w:pStyle w:val="ds-markdown-paragraph"/>
        <w:shd w:val="clear" w:color="auto" w:fill="FFFFFF"/>
        <w:spacing w:before="240" w:beforeAutospacing="0" w:after="240" w:afterAutospacing="0" w:line="360" w:lineRule="auto"/>
        <w:rPr>
          <w:rFonts w:asciiTheme="minorHAnsi" w:hAnsiTheme="minorHAnsi" w:cstheme="minorHAnsi"/>
          <w:color w:val="0F1115"/>
        </w:rPr>
      </w:pPr>
      <w:r>
        <w:rPr>
          <w:rStyle w:val="Strong"/>
          <w:rFonts w:asciiTheme="minorHAnsi" w:hAnsiTheme="minorHAnsi" w:cstheme="minorHAnsi"/>
          <w:color w:val="0F1115"/>
        </w:rPr>
        <w:t>3. Finance Data Mart for the Finance Director</w:t>
      </w:r>
      <w:r>
        <w:rPr>
          <w:rFonts w:asciiTheme="minorHAnsi" w:hAnsiTheme="minorHAnsi" w:cstheme="minorHAnsi"/>
          <w:color w:val="0F1115"/>
        </w:rPr>
        <w:br/>
        <w:t>This director's focus is on fiscal control, cash flow, and cost management. Their data mart would provide a granular view of all financial transactions and liabilities.</w:t>
      </w:r>
    </w:p>
    <w:p w14:paraId="472234C6" w14:textId="77777777" w:rsidR="00AE63F9" w:rsidRDefault="00000000">
      <w:pPr>
        <w:pStyle w:val="ds-markdown-paragraph"/>
        <w:numPr>
          <w:ilvl w:val="0"/>
          <w:numId w:val="5"/>
        </w:numPr>
        <w:shd w:val="clear" w:color="auto" w:fill="FFFFFF"/>
        <w:spacing w:after="12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Example Metrics:</w:t>
      </w:r>
    </w:p>
    <w:p w14:paraId="064F7610" w14:textId="77777777" w:rsidR="00AE63F9" w:rsidRDefault="00000000">
      <w:pPr>
        <w:pStyle w:val="ds-markdown-paragraph"/>
        <w:numPr>
          <w:ilvl w:val="1"/>
          <w:numId w:val="5"/>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Accounts Receivable &amp; Payment Times:</w:t>
      </w:r>
      <w:r>
        <w:rPr>
          <w:rFonts w:asciiTheme="minorHAnsi" w:hAnsiTheme="minorHAnsi" w:cstheme="minorHAnsi"/>
          <w:color w:val="0F1115"/>
        </w:rPr>
        <w:t> Track which clients consistently pay late, impacting cash flow.</w:t>
      </w:r>
    </w:p>
    <w:p w14:paraId="3170E708" w14:textId="77777777" w:rsidR="00AE63F9" w:rsidRDefault="00000000">
      <w:pPr>
        <w:pStyle w:val="ds-markdown-paragraph"/>
        <w:numPr>
          <w:ilvl w:val="1"/>
          <w:numId w:val="5"/>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Detailed Cost Analysis:</w:t>
      </w:r>
      <w:r>
        <w:rPr>
          <w:rFonts w:asciiTheme="minorHAnsi" w:hAnsiTheme="minorHAnsi" w:cstheme="minorHAnsi"/>
          <w:color w:val="0F1115"/>
        </w:rPr>
        <w:t> Break down costs by category, such as delivery fuel costs per vehicle/route, stock write-offs, and internal transport expenses between warehouses.</w:t>
      </w:r>
    </w:p>
    <w:p w14:paraId="535BDF9E" w14:textId="77777777" w:rsidR="00AE63F9" w:rsidRDefault="00000000">
      <w:pPr>
        <w:pStyle w:val="ds-markdown-paragraph"/>
        <w:numPr>
          <w:ilvl w:val="1"/>
          <w:numId w:val="5"/>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Profitability by Asset:</w:t>
      </w:r>
      <w:r>
        <w:rPr>
          <w:rFonts w:asciiTheme="minorHAnsi" w:hAnsiTheme="minorHAnsi" w:cstheme="minorHAnsi"/>
          <w:color w:val="0F1115"/>
        </w:rPr>
        <w:t> Calculate the exact profitability of individual high-value items to inform write-off and replacement decisions.</w:t>
      </w:r>
    </w:p>
    <w:p w14:paraId="069E95B5" w14:textId="77777777" w:rsidR="00AE63F9" w:rsidRDefault="00000000">
      <w:pPr>
        <w:pStyle w:val="ds-markdown-paragraph"/>
        <w:numPr>
          <w:ilvl w:val="1"/>
          <w:numId w:val="5"/>
        </w:numPr>
        <w:shd w:val="clear" w:color="auto" w:fill="FFFFFF"/>
        <w:spacing w:after="0" w:afterAutospacing="0" w:line="360" w:lineRule="auto"/>
        <w:ind w:left="0"/>
        <w:rPr>
          <w:rFonts w:asciiTheme="minorHAnsi" w:hAnsiTheme="minorHAnsi" w:cstheme="minorHAnsi"/>
          <w:color w:val="0F1115"/>
        </w:rPr>
      </w:pPr>
      <w:r>
        <w:rPr>
          <w:rStyle w:val="Strong"/>
          <w:rFonts w:asciiTheme="minorHAnsi" w:hAnsiTheme="minorHAnsi" w:cstheme="minorHAnsi"/>
          <w:color w:val="0F1115"/>
        </w:rPr>
        <w:t>Cost of Emergency Orders:</w:t>
      </w:r>
      <w:r>
        <w:rPr>
          <w:rFonts w:asciiTheme="minorHAnsi" w:hAnsiTheme="minorHAnsi" w:cstheme="minorHAnsi"/>
          <w:color w:val="0F1115"/>
        </w:rPr>
        <w:t> Precisely quantify the financial impact of the 15% surcharge and extra transport costs to validate the pricing strategy for short-notice rentals.</w:t>
      </w:r>
    </w:p>
    <w:p w14:paraId="0CE1E40C" w14:textId="77777777" w:rsidR="00AE63F9" w:rsidRDefault="00000000">
      <w:pPr>
        <w:pStyle w:val="Heading3"/>
        <w:shd w:val="clear" w:color="auto" w:fill="FFFFFF"/>
        <w:spacing w:before="480" w:after="240" w:line="360" w:lineRule="auto"/>
        <w:rPr>
          <w:rFonts w:asciiTheme="minorHAnsi" w:hAnsiTheme="minorHAnsi" w:cstheme="minorHAnsi"/>
          <w:color w:val="0F1115"/>
        </w:rPr>
      </w:pPr>
      <w:bookmarkStart w:id="5" w:name="_Toc213368057"/>
      <w:r>
        <w:rPr>
          <w:rStyle w:val="Strong"/>
          <w:rFonts w:asciiTheme="minorHAnsi" w:hAnsiTheme="minorHAnsi" w:cstheme="minorHAnsi"/>
          <w:bCs w:val="0"/>
          <w:color w:val="0F1115"/>
        </w:rPr>
        <w:lastRenderedPageBreak/>
        <w:t>1.4 Normalised vs. Dimensional Structures: A Schema for Analysis</w:t>
      </w:r>
      <w:bookmarkEnd w:id="5"/>
    </w:p>
    <w:p w14:paraId="50F6690A" w14:textId="77777777" w:rsidR="00AE63F9" w:rsidRDefault="00000000">
      <w:pPr>
        <w:spacing w:after="0" w:line="360" w:lineRule="auto"/>
        <w:rPr>
          <w:rStyle w:val="Strong"/>
          <w:rFonts w:cstheme="minorHAnsi"/>
          <w:b w:val="0"/>
          <w:color w:val="0F1115"/>
          <w:sz w:val="24"/>
          <w:szCs w:val="24"/>
          <w:shd w:val="clear" w:color="auto" w:fill="FFFFFF"/>
        </w:rPr>
      </w:pPr>
      <w:r>
        <w:rPr>
          <w:rStyle w:val="Strong"/>
          <w:rFonts w:cstheme="minorHAnsi"/>
          <w:b w:val="0"/>
          <w:color w:val="0F1115"/>
          <w:sz w:val="24"/>
          <w:szCs w:val="24"/>
          <w:shd w:val="clear" w:color="auto" w:fill="FFFFFF"/>
        </w:rPr>
        <w:t>As our IT Director, you possess an in-depth understanding of the normalized architecture of our Online Transaction Processing (OLTP) systems. This architecture is ideal for the primary function of these systems: maintaining data integrity and facilitating high-volume, fast activities such as order input and inventory adjustments.</w:t>
      </w:r>
    </w:p>
    <w:p w14:paraId="182885D1" w14:textId="77777777" w:rsidR="00AE63F9" w:rsidRDefault="00AE63F9">
      <w:pPr>
        <w:spacing w:after="0" w:line="360" w:lineRule="auto"/>
        <w:rPr>
          <w:rStyle w:val="Strong"/>
          <w:rFonts w:cstheme="minorHAnsi"/>
          <w:b w:val="0"/>
          <w:color w:val="0F1115"/>
          <w:sz w:val="24"/>
          <w:szCs w:val="24"/>
          <w:shd w:val="clear" w:color="auto" w:fill="FFFFFF"/>
        </w:rPr>
      </w:pPr>
    </w:p>
    <w:p w14:paraId="65A26CF4" w14:textId="77777777" w:rsidR="00AE63F9" w:rsidRDefault="00000000">
      <w:pPr>
        <w:spacing w:after="0" w:line="360" w:lineRule="auto"/>
        <w:rPr>
          <w:rStyle w:val="Strong"/>
          <w:rFonts w:cstheme="minorHAnsi"/>
          <w:color w:val="0F1115"/>
          <w:sz w:val="24"/>
          <w:szCs w:val="24"/>
          <w:shd w:val="clear" w:color="auto" w:fill="FFFFFF"/>
        </w:rPr>
      </w:pPr>
      <w:r>
        <w:rPr>
          <w:rStyle w:val="Strong"/>
          <w:rFonts w:cstheme="minorHAnsi"/>
          <w:color w:val="0F1115"/>
          <w:sz w:val="24"/>
          <w:szCs w:val="24"/>
          <w:shd w:val="clear" w:color="auto" w:fill="FFFFFF"/>
        </w:rPr>
        <w:t>Normalization in OLTP Systems</w:t>
      </w:r>
    </w:p>
    <w:p w14:paraId="233AB82A" w14:textId="77777777" w:rsidR="00AE63F9" w:rsidRDefault="00000000">
      <w:pPr>
        <w:spacing w:after="0" w:line="360" w:lineRule="auto"/>
        <w:rPr>
          <w:rStyle w:val="Strong"/>
          <w:rFonts w:cstheme="minorHAnsi"/>
          <w:color w:val="0F1115"/>
          <w:sz w:val="24"/>
          <w:szCs w:val="24"/>
          <w:shd w:val="clear" w:color="auto" w:fill="FFFFFF"/>
        </w:rPr>
      </w:pPr>
      <w:r>
        <w:rPr>
          <w:rStyle w:val="Strong"/>
          <w:rFonts w:cstheme="minorHAnsi"/>
          <w:b w:val="0"/>
          <w:color w:val="0F1115"/>
          <w:sz w:val="24"/>
          <w:szCs w:val="24"/>
          <w:shd w:val="clear" w:color="auto" w:fill="FFFFFF"/>
        </w:rPr>
        <w:t>Normalization divides data into numerous well-organized, related tables to eliminate duplication. The goal is to keep client addresses in one place. Preventing update anomalies and preserving disk space during transaction processing improves operational efficiency. Our database may need a sophisticated join spanning Customers, Orders, Order_Items, Items, Item_Types, Pricing_Schemes, and Warehouses to generate a basic rental invoice. This technique works well for documenting individual transactions, but it's slow and awkward for analyzing patterns across several leases.</w:t>
      </w:r>
    </w:p>
    <w:p w14:paraId="1EB7EFD6" w14:textId="77777777" w:rsidR="00AE63F9" w:rsidRDefault="00000000">
      <w:pPr>
        <w:spacing w:after="0" w:line="360" w:lineRule="auto"/>
        <w:rPr>
          <w:rStyle w:val="Strong"/>
          <w:rFonts w:cstheme="minorHAnsi"/>
          <w:color w:val="0F1115"/>
          <w:sz w:val="24"/>
          <w:szCs w:val="24"/>
          <w:shd w:val="clear" w:color="auto" w:fill="FFFFFF"/>
        </w:rPr>
      </w:pPr>
      <w:r>
        <w:rPr>
          <w:rStyle w:val="Strong"/>
          <w:rFonts w:cstheme="minorHAnsi"/>
          <w:color w:val="0F1115"/>
          <w:sz w:val="24"/>
          <w:szCs w:val="24"/>
          <w:shd w:val="clear" w:color="auto" w:fill="FFFFFF"/>
        </w:rPr>
        <w:t>Dimensional Modeling in Data Warehousing</w:t>
      </w:r>
    </w:p>
    <w:p w14:paraId="1178B0A6" w14:textId="77777777" w:rsidR="00AE63F9" w:rsidRDefault="00000000">
      <w:pPr>
        <w:spacing w:after="0" w:line="360" w:lineRule="auto"/>
        <w:rPr>
          <w:rStyle w:val="Strong"/>
          <w:rFonts w:cstheme="minorHAnsi"/>
          <w:b w:val="0"/>
          <w:color w:val="0F1115"/>
          <w:sz w:val="24"/>
          <w:szCs w:val="24"/>
          <w:shd w:val="clear" w:color="auto" w:fill="FFFFFF"/>
        </w:rPr>
      </w:pPr>
      <w:r>
        <w:rPr>
          <w:rStyle w:val="Strong"/>
          <w:rFonts w:cstheme="minorHAnsi"/>
          <w:b w:val="0"/>
          <w:color w:val="0F1115"/>
          <w:sz w:val="24"/>
          <w:szCs w:val="24"/>
          <w:shd w:val="clear" w:color="auto" w:fill="FFFFFF"/>
        </w:rPr>
        <w:t>Normalization divides data into numerous well-organized, related tables to eliminate duplication. The goal is to keep client addresses in one place. Preventing update anomalies and preserving disk space during transaction processing improves operational efficiency. Our database may need a sophisticated join spanning Customers, Orders, Order_Items, Items, Item_Types, Pricing_Schemes, and Warehouses to generate a basic rental invoice. This technique works well for documenting individual transactions, but it's slow and awkward for analyzing patterns across several leases.</w:t>
      </w:r>
    </w:p>
    <w:p w14:paraId="5E1D83DB" w14:textId="77777777" w:rsidR="00AE63F9" w:rsidRDefault="00AE63F9">
      <w:pPr>
        <w:spacing w:after="0" w:line="360" w:lineRule="auto"/>
        <w:rPr>
          <w:rStyle w:val="Strong"/>
          <w:rFonts w:cstheme="minorHAnsi"/>
          <w:b w:val="0"/>
          <w:color w:val="0F1115"/>
          <w:sz w:val="24"/>
          <w:szCs w:val="24"/>
          <w:shd w:val="clear" w:color="auto" w:fill="FFFFFF"/>
        </w:rPr>
      </w:pPr>
    </w:p>
    <w:p w14:paraId="2D584133" w14:textId="77777777" w:rsidR="00AE63F9" w:rsidRDefault="00000000">
      <w:pPr>
        <w:spacing w:after="0" w:line="360" w:lineRule="auto"/>
        <w:rPr>
          <w:rStyle w:val="Strong"/>
          <w:rFonts w:cstheme="minorHAnsi"/>
          <w:b w:val="0"/>
          <w:color w:val="0F1115"/>
          <w:sz w:val="24"/>
          <w:szCs w:val="24"/>
          <w:shd w:val="clear" w:color="auto" w:fill="FFFFFF"/>
        </w:rPr>
      </w:pPr>
      <w:r>
        <w:rPr>
          <w:rStyle w:val="Strong"/>
          <w:rFonts w:cstheme="minorHAnsi"/>
          <w:color w:val="0F1115"/>
          <w:sz w:val="24"/>
          <w:szCs w:val="24"/>
          <w:shd w:val="clear" w:color="auto" w:fill="FFFFFF"/>
        </w:rPr>
        <w:t>Fact Tables:</w:t>
      </w:r>
      <w:r>
        <w:rPr>
          <w:rStyle w:val="Strong"/>
          <w:rFonts w:cstheme="minorHAnsi"/>
          <w:b w:val="0"/>
          <w:color w:val="0F1115"/>
          <w:sz w:val="24"/>
          <w:szCs w:val="24"/>
          <w:shd w:val="clear" w:color="auto" w:fill="FFFFFF"/>
        </w:rPr>
        <w:t xml:space="preserve"> These provide the quantifiable facts on business events—the "what occurred." For Rags'n'Riches, the primary data consists of financial and operational measures.</w:t>
      </w:r>
    </w:p>
    <w:p w14:paraId="2DCA16CC" w14:textId="77777777" w:rsidR="00AE63F9" w:rsidRDefault="00AE63F9">
      <w:pPr>
        <w:spacing w:after="0" w:line="360" w:lineRule="auto"/>
        <w:rPr>
          <w:rStyle w:val="Strong"/>
          <w:rFonts w:cstheme="minorHAnsi"/>
          <w:b w:val="0"/>
          <w:color w:val="0F1115"/>
          <w:sz w:val="24"/>
          <w:szCs w:val="24"/>
          <w:shd w:val="clear" w:color="auto" w:fill="FFFFFF"/>
        </w:rPr>
      </w:pPr>
    </w:p>
    <w:p w14:paraId="3CD95EB6" w14:textId="77777777" w:rsidR="00AE63F9" w:rsidRDefault="00000000">
      <w:pPr>
        <w:spacing w:after="0" w:line="360" w:lineRule="auto"/>
        <w:rPr>
          <w:rStyle w:val="Strong"/>
          <w:rFonts w:cstheme="minorHAnsi"/>
          <w:b w:val="0"/>
          <w:color w:val="0F1115"/>
          <w:sz w:val="24"/>
          <w:szCs w:val="24"/>
          <w:shd w:val="clear" w:color="auto" w:fill="FFFFFF"/>
        </w:rPr>
      </w:pPr>
      <w:r>
        <w:rPr>
          <w:rStyle w:val="Strong"/>
          <w:rFonts w:cstheme="minorHAnsi"/>
          <w:color w:val="0F1115"/>
          <w:sz w:val="24"/>
          <w:szCs w:val="24"/>
          <w:shd w:val="clear" w:color="auto" w:fill="FFFFFF"/>
        </w:rPr>
        <w:t>Dimension Tables:</w:t>
      </w:r>
      <w:r>
        <w:rPr>
          <w:rStyle w:val="Strong"/>
          <w:rFonts w:cstheme="minorHAnsi"/>
          <w:b w:val="0"/>
          <w:color w:val="0F1115"/>
          <w:sz w:val="24"/>
          <w:szCs w:val="24"/>
          <w:shd w:val="clear" w:color="auto" w:fill="FFFFFF"/>
        </w:rPr>
        <w:t xml:space="preserve"> These include the descriptive, textual data that contextualize the facts—specifying the who, what, when, and where.</w:t>
      </w:r>
    </w:p>
    <w:p w14:paraId="7A133458" w14:textId="77777777" w:rsidR="00AE63F9" w:rsidRDefault="00AE63F9">
      <w:pPr>
        <w:spacing w:after="0" w:line="360" w:lineRule="auto"/>
        <w:rPr>
          <w:rStyle w:val="Strong"/>
          <w:rFonts w:cstheme="minorHAnsi"/>
          <w:color w:val="0F1115"/>
          <w:sz w:val="24"/>
          <w:szCs w:val="24"/>
          <w:shd w:val="clear" w:color="auto" w:fill="FFFFFF"/>
        </w:rPr>
      </w:pPr>
    </w:p>
    <w:p w14:paraId="4DCC1811" w14:textId="77777777" w:rsidR="00AE63F9" w:rsidRDefault="00000000">
      <w:pPr>
        <w:spacing w:after="0" w:line="360" w:lineRule="auto"/>
        <w:rPr>
          <w:rStyle w:val="Strong"/>
          <w:rFonts w:cstheme="minorHAnsi"/>
          <w:b w:val="0"/>
          <w:color w:val="0F1115"/>
          <w:sz w:val="24"/>
          <w:szCs w:val="24"/>
          <w:shd w:val="clear" w:color="auto" w:fill="FFFFFF"/>
        </w:rPr>
      </w:pPr>
      <w:r>
        <w:rPr>
          <w:rStyle w:val="Strong"/>
          <w:rFonts w:cstheme="minorHAnsi"/>
          <w:color w:val="0F1115"/>
          <w:sz w:val="24"/>
          <w:szCs w:val="24"/>
          <w:shd w:val="clear" w:color="auto" w:fill="FFFFFF"/>
        </w:rPr>
        <w:lastRenderedPageBreak/>
        <w:t>Illustration:</w:t>
      </w:r>
      <w:r>
        <w:rPr>
          <w:rStyle w:val="Strong"/>
          <w:rFonts w:cstheme="minorHAnsi"/>
          <w:b w:val="0"/>
          <w:color w:val="0F1115"/>
          <w:sz w:val="24"/>
          <w:szCs w:val="24"/>
          <w:shd w:val="clear" w:color="auto" w:fill="FFFFFF"/>
        </w:rPr>
        <w:t xml:space="preserve"> A Star Schema for Rental Analysis</w:t>
      </w:r>
    </w:p>
    <w:p w14:paraId="29C42702" w14:textId="77777777" w:rsidR="00AE63F9" w:rsidRDefault="00AE63F9">
      <w:pPr>
        <w:spacing w:after="0" w:line="360" w:lineRule="auto"/>
        <w:rPr>
          <w:rStyle w:val="Strong"/>
          <w:rFonts w:cstheme="minorHAnsi"/>
          <w:b w:val="0"/>
          <w:color w:val="0F1115"/>
          <w:sz w:val="24"/>
          <w:szCs w:val="24"/>
          <w:shd w:val="clear" w:color="auto" w:fill="FFFFFF"/>
        </w:rPr>
      </w:pPr>
    </w:p>
    <w:p w14:paraId="6519419B" w14:textId="77777777" w:rsidR="00AE63F9" w:rsidRDefault="00000000">
      <w:pPr>
        <w:spacing w:after="0" w:line="360" w:lineRule="auto"/>
        <w:rPr>
          <w:rStyle w:val="Strong"/>
          <w:rFonts w:cstheme="minorHAnsi"/>
          <w:b w:val="0"/>
          <w:color w:val="0F1115"/>
          <w:sz w:val="24"/>
          <w:szCs w:val="24"/>
          <w:shd w:val="clear" w:color="auto" w:fill="FFFFFF"/>
        </w:rPr>
      </w:pPr>
      <w:r>
        <w:rPr>
          <w:rStyle w:val="Strong"/>
          <w:rFonts w:cstheme="minorHAnsi"/>
          <w:b w:val="0"/>
          <w:color w:val="0F1115"/>
          <w:sz w:val="24"/>
          <w:szCs w:val="24"/>
          <w:shd w:val="clear" w:color="auto" w:fill="FFFFFF"/>
        </w:rPr>
        <w:t>The graphic below depicts a streamlined star schema for the analysis of our rental enterprise. Observe its intuitive, de-normalized configuration.</w:t>
      </w:r>
    </w:p>
    <w:p w14:paraId="14F6B4E6" w14:textId="77777777" w:rsidR="00AE63F9" w:rsidRDefault="00000000">
      <w:pPr>
        <w:spacing w:after="0" w:line="360" w:lineRule="auto"/>
        <w:rPr>
          <w:rStyle w:val="Strong"/>
          <w:rFonts w:cstheme="minorHAnsi"/>
          <w:color w:val="0F1115"/>
          <w:sz w:val="24"/>
          <w:szCs w:val="24"/>
          <w:shd w:val="clear" w:color="auto" w:fill="FFFFFF"/>
        </w:rPr>
      </w:pPr>
      <w:r>
        <w:rPr>
          <w:rFonts w:cstheme="minorHAnsi"/>
          <w:noProof/>
          <w:sz w:val="24"/>
          <w:szCs w:val="24"/>
        </w:rPr>
        <w:drawing>
          <wp:inline distT="0" distB="0" distL="0" distR="0" wp14:anchorId="2871CB5F" wp14:editId="3093BE0D">
            <wp:extent cx="4724400" cy="3162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a:stretch>
                      <a:fillRect/>
                    </a:stretch>
                  </pic:blipFill>
                  <pic:spPr>
                    <a:xfrm>
                      <a:off x="0" y="0"/>
                      <a:ext cx="4724400" cy="3162300"/>
                    </a:xfrm>
                    <a:prstGeom prst="rect">
                      <a:avLst/>
                    </a:prstGeom>
                  </pic:spPr>
                </pic:pic>
              </a:graphicData>
            </a:graphic>
          </wp:inline>
        </w:drawing>
      </w:r>
    </w:p>
    <w:p w14:paraId="57868A02" w14:textId="77777777" w:rsidR="00AE63F9" w:rsidRDefault="00000000">
      <w:pPr>
        <w:shd w:val="clear" w:color="auto" w:fill="FFFFFF"/>
        <w:spacing w:before="240" w:after="240" w:line="360" w:lineRule="auto"/>
        <w:rPr>
          <w:rFonts w:eastAsia="Times New Roman" w:cstheme="minorHAnsi"/>
          <w:color w:val="0F1115"/>
          <w:sz w:val="24"/>
          <w:szCs w:val="24"/>
        </w:rPr>
      </w:pPr>
      <w:r>
        <w:rPr>
          <w:rFonts w:eastAsia="Times New Roman" w:cstheme="minorHAnsi"/>
          <w:b/>
          <w:bCs/>
          <w:color w:val="0F1115"/>
          <w:sz w:val="24"/>
          <w:szCs w:val="24"/>
        </w:rPr>
        <w:t>How It Works with Company Data:</w:t>
      </w:r>
      <w:r>
        <w:rPr>
          <w:rFonts w:eastAsia="Times New Roman" w:cstheme="minorHAnsi"/>
          <w:color w:val="0F1115"/>
          <w:sz w:val="24"/>
          <w:szCs w:val="24"/>
        </w:rPr>
        <w:br/>
        <w:t>Imagine the Managing Director asks: </w:t>
      </w:r>
      <w:r>
        <w:rPr>
          <w:rFonts w:eastAsia="Times New Roman" w:cstheme="minorHAnsi"/>
          <w:i/>
          <w:iCs/>
          <w:color w:val="0F1115"/>
          <w:sz w:val="24"/>
          <w:szCs w:val="24"/>
        </w:rPr>
        <w:t>"What was the total revenue from 'Militaria' props rented to film studios last quarter?"</w:t>
      </w:r>
    </w:p>
    <w:p w14:paraId="5F69603E" w14:textId="77777777" w:rsidR="00AE63F9" w:rsidRDefault="00000000">
      <w:pPr>
        <w:numPr>
          <w:ilvl w:val="0"/>
          <w:numId w:val="6"/>
        </w:numPr>
        <w:shd w:val="clear" w:color="auto" w:fill="FFFFFF"/>
        <w:spacing w:before="100" w:beforeAutospacing="1" w:after="0" w:line="360" w:lineRule="auto"/>
        <w:ind w:left="0"/>
        <w:rPr>
          <w:rFonts w:eastAsia="Times New Roman" w:cstheme="minorHAnsi"/>
          <w:color w:val="0F1115"/>
          <w:sz w:val="24"/>
          <w:szCs w:val="24"/>
        </w:rPr>
      </w:pPr>
      <w:r>
        <w:rPr>
          <w:rFonts w:eastAsia="Times New Roman" w:cstheme="minorHAnsi"/>
          <w:color w:val="0F1115"/>
          <w:sz w:val="24"/>
          <w:szCs w:val="24"/>
        </w:rPr>
        <w:t>In the </w:t>
      </w:r>
      <w:r>
        <w:rPr>
          <w:rFonts w:eastAsia="Times New Roman" w:cstheme="minorHAnsi"/>
          <w:b/>
          <w:bCs/>
          <w:color w:val="0F1115"/>
          <w:sz w:val="24"/>
          <w:szCs w:val="24"/>
        </w:rPr>
        <w:t>normalised OLTP</w:t>
      </w:r>
      <w:r>
        <w:rPr>
          <w:rFonts w:eastAsia="Times New Roman" w:cstheme="minorHAnsi"/>
          <w:color w:val="0F1115"/>
          <w:sz w:val="24"/>
          <w:szCs w:val="24"/>
        </w:rPr>
        <w:t> system, this requires a complex query joining many tables, filtering on dates, and scanning millions of transactional records, which is slow.</w:t>
      </w:r>
    </w:p>
    <w:p w14:paraId="689E0B7A" w14:textId="77777777" w:rsidR="00AE63F9" w:rsidRDefault="00000000">
      <w:pPr>
        <w:shd w:val="clear" w:color="auto" w:fill="FFFFFF"/>
        <w:spacing w:before="100" w:beforeAutospacing="1" w:after="0" w:line="360" w:lineRule="auto"/>
        <w:rPr>
          <w:rFonts w:eastAsia="Times New Roman" w:cstheme="minorHAnsi"/>
          <w:color w:val="0F1115"/>
          <w:sz w:val="24"/>
          <w:szCs w:val="24"/>
        </w:rPr>
      </w:pPr>
      <w:r>
        <w:rPr>
          <w:rFonts w:eastAsia="Times New Roman" w:cstheme="minorHAnsi"/>
          <w:color w:val="0F1115"/>
          <w:sz w:val="24"/>
          <w:szCs w:val="24"/>
        </w:rPr>
        <w:t>In the dimensional DW, the query is simple and fast:</w:t>
      </w:r>
    </w:p>
    <w:p w14:paraId="122B492D" w14:textId="77777777" w:rsidR="00AE63F9" w:rsidRDefault="00000000">
      <w:pPr>
        <w:pStyle w:val="ListParagraph"/>
        <w:numPr>
          <w:ilvl w:val="0"/>
          <w:numId w:val="7"/>
        </w:numPr>
        <w:shd w:val="clear" w:color="auto" w:fill="FFFFFF"/>
        <w:spacing w:before="100" w:beforeAutospacing="1" w:after="0" w:line="360" w:lineRule="auto"/>
        <w:rPr>
          <w:rFonts w:eastAsia="Times New Roman" w:cstheme="minorHAnsi"/>
          <w:color w:val="0F1115"/>
          <w:sz w:val="24"/>
          <w:szCs w:val="24"/>
        </w:rPr>
      </w:pPr>
      <w:r>
        <w:rPr>
          <w:rFonts w:eastAsia="Times New Roman" w:cstheme="minorHAnsi"/>
          <w:color w:val="0F1115"/>
          <w:sz w:val="24"/>
          <w:szCs w:val="24"/>
        </w:rPr>
        <w:t>DimItem is filtered for ItemType = 'Militaria'.</w:t>
      </w:r>
    </w:p>
    <w:p w14:paraId="21A2EE82" w14:textId="77777777" w:rsidR="00AE63F9" w:rsidRDefault="00000000">
      <w:pPr>
        <w:pStyle w:val="ListParagraph"/>
        <w:numPr>
          <w:ilvl w:val="0"/>
          <w:numId w:val="7"/>
        </w:numPr>
        <w:shd w:val="clear" w:color="auto" w:fill="FFFFFF"/>
        <w:spacing w:before="100" w:beforeAutospacing="1" w:after="0" w:line="360" w:lineRule="auto"/>
        <w:rPr>
          <w:rFonts w:eastAsia="Times New Roman" w:cstheme="minorHAnsi"/>
          <w:color w:val="0F1115"/>
          <w:sz w:val="24"/>
          <w:szCs w:val="24"/>
        </w:rPr>
      </w:pPr>
      <w:r>
        <w:rPr>
          <w:rFonts w:eastAsia="Times New Roman" w:cstheme="minorHAnsi"/>
          <w:color w:val="0F1115"/>
          <w:sz w:val="24"/>
          <w:szCs w:val="24"/>
        </w:rPr>
        <w:t>DimCustomer is filtered for ClientType = 'Film Studio'.</w:t>
      </w:r>
    </w:p>
    <w:p w14:paraId="02A4BCAF" w14:textId="77777777" w:rsidR="00AE63F9" w:rsidRDefault="00000000">
      <w:pPr>
        <w:pStyle w:val="ListParagraph"/>
        <w:numPr>
          <w:ilvl w:val="0"/>
          <w:numId w:val="7"/>
        </w:numPr>
        <w:shd w:val="clear" w:color="auto" w:fill="FFFFFF"/>
        <w:spacing w:before="100" w:beforeAutospacing="1" w:after="0" w:line="360" w:lineRule="auto"/>
        <w:rPr>
          <w:rFonts w:eastAsia="Times New Roman" w:cstheme="minorHAnsi"/>
          <w:color w:val="0F1115"/>
          <w:sz w:val="24"/>
          <w:szCs w:val="24"/>
        </w:rPr>
      </w:pPr>
      <w:r>
        <w:rPr>
          <w:rFonts w:eastAsia="Times New Roman" w:cstheme="minorHAnsi"/>
          <w:color w:val="0F1115"/>
          <w:sz w:val="24"/>
          <w:szCs w:val="24"/>
        </w:rPr>
        <w:t>DimDate is filtered for Quarter = 'Last Quarter'</w:t>
      </w:r>
    </w:p>
    <w:p w14:paraId="04E735AF" w14:textId="77777777" w:rsidR="00AE63F9" w:rsidRDefault="00000000">
      <w:pPr>
        <w:pStyle w:val="ListParagraph"/>
        <w:numPr>
          <w:ilvl w:val="0"/>
          <w:numId w:val="7"/>
        </w:numPr>
        <w:shd w:val="clear" w:color="auto" w:fill="FFFFFF"/>
        <w:spacing w:before="100" w:beforeAutospacing="1" w:after="0" w:line="360" w:lineRule="auto"/>
        <w:rPr>
          <w:rFonts w:eastAsia="Times New Roman" w:cstheme="minorHAnsi"/>
          <w:color w:val="0F1115"/>
          <w:sz w:val="24"/>
          <w:szCs w:val="24"/>
        </w:rPr>
      </w:pPr>
      <w:r>
        <w:rPr>
          <w:rFonts w:eastAsia="Times New Roman" w:cstheme="minorHAnsi"/>
          <w:color w:val="0F1115"/>
          <w:sz w:val="24"/>
          <w:szCs w:val="24"/>
        </w:rPr>
        <w:t>The query then sums the TotalCost from the FactRental table where these keys intersect.</w:t>
      </w:r>
    </w:p>
    <w:p w14:paraId="35031F38" w14:textId="77777777" w:rsidR="00AE63F9" w:rsidRDefault="00000000">
      <w:pPr>
        <w:shd w:val="clear" w:color="auto" w:fill="FFFFFF"/>
        <w:spacing w:before="240" w:after="240" w:line="360" w:lineRule="auto"/>
        <w:rPr>
          <w:rFonts w:eastAsia="Times New Roman" w:cstheme="minorHAnsi"/>
          <w:color w:val="0F1115"/>
          <w:sz w:val="24"/>
          <w:szCs w:val="24"/>
        </w:rPr>
      </w:pPr>
      <w:r>
        <w:rPr>
          <w:rFonts w:eastAsia="Times New Roman" w:cstheme="minorHAnsi"/>
          <w:b/>
          <w:bCs/>
          <w:color w:val="0F1115"/>
          <w:sz w:val="24"/>
          <w:szCs w:val="24"/>
        </w:rPr>
        <w:lastRenderedPageBreak/>
        <w:t>Advantages of the Dimensional Approach</w:t>
      </w:r>
    </w:p>
    <w:p w14:paraId="53D16AFE" w14:textId="77777777" w:rsidR="00AE63F9" w:rsidRDefault="00000000">
      <w:pPr>
        <w:spacing w:after="0" w:line="360" w:lineRule="auto"/>
        <w:rPr>
          <w:rFonts w:eastAsia="Times New Roman" w:cstheme="minorHAnsi"/>
          <w:bCs/>
          <w:color w:val="0F1115"/>
          <w:sz w:val="24"/>
          <w:szCs w:val="24"/>
        </w:rPr>
      </w:pPr>
      <w:r>
        <w:rPr>
          <w:rFonts w:eastAsia="Times New Roman" w:cstheme="minorHAnsi"/>
          <w:b/>
          <w:bCs/>
          <w:color w:val="0F1115"/>
          <w:sz w:val="24"/>
          <w:szCs w:val="24"/>
        </w:rPr>
        <w:t>Query Performance:</w:t>
      </w:r>
      <w:r>
        <w:rPr>
          <w:rFonts w:eastAsia="Times New Roman" w:cstheme="minorHAnsi"/>
          <w:bCs/>
          <w:color w:val="0F1115"/>
          <w:sz w:val="24"/>
          <w:szCs w:val="24"/>
        </w:rPr>
        <w:t xml:space="preserve"> The streamlined structure and de-normalized dimensions necessitate much fewer joins, yielding outcomes for intricate analytical inquiries exponentially faster.</w:t>
      </w:r>
    </w:p>
    <w:p w14:paraId="2402840E" w14:textId="77777777" w:rsidR="00AE63F9" w:rsidRDefault="00000000">
      <w:pPr>
        <w:spacing w:after="0" w:line="360" w:lineRule="auto"/>
        <w:rPr>
          <w:rFonts w:eastAsia="Times New Roman" w:cstheme="minorHAnsi"/>
          <w:bCs/>
          <w:color w:val="0F1115"/>
          <w:sz w:val="24"/>
          <w:szCs w:val="24"/>
        </w:rPr>
      </w:pPr>
      <w:r>
        <w:rPr>
          <w:rFonts w:eastAsia="Times New Roman" w:cstheme="minorHAnsi"/>
          <w:bCs/>
          <w:color w:val="0F1115"/>
          <w:sz w:val="24"/>
          <w:szCs w:val="24"/>
        </w:rPr>
        <w:t xml:space="preserve">• </w:t>
      </w:r>
      <w:r>
        <w:rPr>
          <w:rFonts w:eastAsia="Times New Roman" w:cstheme="minorHAnsi"/>
          <w:b/>
          <w:bCs/>
          <w:color w:val="0F1115"/>
          <w:sz w:val="24"/>
          <w:szCs w:val="24"/>
        </w:rPr>
        <w:t xml:space="preserve">Business Intuitiveness: </w:t>
      </w:r>
      <w:r>
        <w:rPr>
          <w:rFonts w:eastAsia="Times New Roman" w:cstheme="minorHAnsi"/>
          <w:bCs/>
          <w:color w:val="0F1115"/>
          <w:sz w:val="24"/>
          <w:szCs w:val="24"/>
        </w:rPr>
        <w:t>The model is comprehensible for business users. A "fact" represents a business metric, whereas "dimensions" denote the methods of analysis used to it. This facilitates autonomous analysis and reporting.</w:t>
      </w:r>
    </w:p>
    <w:p w14:paraId="0F90CCEE" w14:textId="77777777" w:rsidR="00AE63F9" w:rsidRDefault="00000000">
      <w:pPr>
        <w:spacing w:after="0" w:line="360" w:lineRule="auto"/>
        <w:rPr>
          <w:rStyle w:val="Strong"/>
          <w:rFonts w:cstheme="minorHAnsi"/>
          <w:color w:val="0F1115"/>
          <w:sz w:val="24"/>
          <w:szCs w:val="24"/>
          <w:shd w:val="clear" w:color="auto" w:fill="FFFFFF"/>
        </w:rPr>
      </w:pPr>
      <w:r>
        <w:rPr>
          <w:rFonts w:eastAsia="Times New Roman" w:cstheme="minorHAnsi"/>
          <w:bCs/>
          <w:color w:val="0F1115"/>
          <w:sz w:val="24"/>
          <w:szCs w:val="24"/>
        </w:rPr>
        <w:t xml:space="preserve">• </w:t>
      </w:r>
      <w:r>
        <w:rPr>
          <w:rFonts w:eastAsia="Times New Roman" w:cstheme="minorHAnsi"/>
          <w:b/>
          <w:bCs/>
          <w:color w:val="0F1115"/>
          <w:sz w:val="24"/>
          <w:szCs w:val="24"/>
        </w:rPr>
        <w:t>Optimized for Analysis:</w:t>
      </w:r>
      <w:r>
        <w:rPr>
          <w:rFonts w:eastAsia="Times New Roman" w:cstheme="minorHAnsi"/>
          <w:bCs/>
          <w:color w:val="0F1115"/>
          <w:sz w:val="24"/>
          <w:szCs w:val="24"/>
        </w:rPr>
        <w:t xml:space="preserve"> It is intrinsically structured for aggregations, groupings, and trend analysis, which are essential for strategic decision-making, effectively aligning with the board's growth objectives.</w:t>
      </w:r>
    </w:p>
    <w:p w14:paraId="411270A5" w14:textId="77777777" w:rsidR="00AE63F9" w:rsidRDefault="00000000">
      <w:pPr>
        <w:pStyle w:val="Heading3"/>
        <w:shd w:val="clear" w:color="auto" w:fill="FFFFFF"/>
        <w:spacing w:before="480" w:after="240" w:line="360" w:lineRule="auto"/>
        <w:rPr>
          <w:rFonts w:asciiTheme="minorHAnsi" w:hAnsiTheme="minorHAnsi" w:cstheme="minorHAnsi"/>
          <w:color w:val="0F1115"/>
        </w:rPr>
      </w:pPr>
      <w:bookmarkStart w:id="6" w:name="_Toc213368058"/>
      <w:r>
        <w:rPr>
          <w:rStyle w:val="Strong"/>
          <w:rFonts w:asciiTheme="minorHAnsi" w:hAnsiTheme="minorHAnsi" w:cstheme="minorHAnsi"/>
          <w:bCs w:val="0"/>
          <w:color w:val="0F1115"/>
        </w:rPr>
        <w:t>Conclusion</w:t>
      </w:r>
      <w:bookmarkEnd w:id="6"/>
    </w:p>
    <w:p w14:paraId="7B784DE4" w14:textId="77777777" w:rsidR="00AE63F9" w:rsidRDefault="00AE63F9">
      <w:pPr>
        <w:spacing w:after="0" w:line="360" w:lineRule="auto"/>
        <w:rPr>
          <w:rStyle w:val="Strong"/>
          <w:rFonts w:cstheme="minorHAnsi"/>
          <w:color w:val="0F1115"/>
          <w:sz w:val="24"/>
          <w:szCs w:val="24"/>
          <w:shd w:val="clear" w:color="auto" w:fill="FFFFFF"/>
        </w:rPr>
      </w:pPr>
    </w:p>
    <w:p w14:paraId="51512FDE" w14:textId="77777777" w:rsidR="00AE63F9" w:rsidRDefault="00000000">
      <w:pPr>
        <w:spacing w:after="0" w:line="360" w:lineRule="auto"/>
        <w:rPr>
          <w:rStyle w:val="Strong"/>
          <w:rFonts w:eastAsia="Times New Roman" w:cstheme="minorHAnsi"/>
          <w:b w:val="0"/>
          <w:bCs w:val="0"/>
          <w:sz w:val="24"/>
          <w:szCs w:val="24"/>
        </w:rPr>
      </w:pPr>
      <w:r>
        <w:rPr>
          <w:rFonts w:eastAsia="Times New Roman" w:cstheme="minorHAnsi"/>
          <w:sz w:val="24"/>
          <w:szCs w:val="24"/>
        </w:rPr>
        <w:t>The shift to a Data Warehouse is a strategic investment that will significantly improve Rags'n'Riches Ltd.'s competitive advantage. By consolidating our fragmented data silos into a unified source of truth, we transition from reactive operational reporting to proactive, strategic analysis. This will provide profound insights into profitability, consumer behavior, and operational efficiency, directly aiding the board's goals to streamline operations and leverage future growth. A data warehouse ultimately converts extensive data from just historical transaction records into a crucial tool for steering the company's future</w:t>
      </w:r>
    </w:p>
    <w:p w14:paraId="32A64438" w14:textId="77777777" w:rsidR="00AE63F9" w:rsidRDefault="00000000">
      <w:pPr>
        <w:pStyle w:val="Heading3"/>
        <w:shd w:val="clear" w:color="auto" w:fill="FFFFFF"/>
        <w:spacing w:before="480" w:after="240" w:line="360" w:lineRule="auto"/>
        <w:rPr>
          <w:rFonts w:asciiTheme="minorHAnsi" w:hAnsiTheme="minorHAnsi" w:cstheme="minorHAnsi"/>
          <w:b/>
          <w:color w:val="0F1115"/>
        </w:rPr>
      </w:pPr>
      <w:bookmarkStart w:id="7" w:name="_Toc213368059"/>
      <w:r>
        <w:rPr>
          <w:rStyle w:val="Strong"/>
          <w:rFonts w:asciiTheme="minorHAnsi" w:hAnsiTheme="minorHAnsi" w:cstheme="minorHAnsi"/>
          <w:bCs w:val="0"/>
          <w:color w:val="0F1115"/>
        </w:rPr>
        <w:t>References</w:t>
      </w:r>
      <w:bookmarkEnd w:id="7"/>
    </w:p>
    <w:p w14:paraId="2F93F9C0"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t>Chen, L. &amp; Zhang, Y. (2023)</w:t>
      </w:r>
      <w:r>
        <w:rPr>
          <w:rFonts w:cstheme="minorHAnsi"/>
          <w:color w:val="0F1115"/>
          <w:sz w:val="24"/>
          <w:szCs w:val="24"/>
          <w:shd w:val="clear" w:color="auto" w:fill="FFFFFF"/>
        </w:rPr>
        <w:t> 'From Operational Data to Strategic Assets: The Role of Data Warehousing in SME Digital Transformation', </w:t>
      </w:r>
      <w:r>
        <w:rPr>
          <w:rStyle w:val="Emphasis"/>
          <w:rFonts w:cstheme="minorHAnsi"/>
          <w:color w:val="0F1115"/>
          <w:sz w:val="24"/>
          <w:szCs w:val="24"/>
          <w:shd w:val="clear" w:color="auto" w:fill="FFFFFF"/>
        </w:rPr>
        <w:t>Journal of Strategic Information Systems</w:t>
      </w:r>
      <w:r>
        <w:rPr>
          <w:rFonts w:cstheme="minorHAnsi"/>
          <w:color w:val="0F1115"/>
          <w:sz w:val="24"/>
          <w:szCs w:val="24"/>
          <w:shd w:val="clear" w:color="auto" w:fill="FFFFFF"/>
        </w:rPr>
        <w:t>, 32(2), pp. 101-125.</w:t>
      </w:r>
    </w:p>
    <w:p w14:paraId="5AE119AF"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t>Dubey, R., Singh, T. &amp; Malik, S. (2024)</w:t>
      </w:r>
      <w:r>
        <w:rPr>
          <w:rFonts w:cstheme="minorHAnsi"/>
          <w:color w:val="0F1115"/>
          <w:sz w:val="24"/>
          <w:szCs w:val="24"/>
          <w:shd w:val="clear" w:color="auto" w:fill="FFFFFF"/>
        </w:rPr>
        <w:t> 'Optimizing ETL Pipelines for Real-Time Analytics in Logistics and Inventory Management', </w:t>
      </w:r>
      <w:r>
        <w:rPr>
          <w:rStyle w:val="Emphasis"/>
          <w:rFonts w:cstheme="minorHAnsi"/>
          <w:color w:val="0F1115"/>
          <w:sz w:val="24"/>
          <w:szCs w:val="24"/>
          <w:shd w:val="clear" w:color="auto" w:fill="FFFFFF"/>
        </w:rPr>
        <w:t>International Journal of Information Management</w:t>
      </w:r>
      <w:r>
        <w:rPr>
          <w:rFonts w:cstheme="minorHAnsi"/>
          <w:color w:val="0F1115"/>
          <w:sz w:val="24"/>
          <w:szCs w:val="24"/>
          <w:shd w:val="clear" w:color="auto" w:fill="FFFFFF"/>
        </w:rPr>
        <w:t>, 74, p. 102345.</w:t>
      </w:r>
    </w:p>
    <w:p w14:paraId="08A32DBD"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lastRenderedPageBreak/>
        <w:t>Garcia, M. F. &amp; Schmidt, B. (2023)</w:t>
      </w:r>
      <w:r>
        <w:rPr>
          <w:rFonts w:cstheme="minorHAnsi"/>
          <w:color w:val="0F1115"/>
          <w:sz w:val="24"/>
          <w:szCs w:val="24"/>
          <w:shd w:val="clear" w:color="auto" w:fill="FFFFFF"/>
        </w:rPr>
        <w:t> 'Data Marts in Practice: Empowering Departmental Decision-Making in the Retail Sector', </w:t>
      </w:r>
      <w:r>
        <w:rPr>
          <w:rStyle w:val="Emphasis"/>
          <w:rFonts w:cstheme="minorHAnsi"/>
          <w:color w:val="0F1115"/>
          <w:sz w:val="24"/>
          <w:szCs w:val="24"/>
          <w:shd w:val="clear" w:color="auto" w:fill="FFFFFF"/>
        </w:rPr>
        <w:t>Business Intelligence Journal</w:t>
      </w:r>
      <w:r>
        <w:rPr>
          <w:rFonts w:cstheme="minorHAnsi"/>
          <w:color w:val="0F1115"/>
          <w:sz w:val="24"/>
          <w:szCs w:val="24"/>
          <w:shd w:val="clear" w:color="auto" w:fill="FFFFFF"/>
        </w:rPr>
        <w:t>, 28(1), pp. 45-62.</w:t>
      </w:r>
    </w:p>
    <w:p w14:paraId="771E52FF"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t>Khan, I. &amp; Peterson, E. (2022)</w:t>
      </w:r>
      <w:r>
        <w:rPr>
          <w:rFonts w:cstheme="minorHAnsi"/>
          <w:color w:val="0F1115"/>
          <w:sz w:val="24"/>
          <w:szCs w:val="24"/>
          <w:shd w:val="clear" w:color="auto" w:fill="FFFFFF"/>
        </w:rPr>
        <w:t> 'Dimensional Modeling in the Cloud: A Comparative Analysis of Star and Snowflake Schemas for Business Reporting', </w:t>
      </w:r>
      <w:r>
        <w:rPr>
          <w:rStyle w:val="Emphasis"/>
          <w:rFonts w:cstheme="minorHAnsi"/>
          <w:color w:val="0F1115"/>
          <w:sz w:val="24"/>
          <w:szCs w:val="24"/>
          <w:shd w:val="clear" w:color="auto" w:fill="FFFFFF"/>
        </w:rPr>
        <w:t>Journal of Data Warehousing</w:t>
      </w:r>
      <w:r>
        <w:rPr>
          <w:rFonts w:cstheme="minorHAnsi"/>
          <w:color w:val="0F1115"/>
          <w:sz w:val="24"/>
          <w:szCs w:val="24"/>
          <w:shd w:val="clear" w:color="auto" w:fill="FFFFFF"/>
        </w:rPr>
        <w:t>, 27(4), pp. 289-305.</w:t>
      </w:r>
    </w:p>
    <w:p w14:paraId="6162E856"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t>Li, W., Johnson, K. &amp; Davis, P. (2024)</w:t>
      </w:r>
      <w:r>
        <w:rPr>
          <w:rFonts w:cstheme="minorHAnsi"/>
          <w:color w:val="0F1115"/>
          <w:sz w:val="24"/>
          <w:szCs w:val="24"/>
          <w:shd w:val="clear" w:color="auto" w:fill="FFFFFF"/>
        </w:rPr>
        <w:t> 'Data Quality and Governance Frameworks for Ensuring Trust in Enterprise Data Warehouses', </w:t>
      </w:r>
      <w:r>
        <w:rPr>
          <w:rStyle w:val="Emphasis"/>
          <w:rFonts w:cstheme="minorHAnsi"/>
          <w:color w:val="0F1115"/>
          <w:sz w:val="24"/>
          <w:szCs w:val="24"/>
          <w:shd w:val="clear" w:color="auto" w:fill="FFFFFF"/>
        </w:rPr>
        <w:t>ACM Journal of Data and Information Quality</w:t>
      </w:r>
      <w:r>
        <w:rPr>
          <w:rFonts w:cstheme="minorHAnsi"/>
          <w:color w:val="0F1115"/>
          <w:sz w:val="24"/>
          <w:szCs w:val="24"/>
          <w:shd w:val="clear" w:color="auto" w:fill="FFFFFF"/>
        </w:rPr>
        <w:t>, 16(1), pp. 1-22.</w:t>
      </w:r>
    </w:p>
    <w:p w14:paraId="2A781412"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t>Miller, A. &amp; Zhou, X. (2023)</w:t>
      </w:r>
      <w:r>
        <w:rPr>
          <w:rFonts w:cstheme="minorHAnsi"/>
          <w:color w:val="0F1115"/>
          <w:sz w:val="24"/>
          <w:szCs w:val="24"/>
          <w:shd w:val="clear" w:color="auto" w:fill="FFFFFF"/>
        </w:rPr>
        <w:t> 'Cost-Benefit Analysis of Data Warehouse Implementations in Medium-Sized Enterprises: A Longitudinal Study', </w:t>
      </w:r>
      <w:r>
        <w:rPr>
          <w:rStyle w:val="Emphasis"/>
          <w:rFonts w:cstheme="minorHAnsi"/>
          <w:color w:val="0F1115"/>
          <w:sz w:val="24"/>
          <w:szCs w:val="24"/>
          <w:shd w:val="clear" w:color="auto" w:fill="FFFFFF"/>
        </w:rPr>
        <w:t>International Journal of Business Analytics</w:t>
      </w:r>
      <w:r>
        <w:rPr>
          <w:rFonts w:cstheme="minorHAnsi"/>
          <w:color w:val="0F1115"/>
          <w:sz w:val="24"/>
          <w:szCs w:val="24"/>
          <w:shd w:val="clear" w:color="auto" w:fill="FFFFFF"/>
        </w:rPr>
        <w:t>, 10(3), pp. 55-78.</w:t>
      </w:r>
    </w:p>
    <w:p w14:paraId="5BA6AE6F"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t>O'Connell, S. (2022)</w:t>
      </w:r>
      <w:r>
        <w:rPr>
          <w:rFonts w:cstheme="minorHAnsi"/>
          <w:color w:val="0F1115"/>
          <w:sz w:val="24"/>
          <w:szCs w:val="24"/>
          <w:shd w:val="clear" w:color="auto" w:fill="FFFFFF"/>
        </w:rPr>
        <w:t> 'The Modern Data Stack: Integrating OLTP and OLAP Systems for Agile Business Intelligence', </w:t>
      </w:r>
      <w:r>
        <w:rPr>
          <w:rStyle w:val="Emphasis"/>
          <w:rFonts w:cstheme="minorHAnsi"/>
          <w:color w:val="0F1115"/>
          <w:sz w:val="24"/>
          <w:szCs w:val="24"/>
          <w:shd w:val="clear" w:color="auto" w:fill="FFFFFF"/>
        </w:rPr>
        <w:t>Communications of the ACM</w:t>
      </w:r>
      <w:r>
        <w:rPr>
          <w:rFonts w:cstheme="minorHAnsi"/>
          <w:color w:val="0F1115"/>
          <w:sz w:val="24"/>
          <w:szCs w:val="24"/>
          <w:shd w:val="clear" w:color="auto" w:fill="FFFFFF"/>
        </w:rPr>
        <w:t>, 65(8), pp. 50-57.</w:t>
      </w:r>
    </w:p>
    <w:p w14:paraId="247EC57F"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t>Patel, R. &amp; Kim, J. (2023)</w:t>
      </w:r>
      <w:r>
        <w:rPr>
          <w:rFonts w:cstheme="minorHAnsi"/>
          <w:color w:val="0F1115"/>
          <w:sz w:val="24"/>
          <w:szCs w:val="24"/>
          <w:shd w:val="clear" w:color="auto" w:fill="FFFFFF"/>
        </w:rPr>
        <w:t> 'Fueling Decisions: Using Data Warehouses to Analyze Operational Costs in Fleet Management', </w:t>
      </w:r>
      <w:r>
        <w:rPr>
          <w:rStyle w:val="Emphasis"/>
          <w:rFonts w:cstheme="minorHAnsi"/>
          <w:color w:val="0F1115"/>
          <w:sz w:val="24"/>
          <w:szCs w:val="24"/>
          <w:shd w:val="clear" w:color="auto" w:fill="FFFFFF"/>
        </w:rPr>
        <w:t>Journal of Operations Management</w:t>
      </w:r>
      <w:r>
        <w:rPr>
          <w:rFonts w:cstheme="minorHAnsi"/>
          <w:color w:val="0F1115"/>
          <w:sz w:val="24"/>
          <w:szCs w:val="24"/>
          <w:shd w:val="clear" w:color="auto" w:fill="FFFFFF"/>
        </w:rPr>
        <w:t>, 69(2), pp. 112-130.</w:t>
      </w:r>
    </w:p>
    <w:p w14:paraId="2E6B6591"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t>Thompson, H. &amp; Martinez, K. (2021)</w:t>
      </w:r>
      <w:r>
        <w:rPr>
          <w:rFonts w:cstheme="minorHAnsi"/>
          <w:color w:val="0F1115"/>
          <w:sz w:val="24"/>
          <w:szCs w:val="24"/>
          <w:shd w:val="clear" w:color="auto" w:fill="FFFFFF"/>
        </w:rPr>
        <w:t> 'Beyond Profitability: Using Customer Analytics from Data Warehouses to Drive Retention and Growth', </w:t>
      </w:r>
      <w:r>
        <w:rPr>
          <w:rStyle w:val="Emphasis"/>
          <w:rFonts w:cstheme="minorHAnsi"/>
          <w:color w:val="0F1115"/>
          <w:sz w:val="24"/>
          <w:szCs w:val="24"/>
          <w:shd w:val="clear" w:color="auto" w:fill="FFFFFF"/>
        </w:rPr>
        <w:t>Journal of Marketing Analytics</w:t>
      </w:r>
      <w:r>
        <w:rPr>
          <w:rFonts w:cstheme="minorHAnsi"/>
          <w:color w:val="0F1115"/>
          <w:sz w:val="24"/>
          <w:szCs w:val="24"/>
          <w:shd w:val="clear" w:color="auto" w:fill="FFFFFF"/>
        </w:rPr>
        <w:t>, 9(4), pp. 245-260.</w:t>
      </w:r>
    </w:p>
    <w:p w14:paraId="692429A4"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t>Williams, D. &amp; Brown, A. (2024)</w:t>
      </w:r>
      <w:r>
        <w:rPr>
          <w:rFonts w:cstheme="minorHAnsi"/>
          <w:color w:val="0F1115"/>
          <w:sz w:val="24"/>
          <w:szCs w:val="24"/>
          <w:shd w:val="clear" w:color="auto" w:fill="FFFFFF"/>
        </w:rPr>
        <w:t> 'Agile Approaches to Data Warehouse Development: Reducing Risk and Time-to-Value', </w:t>
      </w:r>
      <w:r>
        <w:rPr>
          <w:rStyle w:val="Emphasis"/>
          <w:rFonts w:cstheme="minorHAnsi"/>
          <w:color w:val="0F1115"/>
          <w:sz w:val="24"/>
          <w:szCs w:val="24"/>
          <w:shd w:val="clear" w:color="auto" w:fill="FFFFFF"/>
        </w:rPr>
        <w:t>IEEE Transactions on Knowledge and Data Engineering</w:t>
      </w:r>
      <w:r>
        <w:rPr>
          <w:rFonts w:cstheme="minorHAnsi"/>
          <w:color w:val="0F1115"/>
          <w:sz w:val="24"/>
          <w:szCs w:val="24"/>
          <w:shd w:val="clear" w:color="auto" w:fill="FFFFFF"/>
        </w:rPr>
        <w:t>, 36(5), pp. 2100-2115.</w:t>
      </w:r>
    </w:p>
    <w:p w14:paraId="2B5E5ABC"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t>Almeida, P. &amp; Costa, C. (2023)</w:t>
      </w:r>
      <w:r>
        <w:rPr>
          <w:rFonts w:cstheme="minorHAnsi"/>
          <w:color w:val="0F1115"/>
          <w:sz w:val="24"/>
          <w:szCs w:val="24"/>
          <w:shd w:val="clear" w:color="auto" w:fill="FFFFFF"/>
        </w:rPr>
        <w:t> 'Slowly Changing Dimensions in Practice: A Framework for Tracking Historical Data in Asset-Intensive Rental Businesses', </w:t>
      </w:r>
      <w:r>
        <w:rPr>
          <w:rStyle w:val="Emphasis"/>
          <w:rFonts w:cstheme="minorHAnsi"/>
          <w:color w:val="0F1115"/>
          <w:sz w:val="24"/>
          <w:szCs w:val="24"/>
          <w:shd w:val="clear" w:color="auto" w:fill="FFFFFF"/>
        </w:rPr>
        <w:t>Data &amp; Knowledge Engineering</w:t>
      </w:r>
      <w:r>
        <w:rPr>
          <w:rFonts w:cstheme="minorHAnsi"/>
          <w:color w:val="0F1115"/>
          <w:sz w:val="24"/>
          <w:szCs w:val="24"/>
          <w:shd w:val="clear" w:color="auto" w:fill="FFFFFF"/>
        </w:rPr>
        <w:t>, 145, p. 102-118.</w:t>
      </w:r>
    </w:p>
    <w:p w14:paraId="5DCBB630"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t>Fletcher, G. &amp; Wallace, M. (2022)</w:t>
      </w:r>
      <w:r>
        <w:rPr>
          <w:rFonts w:cstheme="minorHAnsi"/>
          <w:color w:val="0F1115"/>
          <w:sz w:val="24"/>
          <w:szCs w:val="24"/>
          <w:shd w:val="clear" w:color="auto" w:fill="FFFFFF"/>
        </w:rPr>
        <w:t> 'The Impact of Real-Time Inventory Visibility on Customer Satisfaction in Multi-Warehouse Environments', </w:t>
      </w:r>
      <w:r>
        <w:rPr>
          <w:rStyle w:val="Emphasis"/>
          <w:rFonts w:cstheme="minorHAnsi"/>
          <w:color w:val="0F1115"/>
          <w:sz w:val="24"/>
          <w:szCs w:val="24"/>
          <w:shd w:val="clear" w:color="auto" w:fill="FFFFFF"/>
        </w:rPr>
        <w:t>International Journal of Production Economics</w:t>
      </w:r>
      <w:r>
        <w:rPr>
          <w:rFonts w:cstheme="minorHAnsi"/>
          <w:color w:val="0F1115"/>
          <w:sz w:val="24"/>
          <w:szCs w:val="24"/>
          <w:shd w:val="clear" w:color="auto" w:fill="FFFFFF"/>
        </w:rPr>
        <w:t>, 245, p. 108-112.</w:t>
      </w:r>
    </w:p>
    <w:p w14:paraId="6B192BBF" w14:textId="77777777" w:rsidR="00AE63F9" w:rsidRDefault="00000000">
      <w:pPr>
        <w:pStyle w:val="ListParagraph"/>
        <w:numPr>
          <w:ilvl w:val="0"/>
          <w:numId w:val="8"/>
        </w:numPr>
        <w:spacing w:after="0" w:line="360" w:lineRule="auto"/>
        <w:rPr>
          <w:rFonts w:cstheme="minorHAnsi"/>
          <w:color w:val="0F1115"/>
          <w:sz w:val="24"/>
          <w:szCs w:val="24"/>
          <w:shd w:val="clear" w:color="auto" w:fill="FFFFFF"/>
        </w:rPr>
      </w:pPr>
      <w:r>
        <w:rPr>
          <w:rStyle w:val="Strong"/>
          <w:rFonts w:cstheme="minorHAnsi"/>
          <w:b w:val="0"/>
          <w:bCs w:val="0"/>
          <w:color w:val="0F1115"/>
          <w:sz w:val="24"/>
          <w:szCs w:val="24"/>
          <w:shd w:val="clear" w:color="auto" w:fill="FFFFFF"/>
        </w:rPr>
        <w:lastRenderedPageBreak/>
        <w:t>Ibrahim, A., Thompson, S. &amp; Lloyd, R. (2024)</w:t>
      </w:r>
      <w:r>
        <w:rPr>
          <w:rFonts w:cstheme="minorHAnsi"/>
          <w:color w:val="0F1115"/>
          <w:sz w:val="24"/>
          <w:szCs w:val="24"/>
          <w:shd w:val="clear" w:color="auto" w:fill="FFFFFF"/>
        </w:rPr>
        <w:t> 'Ethical Data Governance and Privacy in Customer Analytics: A Framework for Compliance', </w:t>
      </w:r>
      <w:r>
        <w:rPr>
          <w:rStyle w:val="Emphasis"/>
          <w:rFonts w:cstheme="minorHAnsi"/>
          <w:color w:val="0F1115"/>
          <w:sz w:val="24"/>
          <w:szCs w:val="24"/>
          <w:shd w:val="clear" w:color="auto" w:fill="FFFFFF"/>
        </w:rPr>
        <w:t>Journal of Business Ethics</w:t>
      </w:r>
      <w:r>
        <w:rPr>
          <w:rFonts w:cstheme="minorHAnsi"/>
          <w:color w:val="0F1115"/>
          <w:sz w:val="24"/>
          <w:szCs w:val="24"/>
          <w:shd w:val="clear" w:color="auto" w:fill="FFFFFF"/>
        </w:rPr>
        <w:t>, 189(1), pp. 45-63.</w:t>
      </w:r>
    </w:p>
    <w:p w14:paraId="3FB03633" w14:textId="77777777" w:rsidR="00AE63F9" w:rsidRDefault="00000000">
      <w:pPr>
        <w:pStyle w:val="ds-markdown-paragraph"/>
        <w:numPr>
          <w:ilvl w:val="0"/>
          <w:numId w:val="8"/>
        </w:numPr>
        <w:shd w:val="clear" w:color="auto" w:fill="FFFFFF"/>
        <w:spacing w:after="120" w:afterAutospacing="0" w:line="360" w:lineRule="auto"/>
        <w:rPr>
          <w:rFonts w:asciiTheme="minorHAnsi" w:hAnsiTheme="minorHAnsi" w:cstheme="minorHAnsi"/>
          <w:color w:val="0F1115"/>
        </w:rPr>
      </w:pPr>
      <w:r>
        <w:rPr>
          <w:rStyle w:val="Strong"/>
          <w:rFonts w:asciiTheme="minorHAnsi" w:hAnsiTheme="minorHAnsi" w:cstheme="minorHAnsi"/>
          <w:b w:val="0"/>
          <w:bCs w:val="0"/>
          <w:color w:val="0F1115"/>
        </w:rPr>
        <w:t>Nguyen, T. &amp; Smith, J. (2023)</w:t>
      </w:r>
      <w:r>
        <w:rPr>
          <w:rFonts w:asciiTheme="minorHAnsi" w:hAnsiTheme="minorHAnsi" w:cstheme="minorHAnsi"/>
          <w:color w:val="0F1115"/>
        </w:rPr>
        <w:t> 'Predictive Analytics for Inventory Acquisition: A Data Warehousing and Machine Learning Approach', </w:t>
      </w:r>
      <w:r>
        <w:rPr>
          <w:rStyle w:val="Emphasis"/>
          <w:rFonts w:asciiTheme="minorHAnsi" w:hAnsiTheme="minorHAnsi" w:cstheme="minorHAnsi"/>
          <w:color w:val="0F1115"/>
        </w:rPr>
        <w:t>Decision Support Systems</w:t>
      </w:r>
      <w:r>
        <w:rPr>
          <w:rFonts w:asciiTheme="minorHAnsi" w:hAnsiTheme="minorHAnsi" w:cstheme="minorHAnsi"/>
          <w:color w:val="0F1115"/>
        </w:rPr>
        <w:t>, 172, p. 113-125.</w:t>
      </w:r>
    </w:p>
    <w:p w14:paraId="661C0716" w14:textId="77777777" w:rsidR="00AE63F9" w:rsidRDefault="00000000" w:rsidP="00DC730F">
      <w:pPr>
        <w:pStyle w:val="ds-markdown-paragraph"/>
        <w:numPr>
          <w:ilvl w:val="0"/>
          <w:numId w:val="8"/>
        </w:numPr>
        <w:shd w:val="clear" w:color="auto" w:fill="FFFFFF"/>
        <w:spacing w:after="120" w:afterAutospacing="0" w:line="360" w:lineRule="auto"/>
        <w:rPr>
          <w:rFonts w:asciiTheme="minorHAnsi" w:hAnsiTheme="minorHAnsi" w:cstheme="minorHAnsi"/>
          <w:color w:val="0F1115"/>
        </w:rPr>
      </w:pPr>
      <w:r w:rsidRPr="00DC730F">
        <w:rPr>
          <w:rStyle w:val="Strong"/>
          <w:rFonts w:asciiTheme="minorHAnsi" w:hAnsiTheme="minorHAnsi" w:cstheme="minorHAnsi"/>
          <w:b w:val="0"/>
          <w:bCs w:val="0"/>
          <w:color w:val="0F1115"/>
          <w:shd w:val="clear" w:color="auto" w:fill="FFFFFF"/>
        </w:rPr>
        <w:t>Richardson, V. &amp; O'Brien, C. (2022)</w:t>
      </w:r>
      <w:r w:rsidRPr="00DC730F">
        <w:rPr>
          <w:rFonts w:asciiTheme="minorHAnsi" w:hAnsiTheme="minorHAnsi" w:cstheme="minorHAnsi"/>
          <w:color w:val="0F1115"/>
          <w:shd w:val="clear" w:color="auto" w:fill="FFFFFF"/>
        </w:rPr>
        <w:t> 'Dashboard Design for Non-Technical Executives: Bridging the Gap Between Data and Strategic Decision-Making', </w:t>
      </w:r>
      <w:r w:rsidRPr="00DC730F">
        <w:rPr>
          <w:rStyle w:val="Emphasis"/>
          <w:rFonts w:asciiTheme="minorHAnsi" w:hAnsiTheme="minorHAnsi" w:cstheme="minorHAnsi"/>
          <w:color w:val="0F1115"/>
          <w:shd w:val="clear" w:color="auto" w:fill="FFFFFF"/>
        </w:rPr>
        <w:t>Information &amp; Management</w:t>
      </w:r>
      <w:r w:rsidRPr="00DC730F">
        <w:rPr>
          <w:rFonts w:asciiTheme="minorHAnsi" w:hAnsiTheme="minorHAnsi" w:cstheme="minorHAnsi"/>
          <w:color w:val="0F1115"/>
          <w:shd w:val="clear" w:color="auto" w:fill="FFFFFF"/>
        </w:rPr>
        <w:t>, 59(5), p. 103-115.</w:t>
      </w:r>
    </w:p>
    <w:sectPr w:rsidR="00AE63F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F1EAD" w14:textId="77777777" w:rsidR="000C1E8E" w:rsidRDefault="000C1E8E">
      <w:pPr>
        <w:spacing w:line="240" w:lineRule="auto"/>
      </w:pPr>
      <w:r>
        <w:separator/>
      </w:r>
    </w:p>
  </w:endnote>
  <w:endnote w:type="continuationSeparator" w:id="0">
    <w:p w14:paraId="3F33E174" w14:textId="77777777" w:rsidR="000C1E8E" w:rsidRDefault="000C1E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6D411" w14:textId="77777777" w:rsidR="000C1E8E" w:rsidRDefault="000C1E8E">
      <w:pPr>
        <w:spacing w:after="0"/>
      </w:pPr>
      <w:r>
        <w:separator/>
      </w:r>
    </w:p>
  </w:footnote>
  <w:footnote w:type="continuationSeparator" w:id="0">
    <w:p w14:paraId="33DAF070" w14:textId="77777777" w:rsidR="000C1E8E" w:rsidRDefault="000C1E8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426D0"/>
    <w:multiLevelType w:val="multilevel"/>
    <w:tmpl w:val="029426D0"/>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B9325B0"/>
    <w:multiLevelType w:val="multilevel"/>
    <w:tmpl w:val="0B9325B0"/>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2E79037B"/>
    <w:multiLevelType w:val="multilevel"/>
    <w:tmpl w:val="2E79037B"/>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3" w15:restartNumberingAfterBreak="0">
    <w:nsid w:val="4AB95DEF"/>
    <w:multiLevelType w:val="multilevel"/>
    <w:tmpl w:val="4AB95DE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6BF72FEF"/>
    <w:multiLevelType w:val="multilevel"/>
    <w:tmpl w:val="6BF72FE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6DE00AAC"/>
    <w:multiLevelType w:val="multilevel"/>
    <w:tmpl w:val="6DE00AAC"/>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02504A5"/>
    <w:multiLevelType w:val="multilevel"/>
    <w:tmpl w:val="702504A5"/>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7177265B"/>
    <w:multiLevelType w:val="multilevel"/>
    <w:tmpl w:val="7177265B"/>
    <w:lvl w:ilvl="0">
      <w:start w:val="1"/>
      <w:numFmt w:val="bullet"/>
      <w:lvlText w:val=""/>
      <w:lvlJc w:val="left"/>
      <w:pPr>
        <w:tabs>
          <w:tab w:val="left" w:pos="720"/>
        </w:tabs>
        <w:ind w:left="720" w:hanging="360"/>
      </w:pPr>
      <w:rPr>
        <w:rFonts w:ascii="Symbol" w:hAnsi="Symbol" w:hint="default"/>
        <w:sz w:val="20"/>
      </w:rPr>
    </w:lvl>
    <w:lvl w:ilvl="1">
      <w:start w:val="1"/>
      <w:numFmt w:val="decimal"/>
      <w:lvlText w:val="%2."/>
      <w:lvlJc w:val="left"/>
      <w:pPr>
        <w:tabs>
          <w:tab w:val="left" w:pos="1440"/>
        </w:tabs>
        <w:ind w:left="1440" w:hanging="360"/>
      </w:p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765813120">
    <w:abstractNumId w:val="2"/>
  </w:num>
  <w:num w:numId="2" w16cid:durableId="1744255588">
    <w:abstractNumId w:val="4"/>
  </w:num>
  <w:num w:numId="3" w16cid:durableId="131796385">
    <w:abstractNumId w:val="0"/>
  </w:num>
  <w:num w:numId="4" w16cid:durableId="1441220673">
    <w:abstractNumId w:val="1"/>
  </w:num>
  <w:num w:numId="5" w16cid:durableId="345132850">
    <w:abstractNumId w:val="6"/>
  </w:num>
  <w:num w:numId="6" w16cid:durableId="1485926849">
    <w:abstractNumId w:val="7"/>
  </w:num>
  <w:num w:numId="7" w16cid:durableId="66999777">
    <w:abstractNumId w:val="3"/>
  </w:num>
  <w:num w:numId="8" w16cid:durableId="1351004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40B6"/>
    <w:rsid w:val="00003F3B"/>
    <w:rsid w:val="000C1E8E"/>
    <w:rsid w:val="000F54E5"/>
    <w:rsid w:val="00141672"/>
    <w:rsid w:val="001E06D4"/>
    <w:rsid w:val="00262D8A"/>
    <w:rsid w:val="002670C3"/>
    <w:rsid w:val="00362DF6"/>
    <w:rsid w:val="003727D4"/>
    <w:rsid w:val="00434DC4"/>
    <w:rsid w:val="0044481D"/>
    <w:rsid w:val="005362B4"/>
    <w:rsid w:val="00716CFC"/>
    <w:rsid w:val="007533E1"/>
    <w:rsid w:val="00786BAB"/>
    <w:rsid w:val="007D120F"/>
    <w:rsid w:val="00890586"/>
    <w:rsid w:val="0089220D"/>
    <w:rsid w:val="008A2A2F"/>
    <w:rsid w:val="009C1599"/>
    <w:rsid w:val="009D1486"/>
    <w:rsid w:val="00A12100"/>
    <w:rsid w:val="00A47A0A"/>
    <w:rsid w:val="00AB51B5"/>
    <w:rsid w:val="00AD5137"/>
    <w:rsid w:val="00AE63F9"/>
    <w:rsid w:val="00B20F2B"/>
    <w:rsid w:val="00C01E85"/>
    <w:rsid w:val="00CC40B6"/>
    <w:rsid w:val="00D9252F"/>
    <w:rsid w:val="00DC730F"/>
    <w:rsid w:val="00F8207C"/>
    <w:rsid w:val="382D5ED9"/>
    <w:rsid w:val="4905790D"/>
    <w:rsid w:val="68963D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5D86C9D"/>
  <w15:docId w15:val="{BE514CB1-6EC0-4338-9920-BC9C5A00F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qFormat="1"/>
    <w:lsdException w:name="HTML Definition" w:semiHidden="1" w:unhideWhenUsed="1"/>
    <w:lsdException w:name="HTML Keyboard" w:semiHidden="1" w:unhideWhenUsed="1"/>
    <w:lsdException w:name="HTML Preformatted" w:semiHidden="1" w:unhideWhenUsed="1" w:qFormat="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val="en-US" w:eastAsia="en-US"/>
    </w:rPr>
  </w:style>
  <w:style w:type="paragraph" w:styleId="Heading1">
    <w:name w:val="heading 1"/>
    <w:basedOn w:val="Normal"/>
    <w:link w:val="Heading1Char"/>
    <w:uiPriority w:val="9"/>
    <w:qFormat/>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4E79" w:themeColor="accent1" w:themeShade="80"/>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character" w:styleId="HTMLCode">
    <w:name w:val="HTML Code"/>
    <w:basedOn w:val="DefaultParagraphFont"/>
    <w:uiPriority w:val="99"/>
    <w:semiHidden/>
    <w:unhideWhenUsed/>
    <w:qFormat/>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qFormat/>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autoRedefine/>
    <w:uiPriority w:val="39"/>
    <w:unhideWhenUsed/>
    <w:qFormat/>
    <w:pPr>
      <w:spacing w:after="100"/>
      <w:ind w:left="440"/>
    </w:pPr>
  </w:style>
  <w:style w:type="character" w:customStyle="1" w:styleId="Heading1Char">
    <w:name w:val="Heading 1 Char"/>
    <w:basedOn w:val="DefaultParagraphFont"/>
    <w:link w:val="Heading1"/>
    <w:uiPriority w:val="9"/>
    <w:qFormat/>
    <w:rPr>
      <w:rFonts w:ascii="Times New Roman" w:eastAsia="Times New Roman" w:hAnsi="Times New Roman" w:cs="Times New Roman"/>
      <w:b/>
      <w:bCs/>
      <w:kern w:val="36"/>
      <w:sz w:val="48"/>
      <w:szCs w:val="48"/>
    </w:rPr>
  </w:style>
  <w:style w:type="paragraph" w:customStyle="1" w:styleId="ds-markdown-paragraph">
    <w:name w:val="ds-markdown-paragraph"/>
    <w:basedOn w:val="Normal"/>
    <w:qFormat/>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HTMLPreformattedChar">
    <w:name w:val="HTML Preformatted Char"/>
    <w:basedOn w:val="DefaultParagraphFont"/>
    <w:link w:val="HTMLPreformatted"/>
    <w:uiPriority w:val="99"/>
    <w:semiHidden/>
    <w:qFormat/>
    <w:rPr>
      <w:rFonts w:ascii="Courier New" w:eastAsia="Times New Roman" w:hAnsi="Courier New" w:cs="Courier New"/>
      <w:sz w:val="20"/>
      <w:szCs w:val="20"/>
    </w:rPr>
  </w:style>
  <w:style w:type="character" w:customStyle="1" w:styleId="Heading3Char">
    <w:name w:val="Heading 3 Char"/>
    <w:basedOn w:val="DefaultParagraphFont"/>
    <w:link w:val="Heading3"/>
    <w:uiPriority w:val="9"/>
    <w:qFormat/>
    <w:rPr>
      <w:rFonts w:asciiTheme="majorHAnsi" w:eastAsiaTheme="majorEastAsia" w:hAnsiTheme="majorHAnsi" w:cstheme="majorBidi"/>
      <w:color w:val="1F4E79" w:themeColor="accent1" w:themeShade="80"/>
      <w:sz w:val="24"/>
      <w:szCs w:val="24"/>
    </w:rPr>
  </w:style>
  <w:style w:type="paragraph" w:customStyle="1" w:styleId="TOCHeading1">
    <w:name w:val="TOC Heading1"/>
    <w:basedOn w:val="Heading1"/>
    <w:next w:val="Normal"/>
    <w:uiPriority w:val="39"/>
    <w:unhideWhenUsed/>
    <w:qFormat/>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2E74B5" w:themeColor="accent1" w:themeShade="BF"/>
    </w:rPr>
  </w:style>
  <w:style w:type="table" w:customStyle="1" w:styleId="PlainTable31">
    <w:name w:val="Plain Table 31"/>
    <w:basedOn w:val="TableNormal"/>
    <w:uiPriority w:val="43"/>
    <w:qFormat/>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Spacing">
    <w:name w:val="No Spacing"/>
    <w:link w:val="NoSpacingChar"/>
    <w:uiPriority w:val="1"/>
    <w:qFormat/>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qFormat/>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AEEE38B-73DB-4EC9-97E1-39939A4EA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2118</TotalTime>
  <Pages>16</Pages>
  <Words>2973</Words>
  <Characters>16950</Characters>
  <Application>Microsoft Office Word</Application>
  <DocSecurity>0</DocSecurity>
  <Lines>141</Lines>
  <Paragraphs>39</Paragraphs>
  <ScaleCrop>false</ScaleCrop>
  <Company/>
  <LinksUpToDate>false</LinksUpToDate>
  <CharactersWithSpaces>19884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-1</dc:title>
  <dc:creator>AK</dc:creator>
  <cp:lastModifiedBy>Umme Noor</cp:lastModifiedBy>
  <cp:revision>17</cp:revision>
  <dcterms:created xsi:type="dcterms:W3CDTF">2025-11-02T18:49:00Z</dcterms:created>
  <dcterms:modified xsi:type="dcterms:W3CDTF">2025-11-07T10:04:00Z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94826E429C6D4CF494586967BBD5C98D_12</vt:lpwstr>
  </property>
</Properties>
</file>