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media/image1.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r>
        <w:rPr>
          <w:b/>
          <w:lang w:val="en-GB"/>
        </w:rPr>
        <w:t>BUILDING GLOBAL PARTNERSHIPS</w:t>
      </w:r>
    </w:p>
    <w:p>
      <w:pPr>
        <w:spacing w:after="160" w:line="259" w:lineRule="auto"/>
        <w:jc w:val="center"/>
        <w:rPr>
          <w:rFonts w:hint="default"/>
          <w:lang w:val="en-US"/>
        </w:rPr>
      </w:pPr>
      <w:r>
        <w:rPr>
          <w:lang w:val="en-GB"/>
        </w:rPr>
        <w:t>Student Name</w:t>
      </w:r>
      <w:r>
        <w:rPr>
          <w:rFonts w:hint="default"/>
          <w:lang w:val="en-US"/>
        </w:rPr>
        <w:t xml:space="preserve"> Qinhao Meng</w:t>
      </w:r>
    </w:p>
    <w:p>
      <w:pPr>
        <w:spacing w:after="160" w:line="259" w:lineRule="auto"/>
        <w:jc w:val="center"/>
        <w:rPr>
          <w:lang w:val="en-GB"/>
        </w:rPr>
      </w:pPr>
    </w:p>
    <w:p>
      <w:pPr>
        <w:spacing w:after="160" w:line="259" w:lineRule="auto"/>
        <w:ind w:firstLine="3120" w:firstLineChars="1300"/>
        <w:jc w:val="both"/>
        <w:rPr>
          <w:rFonts w:hint="default"/>
          <w:lang w:val="en-US"/>
        </w:rPr>
      </w:pPr>
      <w:r>
        <w:rPr>
          <w:lang w:val="en-GB"/>
        </w:rPr>
        <w:t xml:space="preserve">Student </w:t>
      </w:r>
      <w:r>
        <w:rPr>
          <w:rFonts w:hint="default"/>
          <w:lang w:val="en-US"/>
        </w:rPr>
        <w:t xml:space="preserve"> ID 1900502</w:t>
      </w: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pStyle w:val="2"/>
        <w:rPr>
          <w:lang w:val="en-GB"/>
        </w:rPr>
      </w:pPr>
      <w:bookmarkStart w:id="0" w:name="_Toc37785878"/>
    </w:p>
    <w:p>
      <w:pPr>
        <w:pStyle w:val="2"/>
        <w:rPr>
          <w:lang w:val="en-GB"/>
        </w:rPr>
      </w:pPr>
      <w:bookmarkStart w:id="24" w:name="_GoBack"/>
      <w:bookmarkEnd w:id="24"/>
      <w:r>
        <w:rPr>
          <w:lang w:val="en-GB"/>
        </w:rPr>
        <w:t>EXECUTIVE SUMMARY</w:t>
      </w:r>
      <w:bookmarkEnd w:id="0"/>
    </w:p>
    <w:p>
      <w:pPr>
        <w:jc w:val="both"/>
        <w:rPr>
          <w:lang w:val="en-GB"/>
        </w:rPr>
      </w:pPr>
      <w:r>
        <w:rPr>
          <w:lang w:val="en-GB"/>
        </w:rPr>
        <w:t xml:space="preserve">This report will assist a UK based company in its global transitional process, as it proposes to enter into business partnership with Japan and expand its “retail jewellery” business operations in the Asian market region. The findings and discussions of this report will guide the managers of the UK based company in understanding and implementing the required skills and competencies that are vital in building strong global partnerships. The report will bridge the gap between two culturally diverse nations by creating an understanding and respect for the local cultures of the nations. The report will also mention the required skills to be developed and their positive impact on the revenues of the business. It will also mention some of the reasons and their impact if the firm fails to develop healthy business communications and partnerships with its global partners. Japanese jewellery market is continuously accelerating at a tremendous pace of 2.9% CAGR annually. By building strong business partnership with Japan, the UK based firm can take advantages of the opportunities present in both domestic and global markets. The report will also recommend some policies and approaches for the company which can further accelerate the growth of the business if successfully implemented. </w:t>
      </w: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sdt>
      <w:sdtPr>
        <w:rPr>
          <w:rFonts w:ascii="Times New Roman" w:hAnsi="Times New Roman" w:cs="Times New Roman" w:eastAsiaTheme="minorHAnsi"/>
          <w:b/>
          <w:color w:val="auto"/>
          <w:sz w:val="24"/>
          <w:szCs w:val="24"/>
          <w:lang w:val="en-GB"/>
        </w:rPr>
        <w:id w:val="-425886182"/>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26"/>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TABLE OF CONTENTS</w:t>
          </w:r>
        </w:p>
        <w:p>
          <w:pPr>
            <w:pStyle w:val="10"/>
            <w:tabs>
              <w:tab w:val="right" w:leader="dot" w:pos="9016"/>
            </w:tabs>
            <w:rPr>
              <w:rFonts w:asciiTheme="minorHAnsi" w:hAnsiTheme="minorHAnsi" w:eastAsiaTheme="minorEastAsia"/>
              <w:szCs w:val="24"/>
              <w:lang w:val="zh-CN"/>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"_Toc37785878" </w:instrText>
          </w:r>
          <w:r>
            <w:fldChar w:fldCharType="separate"/>
          </w:r>
          <w:r>
            <w:rPr>
              <w:rStyle w:val="17"/>
              <w:lang w:val="en-GB"/>
            </w:rPr>
            <w:t>EXECUTIVE SUMMARY</w:t>
          </w:r>
          <w:r>
            <w:tab/>
          </w:r>
          <w:r>
            <w:fldChar w:fldCharType="begin"/>
          </w:r>
          <w:r>
            <w:instrText xml:space="preserve"> PAGEREF _Toc37785878 \h </w:instrText>
          </w:r>
          <w:r>
            <w:fldChar w:fldCharType="separate"/>
          </w:r>
          <w:r>
            <w:t>2</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"_Toc37785879" </w:instrText>
          </w:r>
          <w:r>
            <w:fldChar w:fldCharType="separate"/>
          </w:r>
          <w:r>
            <w:rPr>
              <w:rStyle w:val="17"/>
              <w:lang w:val="en-GB"/>
            </w:rPr>
            <w:t>1: INTRODUCTION</w:t>
          </w:r>
          <w:r>
            <w:tab/>
          </w:r>
          <w:r>
            <w:fldChar w:fldCharType="begin"/>
          </w:r>
          <w:r>
            <w:instrText xml:space="preserve"> PAGEREF _Toc37785879 \h </w:instrText>
          </w:r>
          <w:r>
            <w:fldChar w:fldCharType="separate"/>
          </w:r>
          <w:r>
            <w:t>5</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"_Toc37785880" </w:instrText>
          </w:r>
          <w:r>
            <w:fldChar w:fldCharType="separate"/>
          </w:r>
          <w:r>
            <w:rPr>
              <w:rStyle w:val="17"/>
              <w:lang w:val="en-GB"/>
            </w:rPr>
            <w:t>2: SKILLS AND COMPETENCIES REQUIRED FOR BUILDING RELATIONSHIPS WITH GLOBAL PARTNERS</w:t>
          </w:r>
          <w:r>
            <w:tab/>
          </w:r>
          <w:r>
            <w:fldChar w:fldCharType="begin"/>
          </w:r>
          <w:r>
            <w:instrText xml:space="preserve"> PAGEREF _Toc37785880 \h </w:instrText>
          </w:r>
          <w:r>
            <w:fldChar w:fldCharType="separate"/>
          </w:r>
          <w:r>
            <w:t>5</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"_Toc37785881" </w:instrText>
          </w:r>
          <w:r>
            <w:fldChar w:fldCharType="separate"/>
          </w:r>
          <w:r>
            <w:rPr>
              <w:rStyle w:val="17"/>
              <w:lang w:val="en-GB"/>
            </w:rPr>
            <w:t>2.1: BUILD A RELATIONSHIP OF TRUST AND MUTUAL UNDERSTANDING</w:t>
          </w:r>
          <w:r>
            <w:tab/>
          </w:r>
          <w:r>
            <w:fldChar w:fldCharType="begin"/>
          </w:r>
          <w:r>
            <w:instrText xml:space="preserve"> PAGEREF _Toc37785881 \h </w:instrText>
          </w:r>
          <w:r>
            <w:fldChar w:fldCharType="separate"/>
          </w:r>
          <w:r>
            <w:t>5</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"_Toc37785882" </w:instrText>
          </w:r>
          <w:r>
            <w:fldChar w:fldCharType="separate"/>
          </w:r>
          <w:r>
            <w:rPr>
              <w:rStyle w:val="17"/>
              <w:lang w:val="en-GB"/>
            </w:rPr>
            <w:t>2.2: CULTURAL AWARENESS</w:t>
          </w:r>
          <w:r>
            <w:tab/>
          </w:r>
          <w:r>
            <w:fldChar w:fldCharType="begin"/>
          </w:r>
          <w:r>
            <w:instrText xml:space="preserve"> PAGEREF _Toc37785882 \h </w:instrText>
          </w:r>
          <w:r>
            <w:fldChar w:fldCharType="separate"/>
          </w:r>
          <w:r>
            <w:t>5</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"_Toc37785883" </w:instrText>
          </w:r>
          <w:r>
            <w:fldChar w:fldCharType="separate"/>
          </w:r>
          <w:r>
            <w:rPr>
              <w:rStyle w:val="17"/>
              <w:lang w:val="en-GB"/>
            </w:rPr>
            <w:t>2.3: IMPLEMENTING CROSS-CULTURAL MANAGEMENT AND LEADERSHIP SKILLS</w:t>
          </w:r>
          <w:r>
            <w:tab/>
          </w:r>
          <w:r>
            <w:fldChar w:fldCharType="begin"/>
          </w:r>
          <w:r>
            <w:instrText xml:space="preserve"> PAGEREF _Toc37785883 \h </w:instrText>
          </w:r>
          <w:r>
            <w:fldChar w:fldCharType="separate"/>
          </w:r>
          <w:r>
            <w:t>6</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"_Toc37785884" </w:instrText>
          </w:r>
          <w:r>
            <w:fldChar w:fldCharType="separate"/>
          </w:r>
          <w:r>
            <w:rPr>
              <w:rStyle w:val="17"/>
              <w:lang w:val="en-GB"/>
            </w:rPr>
            <w:t>3: SIGNIFICANCE OF BUILDING STRONG INTERNATIONAL BUSINESS RELATIONSHIPS WITH GLOBAL PARTNERS</w:t>
          </w:r>
          <w:r>
            <w:tab/>
          </w:r>
          <w:r>
            <w:fldChar w:fldCharType="begin"/>
          </w:r>
          <w:r>
            <w:instrText xml:space="preserve"> PAGEREF _Toc37785884 \h </w:instrText>
          </w:r>
          <w:r>
            <w:fldChar w:fldCharType="separate"/>
          </w:r>
          <w:r>
            <w:t>6</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"_Toc37785885" </w:instrText>
          </w:r>
          <w:r>
            <w:fldChar w:fldCharType="separate"/>
          </w:r>
          <w:r>
            <w:rPr>
              <w:rStyle w:val="17"/>
              <w:lang w:val="en-GB"/>
            </w:rPr>
            <w:t>3.1: SHARED BUSINESS RISKS</w:t>
          </w:r>
          <w:r>
            <w:tab/>
          </w:r>
          <w:r>
            <w:fldChar w:fldCharType="begin"/>
          </w:r>
          <w:r>
            <w:instrText xml:space="preserve"> PAGEREF _Toc37785885 \h </w:instrText>
          </w:r>
          <w:r>
            <w:fldChar w:fldCharType="separate"/>
          </w:r>
          <w:r>
            <w:t>6</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"_Toc37785886" </w:instrText>
          </w:r>
          <w:r>
            <w:fldChar w:fldCharType="separate"/>
          </w:r>
          <w:r>
            <w:rPr>
              <w:rStyle w:val="17"/>
              <w:lang w:val="en-GB"/>
            </w:rPr>
            <w:t>3.2: GAINING ACCESS TO NEW CUSTOMERS AND INCREASED MARKET SHARE</w:t>
          </w:r>
          <w:r>
            <w:tab/>
          </w:r>
          <w:r>
            <w:fldChar w:fldCharType="begin"/>
          </w:r>
          <w:r>
            <w:instrText xml:space="preserve"> PAGEREF _Toc37785886 \h </w:instrText>
          </w:r>
          <w:r>
            <w:fldChar w:fldCharType="separate"/>
          </w:r>
          <w:r>
            <w:t>7</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"_Toc37785887" </w:instrText>
          </w:r>
          <w:r>
            <w:fldChar w:fldCharType="separate"/>
          </w:r>
          <w:r>
            <w:rPr>
              <w:rStyle w:val="17"/>
              <w:lang w:val="en-GB"/>
            </w:rPr>
            <w:t>3.3: TECHNOLOGICAL ADVANTAGES</w:t>
          </w:r>
          <w:r>
            <w:tab/>
          </w:r>
          <w:r>
            <w:fldChar w:fldCharType="begin"/>
          </w:r>
          <w:r>
            <w:instrText xml:space="preserve"> PAGEREF _Toc37785887 \h </w:instrText>
          </w:r>
          <w:r>
            <w:fldChar w:fldCharType="separate"/>
          </w:r>
          <w:r>
            <w:t>7</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"_Toc37785888" </w:instrText>
          </w:r>
          <w:r>
            <w:fldChar w:fldCharType="separate"/>
          </w:r>
          <w:r>
            <w:rPr>
              <w:rStyle w:val="17"/>
              <w:lang w:val="en-GB"/>
            </w:rPr>
            <w:t>4: PROPOSED APPROACHES FOR DEVELOPING POLICIES FOR BETTER INTERNATIONAL BUSINESS COMMUNICATIONS AND RELATIONSHIPS</w:t>
          </w:r>
          <w:r>
            <w:tab/>
          </w:r>
          <w:r>
            <w:fldChar w:fldCharType="begin"/>
          </w:r>
          <w:r>
            <w:instrText xml:space="preserve"> PAGEREF _Toc37785888 \h </w:instrText>
          </w:r>
          <w:r>
            <w:fldChar w:fldCharType="separate"/>
          </w:r>
          <w:r>
            <w:t>7</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"_Toc37785889" </w:instrText>
          </w:r>
          <w:r>
            <w:fldChar w:fldCharType="separate"/>
          </w:r>
          <w:r>
            <w:rPr>
              <w:rStyle w:val="17"/>
              <w:lang w:val="en-GB"/>
            </w:rPr>
            <w:t>4.1: FOSTER CROSS- CULTURAL COMPETENCY</w:t>
          </w:r>
          <w:r>
            <w:tab/>
          </w:r>
          <w:r>
            <w:fldChar w:fldCharType="begin"/>
          </w:r>
          <w:r>
            <w:instrText xml:space="preserve"> PAGEREF _Toc37785889 \h </w:instrText>
          </w:r>
          <w:r>
            <w:fldChar w:fldCharType="separate"/>
          </w:r>
          <w:r>
            <w:t>7</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"_Toc37785890" </w:instrText>
          </w:r>
          <w:r>
            <w:fldChar w:fldCharType="separate"/>
          </w:r>
          <w:r>
            <w:rPr>
              <w:rStyle w:val="17"/>
              <w:lang w:val="en-GB"/>
            </w:rPr>
            <w:t>4.2: DEVELOP THE SKILL OF ADAPTIVE THINKING</w:t>
          </w:r>
          <w:r>
            <w:tab/>
          </w:r>
          <w:r>
            <w:fldChar w:fldCharType="begin"/>
          </w:r>
          <w:r>
            <w:instrText xml:space="preserve"> PAGEREF _Toc37785890 \h </w:instrText>
          </w:r>
          <w:r>
            <w:fldChar w:fldCharType="separate"/>
          </w:r>
          <w:r>
            <w:t>8</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"_Toc37785891" </w:instrText>
          </w:r>
          <w:r>
            <w:fldChar w:fldCharType="separate"/>
          </w:r>
          <w:r>
            <w:rPr>
              <w:rStyle w:val="17"/>
              <w:lang w:val="en-GB"/>
            </w:rPr>
            <w:t>4.3: INTERPERSONAL INFLUENCING STRATEGY</w:t>
          </w:r>
          <w:r>
            <w:tab/>
          </w:r>
          <w:r>
            <w:fldChar w:fldCharType="begin"/>
          </w:r>
          <w:r>
            <w:instrText xml:space="preserve"> PAGEREF _Toc37785891 \h </w:instrText>
          </w:r>
          <w:r>
            <w:fldChar w:fldCharType="separate"/>
          </w:r>
          <w:r>
            <w:t>8</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"_Toc37785892" </w:instrText>
          </w:r>
          <w:r>
            <w:fldChar w:fldCharType="separate"/>
          </w:r>
          <w:r>
            <w:rPr>
              <w:rStyle w:val="17"/>
              <w:lang w:val="en-GB"/>
            </w:rPr>
            <w:t>5: ADVANTAGES FOR THE COMPANY IN APPLYING APPROPRIATE APPROACHES WITH ITS GLOBAL PARTNERS</w:t>
          </w:r>
          <w:r>
            <w:tab/>
          </w:r>
          <w:r>
            <w:fldChar w:fldCharType="begin"/>
          </w:r>
          <w:r>
            <w:instrText xml:space="preserve"> PAGEREF _Toc37785892 \h </w:instrText>
          </w:r>
          <w:r>
            <w:fldChar w:fldCharType="separate"/>
          </w:r>
          <w:r>
            <w:t>8</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"_Toc37785893" </w:instrText>
          </w:r>
          <w:r>
            <w:fldChar w:fldCharType="separate"/>
          </w:r>
          <w:r>
            <w:rPr>
              <w:rStyle w:val="17"/>
              <w:lang w:val="en-GB"/>
            </w:rPr>
            <w:t>5.1: OPPORTUNITIES OF RAPID GROWTH</w:t>
          </w:r>
          <w:r>
            <w:tab/>
          </w:r>
          <w:r>
            <w:fldChar w:fldCharType="begin"/>
          </w:r>
          <w:r>
            <w:instrText xml:space="preserve"> PAGEREF _Toc37785893 \h </w:instrText>
          </w:r>
          <w:r>
            <w:fldChar w:fldCharType="separate"/>
          </w:r>
          <w:r>
            <w:t>9</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"_Toc37785894" </w:instrText>
          </w:r>
          <w:r>
            <w:fldChar w:fldCharType="separate"/>
          </w:r>
          <w:r>
            <w:rPr>
              <w:rStyle w:val="17"/>
              <w:lang w:val="en-GB"/>
            </w:rPr>
            <w:t>5.2: STRATEGIC AND COST ADVANTAGES</w:t>
          </w:r>
          <w:r>
            <w:tab/>
          </w:r>
          <w:r>
            <w:fldChar w:fldCharType="begin"/>
          </w:r>
          <w:r>
            <w:instrText xml:space="preserve"> PAGEREF _Toc37785894 \h </w:instrText>
          </w:r>
          <w:r>
            <w:fldChar w:fldCharType="separate"/>
          </w:r>
          <w:r>
            <w:t>10</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"_Toc37785895" </w:instrText>
          </w:r>
          <w:r>
            <w:fldChar w:fldCharType="separate"/>
          </w:r>
          <w:r>
            <w:rPr>
              <w:rStyle w:val="17"/>
              <w:lang w:val="en-GB"/>
            </w:rPr>
            <w:t>5.3: GLOBAL BRAND IMAGE OPENS WAY FOR OTHER GLOBAL MARKETS</w:t>
          </w:r>
          <w:r>
            <w:tab/>
          </w:r>
          <w:r>
            <w:fldChar w:fldCharType="begin"/>
          </w:r>
          <w:r>
            <w:instrText xml:space="preserve"> PAGEREF _Toc37785895 \h </w:instrText>
          </w:r>
          <w:r>
            <w:fldChar w:fldCharType="separate"/>
          </w:r>
          <w:r>
            <w:t>10</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"_Toc37785896" </w:instrText>
          </w:r>
          <w:r>
            <w:fldChar w:fldCharType="separate"/>
          </w:r>
          <w:r>
            <w:rPr>
              <w:rStyle w:val="17"/>
              <w:lang w:val="en-GB"/>
            </w:rPr>
            <w:t>6: POSSIBLE REASONS OF FAILURE AND THEIR IMPACT IF SUCCESSFUL BUSINESS RELATIONSHIPS ARE NOT ACHIEVED WITH GLOBAL PARTNERS</w:t>
          </w:r>
          <w:r>
            <w:tab/>
          </w:r>
          <w:r>
            <w:fldChar w:fldCharType="begin"/>
          </w:r>
          <w:r>
            <w:instrText xml:space="preserve"> PAGEREF _Toc37785896 \h </w:instrText>
          </w:r>
          <w:r>
            <w:fldChar w:fldCharType="separate"/>
          </w:r>
          <w:r>
            <w:t>11</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"_Toc37785897" </w:instrText>
          </w:r>
          <w:r>
            <w:fldChar w:fldCharType="separate"/>
          </w:r>
          <w:r>
            <w:rPr>
              <w:rStyle w:val="17"/>
              <w:lang w:val="en-GB"/>
            </w:rPr>
            <w:t>6.1: REASONS OF FAILURE</w:t>
          </w:r>
          <w:r>
            <w:tab/>
          </w:r>
          <w:r>
            <w:fldChar w:fldCharType="begin"/>
          </w:r>
          <w:r>
            <w:instrText xml:space="preserve"> PAGEREF _Toc37785897 \h </w:instrText>
          </w:r>
          <w:r>
            <w:fldChar w:fldCharType="separate"/>
          </w:r>
          <w:r>
            <w:t>11</w:t>
          </w:r>
          <w:r>
            <w:fldChar w:fldCharType="end"/>
          </w:r>
          <w:r>
            <w:fldChar w:fldCharType="end"/>
          </w:r>
        </w:p>
        <w:p>
          <w:pPr>
            <w:pStyle w:val="11"/>
            <w:tabs>
              <w:tab w:val="right" w:leader="dot" w:pos="9016"/>
            </w:tabs>
            <w:rPr>
              <w:rFonts w:asciiTheme="minorHAnsi" w:hAnsiTheme="minorHAnsi" w:eastAsiaTheme="minorEastAsia"/>
              <w:szCs w:val="24"/>
              <w:lang w:val="zh-CN"/>
            </w:rPr>
          </w:pPr>
          <w:r>
            <w:fldChar w:fldCharType="begin"/>
          </w:r>
          <w:r>
            <w:instrText xml:space="preserve"> HYPERLINK \l "_Toc37785898" </w:instrText>
          </w:r>
          <w:r>
            <w:fldChar w:fldCharType="separate"/>
          </w:r>
          <w:r>
            <w:rPr>
              <w:rStyle w:val="17"/>
              <w:lang w:val="en-GB"/>
            </w:rPr>
            <w:t>6.2: IMPACT ON THE COMPANY</w:t>
          </w:r>
          <w:r>
            <w:tab/>
          </w:r>
          <w:r>
            <w:fldChar w:fldCharType="begin"/>
          </w:r>
          <w:r>
            <w:instrText xml:space="preserve"> PAGEREF _Toc37785898 \h </w:instrText>
          </w:r>
          <w:r>
            <w:fldChar w:fldCharType="separate"/>
          </w:r>
          <w:r>
            <w:t>11</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"_Toc37785899" </w:instrText>
          </w:r>
          <w:r>
            <w:fldChar w:fldCharType="separate"/>
          </w:r>
          <w:r>
            <w:rPr>
              <w:rStyle w:val="17"/>
              <w:lang w:val="en-GB"/>
            </w:rPr>
            <w:t>7: REFLECTION</w:t>
          </w:r>
          <w:r>
            <w:tab/>
          </w:r>
          <w:r>
            <w:fldChar w:fldCharType="begin"/>
          </w:r>
          <w:r>
            <w:instrText xml:space="preserve"> PAGEREF _Toc37785899 \h </w:instrText>
          </w:r>
          <w:r>
            <w:fldChar w:fldCharType="separate"/>
          </w:r>
          <w:r>
            <w:t>12</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"_Toc37785900" </w:instrText>
          </w:r>
          <w:r>
            <w:fldChar w:fldCharType="separate"/>
          </w:r>
          <w:r>
            <w:rPr>
              <w:rStyle w:val="17"/>
              <w:lang w:val="en-GB"/>
            </w:rPr>
            <w:t>8: CONCLUSION</w:t>
          </w:r>
          <w:r>
            <w:tab/>
          </w:r>
          <w:r>
            <w:fldChar w:fldCharType="begin"/>
          </w:r>
          <w:r>
            <w:instrText xml:space="preserve"> PAGEREF _Toc37785900 \h </w:instrText>
          </w:r>
          <w:r>
            <w:fldChar w:fldCharType="separate"/>
          </w:r>
          <w:r>
            <w:t>12</w:t>
          </w:r>
          <w:r>
            <w:fldChar w:fldCharType="end"/>
          </w:r>
          <w:r>
            <w:fldChar w:fldCharType="end"/>
          </w:r>
        </w:p>
        <w:p>
          <w:pPr>
            <w:pStyle w:val="10"/>
            <w:tabs>
              <w:tab w:val="right" w:leader="dot" w:pos="9016"/>
            </w:tabs>
            <w:rPr>
              <w:rFonts w:asciiTheme="minorHAnsi" w:hAnsiTheme="minorHAnsi" w:eastAsiaTheme="minorEastAsia"/>
              <w:szCs w:val="24"/>
              <w:lang w:val="zh-CN"/>
            </w:rPr>
          </w:pPr>
          <w:r>
            <w:fldChar w:fldCharType="begin"/>
          </w:r>
          <w:r>
            <w:instrText xml:space="preserve"> HYPERLINK \l "_Toc37785901" </w:instrText>
          </w:r>
          <w:r>
            <w:fldChar w:fldCharType="separate"/>
          </w:r>
          <w:r>
            <w:rPr>
              <w:rStyle w:val="17"/>
              <w:lang w:val="en-GB"/>
            </w:rPr>
            <w:t>REFERENCES</w:t>
          </w:r>
          <w:r>
            <w:tab/>
          </w:r>
          <w:r>
            <w:fldChar w:fldCharType="begin"/>
          </w:r>
          <w:r>
            <w:instrText xml:space="preserve"> PAGEREF _Toc37785901 \h </w:instrText>
          </w:r>
          <w:r>
            <w:fldChar w:fldCharType="separate"/>
          </w:r>
          <w:r>
            <w:t>14</w:t>
          </w:r>
          <w:r>
            <w:fldChar w:fldCharType="end"/>
          </w:r>
          <w:r>
            <w:fldChar w:fldCharType="end"/>
          </w:r>
        </w:p>
        <w:p>
          <w:pPr>
            <w:rPr>
              <w:lang w:val="en-GB"/>
            </w:rPr>
          </w:pPr>
          <w:r>
            <w:rPr>
              <w:b/>
              <w:bCs/>
              <w:lang w:val="en-GB"/>
            </w:rPr>
            <w:fldChar w:fldCharType="end"/>
          </w:r>
        </w:p>
      </w:sdtContent>
    </w:sdt>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rPr>
          <w:b/>
          <w:color w:val="C00000"/>
          <w:lang w:val="en-GB"/>
        </w:rPr>
      </w:pPr>
    </w:p>
    <w:p>
      <w:pPr>
        <w:pStyle w:val="2"/>
        <w:jc w:val="both"/>
        <w:rPr>
          <w:lang w:val="en-GB"/>
        </w:rPr>
      </w:pPr>
      <w:bookmarkStart w:id="1" w:name="_Toc37785879"/>
      <w:r>
        <w:rPr>
          <w:lang w:val="en-GB"/>
        </w:rPr>
        <w:t>1: INTRODUCTION</w:t>
      </w:r>
      <w:bookmarkEnd w:id="1"/>
      <w:r>
        <w:rPr>
          <w:lang w:val="en-GB"/>
        </w:rPr>
        <w:t xml:space="preserve"> </w:t>
      </w:r>
    </w:p>
    <w:p>
      <w:pPr>
        <w:jc w:val="both"/>
        <w:rPr>
          <w:lang w:val="en-GB"/>
        </w:rPr>
      </w:pPr>
      <w:r>
        <w:rPr>
          <w:lang w:val="en-GB"/>
        </w:rPr>
        <w:t xml:space="preserve">The discussions and findings of this report will assist the UK based company, which is planning to expand its “Retail Jewellery” business operations in Japan and aims to develop global partnerships in the Asian market region. This report will guide the company in understanding the skills and competencies required for achieving successful international relationship building and its significance in the global context. The report will recommend some feasible approaches to implement relationship building skills with the global partners of the company. The findings of this report will also present several advantages for the company, if it inculcates these relationship skills in their managers and employees. Finally, the report will analyse the possible reasons and their impacts, if the company fails to develop these required skills and competencies. </w:t>
      </w:r>
    </w:p>
    <w:p>
      <w:pPr>
        <w:pStyle w:val="2"/>
        <w:jc w:val="both"/>
        <w:rPr>
          <w:lang w:val="en-GB"/>
        </w:rPr>
      </w:pPr>
      <w:bookmarkStart w:id="2" w:name="_Toc37785880"/>
      <w:r>
        <w:rPr>
          <w:lang w:val="en-GB"/>
        </w:rPr>
        <w:t>2: SKILLS AND COMPETENCIES REQUIRED FOR BUILDING RELATIONSHIPS WITH GLOBAL PARTNERS</w:t>
      </w:r>
      <w:bookmarkEnd w:id="2"/>
      <w:r>
        <w:rPr>
          <w:lang w:val="en-GB"/>
        </w:rPr>
        <w:t xml:space="preserve"> </w:t>
      </w:r>
    </w:p>
    <w:p>
      <w:pPr>
        <w:pStyle w:val="3"/>
        <w:jc w:val="both"/>
        <w:rPr>
          <w:lang w:val="en-GB"/>
        </w:rPr>
      </w:pPr>
      <w:bookmarkStart w:id="3" w:name="_Toc37785881"/>
      <w:r>
        <w:rPr>
          <w:lang w:val="en-GB"/>
        </w:rPr>
        <w:t>2.1: BUILD A RELATIONSHIP OF TRUST AND MUTUAL UNDERSTANDING</w:t>
      </w:r>
      <w:bookmarkEnd w:id="3"/>
    </w:p>
    <w:p>
      <w:pPr>
        <w:jc w:val="both"/>
        <w:rPr>
          <w:lang w:val="en-GB"/>
        </w:rPr>
      </w:pPr>
      <w:r>
        <w:rPr>
          <w:lang w:val="en-GB"/>
        </w:rPr>
        <w:t xml:space="preserve">While operating in a global scenario, it becomes significant for the organisation to build a relationship of trust and mutual understanding with its global partners. The organisation can build a strong relationship if it keeps a clarity of thoughts and goals. The organisation should be transparent in their operations. It should clearly explain its global partners about its mission and vision objectives. It should also understand the expectations of its global partners and should make efforts to achieve those in an efficient manner </w:t>
      </w:r>
      <w:r>
        <w:t>(Goldberg, 2017)</w:t>
      </w:r>
      <w:r>
        <w:rPr>
          <w:lang w:val="en-GB"/>
        </w:rPr>
        <w:t xml:space="preserve">. Japanese value strong business relationships of trust and social interactions. To build a relationship of understanding, socialising over dinner or lunch can be an effective way to enhance communications and develop trust among the partners. </w:t>
      </w:r>
    </w:p>
    <w:p>
      <w:pPr>
        <w:pStyle w:val="3"/>
        <w:jc w:val="both"/>
        <w:rPr>
          <w:lang w:val="en-GB"/>
        </w:rPr>
      </w:pPr>
      <w:bookmarkStart w:id="4" w:name="_Toc37785882"/>
      <w:r>
        <w:rPr>
          <w:lang w:val="en-GB"/>
        </w:rPr>
        <w:t>2.2: CULTURAL AWARENESS</w:t>
      </w:r>
      <w:bookmarkEnd w:id="4"/>
    </w:p>
    <w:p>
      <w:pPr>
        <w:jc w:val="both"/>
        <w:rPr>
          <w:lang w:val="en-GB"/>
        </w:rPr>
      </w:pPr>
      <w:r>
        <w:rPr>
          <w:lang w:val="en-GB"/>
        </w:rPr>
        <w:t xml:space="preserve">All the individual nations in the world are culturally diverse. Each country has its own culture, values and norms, which are to be respected to build strong business relationships with global partners. Japan is regarded to be a culturally unique country. To build strong business relationship with Japan, it is essential for the organisation to understand and respect Japan’s business culture </w:t>
      </w:r>
      <w:r>
        <w:t>(Reynolds, 2017)</w:t>
      </w:r>
      <w:r>
        <w:rPr>
          <w:lang w:val="en-GB"/>
        </w:rPr>
        <w:t xml:space="preserve">. Giving gifts is highly ritualized in the Japanese business culture. It is a ritual in Japan to receive and give gifts with both hands. The gifts offered should be in accordance with the status of the receiver. Different gifts should be arranged for different Japanese personals according to their status i.e. the higher the position, more valuable gift must be presented </w:t>
      </w:r>
      <w:r>
        <w:t>(Oliver, 2020)</w:t>
      </w:r>
      <w:r>
        <w:rPr>
          <w:lang w:val="en-GB"/>
        </w:rPr>
        <w:t>. Whereas in UK gifts are offered only during special occasions or during festivals.</w:t>
      </w:r>
    </w:p>
    <w:p>
      <w:pPr>
        <w:pStyle w:val="3"/>
        <w:jc w:val="both"/>
        <w:rPr>
          <w:lang w:val="en-GB"/>
        </w:rPr>
      </w:pPr>
      <w:bookmarkStart w:id="5" w:name="_Toc37785883"/>
      <w:r>
        <w:rPr>
          <w:lang w:val="en-GB"/>
        </w:rPr>
        <w:t>2.3: IMPLEMENTING CROSS-CULTURAL MANAGEMENT AND LEADERSHIP SKILLS</w:t>
      </w:r>
      <w:bookmarkEnd w:id="5"/>
    </w:p>
    <w:p>
      <w:pPr>
        <w:jc w:val="both"/>
        <w:rPr>
          <w:lang w:val="en-GB"/>
        </w:rPr>
      </w:pPr>
      <w:r>
        <w:rPr>
          <w:lang w:val="en-GB"/>
        </w:rPr>
        <w:t xml:space="preserve">In this competitive environment cross-cultural management and collaborative leadership are a vital source to develop team based and partnership business environments. Cross-cultural management enhances the qualities of leading global dynamic teams, analysing complexities in the business environment and finding effective solutions in global context. Collaborative leadership can be simply understood as “the process of engaging collective intelligence to achieve results across organisational boundaries” </w:t>
      </w:r>
      <w:r>
        <w:t>(Amborg and Bauer, 2017)</w:t>
      </w:r>
      <w:r>
        <w:rPr>
          <w:lang w:val="en-GB"/>
        </w:rPr>
        <w:t xml:space="preserve">. Japanese business culture gives emphasis on team work and leadership. They focus much on Management by Objectives (MBO). The decision-making process in Japanese organisations is different from those in western cultures. Japanese organisations follow the </w:t>
      </w:r>
      <w:r>
        <w:t xml:space="preserve">bottom-up process called "Ringi”, where the middle manager connect the top management with the executives of the company (Yous, 2017). This presents clear picture of organisation’s goals and every employee is motivated to achieve those in an efficient manner. Whereas UK follows an individualistic and democratic management approach. </w:t>
      </w:r>
    </w:p>
    <w:p>
      <w:pPr>
        <w:pStyle w:val="2"/>
        <w:jc w:val="both"/>
        <w:rPr>
          <w:lang w:val="en-GB"/>
        </w:rPr>
      </w:pPr>
      <w:bookmarkStart w:id="6" w:name="_Toc37785884"/>
      <w:r>
        <w:rPr>
          <w:lang w:val="en-GB"/>
        </w:rPr>
        <w:t>3: SIGNIFICANCE OF BUILDING STRONG INTERNATIONAL BUSINESS RELATIONSHIPS WITH GLOBAL PARTNERS</w:t>
      </w:r>
      <w:bookmarkEnd w:id="6"/>
    </w:p>
    <w:p>
      <w:pPr>
        <w:pStyle w:val="3"/>
        <w:jc w:val="both"/>
        <w:rPr>
          <w:lang w:val="en-GB"/>
        </w:rPr>
      </w:pPr>
      <w:bookmarkStart w:id="7" w:name="_Toc37785885"/>
      <w:r>
        <w:rPr>
          <w:lang w:val="en-GB"/>
        </w:rPr>
        <w:t>3.1: SHARED BUSINESS RISKS</w:t>
      </w:r>
      <w:bookmarkEnd w:id="7"/>
    </w:p>
    <w:p>
      <w:pPr>
        <w:jc w:val="both"/>
        <w:rPr>
          <w:lang w:val="en-GB"/>
        </w:rPr>
      </w:pPr>
      <w:r>
        <w:rPr>
          <w:lang w:val="en-GB"/>
        </w:rPr>
        <w:t xml:space="preserve">If an organisation completely depends and performs its business operations only in one country, the business risks will be very high. The negative economic, political, social and environmental consequences can impact the demand and supply of produces of the company, which can fail the company’s operations in those regions. The business risks are reduced when the company forms strong global partnerships in several countries and diversifies its operations across organisational boundaries. For instance- If the demand for jewellery in UK i.e. the domestic market slows down, the company can experience stability or rise in demand in its global markets i.e. Japan. This will maintain an equilibrium in the demand and the company can earn profits and reduce the business risks </w:t>
      </w:r>
      <w:r>
        <w:t>(Willemsen and Arc, 2019)</w:t>
      </w:r>
      <w:r>
        <w:rPr>
          <w:lang w:val="en-GB"/>
        </w:rPr>
        <w:t xml:space="preserve">. </w:t>
      </w:r>
    </w:p>
    <w:p>
      <w:pPr>
        <w:pStyle w:val="3"/>
        <w:jc w:val="both"/>
        <w:rPr>
          <w:lang w:val="en-GB"/>
        </w:rPr>
      </w:pPr>
      <w:bookmarkStart w:id="8" w:name="_Toc37785886"/>
      <w:r>
        <w:rPr>
          <w:lang w:val="en-GB"/>
        </w:rPr>
        <w:t>3.2: GAINING ACCESS TO NEW CUSTOMERS AND INCREASED MARKET SHARE</w:t>
      </w:r>
      <w:bookmarkEnd w:id="8"/>
    </w:p>
    <w:p>
      <w:pPr>
        <w:jc w:val="both"/>
        <w:rPr>
          <w:lang w:val="en-GB"/>
        </w:rPr>
      </w:pPr>
      <w:r>
        <w:rPr>
          <w:lang w:val="en-GB"/>
        </w:rPr>
        <w:t xml:space="preserve">Global partnerships will provide an opportunity for the company to understand and access new customers all around the globe. Strong international business relationships with global partners, provide the opportunities of growth and continuous development in the global market industry </w:t>
      </w:r>
      <w:r>
        <w:t xml:space="preserve">(Förschner, Brandstetter and Byrne, 2006). </w:t>
      </w:r>
      <w:r>
        <w:rPr>
          <w:lang w:val="en-GB"/>
        </w:rPr>
        <w:t xml:space="preserve">In the business of retail jewellery, it becomes essential for the organisation to understand the needs and preferences of the global customers and design and produce the jewellery accordingly. It will also provide a strong base for the company to diversify its product line according to the demand of the global market, which will enhance the revenues of the company. Japanese prefer more diamond studded rings for their engagement and wedding ceremonies. The customers their prefer high quality pearls, pink diamonds and silver jewellery instead of gold jewellery. The Japanese consumers demand for smaller diamonds instead of large diamonds, which represents luxury and quality. Thus, the company can diversify its product range and can offer the desired products to the Japanese customers </w:t>
      </w:r>
      <w:r>
        <w:t>(Kakati, 2008)</w:t>
      </w:r>
      <w:r>
        <w:rPr>
          <w:lang w:val="en-GB"/>
        </w:rPr>
        <w:t xml:space="preserve">. </w:t>
      </w:r>
    </w:p>
    <w:p>
      <w:pPr>
        <w:pStyle w:val="3"/>
        <w:jc w:val="both"/>
        <w:rPr>
          <w:lang w:val="en-GB"/>
        </w:rPr>
      </w:pPr>
      <w:bookmarkStart w:id="9" w:name="_Toc37785887"/>
      <w:r>
        <w:rPr>
          <w:lang w:val="en-GB"/>
        </w:rPr>
        <w:t>3.3: TECHNOLOGICAL ADVANTAGES</w:t>
      </w:r>
      <w:bookmarkEnd w:id="9"/>
    </w:p>
    <w:p>
      <w:pPr>
        <w:jc w:val="both"/>
        <w:rPr>
          <w:lang w:val="en-GB"/>
        </w:rPr>
      </w:pPr>
      <w:r>
        <w:rPr>
          <w:lang w:val="en-GB"/>
        </w:rPr>
        <w:t xml:space="preserve">The business professionals can be benefited from these strategic business relationships as they will get quick and easy access to the new technological developments of their global partners. Japanese consumers are considered to be the early adopters of technology. Japan is one of the largest luxury consumer market, where the customers prefer a more tech-based approach in their jewellery and diamond buying process </w:t>
      </w:r>
      <w:r>
        <w:t>(Cohen, 2014)</w:t>
      </w:r>
      <w:r>
        <w:rPr>
          <w:lang w:val="en-GB"/>
        </w:rPr>
        <w:t xml:space="preserve">. </w:t>
      </w:r>
    </w:p>
    <w:p>
      <w:pPr>
        <w:pStyle w:val="2"/>
        <w:jc w:val="both"/>
        <w:rPr>
          <w:lang w:val="en-GB"/>
        </w:rPr>
      </w:pPr>
      <w:bookmarkStart w:id="10" w:name="_Toc37785888"/>
      <w:r>
        <w:rPr>
          <w:lang w:val="en-GB"/>
        </w:rPr>
        <w:t>4: PROPOSED APPROACHES FOR DEVELOPING POLICIES FOR BETTER INTERNATIONAL BUSINESS COMMUNICATIONS AND RELATIONSHIPS</w:t>
      </w:r>
      <w:bookmarkEnd w:id="10"/>
    </w:p>
    <w:p>
      <w:pPr>
        <w:pStyle w:val="3"/>
        <w:jc w:val="both"/>
        <w:rPr>
          <w:lang w:val="en-GB"/>
        </w:rPr>
      </w:pPr>
      <w:bookmarkStart w:id="11" w:name="_Toc37785889"/>
      <w:r>
        <w:rPr>
          <w:lang w:val="en-GB"/>
        </w:rPr>
        <w:t>4.1: FOSTER CROSS- CULTURAL COMPETENCY</w:t>
      </w:r>
      <w:bookmarkEnd w:id="11"/>
    </w:p>
    <w:p>
      <w:pPr>
        <w:jc w:val="both"/>
        <w:rPr>
          <w:lang w:val="en-GB"/>
        </w:rPr>
      </w:pPr>
      <w:r>
        <w:rPr>
          <w:lang w:val="en-GB"/>
        </w:rPr>
        <w:t xml:space="preserve">Cross cultural competency is strategically important for the organisations who have diverse workforce or are planning to expand their business operations globally. Cross cultural competency helps in building an understanding diverse cultures, speak different languages and communication perceptions </w:t>
      </w:r>
      <w:r>
        <w:t>(Gopalkrishnan, 2019)</w:t>
      </w:r>
      <w:r>
        <w:rPr>
          <w:lang w:val="en-GB"/>
        </w:rPr>
        <w:t xml:space="preserve">. It supports the company in understanding the diverse business customs, beliefs and communication strategies, high and low context cultures etc. The concept of high and low context culture describes how an employee’s feelings, thoughts and emotions affect their actions in a given culture. For instance- Japan is considered to be a high context culture where significance is given to groups, interpersonal relationships, mutual trust, building strong relationships and they rely mainly on non-verbal communication. Whereas UK is considered to be a low-context culture where much emphasis is given to individualistic approach and rely mainly on verbal explicit communications </w:t>
      </w:r>
      <w:r>
        <w:t>(Chuang, 2013)</w:t>
      </w:r>
      <w:r>
        <w:rPr>
          <w:lang w:val="en-GB"/>
        </w:rPr>
        <w:t xml:space="preserve">. </w:t>
      </w:r>
    </w:p>
    <w:p>
      <w:pPr>
        <w:pStyle w:val="3"/>
        <w:jc w:val="both"/>
        <w:rPr>
          <w:lang w:val="en-GB"/>
        </w:rPr>
      </w:pPr>
      <w:bookmarkStart w:id="12" w:name="_Toc37785890"/>
      <w:r>
        <w:rPr>
          <w:lang w:val="en-GB"/>
        </w:rPr>
        <w:t>4.2: DEVELOP THE SKILL OF ADAPTIVE THINKING</w:t>
      </w:r>
      <w:bookmarkEnd w:id="12"/>
    </w:p>
    <w:p>
      <w:pPr>
        <w:jc w:val="both"/>
        <w:rPr>
          <w:lang w:val="en-GB"/>
        </w:rPr>
      </w:pPr>
      <w:r>
        <w:rPr>
          <w:lang w:val="en-GB"/>
        </w:rPr>
        <w:t xml:space="preserve">Today’s global market is ever-changing and dynamic which makes “adaptive thinking” a vital skill to be developed in the organisation’s workforce. Adaptive thinking means the ability to quickly adapt to the changing global business environment and finding out effective solutions for problems which a company may experience in its global transitional process </w:t>
      </w:r>
      <w:r>
        <w:t>(Davies, Fidler and Gorbis, 2011)</w:t>
      </w:r>
      <w:r>
        <w:rPr>
          <w:lang w:val="en-GB"/>
        </w:rPr>
        <w:t xml:space="preserve">. Several changes are noticed in the Japanese markets with regards to the jewellery industry and the consumer preferences. Customers in Japan consider the shopping experience to play a vital role in their satisfaction. They are desire to live their shopping experience of buying jewellery and are willing to pay premium prices for these jewels. In store shopping is much preferred, but in recent years online shopping has also witnessed growth in the country. Thus, the leaders should analyse these situations and make decisions by adapting to these dynamic global circumstances </w:t>
      </w:r>
      <w:r>
        <w:t>(Matricano and Vitagliano, 2018)</w:t>
      </w:r>
      <w:r>
        <w:rPr>
          <w:lang w:val="en-GB"/>
        </w:rPr>
        <w:t>.</w:t>
      </w:r>
    </w:p>
    <w:p>
      <w:pPr>
        <w:pStyle w:val="3"/>
        <w:jc w:val="both"/>
        <w:rPr>
          <w:lang w:val="en-GB"/>
        </w:rPr>
      </w:pPr>
      <w:bookmarkStart w:id="13" w:name="_Toc37785891"/>
      <w:r>
        <w:rPr>
          <w:lang w:val="en-GB"/>
        </w:rPr>
        <w:t>4.3: INTERPERSONAL INFLUENCING STRATEGY</w:t>
      </w:r>
      <w:bookmarkEnd w:id="13"/>
      <w:r>
        <w:rPr>
          <w:lang w:val="en-GB"/>
        </w:rPr>
        <w:t xml:space="preserve"> </w:t>
      </w:r>
    </w:p>
    <w:p>
      <w:pPr>
        <w:jc w:val="both"/>
        <w:rPr>
          <w:lang w:val="en-GB"/>
        </w:rPr>
      </w:pPr>
      <w:r>
        <w:rPr>
          <w:lang w:val="en-GB"/>
        </w:rPr>
        <w:t xml:space="preserve">Interpersonal influencing strategy is the ability to influence a new investor for investment, or influencing the employee in adapting to the new working conditions or persuading a customer to buy the company’s product. Developing these influential skills in the workforce is crucial for any organisation to achieve successful business relationships in the global context. Successful business leaders can develop strong business relationships by building meaningful communications, networking and collaborations with their global partners. This skill will help in negotiating deals, develop core competencies and motivate the diverse teams in their effective functioning. Japanese business culture is all about building strong relationships. Informal meetings, personal contacts and visits. These are the key strategies to influence their opinions and negotiate business dealings in a profitable manner </w:t>
      </w:r>
      <w:r>
        <w:t>(García, 2015)</w:t>
      </w:r>
      <w:r>
        <w:rPr>
          <w:lang w:val="en-GB"/>
        </w:rPr>
        <w:t xml:space="preserve">. </w:t>
      </w:r>
    </w:p>
    <w:p>
      <w:pPr>
        <w:pStyle w:val="2"/>
        <w:jc w:val="both"/>
        <w:rPr>
          <w:lang w:val="en-GB"/>
        </w:rPr>
      </w:pPr>
      <w:bookmarkStart w:id="14" w:name="_Toc37785892"/>
      <w:r>
        <w:rPr>
          <w:lang w:val="en-GB"/>
        </w:rPr>
        <w:t>5: ADVANTAGES FOR THE COMPANY IN APPLYING APPROPRIATE APPROACHES WITH ITS GLOBAL PARTNERS</w:t>
      </w:r>
      <w:bookmarkEnd w:id="14"/>
    </w:p>
    <w:p>
      <w:pPr>
        <w:jc w:val="both"/>
        <w:rPr>
          <w:lang w:val="en-GB"/>
        </w:rPr>
      </w:pPr>
      <w:r>
        <w:rPr>
          <w:lang w:val="en-GB"/>
        </w:rPr>
        <w:t xml:space="preserve">The company’s jewellery retail business can flourish globally if it maintains strong business relationships with Japan. Japan retail jewellery market has witnessed growth in the past few years and it is projected that it will further accelerate in the period of 2019-2023. There are tremendous market opportunities present in Japan as there are increasing number of digital buyers, high net worth earning population, increasing woman labour force, growing tourism industry and social networking </w:t>
      </w:r>
      <w:r>
        <w:t>(GlobeNewswire, 2019)</w:t>
      </w:r>
      <w:r>
        <w:rPr>
          <w:lang w:val="en-GB"/>
        </w:rPr>
        <w:t xml:space="preserve">. </w:t>
      </w:r>
    </w:p>
    <w:p>
      <w:pPr>
        <w:pStyle w:val="3"/>
        <w:rPr>
          <w:lang w:val="en-GB"/>
        </w:rPr>
      </w:pPr>
      <w:bookmarkStart w:id="15" w:name="_Toc37785893"/>
      <w:r>
        <w:rPr>
          <w:lang w:val="en-GB"/>
        </w:rPr>
        <w:t>5.1: OPPORTUNITIES OF RAPID GROWTH</w:t>
      </w:r>
      <w:bookmarkEnd w:id="15"/>
    </w:p>
    <w:p>
      <w:pPr>
        <w:jc w:val="both"/>
        <w:rPr>
          <w:lang w:val="en-GB"/>
        </w:rPr>
      </w:pPr>
      <w:r>
        <w:rPr>
          <w:lang w:val="en-GB"/>
        </w:rPr>
        <w:t xml:space="preserve">The retail jewellery sector of Japan will provide rapid growth opportunities for the UK based company to expand its business operations globally. The Japanese jewellery market sector will observe a growth rate of 2.9% Compound Annual Growth Rate (CAGR) annually. The market is expected to be valued at </w:t>
      </w:r>
      <w:r>
        <w:t xml:space="preserve">$1,582m in 2020 and it projected to be valued at $1,722m by 2023 (Statista, 2020). </w:t>
      </w:r>
    </w:p>
    <w:p>
      <w:pPr>
        <w:rPr>
          <w:lang w:val="en-GB"/>
        </w:rPr>
      </w:pPr>
      <w:r>
        <w:drawing>
          <wp:inline distT="0" distB="0" distL="0" distR="0">
            <wp:extent cx="5731510" cy="2362200"/>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a:picLocks noChangeAspect="1"/>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2362200"/>
                    </a:xfrm>
                    <a:prstGeom prst="rect">
                      <a:avLst/>
                    </a:prstGeom>
                  </pic:spPr>
                </pic:pic>
              </a:graphicData>
            </a:graphic>
          </wp:inline>
        </w:drawing>
      </w:r>
    </w:p>
    <w:p>
      <w:pPr>
        <w:jc w:val="both"/>
      </w:pPr>
      <w:r>
        <w:t xml:space="preserve">The domestic market of the company i.e. UK is also experiencing a growth rate of 2.7% CAGR and was valued at </w:t>
      </w:r>
      <w:r>
        <w:rPr>
          <w:rFonts w:cs="Times New Roman"/>
        </w:rPr>
        <w:t>£</w:t>
      </w:r>
      <w:r>
        <w:t xml:space="preserve">5.7 million in 2018 and is expected to be valued at </w:t>
      </w:r>
      <w:r>
        <w:rPr>
          <w:rFonts w:cs="Times New Roman"/>
        </w:rPr>
        <w:t>£</w:t>
      </w:r>
      <w:r>
        <w:t xml:space="preserve">6.4 million by 2023. Thus, both the domestic as well as global markets of the company are providing it rapid growth opportunities to earn high revenues and achieve a global brand image. Healthy business relationships and better communications with Japan can help the company to mature globally. This will only be achievable if the leaders of the company implement the approaches and skills successfully in the organisation (MINTEL, 2018). </w:t>
      </w:r>
    </w:p>
    <w:p>
      <w:pPr>
        <w:rPr>
          <w:lang w:val="en-GB"/>
        </w:rPr>
      </w:pPr>
      <w:r>
        <w:drawing>
          <wp:inline distT="0" distB="0" distL="0" distR="0">
            <wp:extent cx="5731510" cy="3016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731510" cy="3016885"/>
                    </a:xfrm>
                    <a:prstGeom prst="rect">
                      <a:avLst/>
                    </a:prstGeom>
                  </pic:spPr>
                </pic:pic>
              </a:graphicData>
            </a:graphic>
          </wp:inline>
        </w:drawing>
      </w:r>
    </w:p>
    <w:p>
      <w:pPr>
        <w:pStyle w:val="3"/>
        <w:jc w:val="both"/>
        <w:rPr>
          <w:lang w:val="en-GB"/>
        </w:rPr>
      </w:pPr>
      <w:bookmarkStart w:id="16" w:name="_Toc37785894"/>
      <w:r>
        <w:rPr>
          <w:lang w:val="en-GB"/>
        </w:rPr>
        <w:t>5.2: STRATEGIC AND COST ADVANTAGES</w:t>
      </w:r>
      <w:bookmarkEnd w:id="16"/>
    </w:p>
    <w:p>
      <w:pPr>
        <w:jc w:val="both"/>
        <w:rPr>
          <w:lang w:val="en-GB"/>
        </w:rPr>
      </w:pPr>
      <w:r>
        <w:rPr>
          <w:lang w:val="en-GB"/>
        </w:rPr>
        <w:t xml:space="preserve">Several strategic and cost advantages are involved in maintaining a healthy business relationship with Japan.  In Japan, it is possible to establish the business enterprise in just 14 days. It is also witnessed that successful business in Japan can assist the company in earning a significant amount of global profits within a period of 3-5 years, this can be strategically beneficial for the company. Japan is well known for its infrastructural, telecommunication developments and well managed distribution systems for all types of goods and services. This will provide the company to reach more customers and jewellery market segments in Japan in a cost-effective manner </w:t>
      </w:r>
      <w:r>
        <w:t>(Export to Japan, 2019)</w:t>
      </w:r>
      <w:r>
        <w:rPr>
          <w:lang w:val="en-GB"/>
        </w:rPr>
        <w:t xml:space="preserve">. </w:t>
      </w:r>
    </w:p>
    <w:p>
      <w:pPr>
        <w:pStyle w:val="3"/>
        <w:jc w:val="both"/>
        <w:rPr>
          <w:lang w:val="en-GB"/>
        </w:rPr>
      </w:pPr>
      <w:bookmarkStart w:id="17" w:name="_Toc37785895"/>
      <w:r>
        <w:rPr>
          <w:lang w:val="en-GB"/>
        </w:rPr>
        <w:t>5.3: GLOBAL BRAND IMAGE OPENS WAY FOR OTHER GLOBAL MARKETS</w:t>
      </w:r>
      <w:bookmarkEnd w:id="17"/>
    </w:p>
    <w:p>
      <w:pPr>
        <w:jc w:val="both"/>
        <w:rPr>
          <w:lang w:val="en-GB"/>
        </w:rPr>
      </w:pPr>
      <w:r>
        <w:rPr>
          <w:lang w:val="en-GB"/>
        </w:rPr>
        <w:t xml:space="preserve">The Japanese market can be characterised with more attention drawn towards the quality of the product. Japanese customers are willing to purchase high quality goods and services and are also ready to pay premium prices for it. If the company’s luxury jewellery products successfully establish in the Japanese market, then they can </w:t>
      </w:r>
      <w:r>
        <w:t xml:space="preserve">succeed anywhere in the global market, as the products have met the high expectations of the Japanese customers. This can ease the market entry opportunities for the company in other well-established global markets. </w:t>
      </w:r>
      <w:r>
        <w:rPr>
          <w:lang w:val="en-GB"/>
        </w:rPr>
        <w:t xml:space="preserve">Thus, the company needs to focus on its communications policies, to take advantages of these opportunities </w:t>
      </w:r>
      <w:r>
        <w:t>(Romero, 2014)</w:t>
      </w:r>
      <w:r>
        <w:rPr>
          <w:lang w:val="en-GB"/>
        </w:rPr>
        <w:t xml:space="preserve">. </w:t>
      </w:r>
    </w:p>
    <w:p>
      <w:pPr>
        <w:pStyle w:val="2"/>
        <w:jc w:val="both"/>
        <w:rPr>
          <w:lang w:val="en-GB"/>
        </w:rPr>
      </w:pPr>
      <w:bookmarkStart w:id="18" w:name="_Toc37785896"/>
      <w:r>
        <w:rPr>
          <w:lang w:val="en-GB"/>
        </w:rPr>
        <w:t>6: POSSIBLE REASONS OF FAILURE AND THEIR IMPACT IF SUCCESSFUL BUSINESS RELATIONSHIPS ARE NOT ACHIEVED WITH GLOBAL PARTNERS</w:t>
      </w:r>
      <w:bookmarkEnd w:id="18"/>
      <w:r>
        <w:rPr>
          <w:lang w:val="en-GB"/>
        </w:rPr>
        <w:t xml:space="preserve"> </w:t>
      </w:r>
    </w:p>
    <w:p>
      <w:pPr>
        <w:pStyle w:val="3"/>
        <w:jc w:val="both"/>
        <w:rPr>
          <w:lang w:val="en-GB"/>
        </w:rPr>
      </w:pPr>
      <w:bookmarkStart w:id="19" w:name="_Toc37785897"/>
      <w:r>
        <w:rPr>
          <w:lang w:val="en-GB"/>
        </w:rPr>
        <w:t>6.1: REASONS OF FAILURE</w:t>
      </w:r>
      <w:bookmarkEnd w:id="19"/>
    </w:p>
    <w:p>
      <w:pPr>
        <w:jc w:val="both"/>
        <w:rPr>
          <w:lang w:val="en-GB"/>
        </w:rPr>
      </w:pPr>
      <w:r>
        <w:rPr>
          <w:lang w:val="en-GB"/>
        </w:rPr>
        <w:t xml:space="preserve">All the following reasons can create disturbances in creating harmonious partnership relationship with the global partners of the company. </w:t>
      </w:r>
    </w:p>
    <w:p>
      <w:pPr>
        <w:pStyle w:val="30"/>
        <w:numPr>
          <w:ilvl w:val="0"/>
          <w:numId w:val="1"/>
        </w:numPr>
        <w:jc w:val="both"/>
        <w:rPr>
          <w:lang w:val="en-GB"/>
        </w:rPr>
      </w:pPr>
      <w:r>
        <w:rPr>
          <w:lang w:val="en-GB"/>
        </w:rPr>
        <w:t xml:space="preserve">Language barrier is the foremost reason for failure of building successful business communication with Japanese enterprises. Very few Japanese i.e. only 3%-5% speak English language </w:t>
      </w:r>
      <w:r>
        <w:t>(Lai, 2017)</w:t>
      </w:r>
      <w:r>
        <w:rPr>
          <w:lang w:val="en-GB"/>
        </w:rPr>
        <w:t xml:space="preserve">. In UK as well more than three quarters of the adult population cannot speak any foreign language. This language barrier can create misunderstandings and the goal of healthy global partnerships is hampered. </w:t>
      </w:r>
    </w:p>
    <w:p>
      <w:pPr>
        <w:pStyle w:val="30"/>
        <w:numPr>
          <w:ilvl w:val="0"/>
          <w:numId w:val="1"/>
        </w:numPr>
        <w:jc w:val="both"/>
        <w:rPr>
          <w:lang w:val="en-GB"/>
        </w:rPr>
      </w:pPr>
      <w:r>
        <w:rPr>
          <w:lang w:val="en-GB"/>
        </w:rPr>
        <w:t xml:space="preserve">Japanese customers are very demanding and have different tastes and preferences then the consumers in UK. The company will need to make investments in the redevelopment of product designs and in order to fulfil the demands of the Japanese customers. This can put financial burdens on the company and can substantially increase the business risks </w:t>
      </w:r>
      <w:r>
        <w:t>(Salsberg, 2010)</w:t>
      </w:r>
      <w:r>
        <w:rPr>
          <w:lang w:val="en-GB"/>
        </w:rPr>
        <w:t xml:space="preserve">. </w:t>
      </w:r>
    </w:p>
    <w:p>
      <w:pPr>
        <w:pStyle w:val="30"/>
        <w:numPr>
          <w:ilvl w:val="0"/>
          <w:numId w:val="1"/>
        </w:numPr>
        <w:jc w:val="both"/>
        <w:rPr>
          <w:lang w:val="en-GB"/>
        </w:rPr>
      </w:pPr>
      <w:r>
        <w:rPr>
          <w:lang w:val="en-GB"/>
        </w:rPr>
        <w:t xml:space="preserve">Several regulations, permissions, procedures and certificates are needed to be approved to enter the Japanese market which is time consuming and expensive. Management barriers can also be witnessed in the culturally diverse countries. Japanese business culture believes in group and interpersonal relationships whereas UK business culture believes in individualistic approach, forms decisions based on facts and figures. </w:t>
      </w:r>
    </w:p>
    <w:p>
      <w:pPr>
        <w:pStyle w:val="30"/>
        <w:numPr>
          <w:ilvl w:val="0"/>
          <w:numId w:val="1"/>
        </w:numPr>
        <w:jc w:val="both"/>
        <w:rPr>
          <w:lang w:val="en-GB"/>
        </w:rPr>
      </w:pPr>
      <w:r>
        <w:rPr>
          <w:lang w:val="en-GB"/>
        </w:rPr>
        <w:t xml:space="preserve">The domestic market of Japanese jewellery industry is highly competitive which can create difficulties in the establishment of the product in the local market of Japan. The distribution system of Japan is highly complex. </w:t>
      </w:r>
      <w:r>
        <w:t>(Coumau, Yamakawa, Servoingt and Kim, 2017)</w:t>
      </w:r>
      <w:r>
        <w:rPr>
          <w:lang w:val="en-GB"/>
        </w:rPr>
        <w:t xml:space="preserve">. </w:t>
      </w:r>
    </w:p>
    <w:p>
      <w:pPr>
        <w:pStyle w:val="3"/>
        <w:rPr>
          <w:lang w:val="en-GB"/>
        </w:rPr>
      </w:pPr>
      <w:bookmarkStart w:id="20" w:name="_Toc37785898"/>
      <w:r>
        <w:rPr>
          <w:lang w:val="en-GB"/>
        </w:rPr>
        <w:t>6.2: IMPACT ON THE COMPANY</w:t>
      </w:r>
      <w:bookmarkEnd w:id="20"/>
    </w:p>
    <w:p>
      <w:pPr>
        <w:pStyle w:val="30"/>
        <w:numPr>
          <w:ilvl w:val="0"/>
          <w:numId w:val="2"/>
        </w:numPr>
        <w:jc w:val="both"/>
        <w:rPr>
          <w:lang w:val="en-GB"/>
        </w:rPr>
      </w:pPr>
      <w:r>
        <w:rPr>
          <w:lang w:val="en-GB"/>
        </w:rPr>
        <w:t xml:space="preserve">Japan is the third largest global jewellery market in the world after China and USA </w:t>
      </w:r>
      <w:r>
        <w:t>(Connell, 2020)</w:t>
      </w:r>
      <w:r>
        <w:rPr>
          <w:lang w:val="en-GB"/>
        </w:rPr>
        <w:t xml:space="preserve">. If the company is not able to build trustworthy and loyal business partnerships with Japan, it can lose a large global market share and consumers. </w:t>
      </w:r>
    </w:p>
    <w:p>
      <w:pPr>
        <w:pStyle w:val="30"/>
        <w:numPr>
          <w:ilvl w:val="0"/>
          <w:numId w:val="2"/>
        </w:numPr>
        <w:jc w:val="both"/>
        <w:rPr>
          <w:lang w:val="en-GB"/>
        </w:rPr>
      </w:pPr>
      <w:r>
        <w:rPr>
          <w:lang w:val="en-GB"/>
        </w:rPr>
        <w:t xml:space="preserve">By entering into a reputed global partnership, the company can take advantage of creating a global brand image for its products. But if it fails to build strong business communications and partnerships, the company cannot enter into profitable negotiations with the partners </w:t>
      </w:r>
      <w:r>
        <w:t>(Pitta and Franzak, 2008)</w:t>
      </w:r>
      <w:r>
        <w:rPr>
          <w:lang w:val="en-GB"/>
        </w:rPr>
        <w:t xml:space="preserve">. </w:t>
      </w:r>
    </w:p>
    <w:p>
      <w:pPr>
        <w:pStyle w:val="30"/>
        <w:numPr>
          <w:ilvl w:val="0"/>
          <w:numId w:val="2"/>
        </w:numPr>
        <w:jc w:val="both"/>
        <w:rPr>
          <w:lang w:val="en-GB"/>
        </w:rPr>
      </w:pPr>
      <w:r>
        <w:rPr>
          <w:lang w:val="en-GB"/>
        </w:rPr>
        <w:t xml:space="preserve">Global partnerships provide several merits of shared risks, greater market access and technological merits. All these opportunities will assist the company in accelerating its revenues and profits </w:t>
      </w:r>
      <w:r>
        <w:t>(Lamachenka, 2019)</w:t>
      </w:r>
      <w:r>
        <w:rPr>
          <w:lang w:val="en-GB"/>
        </w:rPr>
        <w:t>. This is only achievable only when the company understands and implements the approaches of business communications in forming healthy global partnerships.</w:t>
      </w:r>
    </w:p>
    <w:p>
      <w:pPr>
        <w:pStyle w:val="2"/>
        <w:rPr>
          <w:lang w:val="en-GB"/>
        </w:rPr>
      </w:pPr>
      <w:bookmarkStart w:id="21" w:name="_Toc37785899"/>
      <w:r>
        <w:rPr>
          <w:lang w:val="en-GB"/>
        </w:rPr>
        <w:t>7: REFLECTION</w:t>
      </w:r>
      <w:bookmarkEnd w:id="21"/>
    </w:p>
    <w:p>
      <w:pPr>
        <w:jc w:val="both"/>
        <w:rPr>
          <w:lang w:val="en-GB"/>
        </w:rPr>
      </w:pPr>
      <w:r>
        <w:rPr>
          <w:lang w:val="en-GB"/>
        </w:rPr>
        <w:t xml:space="preserve">While constructing this report, I came through several analysis and findings which assisted me in understanding the significance of skills and competencies required for building strong global partnerships. Skills and competencies such as mutual trust, cultural awareness, cross-cultural leadership and management play a vital role in building harmonious business partnerships. They inculcate the values of respect and equality in the workforce who perform in different work environments, belong to different cultures but work united to achieve the same goals for the organisations all around the globe. I analysed that it is very important to be aware of the cultural and language disparities that are present in the diverse “business cultures” of the world. Every nation has its own business culture. Thus, to build a bridge of understanding with the global partners it is essential to understand their mindsets, values and belief systems. Transparency in business operations and understanding the needs of the global partners are the fundamentals for nurturing a strong global partnership. I understood that partnership is not about running alone for a short distance as in a “sprint” and leaving the partner behind, instead partnership is like running in a “marathon” where the partners share the profits, risks, and witness an overall growth together unitedly. </w:t>
      </w:r>
    </w:p>
    <w:p>
      <w:pPr>
        <w:pStyle w:val="2"/>
        <w:rPr>
          <w:lang w:val="en-GB"/>
        </w:rPr>
      </w:pPr>
      <w:bookmarkStart w:id="22" w:name="_Toc37785900"/>
      <w:r>
        <w:rPr>
          <w:lang w:val="en-GB"/>
        </w:rPr>
        <w:t>8: CONCLUSION</w:t>
      </w:r>
      <w:bookmarkEnd w:id="22"/>
    </w:p>
    <w:p>
      <w:pPr>
        <w:jc w:val="both"/>
        <w:rPr>
          <w:lang w:val="en-GB"/>
        </w:rPr>
      </w:pPr>
      <w:r>
        <w:rPr>
          <w:lang w:val="en-GB"/>
        </w:rPr>
        <w:t xml:space="preserve">In the end it can be concluded that, the findings and discussions of the report recommend the company needs to deeply analyse the cultural diversities of Japan and formulate business contracts in its accordance. Japanese believe in long term business relationships and personal contacts thus; the company is advised to plan face to face meetings with the Japanese personals and build a strong command on the Japanese language. This will help in making profitable business negotiations with the global partners. Transparency in operations, shared risks, mutual understanding and respect for the local cultures should be kept in mind while forming business relationships with global partners. The company needs to inculcate the required skills and competencies as discussed in the report in their workforce to take advantage of the global opportunities. The company is also advised to understand the varied demands of its global customers and offer the jewellery products as per their needs and preferences. All these efforts will bridge the gap between two culturally diverse nations and will help in nurturing business harmony. </w:t>
      </w: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pStyle w:val="2"/>
        <w:rPr>
          <w:lang w:val="en-GB"/>
        </w:rPr>
      </w:pPr>
      <w:bookmarkStart w:id="23" w:name="_Toc37785901"/>
      <w:r>
        <w:rPr>
          <w:lang w:val="en-GB"/>
        </w:rPr>
        <w:t>REFERENCES</w:t>
      </w:r>
      <w:bookmarkEnd w:id="23"/>
    </w:p>
    <w:p>
      <w:pPr>
        <w:rPr>
          <w:lang w:eastAsia="en-IN"/>
        </w:rPr>
      </w:pPr>
      <w:r>
        <w:rPr>
          <w:lang w:eastAsia="en-IN"/>
        </w:rPr>
        <w:t>Amborg, J. and Bauer, S. (2017). </w:t>
      </w:r>
      <w:r>
        <w:rPr>
          <w:i/>
          <w:iCs/>
          <w:lang w:eastAsia="en-IN"/>
        </w:rPr>
        <w:t>COLLABORATIVE LEADERSHIP</w:t>
      </w:r>
      <w:r>
        <w:rPr>
          <w:lang w:eastAsia="en-IN"/>
        </w:rPr>
        <w:t>. 1st ed. [ebook] Oxford Leadership, pp.3-4. Available at: https://www.oxfordleadership.com/wp-content/uploads/2017/07/OL-White-Paper-Collaborative-Leadership.pdf [Accessed 11 April 2020].</w:t>
      </w:r>
    </w:p>
    <w:p>
      <w:pPr>
        <w:rPr>
          <w:lang w:eastAsia="en-IN"/>
        </w:rPr>
      </w:pPr>
      <w:r>
        <w:rPr>
          <w:lang w:eastAsia="en-IN"/>
        </w:rPr>
        <w:t>Chuang, S.(2013). </w:t>
      </w:r>
      <w:r>
        <w:rPr>
          <w:i/>
          <w:iCs/>
          <w:lang w:eastAsia="en-IN"/>
        </w:rPr>
        <w:t>ESSENTIAL SKILLS FOR LEADERSHIP EFFECTIVENESS IN DIVERSE WORKPLACE DEVELOPMENT</w:t>
      </w:r>
      <w:r>
        <w:rPr>
          <w:lang w:eastAsia="en-IN"/>
        </w:rPr>
        <w:t>. 6th ed. [ebook] Fooyin University, pp.5-6. Available at: https://opensiuc.lib.siu.edu/cgi/viewcontent.cgi?article=1133&amp;context=ojwed [Accessed 10 April 2020].</w:t>
      </w:r>
    </w:p>
    <w:p>
      <w:pPr>
        <w:rPr>
          <w:lang w:eastAsia="en-IN"/>
        </w:rPr>
      </w:pPr>
      <w:r>
        <w:rPr>
          <w:lang w:eastAsia="en-IN"/>
        </w:rPr>
        <w:t>Cohen, D. (2014). Top 6 Benefits for Businesses in Strategic Partnerships. [Blog] </w:t>
      </w:r>
      <w:r>
        <w:rPr>
          <w:i/>
          <w:iCs/>
          <w:lang w:eastAsia="en-IN"/>
        </w:rPr>
        <w:t>Powerlinx</w:t>
      </w:r>
      <w:r>
        <w:rPr>
          <w:lang w:eastAsia="en-IN"/>
        </w:rPr>
        <w:t>, Available at: https://www.powerlinx.com/blog/strategic-partnerships-benefits/ [Accessed 10 April 2020].</w:t>
      </w:r>
    </w:p>
    <w:p>
      <w:pPr>
        <w:rPr>
          <w:lang w:eastAsia="en-IN"/>
        </w:rPr>
      </w:pPr>
      <w:r>
        <w:rPr>
          <w:lang w:eastAsia="en-IN"/>
        </w:rPr>
        <w:t>Connell, L. (2020). </w:t>
      </w:r>
      <w:r>
        <w:rPr>
          <w:i/>
          <w:iCs/>
          <w:lang w:eastAsia="en-IN"/>
        </w:rPr>
        <w:t>Topic: Jewelry Market Worldwide</w:t>
      </w:r>
      <w:r>
        <w:rPr>
          <w:lang w:eastAsia="en-IN"/>
        </w:rPr>
        <w:t>. [online] www.statista.com. Available at: https://www.statista.com/topics/5163/jewelry-market-worldwide/ [Accessed 11 April 2020].</w:t>
      </w:r>
    </w:p>
    <w:p>
      <w:pPr>
        <w:rPr>
          <w:lang w:eastAsia="en-IN"/>
        </w:rPr>
      </w:pPr>
      <w:r>
        <w:rPr>
          <w:lang w:eastAsia="en-IN"/>
        </w:rPr>
        <w:t>Coumau, J., Yamakawa, N., Servoingt, B. and Kim, A. (2017). </w:t>
      </w:r>
      <w:r>
        <w:rPr>
          <w:i/>
          <w:iCs/>
          <w:lang w:eastAsia="en-IN"/>
        </w:rPr>
        <w:t>Changing The Channels Landscape To Satisfy Japanese Luxury Consumers&amp;Rsquo; Appetite For Novelty</w:t>
      </w:r>
      <w:r>
        <w:rPr>
          <w:lang w:eastAsia="en-IN"/>
        </w:rPr>
        <w:t>. [online] McKinsey &amp; Company. Available at: https://www.mckinsey.com/industries/retail/our-insights/changing-channels-landscape-to-satisfy-japanese-luxury-consumers-appetite-for-novelty [Accessed 11 April 2020].</w:t>
      </w:r>
    </w:p>
    <w:p>
      <w:pPr>
        <w:rPr>
          <w:lang w:eastAsia="en-IN"/>
        </w:rPr>
      </w:pPr>
      <w:r>
        <w:rPr>
          <w:lang w:eastAsia="en-IN"/>
        </w:rPr>
        <w:t>Davies, A., Fidler, D. and Gorbis, M.(2011). </w:t>
      </w:r>
      <w:r>
        <w:rPr>
          <w:i/>
          <w:iCs/>
          <w:lang w:eastAsia="en-IN"/>
        </w:rPr>
        <w:t>Future Work Skills 2020</w:t>
      </w:r>
      <w:r>
        <w:rPr>
          <w:lang w:eastAsia="en-IN"/>
        </w:rPr>
        <w:t>. 1st ed. [ebook] Phoenix: University of Phoenix Research Institute, p.9. Available at: http://www.iftf.org/uploads/media/SR-1382A_UPRI_future_work_skills_sm.pdf [Accessed 9 April 2020].</w:t>
      </w:r>
    </w:p>
    <w:p>
      <w:pPr>
        <w:rPr>
          <w:lang w:eastAsia="en-IN"/>
        </w:rPr>
      </w:pPr>
      <w:r>
        <w:rPr>
          <w:lang w:eastAsia="en-IN"/>
        </w:rPr>
        <w:t>Export to Japan. (2019). </w:t>
      </w:r>
      <w:r>
        <w:rPr>
          <w:i/>
          <w:iCs/>
          <w:lang w:eastAsia="en-IN"/>
        </w:rPr>
        <w:t>Why Do Business In Japan?</w:t>
      </w:r>
      <w:r>
        <w:rPr>
          <w:lang w:eastAsia="en-IN"/>
        </w:rPr>
        <w:t>. [video] Available at: https://exporttojapan.co.uk/guide/getting-started/why-japan/ [Accessed 10 April 2020].</w:t>
      </w:r>
    </w:p>
    <w:p>
      <w:pPr>
        <w:rPr>
          <w:lang w:eastAsia="en-IN"/>
        </w:rPr>
      </w:pPr>
      <w:r>
        <w:rPr>
          <w:lang w:eastAsia="en-IN"/>
        </w:rPr>
        <w:t>Förschner, M., Brandstetter, R. and Byrne, M. (2006). </w:t>
      </w:r>
      <w:r>
        <w:rPr>
          <w:i/>
          <w:iCs/>
          <w:lang w:eastAsia="en-IN"/>
        </w:rPr>
        <w:t>Successful Partnerships</w:t>
      </w:r>
      <w:r>
        <w:rPr>
          <w:lang w:eastAsia="en-IN"/>
        </w:rPr>
        <w:t>. 1st ed. [ebook] Paris, France Vienna,: OECD LEED, pp.3-16. Available at: https://www.oecd.org/cfe/leed/36279186.pdf [Accessed 11 April 2020].</w:t>
      </w:r>
    </w:p>
    <w:p>
      <w:pPr>
        <w:rPr>
          <w:lang w:eastAsia="en-IN"/>
        </w:rPr>
      </w:pPr>
      <w:r>
        <w:rPr>
          <w:lang w:eastAsia="en-IN"/>
        </w:rPr>
        <w:t>García, G. (2015). </w:t>
      </w:r>
      <w:r>
        <w:rPr>
          <w:i/>
          <w:iCs/>
          <w:lang w:eastAsia="en-IN"/>
        </w:rPr>
        <w:t>Inicio</w:t>
      </w:r>
      <w:r>
        <w:rPr>
          <w:lang w:eastAsia="en-IN"/>
        </w:rPr>
        <w:t>. [online] Realinstitutoelcano.org. Available at: http://www.realinstitutoelcano.org/wps/portal/rielcano_en/contenido?WCM_GLOBAL_CONTEXT=/elcano/elcano_es/zonas_es/asia-pacifico/ari29-2015-garcia-japanese-cultural-values-business-relationships [Accessed 10 April 2020].</w:t>
      </w:r>
    </w:p>
    <w:p>
      <w:pPr>
        <w:rPr>
          <w:lang w:eastAsia="en-IN"/>
        </w:rPr>
      </w:pPr>
      <w:r>
        <w:rPr>
          <w:lang w:eastAsia="en-IN"/>
        </w:rPr>
        <w:t>GlobeNewswire. (2019). </w:t>
      </w:r>
      <w:r>
        <w:rPr>
          <w:i/>
          <w:iCs/>
          <w:lang w:eastAsia="en-IN"/>
        </w:rPr>
        <w:t>Japan Jewellery Market Size, Trends And Forecast Report 2019-2023</w:t>
      </w:r>
      <w:r>
        <w:rPr>
          <w:lang w:eastAsia="en-IN"/>
        </w:rPr>
        <w:t>. [online] GlobeNewswire News Room. Available at: https://www.globenewswire.com/news-release/2019/07/30/1893858/0/en/Japan-Jewellery-Market-Size-Trends-and-Forecast-Report-2019-2023.html [Accessed 9 April 2020].</w:t>
      </w:r>
    </w:p>
    <w:p>
      <w:pPr>
        <w:rPr>
          <w:lang w:eastAsia="en-IN"/>
        </w:rPr>
      </w:pPr>
      <w:r>
        <w:rPr>
          <w:lang w:eastAsia="en-IN"/>
        </w:rPr>
        <w:t>Goldberg, L. (2017). </w:t>
      </w:r>
      <w:r>
        <w:rPr>
          <w:i/>
          <w:iCs/>
          <w:lang w:eastAsia="en-IN"/>
        </w:rPr>
        <w:t>Partnership CORE COMPETENCIES</w:t>
      </w:r>
      <w:r>
        <w:rPr>
          <w:lang w:eastAsia="en-IN"/>
        </w:rPr>
        <w:t>. 1st ed. [ebook] Partnership Academy. Available at: https://www.parks.ca.gov/pages/22374/files/7.%20Partnership%20Core%20Competencies.pdf [Accessed 10 April 2020].</w:t>
      </w:r>
    </w:p>
    <w:p>
      <w:pPr>
        <w:rPr>
          <w:lang w:eastAsia="en-IN"/>
        </w:rPr>
      </w:pPr>
      <w:r>
        <w:rPr>
          <w:lang w:eastAsia="en-IN"/>
        </w:rPr>
        <w:t>Gopalkrishnan, N. (2019). Cultural Competence and Beyond: Working Across Cultures in Culturally Dynamic Partnerships. </w:t>
      </w:r>
      <w:r>
        <w:rPr>
          <w:i/>
          <w:iCs/>
          <w:lang w:eastAsia="en-IN"/>
        </w:rPr>
        <w:t>The International Journal of Community and Social Development</w:t>
      </w:r>
      <w:r>
        <w:rPr>
          <w:lang w:eastAsia="en-IN"/>
        </w:rPr>
        <w:t>, [online] 1(1). Available at: https://journals.sagepub.com/doi/10.1177/2516602619826712 [Accessed 11 April 2020].</w:t>
      </w:r>
    </w:p>
    <w:p>
      <w:pPr>
        <w:rPr>
          <w:lang w:eastAsia="en-IN"/>
        </w:rPr>
      </w:pPr>
      <w:r>
        <w:rPr>
          <w:lang w:eastAsia="en-IN"/>
        </w:rPr>
        <w:t>Kakati, R. (2008). </w:t>
      </w:r>
      <w:r>
        <w:rPr>
          <w:i/>
          <w:iCs/>
          <w:lang w:eastAsia="en-IN"/>
        </w:rPr>
        <w:t>Japan- Dream Destination For Indian Jewellery Exporters</w:t>
      </w:r>
      <w:r>
        <w:rPr>
          <w:lang w:eastAsia="en-IN"/>
        </w:rPr>
        <w:t>. [online] Smetimes.in. Available at: http://www.smetimes.in/smetimes/in-depth/2008/Jun/14/japan-dream-destination-for-indian-jewellery-exporters.html [Accessed 9 April 2020].</w:t>
      </w:r>
    </w:p>
    <w:p>
      <w:pPr>
        <w:rPr>
          <w:lang w:eastAsia="en-IN"/>
        </w:rPr>
      </w:pPr>
      <w:r>
        <w:rPr>
          <w:lang w:eastAsia="en-IN"/>
        </w:rPr>
        <w:t>Lai, S. (2017). Bilingualism in Japan: Why Most Locals Don't Speak English (Part 1). [Blog] </w:t>
      </w:r>
      <w:r>
        <w:rPr>
          <w:i/>
          <w:iCs/>
          <w:lang w:eastAsia="en-IN"/>
        </w:rPr>
        <w:t>UX Blog</w:t>
      </w:r>
      <w:r>
        <w:rPr>
          <w:lang w:eastAsia="en-IN"/>
        </w:rPr>
        <w:t>, Available at: https://www.mitsue.co.jp/english/global_ux/blog/201709/14_1700.html [Accessed 11 April 2020].</w:t>
      </w:r>
    </w:p>
    <w:p>
      <w:pPr>
        <w:rPr>
          <w:lang w:eastAsia="en-IN"/>
        </w:rPr>
      </w:pPr>
      <w:r>
        <w:rPr>
          <w:lang w:eastAsia="en-IN"/>
        </w:rPr>
        <w:t>Lamachenka, A. (2019). 5 types of strategic partnership agreements to help grow your business. [Blog] </w:t>
      </w:r>
      <w:r>
        <w:rPr>
          <w:i/>
          <w:iCs/>
          <w:lang w:eastAsia="en-IN"/>
        </w:rPr>
        <w:t>PandaDoc Blog</w:t>
      </w:r>
      <w:r>
        <w:rPr>
          <w:lang w:eastAsia="en-IN"/>
        </w:rPr>
        <w:t>, Available at: https://blog.pandadoc.com/strategic-partnership-agreement/ [Accessed 11 April 2020].</w:t>
      </w:r>
    </w:p>
    <w:p>
      <w:pPr>
        <w:rPr>
          <w:lang w:eastAsia="en-IN"/>
        </w:rPr>
      </w:pPr>
      <w:r>
        <w:rPr>
          <w:lang w:eastAsia="en-IN"/>
        </w:rPr>
        <w:t>Matricano, D. and Vitagliano, G. (2018). International Marketing Strategies in the Jewellery Industry: Are They Standardised, Adapted or Both?. </w:t>
      </w:r>
      <w:r>
        <w:rPr>
          <w:i/>
          <w:iCs/>
          <w:lang w:eastAsia="en-IN"/>
        </w:rPr>
        <w:t>International Journal of Marketing Studies</w:t>
      </w:r>
      <w:r>
        <w:rPr>
          <w:lang w:eastAsia="en-IN"/>
        </w:rPr>
        <w:t>, [online] 10(1). Available at: http://www.ccsenet.org/journal/index.php/ijms/article/view/72807 [Accessed 10 April 2020].</w:t>
      </w:r>
    </w:p>
    <w:p>
      <w:pPr>
        <w:rPr>
          <w:lang w:eastAsia="en-IN"/>
        </w:rPr>
      </w:pPr>
      <w:r>
        <w:rPr>
          <w:lang w:eastAsia="en-IN"/>
        </w:rPr>
        <w:t>MINTEL. (2018). </w:t>
      </w:r>
      <w:r>
        <w:rPr>
          <w:i/>
          <w:iCs/>
          <w:lang w:eastAsia="en-IN"/>
        </w:rPr>
        <w:t>Jewellery &amp; Watches Retailing - UK - September 2018</w:t>
      </w:r>
      <w:r>
        <w:rPr>
          <w:lang w:eastAsia="en-IN"/>
        </w:rPr>
        <w:t>. [online] Mintel Group Ltd. Available at: https://reports.mintel.com/display/916798/?fromSearch=%3Ffreetext%3DJewellery%2520market%2520in%2520uk [Accessed 9 April 2020].</w:t>
      </w:r>
    </w:p>
    <w:p>
      <w:pPr>
        <w:rPr>
          <w:lang w:eastAsia="en-IN"/>
        </w:rPr>
      </w:pPr>
      <w:r>
        <w:rPr>
          <w:lang w:eastAsia="en-IN"/>
        </w:rPr>
        <w:t>Oliver, R. (2020). Japanese Gifting Etiquette. [Blog] </w:t>
      </w:r>
      <w:r>
        <w:rPr>
          <w:i/>
          <w:iCs/>
          <w:lang w:eastAsia="en-IN"/>
        </w:rPr>
        <w:t>Truly Blog Beyond Ordinary</w:t>
      </w:r>
      <w:r>
        <w:rPr>
          <w:lang w:eastAsia="en-IN"/>
        </w:rPr>
        <w:t>, Available at: https://trulyexperiences.com/blog/japanese-gifting-etiquette/ [Accessed 9 April 2020].</w:t>
      </w:r>
    </w:p>
    <w:p>
      <w:pPr>
        <w:rPr>
          <w:lang w:eastAsia="en-IN"/>
        </w:rPr>
      </w:pPr>
      <w:r>
        <w:rPr>
          <w:lang w:eastAsia="en-IN"/>
        </w:rPr>
        <w:t>Pitta, D. and Franzak, F. (2008). Foundations for building share of heart in global brands. </w:t>
      </w:r>
      <w:r>
        <w:rPr>
          <w:i/>
          <w:iCs/>
          <w:lang w:eastAsia="en-IN"/>
        </w:rPr>
        <w:t>Journal of Product &amp; Brand Management</w:t>
      </w:r>
      <w:r>
        <w:rPr>
          <w:lang w:eastAsia="en-IN"/>
        </w:rPr>
        <w:t>, [online] 17(2), pp.64-72. Available at: https://www.researchgate.net/publication/228620407_Foundations_for_building_share_of_heart_in_global_brands [Accessed 11 April 2020].</w:t>
      </w:r>
    </w:p>
    <w:p>
      <w:pPr>
        <w:rPr>
          <w:lang w:eastAsia="en-IN"/>
        </w:rPr>
      </w:pPr>
      <w:r>
        <w:rPr>
          <w:lang w:eastAsia="en-IN"/>
        </w:rPr>
        <w:t>Reynolds, K. (2017). The Top 7 Skills Needed for Success in International Business. [Blog] </w:t>
      </w:r>
      <w:r>
        <w:rPr>
          <w:i/>
          <w:iCs/>
          <w:lang w:eastAsia="en-IN"/>
        </w:rPr>
        <w:t>Hult Blogs</w:t>
      </w:r>
      <w:r>
        <w:rPr>
          <w:lang w:eastAsia="en-IN"/>
        </w:rPr>
        <w:t>, Available at: https://www.hult.edu/blog/skills-needed-in-international-business/ [Accessed 9 April 2020].</w:t>
      </w:r>
    </w:p>
    <w:p>
      <w:pPr>
        <w:rPr>
          <w:lang w:eastAsia="en-IN"/>
        </w:rPr>
      </w:pPr>
      <w:r>
        <w:rPr>
          <w:lang w:eastAsia="en-IN"/>
        </w:rPr>
        <w:t>Romero, T. (2014). </w:t>
      </w:r>
      <w:r>
        <w:rPr>
          <w:i/>
          <w:iCs/>
          <w:lang w:eastAsia="en-IN"/>
        </w:rPr>
        <w:t>Tech In Asia - Connecting Asia's Startup Ecosystem</w:t>
      </w:r>
      <w:r>
        <w:rPr>
          <w:lang w:eastAsia="en-IN"/>
        </w:rPr>
        <w:t>. [online] Techinasia.com. Available at: https://www.techinasia.com/definitive-guide-japan-market-entry-sales-secrets [Accessed 11 April 2020].</w:t>
      </w:r>
    </w:p>
    <w:p>
      <w:pPr>
        <w:rPr>
          <w:lang w:eastAsia="en-IN"/>
        </w:rPr>
      </w:pPr>
      <w:r>
        <w:rPr>
          <w:lang w:eastAsia="en-IN"/>
        </w:rPr>
        <w:t>Salsberg, B. (2010). </w:t>
      </w:r>
      <w:r>
        <w:rPr>
          <w:i/>
          <w:iCs/>
          <w:lang w:eastAsia="en-IN"/>
        </w:rPr>
        <w:t>The New Japanese Consumer</w:t>
      </w:r>
      <w:r>
        <w:rPr>
          <w:lang w:eastAsia="en-IN"/>
        </w:rPr>
        <w:t>. [online] McKinsey &amp; Company. Available at: https://www.mckinsey.com/industries/consumer-packaged-goods/our-insights/the-new-japanese-consumer [Accessed 11 April 2020].</w:t>
      </w:r>
    </w:p>
    <w:p>
      <w:pPr>
        <w:rPr>
          <w:lang w:eastAsia="en-IN"/>
        </w:rPr>
      </w:pPr>
      <w:r>
        <w:rPr>
          <w:lang w:eastAsia="en-IN"/>
        </w:rPr>
        <w:t>Statista. (2020). </w:t>
      </w:r>
      <w:r>
        <w:rPr>
          <w:i/>
          <w:iCs/>
          <w:lang w:eastAsia="en-IN"/>
        </w:rPr>
        <w:t>Luxury Jewelry - Japan | Statista Market Forecast</w:t>
      </w:r>
      <w:r>
        <w:rPr>
          <w:lang w:eastAsia="en-IN"/>
        </w:rPr>
        <w:t>. [online] Statista. Available at: https://www.statista.com/outlook/21020200/121/luxury-jewelry/japan [Accessed 10 April 2020].</w:t>
      </w:r>
    </w:p>
    <w:p>
      <w:pPr>
        <w:rPr>
          <w:lang w:eastAsia="en-IN"/>
        </w:rPr>
      </w:pPr>
      <w:r>
        <w:rPr>
          <w:lang w:eastAsia="en-IN"/>
        </w:rPr>
        <w:t>Willemsen, R. and Arc, P. (2019). </w:t>
      </w:r>
      <w:r>
        <w:rPr>
          <w:i/>
          <w:iCs/>
          <w:lang w:eastAsia="en-IN"/>
        </w:rPr>
        <w:t>A Successful Partnership Requires Risk Sharing</w:t>
      </w:r>
      <w:r>
        <w:rPr>
          <w:lang w:eastAsia="en-IN"/>
        </w:rPr>
        <w:t>. [online] Digitalistmag.com. Available at: https://www.digitalistmag.com/digital-economy/2019/05/14/successful-partnership-requires-risk-sharing-06198480 [Accessed 9 April 2020].</w:t>
      </w:r>
    </w:p>
    <w:p>
      <w:pPr>
        <w:rPr>
          <w:lang w:eastAsia="en-IN"/>
        </w:rPr>
      </w:pPr>
      <w:r>
        <w:rPr>
          <w:lang w:eastAsia="en-IN"/>
        </w:rPr>
        <w:t>Yous, N. (2017). </w:t>
      </w:r>
      <w:r>
        <w:rPr>
          <w:i/>
          <w:iCs/>
          <w:lang w:eastAsia="en-IN"/>
        </w:rPr>
        <w:t>Leadership And Management In Japan</w:t>
      </w:r>
      <w:r>
        <w:rPr>
          <w:lang w:eastAsia="en-IN"/>
        </w:rPr>
        <w:t>. 1st ed. [ebook] intermedio, pp.4-5. Available at: https://intermedio.ch/wp-content/uploads/2017/02/Leadership-and-Management-in-Japan.pdf [Accessed 10 April 2020].</w:t>
      </w:r>
    </w:p>
    <w:p>
      <w:pPr>
        <w:rPr>
          <w:b/>
          <w:bCs/>
          <w:lang w:eastAsia="en-IN"/>
        </w:rPr>
      </w:pPr>
    </w:p>
    <w:p>
      <w:pPr>
        <w:rPr>
          <w:b/>
          <w:bCs/>
          <w:lang w:val="en-GB"/>
        </w:rPr>
      </w:pPr>
    </w:p>
    <w:sectPr>
      <w:headerReference r:id="rId4" w:type="first"/>
      <w:headerReference r:id="rId3" w:type="default"/>
      <w:footerReference r:id="rId5" w:type="default"/>
      <w:pgSz w:w="11906" w:h="16838"/>
      <w:pgMar w:top="1440" w:right="1440" w:bottom="1440" w:left="1440" w:header="708" w:footer="708"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等线">
    <w:panose1 w:val="02010600030101010101"/>
    <w:charset w:val="86"/>
    <w:family w:val="auto"/>
    <w:pitch w:val="default"/>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31314565"/>
      <w:docPartObj>
        <w:docPartGallery w:val="AutoText"/>
      </w:docPartObj>
    </w:sdtPr>
    <w:sdtContent>
      <w:p>
        <w:pPr>
          <w:pStyle w:val="8"/>
          <w:jc w:val="right"/>
        </w:pPr>
        <w:r>
          <w:fldChar w:fldCharType="begin"/>
        </w:r>
        <w:r>
          <w:instrText xml:space="preserve"> PAGE   \* MERGEFORMAT </w:instrText>
        </w:r>
        <w:r>
          <w:fldChar w:fldCharType="separate"/>
        </w:r>
        <w:r>
          <w:t>12</w:t>
        </w:r>
        <w:r>
          <w:fldChar w:fldCharType="end"/>
        </w:r>
      </w:p>
    </w:sdtContent>
  </w:sdt>
  <w:p>
    <w:pPr>
      <w:pStyle w:val="8"/>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lang w:val="en-US"/>
      </w:rPr>
    </w:pPr>
    <w:r>
      <w:rPr>
        <w:lang w:val="en-US"/>
      </w:rPr>
      <w:t>Building Global Partnerships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rPr>
        <w:lang w:val="en-US"/>
      </w:rPr>
    </w:pPr>
    <w:r>
      <w:rPr>
        <w:lang w:val="en-US"/>
      </w:rPr>
      <w:t xml:space="preserve">Building Global Partnerships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06E2A"/>
    <w:multiLevelType w:val="multilevel"/>
    <w:tmpl w:val="02006E2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FA9026A"/>
    <w:multiLevelType w:val="multilevel"/>
    <w:tmpl w:val="3FA9026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E31"/>
    <w:rsid w:val="000051CD"/>
    <w:rsid w:val="00005996"/>
    <w:rsid w:val="00013350"/>
    <w:rsid w:val="000139A9"/>
    <w:rsid w:val="00016966"/>
    <w:rsid w:val="00027054"/>
    <w:rsid w:val="00027A0E"/>
    <w:rsid w:val="00030151"/>
    <w:rsid w:val="00032953"/>
    <w:rsid w:val="00033480"/>
    <w:rsid w:val="00034989"/>
    <w:rsid w:val="000373CB"/>
    <w:rsid w:val="00044CC8"/>
    <w:rsid w:val="0005288C"/>
    <w:rsid w:val="00053DC0"/>
    <w:rsid w:val="00054385"/>
    <w:rsid w:val="000676CB"/>
    <w:rsid w:val="00070B71"/>
    <w:rsid w:val="00075B39"/>
    <w:rsid w:val="000920CB"/>
    <w:rsid w:val="00094879"/>
    <w:rsid w:val="000A116C"/>
    <w:rsid w:val="000B0D8C"/>
    <w:rsid w:val="000B0E77"/>
    <w:rsid w:val="000B2622"/>
    <w:rsid w:val="000B47BE"/>
    <w:rsid w:val="000B6571"/>
    <w:rsid w:val="000B6B19"/>
    <w:rsid w:val="000C2569"/>
    <w:rsid w:val="000D035C"/>
    <w:rsid w:val="000D0EF2"/>
    <w:rsid w:val="000D50B7"/>
    <w:rsid w:val="000E20B5"/>
    <w:rsid w:val="000E38F6"/>
    <w:rsid w:val="000E56FD"/>
    <w:rsid w:val="000F578D"/>
    <w:rsid w:val="000F75D6"/>
    <w:rsid w:val="00102CFF"/>
    <w:rsid w:val="0012210B"/>
    <w:rsid w:val="00122A57"/>
    <w:rsid w:val="001231C0"/>
    <w:rsid w:val="00123F3E"/>
    <w:rsid w:val="00124DF2"/>
    <w:rsid w:val="0012568B"/>
    <w:rsid w:val="00125F62"/>
    <w:rsid w:val="001269C6"/>
    <w:rsid w:val="0013156F"/>
    <w:rsid w:val="00132292"/>
    <w:rsid w:val="00153C95"/>
    <w:rsid w:val="0018303D"/>
    <w:rsid w:val="001835D9"/>
    <w:rsid w:val="001A70B0"/>
    <w:rsid w:val="001B1ECE"/>
    <w:rsid w:val="001B5678"/>
    <w:rsid w:val="001C02FF"/>
    <w:rsid w:val="001C1B53"/>
    <w:rsid w:val="001C28B8"/>
    <w:rsid w:val="001C7075"/>
    <w:rsid w:val="001D00E3"/>
    <w:rsid w:val="001D40B4"/>
    <w:rsid w:val="001E11FF"/>
    <w:rsid w:val="001E367B"/>
    <w:rsid w:val="001E5B82"/>
    <w:rsid w:val="001E5DE0"/>
    <w:rsid w:val="001E6225"/>
    <w:rsid w:val="001E6C12"/>
    <w:rsid w:val="001F0459"/>
    <w:rsid w:val="001F0B2F"/>
    <w:rsid w:val="002029BC"/>
    <w:rsid w:val="00203113"/>
    <w:rsid w:val="00204DFD"/>
    <w:rsid w:val="00207439"/>
    <w:rsid w:val="00211333"/>
    <w:rsid w:val="00217F49"/>
    <w:rsid w:val="0022056B"/>
    <w:rsid w:val="00222853"/>
    <w:rsid w:val="00223708"/>
    <w:rsid w:val="002331D0"/>
    <w:rsid w:val="00234EC8"/>
    <w:rsid w:val="002366AC"/>
    <w:rsid w:val="00251645"/>
    <w:rsid w:val="002554EE"/>
    <w:rsid w:val="00260500"/>
    <w:rsid w:val="0026510B"/>
    <w:rsid w:val="00267611"/>
    <w:rsid w:val="00281917"/>
    <w:rsid w:val="0028506D"/>
    <w:rsid w:val="00286FF8"/>
    <w:rsid w:val="00292480"/>
    <w:rsid w:val="002A2538"/>
    <w:rsid w:val="002A7BE9"/>
    <w:rsid w:val="002A7F95"/>
    <w:rsid w:val="002B0303"/>
    <w:rsid w:val="002B21B7"/>
    <w:rsid w:val="002B2D98"/>
    <w:rsid w:val="002C35F0"/>
    <w:rsid w:val="002D229B"/>
    <w:rsid w:val="002D2342"/>
    <w:rsid w:val="002D3362"/>
    <w:rsid w:val="002D60E6"/>
    <w:rsid w:val="002D73BE"/>
    <w:rsid w:val="002E48AB"/>
    <w:rsid w:val="002E74BA"/>
    <w:rsid w:val="00301175"/>
    <w:rsid w:val="00302D14"/>
    <w:rsid w:val="00305BFA"/>
    <w:rsid w:val="00322A37"/>
    <w:rsid w:val="00332580"/>
    <w:rsid w:val="003346BF"/>
    <w:rsid w:val="00337FD0"/>
    <w:rsid w:val="00343380"/>
    <w:rsid w:val="00346897"/>
    <w:rsid w:val="00367C0A"/>
    <w:rsid w:val="003708CB"/>
    <w:rsid w:val="00376487"/>
    <w:rsid w:val="00380152"/>
    <w:rsid w:val="00380C06"/>
    <w:rsid w:val="003835A6"/>
    <w:rsid w:val="003854CF"/>
    <w:rsid w:val="0039225E"/>
    <w:rsid w:val="00394B34"/>
    <w:rsid w:val="00394E3D"/>
    <w:rsid w:val="00395890"/>
    <w:rsid w:val="003A4C7B"/>
    <w:rsid w:val="003B3B08"/>
    <w:rsid w:val="003C01C8"/>
    <w:rsid w:val="003C397F"/>
    <w:rsid w:val="003C6A08"/>
    <w:rsid w:val="003C6BE5"/>
    <w:rsid w:val="003D376C"/>
    <w:rsid w:val="003D4212"/>
    <w:rsid w:val="003E04A4"/>
    <w:rsid w:val="003E4305"/>
    <w:rsid w:val="003E432D"/>
    <w:rsid w:val="003E487E"/>
    <w:rsid w:val="003E4AA3"/>
    <w:rsid w:val="003E72E3"/>
    <w:rsid w:val="004116F2"/>
    <w:rsid w:val="00412131"/>
    <w:rsid w:val="0041777D"/>
    <w:rsid w:val="004211E7"/>
    <w:rsid w:val="00421682"/>
    <w:rsid w:val="00424564"/>
    <w:rsid w:val="00425535"/>
    <w:rsid w:val="00426EF5"/>
    <w:rsid w:val="00431394"/>
    <w:rsid w:val="004313F4"/>
    <w:rsid w:val="0044301E"/>
    <w:rsid w:val="0044443F"/>
    <w:rsid w:val="00455A41"/>
    <w:rsid w:val="00456772"/>
    <w:rsid w:val="00456E99"/>
    <w:rsid w:val="00460975"/>
    <w:rsid w:val="00465C8D"/>
    <w:rsid w:val="004722D3"/>
    <w:rsid w:val="00477178"/>
    <w:rsid w:val="00485679"/>
    <w:rsid w:val="00490803"/>
    <w:rsid w:val="00494D6B"/>
    <w:rsid w:val="00494F2D"/>
    <w:rsid w:val="00495983"/>
    <w:rsid w:val="004B32CB"/>
    <w:rsid w:val="004B6F15"/>
    <w:rsid w:val="004C126E"/>
    <w:rsid w:val="004C5623"/>
    <w:rsid w:val="004C5DCB"/>
    <w:rsid w:val="004D43F2"/>
    <w:rsid w:val="004D71A5"/>
    <w:rsid w:val="004E3344"/>
    <w:rsid w:val="004F62D0"/>
    <w:rsid w:val="004F791B"/>
    <w:rsid w:val="0050206D"/>
    <w:rsid w:val="00510966"/>
    <w:rsid w:val="00511512"/>
    <w:rsid w:val="00513C45"/>
    <w:rsid w:val="00513F68"/>
    <w:rsid w:val="005178D3"/>
    <w:rsid w:val="005344B1"/>
    <w:rsid w:val="00534605"/>
    <w:rsid w:val="00535DB9"/>
    <w:rsid w:val="00537D16"/>
    <w:rsid w:val="00552138"/>
    <w:rsid w:val="00554802"/>
    <w:rsid w:val="00564F82"/>
    <w:rsid w:val="00567106"/>
    <w:rsid w:val="00567938"/>
    <w:rsid w:val="00572BF0"/>
    <w:rsid w:val="00573AD4"/>
    <w:rsid w:val="005741F8"/>
    <w:rsid w:val="00582F36"/>
    <w:rsid w:val="00584432"/>
    <w:rsid w:val="00587DB5"/>
    <w:rsid w:val="005909E2"/>
    <w:rsid w:val="00593A2F"/>
    <w:rsid w:val="005974D1"/>
    <w:rsid w:val="005A143A"/>
    <w:rsid w:val="005A3F60"/>
    <w:rsid w:val="005A7FCF"/>
    <w:rsid w:val="005B6C48"/>
    <w:rsid w:val="005B7AED"/>
    <w:rsid w:val="005E7C9C"/>
    <w:rsid w:val="005F244A"/>
    <w:rsid w:val="005F5DBE"/>
    <w:rsid w:val="005F7556"/>
    <w:rsid w:val="005F7F28"/>
    <w:rsid w:val="006006A2"/>
    <w:rsid w:val="00601BBA"/>
    <w:rsid w:val="00601D7E"/>
    <w:rsid w:val="00602EF3"/>
    <w:rsid w:val="0060469C"/>
    <w:rsid w:val="00612E97"/>
    <w:rsid w:val="00614793"/>
    <w:rsid w:val="00616044"/>
    <w:rsid w:val="00617628"/>
    <w:rsid w:val="00617E48"/>
    <w:rsid w:val="00620400"/>
    <w:rsid w:val="0062134B"/>
    <w:rsid w:val="00622E55"/>
    <w:rsid w:val="00630ECB"/>
    <w:rsid w:val="00637EEB"/>
    <w:rsid w:val="00646669"/>
    <w:rsid w:val="00650C03"/>
    <w:rsid w:val="00650E70"/>
    <w:rsid w:val="00650F92"/>
    <w:rsid w:val="00667DAE"/>
    <w:rsid w:val="006701A0"/>
    <w:rsid w:val="00671C35"/>
    <w:rsid w:val="00677750"/>
    <w:rsid w:val="00683662"/>
    <w:rsid w:val="00686201"/>
    <w:rsid w:val="0069769E"/>
    <w:rsid w:val="006A0C3F"/>
    <w:rsid w:val="006A3D21"/>
    <w:rsid w:val="006B028E"/>
    <w:rsid w:val="006B3370"/>
    <w:rsid w:val="006B6C1C"/>
    <w:rsid w:val="006C03DF"/>
    <w:rsid w:val="006C3759"/>
    <w:rsid w:val="006C5777"/>
    <w:rsid w:val="006D3692"/>
    <w:rsid w:val="006D6B94"/>
    <w:rsid w:val="006E0CF8"/>
    <w:rsid w:val="006E282A"/>
    <w:rsid w:val="006E4688"/>
    <w:rsid w:val="006E61E9"/>
    <w:rsid w:val="006E7003"/>
    <w:rsid w:val="006F1F7C"/>
    <w:rsid w:val="006F2512"/>
    <w:rsid w:val="006F60AB"/>
    <w:rsid w:val="006F7EA2"/>
    <w:rsid w:val="007030CF"/>
    <w:rsid w:val="0070729A"/>
    <w:rsid w:val="00720A5F"/>
    <w:rsid w:val="00726969"/>
    <w:rsid w:val="00727A91"/>
    <w:rsid w:val="00730B80"/>
    <w:rsid w:val="00731141"/>
    <w:rsid w:val="0073510D"/>
    <w:rsid w:val="00737D2C"/>
    <w:rsid w:val="00743024"/>
    <w:rsid w:val="0074749A"/>
    <w:rsid w:val="0075489E"/>
    <w:rsid w:val="00756714"/>
    <w:rsid w:val="0076356B"/>
    <w:rsid w:val="007664A2"/>
    <w:rsid w:val="0077065C"/>
    <w:rsid w:val="00771395"/>
    <w:rsid w:val="00777AD0"/>
    <w:rsid w:val="00783304"/>
    <w:rsid w:val="007903C2"/>
    <w:rsid w:val="00790F80"/>
    <w:rsid w:val="00794612"/>
    <w:rsid w:val="00796E33"/>
    <w:rsid w:val="007A6A4B"/>
    <w:rsid w:val="007A6C0B"/>
    <w:rsid w:val="007B6A78"/>
    <w:rsid w:val="007D2C65"/>
    <w:rsid w:val="007D4C46"/>
    <w:rsid w:val="007E4F66"/>
    <w:rsid w:val="007F0A6D"/>
    <w:rsid w:val="007F0E31"/>
    <w:rsid w:val="007F2207"/>
    <w:rsid w:val="007F2515"/>
    <w:rsid w:val="007F2B81"/>
    <w:rsid w:val="00802975"/>
    <w:rsid w:val="00803715"/>
    <w:rsid w:val="00806ACB"/>
    <w:rsid w:val="008140DC"/>
    <w:rsid w:val="008230EF"/>
    <w:rsid w:val="00833CDB"/>
    <w:rsid w:val="00835248"/>
    <w:rsid w:val="00835B92"/>
    <w:rsid w:val="00840EAF"/>
    <w:rsid w:val="00841FFB"/>
    <w:rsid w:val="00847A1B"/>
    <w:rsid w:val="00850804"/>
    <w:rsid w:val="00854A81"/>
    <w:rsid w:val="00855B2F"/>
    <w:rsid w:val="0085646F"/>
    <w:rsid w:val="008575F7"/>
    <w:rsid w:val="00860763"/>
    <w:rsid w:val="00860EE3"/>
    <w:rsid w:val="00863A22"/>
    <w:rsid w:val="00866FBD"/>
    <w:rsid w:val="00867D68"/>
    <w:rsid w:val="00873C43"/>
    <w:rsid w:val="00873EDB"/>
    <w:rsid w:val="00875776"/>
    <w:rsid w:val="00875A06"/>
    <w:rsid w:val="0088190A"/>
    <w:rsid w:val="00895B43"/>
    <w:rsid w:val="00896101"/>
    <w:rsid w:val="008A664C"/>
    <w:rsid w:val="008A7DD1"/>
    <w:rsid w:val="008B15E0"/>
    <w:rsid w:val="008B53BC"/>
    <w:rsid w:val="008C0A2D"/>
    <w:rsid w:val="008C20CE"/>
    <w:rsid w:val="008C34A0"/>
    <w:rsid w:val="008C5A9D"/>
    <w:rsid w:val="008C7048"/>
    <w:rsid w:val="008C7E25"/>
    <w:rsid w:val="008D4A6D"/>
    <w:rsid w:val="008D50F5"/>
    <w:rsid w:val="008E264E"/>
    <w:rsid w:val="008E5A2C"/>
    <w:rsid w:val="008F0667"/>
    <w:rsid w:val="008F620A"/>
    <w:rsid w:val="009044DD"/>
    <w:rsid w:val="00912E75"/>
    <w:rsid w:val="00913890"/>
    <w:rsid w:val="009239EC"/>
    <w:rsid w:val="00925283"/>
    <w:rsid w:val="00925C7A"/>
    <w:rsid w:val="00925D1F"/>
    <w:rsid w:val="00927F5F"/>
    <w:rsid w:val="00932C8C"/>
    <w:rsid w:val="00934DFC"/>
    <w:rsid w:val="00937EEF"/>
    <w:rsid w:val="0094090A"/>
    <w:rsid w:val="00940AE4"/>
    <w:rsid w:val="009412AE"/>
    <w:rsid w:val="00961BF1"/>
    <w:rsid w:val="00963728"/>
    <w:rsid w:val="00966631"/>
    <w:rsid w:val="00967075"/>
    <w:rsid w:val="00971850"/>
    <w:rsid w:val="009745AE"/>
    <w:rsid w:val="0099544E"/>
    <w:rsid w:val="009A6056"/>
    <w:rsid w:val="009A7A37"/>
    <w:rsid w:val="009B17F9"/>
    <w:rsid w:val="009B6038"/>
    <w:rsid w:val="009C0E26"/>
    <w:rsid w:val="009C1D34"/>
    <w:rsid w:val="009C376E"/>
    <w:rsid w:val="009C39D5"/>
    <w:rsid w:val="009D444A"/>
    <w:rsid w:val="009D509B"/>
    <w:rsid w:val="009E3CFC"/>
    <w:rsid w:val="009E445C"/>
    <w:rsid w:val="009E6C90"/>
    <w:rsid w:val="009F28C6"/>
    <w:rsid w:val="009F5A4D"/>
    <w:rsid w:val="00A023E4"/>
    <w:rsid w:val="00A11B6A"/>
    <w:rsid w:val="00A12706"/>
    <w:rsid w:val="00A16D65"/>
    <w:rsid w:val="00A16ED8"/>
    <w:rsid w:val="00A20188"/>
    <w:rsid w:val="00A21CB7"/>
    <w:rsid w:val="00A24FF2"/>
    <w:rsid w:val="00A273FF"/>
    <w:rsid w:val="00A35138"/>
    <w:rsid w:val="00A402F7"/>
    <w:rsid w:val="00A60432"/>
    <w:rsid w:val="00A61623"/>
    <w:rsid w:val="00A64601"/>
    <w:rsid w:val="00A65A34"/>
    <w:rsid w:val="00A70D7D"/>
    <w:rsid w:val="00A80365"/>
    <w:rsid w:val="00A82A4B"/>
    <w:rsid w:val="00A8697F"/>
    <w:rsid w:val="00A87B92"/>
    <w:rsid w:val="00A87EB4"/>
    <w:rsid w:val="00A943E7"/>
    <w:rsid w:val="00A9537A"/>
    <w:rsid w:val="00AA46ED"/>
    <w:rsid w:val="00AA4866"/>
    <w:rsid w:val="00AA4FD2"/>
    <w:rsid w:val="00AB5AD1"/>
    <w:rsid w:val="00AB626B"/>
    <w:rsid w:val="00AC403E"/>
    <w:rsid w:val="00AC5AA5"/>
    <w:rsid w:val="00AC6804"/>
    <w:rsid w:val="00AD22F2"/>
    <w:rsid w:val="00AD2EF2"/>
    <w:rsid w:val="00AD7168"/>
    <w:rsid w:val="00AF3642"/>
    <w:rsid w:val="00B01EC7"/>
    <w:rsid w:val="00B04DEE"/>
    <w:rsid w:val="00B07FAB"/>
    <w:rsid w:val="00B1308E"/>
    <w:rsid w:val="00B13A54"/>
    <w:rsid w:val="00B225F4"/>
    <w:rsid w:val="00B235FD"/>
    <w:rsid w:val="00B23AB4"/>
    <w:rsid w:val="00B23CE7"/>
    <w:rsid w:val="00B241F1"/>
    <w:rsid w:val="00B353FA"/>
    <w:rsid w:val="00B35D71"/>
    <w:rsid w:val="00B42EDF"/>
    <w:rsid w:val="00B44839"/>
    <w:rsid w:val="00B517F9"/>
    <w:rsid w:val="00B5647A"/>
    <w:rsid w:val="00B62DB6"/>
    <w:rsid w:val="00B6704D"/>
    <w:rsid w:val="00B75D4C"/>
    <w:rsid w:val="00B77CCC"/>
    <w:rsid w:val="00B8068C"/>
    <w:rsid w:val="00B82616"/>
    <w:rsid w:val="00B907AF"/>
    <w:rsid w:val="00B90AEC"/>
    <w:rsid w:val="00B90CBA"/>
    <w:rsid w:val="00B95507"/>
    <w:rsid w:val="00B95591"/>
    <w:rsid w:val="00B95A16"/>
    <w:rsid w:val="00B971D1"/>
    <w:rsid w:val="00BA05A1"/>
    <w:rsid w:val="00BA0745"/>
    <w:rsid w:val="00BA1F03"/>
    <w:rsid w:val="00BA5966"/>
    <w:rsid w:val="00BC29F3"/>
    <w:rsid w:val="00BC4935"/>
    <w:rsid w:val="00BD0326"/>
    <w:rsid w:val="00BD0A7B"/>
    <w:rsid w:val="00BE28CB"/>
    <w:rsid w:val="00BE3105"/>
    <w:rsid w:val="00BE3A37"/>
    <w:rsid w:val="00BE786D"/>
    <w:rsid w:val="00BF050A"/>
    <w:rsid w:val="00BF100E"/>
    <w:rsid w:val="00BF3EB3"/>
    <w:rsid w:val="00BF5580"/>
    <w:rsid w:val="00C25F61"/>
    <w:rsid w:val="00C302A2"/>
    <w:rsid w:val="00C37A71"/>
    <w:rsid w:val="00C400EE"/>
    <w:rsid w:val="00C41755"/>
    <w:rsid w:val="00C57F84"/>
    <w:rsid w:val="00C626EA"/>
    <w:rsid w:val="00C63A39"/>
    <w:rsid w:val="00C6525C"/>
    <w:rsid w:val="00C740FD"/>
    <w:rsid w:val="00C745F3"/>
    <w:rsid w:val="00C8240E"/>
    <w:rsid w:val="00C86A96"/>
    <w:rsid w:val="00C92CDB"/>
    <w:rsid w:val="00C93660"/>
    <w:rsid w:val="00C937EC"/>
    <w:rsid w:val="00CA08F9"/>
    <w:rsid w:val="00CA1AD5"/>
    <w:rsid w:val="00CA4037"/>
    <w:rsid w:val="00CB2488"/>
    <w:rsid w:val="00CB67C5"/>
    <w:rsid w:val="00CC0AE9"/>
    <w:rsid w:val="00CE13EA"/>
    <w:rsid w:val="00CE75C4"/>
    <w:rsid w:val="00CE79EF"/>
    <w:rsid w:val="00D05420"/>
    <w:rsid w:val="00D0642C"/>
    <w:rsid w:val="00D12776"/>
    <w:rsid w:val="00D147BA"/>
    <w:rsid w:val="00D158B9"/>
    <w:rsid w:val="00D16B8D"/>
    <w:rsid w:val="00D17C24"/>
    <w:rsid w:val="00D17DC1"/>
    <w:rsid w:val="00D244DA"/>
    <w:rsid w:val="00D254B4"/>
    <w:rsid w:val="00D26A4F"/>
    <w:rsid w:val="00D37061"/>
    <w:rsid w:val="00D40817"/>
    <w:rsid w:val="00D44266"/>
    <w:rsid w:val="00D4740B"/>
    <w:rsid w:val="00D520B4"/>
    <w:rsid w:val="00D54388"/>
    <w:rsid w:val="00D55EA9"/>
    <w:rsid w:val="00D56742"/>
    <w:rsid w:val="00D612B2"/>
    <w:rsid w:val="00D64EAA"/>
    <w:rsid w:val="00D657CA"/>
    <w:rsid w:val="00D65A5A"/>
    <w:rsid w:val="00D67613"/>
    <w:rsid w:val="00D70278"/>
    <w:rsid w:val="00D805A1"/>
    <w:rsid w:val="00D8253A"/>
    <w:rsid w:val="00D85DEE"/>
    <w:rsid w:val="00D86154"/>
    <w:rsid w:val="00D90EA8"/>
    <w:rsid w:val="00DA335D"/>
    <w:rsid w:val="00DA3B49"/>
    <w:rsid w:val="00DA455C"/>
    <w:rsid w:val="00DB318D"/>
    <w:rsid w:val="00DB42FE"/>
    <w:rsid w:val="00DD0D66"/>
    <w:rsid w:val="00DD668E"/>
    <w:rsid w:val="00DD6939"/>
    <w:rsid w:val="00DE187F"/>
    <w:rsid w:val="00DE2B5A"/>
    <w:rsid w:val="00DE47BB"/>
    <w:rsid w:val="00DF01FC"/>
    <w:rsid w:val="00DF4642"/>
    <w:rsid w:val="00E13579"/>
    <w:rsid w:val="00E1722A"/>
    <w:rsid w:val="00E22F28"/>
    <w:rsid w:val="00E30B51"/>
    <w:rsid w:val="00E30D90"/>
    <w:rsid w:val="00E32F73"/>
    <w:rsid w:val="00E35594"/>
    <w:rsid w:val="00E44F52"/>
    <w:rsid w:val="00E4607D"/>
    <w:rsid w:val="00E50E11"/>
    <w:rsid w:val="00E612B1"/>
    <w:rsid w:val="00E6268B"/>
    <w:rsid w:val="00E650DB"/>
    <w:rsid w:val="00E66A1D"/>
    <w:rsid w:val="00E67E87"/>
    <w:rsid w:val="00E71A63"/>
    <w:rsid w:val="00E71D55"/>
    <w:rsid w:val="00E75663"/>
    <w:rsid w:val="00E803F0"/>
    <w:rsid w:val="00E902C9"/>
    <w:rsid w:val="00E966E3"/>
    <w:rsid w:val="00E97D36"/>
    <w:rsid w:val="00EA3120"/>
    <w:rsid w:val="00EA46B4"/>
    <w:rsid w:val="00EB0D5C"/>
    <w:rsid w:val="00EB0E69"/>
    <w:rsid w:val="00EB31BF"/>
    <w:rsid w:val="00EB376C"/>
    <w:rsid w:val="00EB48F5"/>
    <w:rsid w:val="00EB4CA5"/>
    <w:rsid w:val="00EB6A42"/>
    <w:rsid w:val="00EB7011"/>
    <w:rsid w:val="00EB7F4A"/>
    <w:rsid w:val="00EC502A"/>
    <w:rsid w:val="00ED0735"/>
    <w:rsid w:val="00ED12C9"/>
    <w:rsid w:val="00ED3F02"/>
    <w:rsid w:val="00EE031E"/>
    <w:rsid w:val="00EE203A"/>
    <w:rsid w:val="00EE772F"/>
    <w:rsid w:val="00EF41A8"/>
    <w:rsid w:val="00EF4AC3"/>
    <w:rsid w:val="00F04585"/>
    <w:rsid w:val="00F07E55"/>
    <w:rsid w:val="00F07FAA"/>
    <w:rsid w:val="00F218C0"/>
    <w:rsid w:val="00F22EA9"/>
    <w:rsid w:val="00F26AE5"/>
    <w:rsid w:val="00F306AC"/>
    <w:rsid w:val="00F42818"/>
    <w:rsid w:val="00F435B4"/>
    <w:rsid w:val="00F50BCB"/>
    <w:rsid w:val="00F51286"/>
    <w:rsid w:val="00F52373"/>
    <w:rsid w:val="00F5557F"/>
    <w:rsid w:val="00F60F8C"/>
    <w:rsid w:val="00F61556"/>
    <w:rsid w:val="00F633C9"/>
    <w:rsid w:val="00F63BEB"/>
    <w:rsid w:val="00F71DF9"/>
    <w:rsid w:val="00F8161C"/>
    <w:rsid w:val="00F82EEC"/>
    <w:rsid w:val="00F839DA"/>
    <w:rsid w:val="00F92263"/>
    <w:rsid w:val="00FA3E08"/>
    <w:rsid w:val="00FA4D9D"/>
    <w:rsid w:val="00FA5182"/>
    <w:rsid w:val="00FB0F1F"/>
    <w:rsid w:val="00FB165B"/>
    <w:rsid w:val="00FB4C22"/>
    <w:rsid w:val="00FB7D4D"/>
    <w:rsid w:val="00FC2440"/>
    <w:rsid w:val="00FC6B8D"/>
    <w:rsid w:val="00FD2368"/>
    <w:rsid w:val="00FD62B5"/>
    <w:rsid w:val="00FD73B8"/>
    <w:rsid w:val="00FE0407"/>
    <w:rsid w:val="00FE41A1"/>
    <w:rsid w:val="00FE58C4"/>
    <w:rsid w:val="00FE5A0E"/>
    <w:rsid w:val="00FF5795"/>
    <w:rsid w:val="238F583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HAnsi" w:cstheme="minorBidi"/>
      <w:sz w:val="24"/>
      <w:szCs w:val="22"/>
      <w:lang w:val="en-IN" w:eastAsia="en-US" w:bidi="ar-SA"/>
    </w:rPr>
  </w:style>
  <w:style w:type="paragraph" w:styleId="2">
    <w:name w:val="heading 1"/>
    <w:basedOn w:val="1"/>
    <w:next w:val="1"/>
    <w:link w:val="19"/>
    <w:qFormat/>
    <w:uiPriority w:val="9"/>
    <w:pPr>
      <w:keepNext/>
      <w:keepLines/>
      <w:spacing w:before="240"/>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20"/>
    <w:unhideWhenUsed/>
    <w:qFormat/>
    <w:uiPriority w:val="9"/>
    <w:pPr>
      <w:keepNext/>
      <w:keepLines/>
      <w:spacing w:before="40" w:after="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22"/>
    <w:unhideWhenUsed/>
    <w:qFormat/>
    <w:uiPriority w:val="9"/>
    <w:pPr>
      <w:keepNext/>
      <w:keepLines/>
      <w:spacing w:after="0"/>
      <w:ind w:firstLine="360"/>
      <w:outlineLvl w:val="2"/>
    </w:pPr>
    <w:rPr>
      <w:rFonts w:eastAsiaTheme="majorEastAsia" w:cstheme="majorBidi"/>
      <w:b/>
      <w:color w:val="000000" w:themeColor="text1"/>
      <w:szCs w:val="24"/>
      <w14:textFill>
        <w14:solidFill>
          <w14:schemeClr w14:val="tx1"/>
        </w14:solidFill>
      </w14:textFill>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27"/>
    <w:semiHidden/>
    <w:unhideWhenUsed/>
    <w:uiPriority w:val="99"/>
    <w:pPr>
      <w:spacing w:line="240" w:lineRule="auto"/>
    </w:pPr>
    <w:rPr>
      <w:sz w:val="20"/>
      <w:szCs w:val="20"/>
    </w:rPr>
  </w:style>
  <w:style w:type="paragraph" w:styleId="6">
    <w:name w:val="toc 3"/>
    <w:basedOn w:val="1"/>
    <w:next w:val="1"/>
    <w:unhideWhenUsed/>
    <w:uiPriority w:val="39"/>
    <w:pPr>
      <w:spacing w:after="100"/>
      <w:ind w:left="480"/>
    </w:pPr>
  </w:style>
  <w:style w:type="paragraph" w:styleId="7">
    <w:name w:val="Balloon Text"/>
    <w:basedOn w:val="1"/>
    <w:link w:val="29"/>
    <w:semiHidden/>
    <w:unhideWhenUsed/>
    <w:uiPriority w:val="99"/>
    <w:pPr>
      <w:spacing w:after="0" w:line="240" w:lineRule="auto"/>
    </w:pPr>
    <w:rPr>
      <w:rFonts w:ascii="Segoe UI" w:hAnsi="Segoe UI" w:cs="Segoe UI"/>
      <w:sz w:val="18"/>
      <w:szCs w:val="18"/>
    </w:rPr>
  </w:style>
  <w:style w:type="paragraph" w:styleId="8">
    <w:name w:val="footer"/>
    <w:basedOn w:val="1"/>
    <w:link w:val="25"/>
    <w:unhideWhenUsed/>
    <w:uiPriority w:val="99"/>
    <w:pPr>
      <w:tabs>
        <w:tab w:val="center" w:pos="4513"/>
        <w:tab w:val="right" w:pos="9026"/>
      </w:tabs>
      <w:spacing w:after="0" w:line="240" w:lineRule="auto"/>
    </w:pPr>
  </w:style>
  <w:style w:type="paragraph" w:styleId="9">
    <w:name w:val="header"/>
    <w:basedOn w:val="1"/>
    <w:link w:val="24"/>
    <w:unhideWhenUsed/>
    <w:uiPriority w:val="99"/>
    <w:pPr>
      <w:tabs>
        <w:tab w:val="center" w:pos="4513"/>
        <w:tab w:val="right" w:pos="9026"/>
      </w:tabs>
      <w:spacing w:after="0" w:line="240" w:lineRule="auto"/>
    </w:p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40"/>
    </w:pPr>
  </w:style>
  <w:style w:type="paragraph" w:styleId="12">
    <w:name w:val="Normal (Web)"/>
    <w:basedOn w:val="1"/>
    <w:semiHidden/>
    <w:unhideWhenUsed/>
    <w:uiPriority w:val="99"/>
    <w:pPr>
      <w:spacing w:before="100" w:beforeAutospacing="1" w:after="100" w:afterAutospacing="1" w:line="240" w:lineRule="auto"/>
    </w:pPr>
    <w:rPr>
      <w:rFonts w:eastAsia="Times New Roman" w:cs="Times New Roman"/>
      <w:szCs w:val="24"/>
      <w:lang w:eastAsia="en-IN"/>
    </w:rPr>
  </w:style>
  <w:style w:type="paragraph" w:styleId="13">
    <w:name w:val="annotation subject"/>
    <w:basedOn w:val="5"/>
    <w:next w:val="5"/>
    <w:link w:val="28"/>
    <w:semiHidden/>
    <w:unhideWhenUsed/>
    <w:uiPriority w:val="99"/>
    <w:rPr>
      <w:b/>
      <w:bCs/>
    </w:rPr>
  </w:style>
  <w:style w:type="table" w:styleId="15">
    <w:name w:val="Table Grid"/>
    <w:basedOn w:val="1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Hyperlink"/>
    <w:basedOn w:val="16"/>
    <w:unhideWhenUsed/>
    <w:uiPriority w:val="99"/>
    <w:rPr>
      <w:color w:val="0563C1" w:themeColor="hyperlink"/>
      <w:u w:val="single"/>
      <w14:textFill>
        <w14:solidFill>
          <w14:schemeClr w14:val="hlink"/>
        </w14:solidFill>
      </w14:textFill>
    </w:rPr>
  </w:style>
  <w:style w:type="character" w:styleId="18">
    <w:name w:val="annotation reference"/>
    <w:basedOn w:val="16"/>
    <w:semiHidden/>
    <w:unhideWhenUsed/>
    <w:uiPriority w:val="99"/>
    <w:rPr>
      <w:sz w:val="16"/>
      <w:szCs w:val="16"/>
    </w:rPr>
  </w:style>
  <w:style w:type="character" w:customStyle="1" w:styleId="19">
    <w:name w:val="Heading 1 Char"/>
    <w:basedOn w:val="16"/>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20">
    <w:name w:val="Heading 2 Char"/>
    <w:basedOn w:val="16"/>
    <w:link w:val="3"/>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paragraph" w:customStyle="1" w:styleId="21">
    <w:name w:val="Style1"/>
    <w:basedOn w:val="4"/>
    <w:link w:val="23"/>
    <w:qFormat/>
    <w:uiPriority w:val="0"/>
    <w:rPr>
      <w:b w:val="0"/>
    </w:rPr>
  </w:style>
  <w:style w:type="character" w:customStyle="1" w:styleId="22">
    <w:name w:val="Heading 3 Char"/>
    <w:basedOn w:val="16"/>
    <w:link w:val="4"/>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23">
    <w:name w:val="Style1 Char"/>
    <w:basedOn w:val="22"/>
    <w:link w:val="21"/>
    <w:uiPriority w:val="0"/>
    <w:rPr>
      <w:rFonts w:ascii="Times New Roman" w:hAnsi="Times New Roman" w:eastAsiaTheme="majorEastAsia" w:cstheme="majorBidi"/>
      <w:b w:val="0"/>
      <w:color w:val="000000" w:themeColor="text1"/>
      <w:sz w:val="24"/>
      <w:szCs w:val="24"/>
      <w14:textFill>
        <w14:solidFill>
          <w14:schemeClr w14:val="tx1"/>
        </w14:solidFill>
      </w14:textFill>
    </w:rPr>
  </w:style>
  <w:style w:type="character" w:customStyle="1" w:styleId="24">
    <w:name w:val="Header Char"/>
    <w:basedOn w:val="16"/>
    <w:link w:val="9"/>
    <w:uiPriority w:val="99"/>
    <w:rPr>
      <w:rFonts w:ascii="Times New Roman" w:hAnsi="Times New Roman"/>
      <w:sz w:val="24"/>
    </w:rPr>
  </w:style>
  <w:style w:type="character" w:customStyle="1" w:styleId="25">
    <w:name w:val="Footer Char"/>
    <w:basedOn w:val="16"/>
    <w:link w:val="8"/>
    <w:uiPriority w:val="99"/>
    <w:rPr>
      <w:rFonts w:ascii="Times New Roman" w:hAnsi="Times New Roman"/>
      <w:sz w:val="24"/>
    </w:rPr>
  </w:style>
  <w:style w:type="paragraph" w:customStyle="1" w:styleId="26">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 w:type="character" w:customStyle="1" w:styleId="27">
    <w:name w:val="Comment Text Char"/>
    <w:basedOn w:val="16"/>
    <w:link w:val="5"/>
    <w:semiHidden/>
    <w:uiPriority w:val="99"/>
    <w:rPr>
      <w:rFonts w:ascii="Times New Roman" w:hAnsi="Times New Roman"/>
      <w:sz w:val="20"/>
      <w:szCs w:val="20"/>
    </w:rPr>
  </w:style>
  <w:style w:type="character" w:customStyle="1" w:styleId="28">
    <w:name w:val="Comment Subject Char"/>
    <w:basedOn w:val="27"/>
    <w:link w:val="13"/>
    <w:semiHidden/>
    <w:uiPriority w:val="99"/>
    <w:rPr>
      <w:rFonts w:ascii="Times New Roman" w:hAnsi="Times New Roman"/>
      <w:b/>
      <w:bCs/>
      <w:sz w:val="20"/>
      <w:szCs w:val="20"/>
    </w:rPr>
  </w:style>
  <w:style w:type="character" w:customStyle="1" w:styleId="29">
    <w:name w:val="Balloon Text Char"/>
    <w:basedOn w:val="16"/>
    <w:link w:val="7"/>
    <w:semiHidden/>
    <w:uiPriority w:val="99"/>
    <w:rPr>
      <w:rFonts w:ascii="Segoe UI" w:hAnsi="Segoe UI" w:cs="Segoe UI"/>
      <w:sz w:val="18"/>
      <w:szCs w:val="18"/>
    </w:rPr>
  </w:style>
  <w:style w:type="paragraph" w:styleId="3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sv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671A7B1-9A53-F348-87B7-298E0F5D7DF9}">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3620</Words>
  <Characters>22970</Characters>
  <Lines>448</Lines>
  <Paragraphs>104</Paragraphs>
  <TotalTime>1</TotalTime>
  <ScaleCrop>false</ScaleCrop>
  <LinksUpToDate>false</LinksUpToDate>
  <CharactersWithSpaces>26521</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2018-05-13T17:22:00Z</dcterms:created>
  <dc:creator>TF</dc:creator>
  <cp:lastModifiedBy>TF</cp:lastModifiedBy>
  <dcterms:modified xsi:type="dcterms:W3CDTF">2020-04-30T18:05:15Z</dcterms:modified>
  <cp:revision>378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