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65FE3F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34E76">
              <w:rPr>
                <w:rFonts w:ascii="Times New Roman" w:hAnsi="Times New Roman" w:cs="Times New Roman"/>
                <w:b/>
                <w:sz w:val="48"/>
              </w:rPr>
              <w:t>Emily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05D8B1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34E76">
              <w:rPr>
                <w:rFonts w:ascii="Times New Roman" w:hAnsi="Times New Roman" w:cs="Times New Roman"/>
                <w:b/>
                <w:color w:val="auto"/>
                <w:sz w:val="48"/>
              </w:rPr>
              <w:t xml:space="preserve"> </w:t>
            </w:r>
            <w:r w:rsidR="00534E76" w:rsidRPr="0010125D">
              <w:rPr>
                <w:rFonts w:ascii="Times New Roman" w:hAnsi="Times New Roman" w:cs="Times New Roman"/>
                <w:b/>
                <w:sz w:val="48"/>
              </w:rPr>
              <w:t>2317468@student.uwtsd.ac.uk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43CD4EF" w14:textId="77777777" w:rsidR="00534E76" w:rsidRPr="000E3C3C" w:rsidRDefault="00534E76" w:rsidP="00534E76">
            <w:pPr>
              <w:ind w:right="-957"/>
              <w:rPr>
                <w:rFonts w:ascii="Times New Roman" w:hAnsi="Times New Roman" w:cs="Times New Roman"/>
                <w:b/>
                <w:sz w:val="48"/>
              </w:rPr>
            </w:pPr>
            <w:r w:rsidRPr="00BF30D7">
              <w:rPr>
                <w:rFonts w:ascii="Times New Roman" w:hAnsi="Times New Roman" w:cs="Times New Roman"/>
                <w:b/>
                <w:sz w:val="48"/>
              </w:rPr>
              <w:t>2317468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10E1B71" w:rsidR="0085230E" w:rsidRPr="005D3F07" w:rsidRDefault="00706BB5" w:rsidP="00534E76">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w:t>
            </w:r>
            <w:r w:rsidR="00534E76">
              <w:rPr>
                <w:rFonts w:ascii="Times New Roman" w:hAnsi="Times New Roman" w:cs="Times New Roman"/>
                <w:b/>
                <w:color w:val="auto"/>
                <w:sz w:val="48"/>
              </w:rPr>
              <w:t>2</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60D8C669" w14:textId="4C0BA66E"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153D7A0E"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72803A22" w14:textId="773A3463" w:rsidR="00534E76" w:rsidRDefault="00534E76" w:rsidP="00FF7EBB">
            <w:pPr>
              <w:jc w:val="both"/>
              <w:rPr>
                <w:sz w:val="24"/>
                <w:szCs w:val="24"/>
              </w:rPr>
            </w:pPr>
          </w:p>
          <w:p w14:paraId="0EF8C483" w14:textId="568C3C2B" w:rsidR="00534E76" w:rsidRDefault="00534E76" w:rsidP="00FF7EBB">
            <w:pPr>
              <w:jc w:val="both"/>
              <w:rPr>
                <w:sz w:val="24"/>
                <w:szCs w:val="24"/>
              </w:rPr>
            </w:pPr>
          </w:p>
          <w:p w14:paraId="623C18DC" w14:textId="77777777" w:rsidR="00534E76" w:rsidRPr="00534E76" w:rsidRDefault="00534E76" w:rsidP="00534E76">
            <w:pPr>
              <w:spacing w:line="360" w:lineRule="auto"/>
              <w:rPr>
                <w:sz w:val="22"/>
                <w:szCs w:val="22"/>
              </w:rPr>
            </w:pPr>
            <w:r w:rsidRPr="00534E76">
              <w:rPr>
                <w:sz w:val="22"/>
                <w:szCs w:val="22"/>
              </w:rPr>
              <w:t xml:space="preserve">The Law Commission (2011) argued that a reform in adult social care legislation in Wales was needed due to there being an inefficient, complex and inconsistent web of legislation. </w:t>
            </w:r>
            <w:r w:rsidRPr="00534E76">
              <w:rPr>
                <w:bCs/>
                <w:sz w:val="22"/>
                <w:szCs w:val="22"/>
                <w:shd w:val="clear" w:color="auto" w:fill="FFFFFF"/>
              </w:rPr>
              <w:t>The Social Services and Well-being (Wales) Act 2014 [hereafter SSWWA], aimed to unify legislation in relation to adult safeguarding to meet Welsh needs and values (</w:t>
            </w:r>
            <w:proofErr w:type="spellStart"/>
            <w:r w:rsidRPr="00534E76">
              <w:rPr>
                <w:sz w:val="22"/>
                <w:szCs w:val="22"/>
              </w:rPr>
              <w:t>Gwilym</w:t>
            </w:r>
            <w:proofErr w:type="spellEnd"/>
            <w:r w:rsidRPr="00534E76">
              <w:rPr>
                <w:sz w:val="22"/>
                <w:szCs w:val="22"/>
              </w:rPr>
              <w:t xml:space="preserve"> and Williams, 2021). Part 7 of SSWWA 2014 sets out the functions of Safeguarding Adults Boards, with the purpose of promoting collaboration between agencies, ensuring that arrangements promote better outcomes and protect adults at risk of abuse and neglect (</w:t>
            </w:r>
            <w:r w:rsidRPr="00534E76">
              <w:rPr>
                <w:bCs/>
                <w:sz w:val="22"/>
                <w:szCs w:val="22"/>
                <w:shd w:val="clear" w:color="auto" w:fill="FFFFFF"/>
              </w:rPr>
              <w:t>Preston-Shoot, 2020; X Safeguarding Board, 2024).</w:t>
            </w:r>
            <w:r w:rsidRPr="00534E76">
              <w:rPr>
                <w:sz w:val="22"/>
                <w:szCs w:val="22"/>
              </w:rPr>
              <w:t xml:space="preserve"> S.126-129 of SSWWA 2014 details definitions and duties to safeguard ‘Adults at risk’, including the local authority’s duty to make the necessary enquires when there are safeguarding concerns. </w:t>
            </w:r>
          </w:p>
          <w:p w14:paraId="369291DB" w14:textId="77777777" w:rsidR="00534E76" w:rsidRPr="00534E76" w:rsidRDefault="00534E76" w:rsidP="00534E76">
            <w:pPr>
              <w:spacing w:line="360" w:lineRule="auto"/>
              <w:rPr>
                <w:sz w:val="22"/>
                <w:szCs w:val="22"/>
              </w:rPr>
            </w:pPr>
          </w:p>
          <w:p w14:paraId="2FF2418C" w14:textId="77777777" w:rsidR="00534E76" w:rsidRPr="00534E76" w:rsidRDefault="00534E76" w:rsidP="00534E76">
            <w:pPr>
              <w:spacing w:line="360" w:lineRule="auto"/>
              <w:rPr>
                <w:bCs/>
                <w:sz w:val="22"/>
                <w:szCs w:val="22"/>
                <w:shd w:val="clear" w:color="auto" w:fill="FFFFFF"/>
              </w:rPr>
            </w:pPr>
            <w:r w:rsidRPr="00534E76">
              <w:rPr>
                <w:sz w:val="22"/>
                <w:szCs w:val="22"/>
              </w:rPr>
              <w:t xml:space="preserve">The Wales Safeguarding Procedures include the signs and indicators of possible abuse and neglect in an adult at risk, to support the application of the legislation in practice, it is noted that these signs can often be difficult to detect </w:t>
            </w:r>
            <w:r w:rsidRPr="00534E76">
              <w:rPr>
                <w:bCs/>
                <w:sz w:val="22"/>
                <w:szCs w:val="22"/>
                <w:shd w:val="clear" w:color="auto" w:fill="FFFFFF"/>
              </w:rPr>
              <w:t xml:space="preserve">(Social Care Wales [hereafter SCW], 2024). Abuse can be physical, financial, emotional, sexual or psychological and neglect includes failure to meet a person’s basic needs, self-neglect, modern slavery, criminal exploitation, domestic abuse and violence (Social Care Institute for Excellence [hereafter SCIE], 2020; SCW, 2024). SCIE (2020) also defines discriminatory abuse as a type of abuse, this is consolidated by the Equality Act 2010 which legally protects people with the protected characteristics (Williams and Crew, 2021). The Wales Act 2017 takes this further </w:t>
            </w:r>
            <w:r w:rsidRPr="00534E76">
              <w:rPr>
                <w:bCs/>
                <w:sz w:val="22"/>
                <w:szCs w:val="22"/>
                <w:shd w:val="clear" w:color="auto" w:fill="FFFFFF"/>
              </w:rPr>
              <w:lastRenderedPageBreak/>
              <w:t xml:space="preserve">through a requirement for public bodies to demonstrate consideration of the effect of their policies on the protected characteristics to reduce inequality resulting from socio-economic disadvantage (Williams and Crew, 2021). Additionally the Well-being of Future Generations (Wales) Act 2015 [hereafter WFGWA] sets out well-being goals aiming to create a more equal Wales and promoting Welsh language and culture through requirements for public bodies to address the long term consequences of their decisions (Davies, 2017). Calder (2021) argues that WFGWA 2015 creates the conditions needed for human rights to be protected in Wales. </w:t>
            </w:r>
            <w:proofErr w:type="spellStart"/>
            <w:r w:rsidRPr="00534E76">
              <w:rPr>
                <w:bCs/>
                <w:sz w:val="22"/>
                <w:szCs w:val="22"/>
                <w:shd w:val="clear" w:color="auto" w:fill="FFFFFF"/>
              </w:rPr>
              <w:t>Mantell</w:t>
            </w:r>
            <w:proofErr w:type="spellEnd"/>
            <w:r w:rsidRPr="00534E76">
              <w:rPr>
                <w:bCs/>
                <w:sz w:val="22"/>
                <w:szCs w:val="22"/>
                <w:shd w:val="clear" w:color="auto" w:fill="FFFFFF"/>
              </w:rPr>
              <w:t xml:space="preserve"> and </w:t>
            </w:r>
            <w:proofErr w:type="spellStart"/>
            <w:r w:rsidRPr="00534E76">
              <w:rPr>
                <w:bCs/>
                <w:sz w:val="22"/>
                <w:szCs w:val="22"/>
                <w:shd w:val="clear" w:color="auto" w:fill="FFFFFF"/>
              </w:rPr>
              <w:t>Scragg</w:t>
            </w:r>
            <w:proofErr w:type="spellEnd"/>
            <w:r w:rsidRPr="00534E76">
              <w:rPr>
                <w:bCs/>
                <w:sz w:val="22"/>
                <w:szCs w:val="22"/>
                <w:shd w:val="clear" w:color="auto" w:fill="FFFFFF"/>
              </w:rPr>
              <w:t xml:space="preserve"> (2011) argue that the promotion of human rights is fundamental to adult safeguarding, however the articles of the Human Rights Act 1998 should not be viewed in isolation, with adult abuse often presenting conflict and ethical dilemmas at the intersection of balancing and competing rights. Additionally, SSWWA 2014 requires due regard is given to the United Nations Principles for Older Persons, therefore promoting the principles of independence, participation, care, self-fulfilment and dignity (United Nations, 1991). This is important within the context of an aging population, </w:t>
            </w:r>
            <w:proofErr w:type="spellStart"/>
            <w:r w:rsidRPr="00534E76">
              <w:rPr>
                <w:bCs/>
                <w:sz w:val="22"/>
                <w:szCs w:val="22"/>
                <w:shd w:val="clear" w:color="auto" w:fill="FFFFFF"/>
              </w:rPr>
              <w:t>StatsWales</w:t>
            </w:r>
            <w:proofErr w:type="spellEnd"/>
            <w:r w:rsidRPr="00534E76">
              <w:rPr>
                <w:bCs/>
                <w:sz w:val="22"/>
                <w:szCs w:val="22"/>
                <w:shd w:val="clear" w:color="auto" w:fill="FFFFFF"/>
              </w:rPr>
              <w:t xml:space="preserve"> (2019) found in the local area that there were over three times as many allegations of neglect for people over 65 years old.</w:t>
            </w:r>
          </w:p>
          <w:p w14:paraId="7BC95A2B" w14:textId="77777777" w:rsidR="00534E76" w:rsidRPr="00534E76" w:rsidRDefault="00534E76" w:rsidP="00534E76">
            <w:pPr>
              <w:spacing w:line="360" w:lineRule="auto"/>
              <w:rPr>
                <w:bCs/>
                <w:sz w:val="22"/>
                <w:szCs w:val="22"/>
                <w:shd w:val="clear" w:color="auto" w:fill="FFFFFF"/>
              </w:rPr>
            </w:pPr>
          </w:p>
          <w:p w14:paraId="76951A4E" w14:textId="77777777" w:rsidR="00534E76" w:rsidRPr="00534E76" w:rsidRDefault="00534E76" w:rsidP="00534E76">
            <w:pPr>
              <w:spacing w:line="360" w:lineRule="auto"/>
              <w:rPr>
                <w:bCs/>
                <w:sz w:val="22"/>
                <w:szCs w:val="22"/>
                <w:shd w:val="clear" w:color="auto" w:fill="FFFFFF"/>
              </w:rPr>
            </w:pPr>
            <w:r w:rsidRPr="00534E76">
              <w:rPr>
                <w:bCs/>
                <w:sz w:val="22"/>
                <w:szCs w:val="22"/>
                <w:shd w:val="clear" w:color="auto" w:fill="FFFFFF"/>
              </w:rPr>
              <w:t>Capacity and informed choice is key when determining abuse or neglect in adults (</w:t>
            </w:r>
            <w:proofErr w:type="spellStart"/>
            <w:r w:rsidRPr="00534E76">
              <w:rPr>
                <w:color w:val="auto"/>
                <w:sz w:val="22"/>
                <w:szCs w:val="22"/>
              </w:rPr>
              <w:t>Koubel</w:t>
            </w:r>
            <w:proofErr w:type="spellEnd"/>
            <w:r w:rsidRPr="00534E76">
              <w:rPr>
                <w:color w:val="auto"/>
                <w:sz w:val="22"/>
                <w:szCs w:val="22"/>
              </w:rPr>
              <w:t xml:space="preserve">, 2016). </w:t>
            </w:r>
            <w:r w:rsidRPr="00534E76">
              <w:rPr>
                <w:bCs/>
                <w:color w:val="auto"/>
                <w:sz w:val="22"/>
                <w:szCs w:val="22"/>
                <w:shd w:val="clear" w:color="auto" w:fill="FFFFFF"/>
              </w:rPr>
              <w:t xml:space="preserve">The </w:t>
            </w:r>
            <w:r w:rsidRPr="00534E76">
              <w:rPr>
                <w:bCs/>
                <w:sz w:val="22"/>
                <w:szCs w:val="22"/>
                <w:shd w:val="clear" w:color="auto" w:fill="FFFFFF"/>
              </w:rPr>
              <w:t>Mental Capacity Act 2005 enhances autonomy and criminalises ill-treatment or wilful neglect of someone lacking capacity, it respects people’s wishes where possible and protects those lacking capacity to make decisions on their care and support (Bartlett, 2023). Key legislation, policies and procedures in adult safeguarding have been identified and the code of professional practice for social care can be utilised in conjunction with the legislation to balance right’s and risks to promote preferred outcomes of the safeguarding interventions (SCW, 2017).</w:t>
            </w:r>
          </w:p>
          <w:p w14:paraId="511F17BF" w14:textId="77777777" w:rsidR="00534E76" w:rsidRPr="00534E76" w:rsidRDefault="00534E76" w:rsidP="00534E76">
            <w:pPr>
              <w:spacing w:line="360" w:lineRule="auto"/>
              <w:jc w:val="both"/>
              <w:rPr>
                <w:sz w:val="22"/>
                <w:szCs w:val="22"/>
              </w:rPr>
            </w:pPr>
          </w:p>
          <w:p w14:paraId="30DEEC81" w14:textId="77777777" w:rsidR="00534E76" w:rsidRPr="00534E76" w:rsidRDefault="00534E76" w:rsidP="00534E76">
            <w:pPr>
              <w:spacing w:line="360" w:lineRule="auto"/>
              <w:jc w:val="both"/>
              <w:rPr>
                <w:sz w:val="22"/>
                <w:szCs w:val="22"/>
              </w:rPr>
            </w:pPr>
            <w:r w:rsidRPr="00534E76">
              <w:rPr>
                <w:sz w:val="22"/>
                <w:szCs w:val="22"/>
              </w:rPr>
              <w:t>(550 words)</w:t>
            </w:r>
          </w:p>
          <w:p w14:paraId="5CED2C10" w14:textId="77777777" w:rsidR="00534E76" w:rsidRDefault="00534E76"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534185F4" w:rsidR="00AA666E" w:rsidRDefault="00AA666E" w:rsidP="00FF7EBB">
      <w:pPr>
        <w:jc w:val="both"/>
        <w:rPr>
          <w:sz w:val="24"/>
          <w:szCs w:val="24"/>
        </w:rPr>
      </w:pPr>
    </w:p>
    <w:p w14:paraId="13BCD110" w14:textId="4B6B0394" w:rsidR="00534E76" w:rsidRDefault="00534E76" w:rsidP="00FF7EBB">
      <w:pPr>
        <w:jc w:val="both"/>
        <w:rPr>
          <w:sz w:val="24"/>
          <w:szCs w:val="24"/>
        </w:rPr>
      </w:pPr>
    </w:p>
    <w:p w14:paraId="63751696" w14:textId="02A7970C" w:rsidR="00534E76" w:rsidRDefault="00534E76" w:rsidP="00FF7EBB">
      <w:pPr>
        <w:jc w:val="both"/>
        <w:rPr>
          <w:sz w:val="24"/>
          <w:szCs w:val="24"/>
        </w:rPr>
      </w:pPr>
    </w:p>
    <w:p w14:paraId="725A65D9" w14:textId="74459100" w:rsidR="00534E76" w:rsidRDefault="00534E76" w:rsidP="00FF7EBB">
      <w:pPr>
        <w:jc w:val="both"/>
        <w:rPr>
          <w:sz w:val="24"/>
          <w:szCs w:val="24"/>
        </w:rPr>
      </w:pPr>
    </w:p>
    <w:p w14:paraId="2BD8AB8E" w14:textId="2792C6B3" w:rsidR="00534E76" w:rsidRDefault="00534E76" w:rsidP="00FF7EBB">
      <w:pPr>
        <w:jc w:val="both"/>
        <w:rPr>
          <w:sz w:val="24"/>
          <w:szCs w:val="24"/>
        </w:rPr>
      </w:pPr>
    </w:p>
    <w:p w14:paraId="44DD90E7" w14:textId="07AF21E5" w:rsidR="00534E76" w:rsidRDefault="00534E76" w:rsidP="00FF7EBB">
      <w:pPr>
        <w:jc w:val="both"/>
        <w:rPr>
          <w:sz w:val="24"/>
          <w:szCs w:val="24"/>
        </w:rPr>
      </w:pPr>
    </w:p>
    <w:p w14:paraId="64B4161F" w14:textId="671020BF" w:rsidR="00534E76" w:rsidRDefault="00534E76" w:rsidP="00FF7EBB">
      <w:pPr>
        <w:jc w:val="both"/>
        <w:rPr>
          <w:sz w:val="24"/>
          <w:szCs w:val="24"/>
        </w:rPr>
      </w:pPr>
    </w:p>
    <w:p w14:paraId="70C53865" w14:textId="77777777" w:rsidR="00534E76" w:rsidRPr="008B28E7" w:rsidRDefault="00534E76"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B7B4827" w14:textId="0B3EE419"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2F3E12E"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611259E8" w14:textId="036B9989" w:rsidR="00534E76" w:rsidRDefault="00534E76" w:rsidP="00FC0334">
            <w:pPr>
              <w:jc w:val="both"/>
              <w:rPr>
                <w:i/>
                <w:sz w:val="24"/>
                <w:szCs w:val="24"/>
              </w:rPr>
            </w:pPr>
          </w:p>
          <w:p w14:paraId="51EDD2B8" w14:textId="0513C79C" w:rsidR="00534E76" w:rsidRDefault="00534E76" w:rsidP="00FC0334">
            <w:pPr>
              <w:jc w:val="both"/>
              <w:rPr>
                <w:sz w:val="24"/>
                <w:szCs w:val="24"/>
              </w:rPr>
            </w:pPr>
          </w:p>
          <w:p w14:paraId="10155ACF" w14:textId="77777777" w:rsidR="00534E76" w:rsidRPr="008E38E9" w:rsidRDefault="00534E76" w:rsidP="00534E76">
            <w:pPr>
              <w:spacing w:line="360" w:lineRule="auto"/>
              <w:rPr>
                <w:bCs/>
                <w:sz w:val="22"/>
                <w:szCs w:val="22"/>
                <w:shd w:val="clear" w:color="auto" w:fill="FFFFFF"/>
              </w:rPr>
            </w:pPr>
            <w:r w:rsidRPr="008E38E9">
              <w:rPr>
                <w:bCs/>
                <w:sz w:val="22"/>
                <w:szCs w:val="22"/>
                <w:shd w:val="clear" w:color="auto" w:fill="FFFFFF"/>
              </w:rPr>
              <w:t>Prior to SSWWA 2014 adult safeguarding legislation was lacking coherence and there was no single legislative framework, in comparison childr</w:t>
            </w:r>
            <w:bookmarkStart w:id="0" w:name="_GoBack"/>
            <w:bookmarkEnd w:id="0"/>
            <w:r w:rsidRPr="008E38E9">
              <w:rPr>
                <w:bCs/>
                <w:sz w:val="22"/>
                <w:szCs w:val="22"/>
                <w:shd w:val="clear" w:color="auto" w:fill="FFFFFF"/>
              </w:rPr>
              <w:t>en’s safeguarding legislation was more structured, for example the Children Act 1989 (</w:t>
            </w:r>
            <w:proofErr w:type="spellStart"/>
            <w:r w:rsidRPr="008E38E9">
              <w:rPr>
                <w:bCs/>
                <w:sz w:val="22"/>
                <w:szCs w:val="22"/>
                <w:shd w:val="clear" w:color="auto" w:fill="FFFFFF"/>
              </w:rPr>
              <w:t>Carr</w:t>
            </w:r>
            <w:proofErr w:type="spellEnd"/>
            <w:r w:rsidRPr="008E38E9">
              <w:rPr>
                <w:bCs/>
                <w:sz w:val="22"/>
                <w:szCs w:val="22"/>
                <w:shd w:val="clear" w:color="auto" w:fill="FFFFFF"/>
              </w:rPr>
              <w:t xml:space="preserve"> and </w:t>
            </w:r>
            <w:proofErr w:type="spellStart"/>
            <w:r w:rsidRPr="008E38E9">
              <w:rPr>
                <w:bCs/>
                <w:sz w:val="22"/>
                <w:szCs w:val="22"/>
                <w:shd w:val="clear" w:color="auto" w:fill="FFFFFF"/>
              </w:rPr>
              <w:t>Goosey</w:t>
            </w:r>
            <w:proofErr w:type="spellEnd"/>
            <w:r w:rsidRPr="008E38E9">
              <w:rPr>
                <w:bCs/>
                <w:sz w:val="22"/>
                <w:szCs w:val="22"/>
                <w:shd w:val="clear" w:color="auto" w:fill="FFFFFF"/>
              </w:rPr>
              <w:t xml:space="preserve">, 2021). There are differences between the definitions of harm and abuse in the legislation for children compared to adults at risk in the Wales Safeguarding Procedures.  Domestic violence, financial abuse, self-neglect and modern slavery are additional indicators of possible abuse for adults (SCIE, 2020; SCW, 2024). Reflecting on applying the indicators in practice, they are not exhaustive or mutually exclusive but are points to consider. </w:t>
            </w:r>
          </w:p>
          <w:p w14:paraId="1E49764B" w14:textId="77777777" w:rsidR="00534E76" w:rsidRPr="008E38E9" w:rsidRDefault="00534E76" w:rsidP="00534E76">
            <w:pPr>
              <w:spacing w:line="360" w:lineRule="auto"/>
              <w:rPr>
                <w:bCs/>
                <w:sz w:val="22"/>
                <w:szCs w:val="22"/>
                <w:shd w:val="clear" w:color="auto" w:fill="FFFFFF"/>
              </w:rPr>
            </w:pPr>
          </w:p>
          <w:p w14:paraId="034BCC7A" w14:textId="77777777" w:rsidR="00534E76" w:rsidRPr="008E38E9" w:rsidRDefault="00534E76" w:rsidP="00534E76">
            <w:pPr>
              <w:spacing w:line="360" w:lineRule="auto"/>
              <w:rPr>
                <w:sz w:val="22"/>
                <w:szCs w:val="22"/>
              </w:rPr>
            </w:pPr>
            <w:r w:rsidRPr="008E38E9">
              <w:rPr>
                <w:sz w:val="22"/>
                <w:szCs w:val="22"/>
              </w:rPr>
              <w:t>A significant difference between safeguarding adults and children is consent, for adults whether there has been informed consent is important to determine if an action is abusive (</w:t>
            </w:r>
            <w:proofErr w:type="spellStart"/>
            <w:r w:rsidRPr="008E38E9">
              <w:rPr>
                <w:bCs/>
                <w:sz w:val="22"/>
                <w:szCs w:val="22"/>
                <w:shd w:val="clear" w:color="auto" w:fill="FFFFFF"/>
              </w:rPr>
              <w:t>Mantell</w:t>
            </w:r>
            <w:proofErr w:type="spellEnd"/>
            <w:r w:rsidRPr="008E38E9">
              <w:rPr>
                <w:bCs/>
                <w:sz w:val="22"/>
                <w:szCs w:val="22"/>
                <w:shd w:val="clear" w:color="auto" w:fill="FFFFFF"/>
              </w:rPr>
              <w:t xml:space="preserve"> and </w:t>
            </w:r>
            <w:proofErr w:type="spellStart"/>
            <w:r w:rsidRPr="008E38E9">
              <w:rPr>
                <w:bCs/>
                <w:sz w:val="22"/>
                <w:szCs w:val="22"/>
                <w:shd w:val="clear" w:color="auto" w:fill="FFFFFF"/>
              </w:rPr>
              <w:t>Scragg</w:t>
            </w:r>
            <w:proofErr w:type="spellEnd"/>
            <w:r w:rsidRPr="008E38E9">
              <w:rPr>
                <w:bCs/>
                <w:sz w:val="22"/>
                <w:szCs w:val="22"/>
                <w:shd w:val="clear" w:color="auto" w:fill="FFFFFF"/>
              </w:rPr>
              <w:t>, 2011). Adults have the right and assumed capacity to make their own decisions even if their decisions are perceived as unwise, unless determined otherwise, in accordance with the Mental Capacity Act 2005 and the Human Rights Act 1998 (</w:t>
            </w:r>
            <w:proofErr w:type="spellStart"/>
            <w:r w:rsidRPr="008E38E9">
              <w:rPr>
                <w:bCs/>
                <w:sz w:val="22"/>
                <w:szCs w:val="22"/>
                <w:shd w:val="clear" w:color="auto" w:fill="FFFFFF"/>
              </w:rPr>
              <w:t>Koubel</w:t>
            </w:r>
            <w:proofErr w:type="spellEnd"/>
            <w:r w:rsidRPr="008E38E9">
              <w:rPr>
                <w:bCs/>
                <w:sz w:val="22"/>
                <w:szCs w:val="22"/>
                <w:shd w:val="clear" w:color="auto" w:fill="FFFFFF"/>
              </w:rPr>
              <w:t>, 2016). The consent of the adult at risk is an important factor in what action to take, however, with children while best practice is that consent is sought from parents and children, the safety and welfare of the child is the paramount consideration (SCW, 2024).</w:t>
            </w:r>
            <w:r w:rsidRPr="008E38E9">
              <w:rPr>
                <w:sz w:val="22"/>
                <w:szCs w:val="22"/>
              </w:rPr>
              <w:t xml:space="preserve"> For example, a report can be made and a child can be spoken to without parental consent in specific circumstances (SCW, 2024). </w:t>
            </w:r>
          </w:p>
          <w:p w14:paraId="0DF024C3" w14:textId="77777777" w:rsidR="00534E76" w:rsidRPr="008E38E9" w:rsidRDefault="00534E76" w:rsidP="00534E76">
            <w:pPr>
              <w:spacing w:line="360" w:lineRule="auto"/>
              <w:rPr>
                <w:sz w:val="22"/>
                <w:szCs w:val="22"/>
              </w:rPr>
            </w:pPr>
          </w:p>
          <w:p w14:paraId="50BF0869" w14:textId="77777777" w:rsidR="00534E76" w:rsidRPr="008E38E9" w:rsidRDefault="00534E76" w:rsidP="00534E76">
            <w:pPr>
              <w:spacing w:line="360" w:lineRule="auto"/>
              <w:rPr>
                <w:bCs/>
                <w:sz w:val="22"/>
                <w:szCs w:val="22"/>
                <w:shd w:val="clear" w:color="auto" w:fill="FFFFFF"/>
              </w:rPr>
            </w:pPr>
            <w:r w:rsidRPr="008E38E9">
              <w:rPr>
                <w:bCs/>
                <w:sz w:val="22"/>
                <w:szCs w:val="22"/>
                <w:shd w:val="clear" w:color="auto" w:fill="FFFFFF"/>
              </w:rPr>
              <w:t>The Children Act 1989 and SSWWA 2014 define a child as aged under 18, while the Mental Capacity Act 2005 applies to people aged 16 and over, therefore there is an overlap (</w:t>
            </w:r>
            <w:proofErr w:type="spellStart"/>
            <w:r w:rsidRPr="008E38E9">
              <w:rPr>
                <w:bCs/>
                <w:sz w:val="22"/>
                <w:szCs w:val="22"/>
                <w:shd w:val="clear" w:color="auto" w:fill="FFFFFF"/>
              </w:rPr>
              <w:t>Carr</w:t>
            </w:r>
            <w:proofErr w:type="spellEnd"/>
            <w:r w:rsidRPr="008E38E9">
              <w:rPr>
                <w:bCs/>
                <w:sz w:val="22"/>
                <w:szCs w:val="22"/>
                <w:shd w:val="clear" w:color="auto" w:fill="FFFFFF"/>
              </w:rPr>
              <w:t xml:space="preserve"> and </w:t>
            </w:r>
            <w:proofErr w:type="spellStart"/>
            <w:r w:rsidRPr="008E38E9">
              <w:rPr>
                <w:bCs/>
                <w:sz w:val="22"/>
                <w:szCs w:val="22"/>
                <w:shd w:val="clear" w:color="auto" w:fill="FFFFFF"/>
              </w:rPr>
              <w:t>Goosey</w:t>
            </w:r>
            <w:proofErr w:type="spellEnd"/>
            <w:r w:rsidRPr="008E38E9">
              <w:rPr>
                <w:bCs/>
                <w:sz w:val="22"/>
                <w:szCs w:val="22"/>
                <w:shd w:val="clear" w:color="auto" w:fill="FFFFFF"/>
              </w:rPr>
              <w:t>, 2021). Reflecting on the intersection between these Acts, demonstrates the legal complexities between autonomy and protection when transitioning between safeguarding children and adults (</w:t>
            </w:r>
            <w:proofErr w:type="spellStart"/>
            <w:r w:rsidRPr="008E38E9">
              <w:rPr>
                <w:bCs/>
                <w:sz w:val="22"/>
                <w:szCs w:val="22"/>
                <w:shd w:val="clear" w:color="auto" w:fill="FFFFFF"/>
              </w:rPr>
              <w:t>Revell</w:t>
            </w:r>
            <w:proofErr w:type="spellEnd"/>
            <w:r w:rsidRPr="008E38E9">
              <w:rPr>
                <w:bCs/>
                <w:sz w:val="22"/>
                <w:szCs w:val="22"/>
                <w:shd w:val="clear" w:color="auto" w:fill="FFFFFF"/>
              </w:rPr>
              <w:t xml:space="preserve">, 2023). Reflecting on the tools utilised in practice to address these inconsistencies, </w:t>
            </w:r>
            <w:proofErr w:type="spellStart"/>
            <w:r w:rsidRPr="008E38E9">
              <w:rPr>
                <w:bCs/>
                <w:sz w:val="22"/>
                <w:szCs w:val="22"/>
                <w:shd w:val="clear" w:color="auto" w:fill="FFFFFF"/>
              </w:rPr>
              <w:t>Gillick</w:t>
            </w:r>
            <w:proofErr w:type="spellEnd"/>
            <w:r w:rsidRPr="008E38E9">
              <w:rPr>
                <w:bCs/>
                <w:sz w:val="22"/>
                <w:szCs w:val="22"/>
                <w:shd w:val="clear" w:color="auto" w:fill="FFFFFF"/>
              </w:rPr>
              <w:t xml:space="preserve"> competence is used to assess a child’s capability to make and understand their decisions in a wider context and Fraser guidelines are applied specifically to advice and treatment that focuses on a young person’s sexual health and contraception (NSPCC Learning, 2022). Therefore, providing guidelines and enhanced accountability given the subjective impact of age on a person’s capacity. When safeguarding children, I act in the best interests of the child, even when this is in conflict with </w:t>
            </w:r>
            <w:r w:rsidRPr="008E38E9">
              <w:rPr>
                <w:bCs/>
                <w:sz w:val="22"/>
                <w:szCs w:val="22"/>
                <w:shd w:val="clear" w:color="auto" w:fill="FFFFFF"/>
              </w:rPr>
              <w:lastRenderedPageBreak/>
              <w:t>the child or parents’ wishes, however with adults there is a more nuanced balance between individual rights and protection (SCW, 2024). Reflecting on the differences between safeguarding children and adults is important to support holistic practice with parents as well as children, and to effectively support children transiting to adult services aged 18.</w:t>
            </w:r>
          </w:p>
          <w:p w14:paraId="4BB27E22" w14:textId="77777777" w:rsidR="00534E76" w:rsidRPr="001F48EE" w:rsidRDefault="00534E76" w:rsidP="00534E76">
            <w:pPr>
              <w:spacing w:line="360" w:lineRule="auto"/>
              <w:rPr>
                <w:rFonts w:asciiTheme="minorHAnsi" w:hAnsiTheme="minorHAnsi" w:cstheme="minorHAnsi"/>
                <w:bCs/>
                <w:sz w:val="22"/>
                <w:szCs w:val="22"/>
                <w:shd w:val="clear" w:color="auto" w:fill="FFFFFF"/>
              </w:rPr>
            </w:pPr>
          </w:p>
          <w:p w14:paraId="199DBDF6" w14:textId="77777777" w:rsidR="00534E76" w:rsidRPr="001F48EE" w:rsidRDefault="00534E76" w:rsidP="00534E76">
            <w:pPr>
              <w:spacing w:line="360" w:lineRule="auto"/>
              <w:rPr>
                <w:sz w:val="22"/>
                <w:szCs w:val="22"/>
              </w:rPr>
            </w:pPr>
            <w:r w:rsidRPr="001F48EE">
              <w:rPr>
                <w:sz w:val="22"/>
                <w:szCs w:val="22"/>
              </w:rPr>
              <w:t>(436 words)</w:t>
            </w:r>
          </w:p>
          <w:p w14:paraId="62DD5E2C" w14:textId="77777777" w:rsidR="00534E76" w:rsidRPr="00534E76" w:rsidRDefault="00534E76" w:rsidP="00FC0334">
            <w:pPr>
              <w:jc w:val="both"/>
              <w:rPr>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FC219ED" w:rsidR="00A5656A" w:rsidRDefault="00A5656A">
    <w:pPr>
      <w:pStyle w:val="Footer"/>
      <w:jc w:val="right"/>
    </w:pPr>
    <w:r>
      <w:fldChar w:fldCharType="begin"/>
    </w:r>
    <w:r>
      <w:instrText xml:space="preserve"> PAGE   \* MERGEFORMAT </w:instrText>
    </w:r>
    <w:r>
      <w:fldChar w:fldCharType="separate"/>
    </w:r>
    <w:r w:rsidR="00534E76">
      <w:rPr>
        <w:noProof/>
      </w:rPr>
      <w:t>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4E7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87EBC2-EF45-46D8-B82F-E15B4A8B8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1190</Words>
  <Characters>6709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Emily Williams</cp:lastModifiedBy>
  <cp:revision>5</cp:revision>
  <cp:lastPrinted>2020-02-11T19:20:00Z</cp:lastPrinted>
  <dcterms:created xsi:type="dcterms:W3CDTF">2022-09-29T11:35:00Z</dcterms:created>
  <dcterms:modified xsi:type="dcterms:W3CDTF">2024-10-26T14:02:00Z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