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e4"/>
        <w:tblW w:w="0" w:type="auto"/>
        <w:tblLook w:val="04A0" w:firstRow="1" w:lastRow="0" w:firstColumn="1" w:lastColumn="0" w:noHBand="0" w:noVBand="1"/>
      </w:tblPr>
      <w:tblGrid>
        <w:gridCol w:w="2405"/>
        <w:gridCol w:w="6611"/>
      </w:tblGrid>
      <w:tr w:rsidR="000B79A8" w14:paraId="15180A9D" w14:textId="77777777" w:rsidTr="001F5A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AAE192C" w14:textId="77777777" w:rsidR="000B79A8" w:rsidRPr="00AE4E62" w:rsidRDefault="000B79A8" w:rsidP="001F5A74">
            <w:pPr>
              <w:rPr>
                <w:rFonts w:cs="Arial"/>
                <w:sz w:val="28"/>
                <w:szCs w:val="28"/>
              </w:rPr>
            </w:pPr>
            <w:bookmarkStart w:id="0" w:name="_Hlk192789062"/>
            <w:r w:rsidRPr="00AE4E62">
              <w:t>Programme:</w:t>
            </w:r>
          </w:p>
        </w:tc>
        <w:tc>
          <w:tcPr>
            <w:tcW w:w="6611" w:type="dxa"/>
          </w:tcPr>
          <w:p w14:paraId="44087FB5" w14:textId="77777777" w:rsidR="000B79A8" w:rsidRDefault="000B79A8" w:rsidP="001F5A74">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0B79A8" w14:paraId="2FB959E8" w14:textId="77777777" w:rsidTr="001F5A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65BE3EE" w14:textId="77777777" w:rsidR="000B79A8" w:rsidRPr="003B11AB" w:rsidRDefault="000B79A8" w:rsidP="001F5A74">
            <w:pPr>
              <w:rPr>
                <w:rFonts w:cs="Arial"/>
                <w:b w:val="0"/>
                <w:bCs w:val="0"/>
                <w:sz w:val="28"/>
                <w:szCs w:val="28"/>
              </w:rPr>
            </w:pPr>
            <w:r w:rsidRPr="003B11AB">
              <w:rPr>
                <w:b w:val="0"/>
                <w:bCs w:val="0"/>
              </w:rPr>
              <w:t>Module:</w:t>
            </w:r>
          </w:p>
        </w:tc>
        <w:tc>
          <w:tcPr>
            <w:tcW w:w="6611" w:type="dxa"/>
          </w:tcPr>
          <w:p w14:paraId="1E43F276" w14:textId="77777777" w:rsidR="000B79A8" w:rsidRDefault="000B79A8" w:rsidP="001F5A74">
            <w:pPr>
              <w:cnfStyle w:val="000000100000" w:firstRow="0" w:lastRow="0" w:firstColumn="0" w:lastColumn="0" w:oddVBand="0" w:evenVBand="0" w:oddHBand="1" w:evenHBand="0" w:firstRowFirstColumn="0" w:firstRowLastColumn="0" w:lastRowFirstColumn="0" w:lastRowLastColumn="0"/>
            </w:pPr>
            <w:r w:rsidRPr="00AA78C3">
              <w:t>Social Epidemiology and Public Health Development</w:t>
            </w:r>
          </w:p>
        </w:tc>
      </w:tr>
      <w:tr w:rsidR="000B79A8" w14:paraId="69ED2E2B" w14:textId="77777777" w:rsidTr="001F5A74">
        <w:tc>
          <w:tcPr>
            <w:cnfStyle w:val="001000000000" w:firstRow="0" w:lastRow="0" w:firstColumn="1" w:lastColumn="0" w:oddVBand="0" w:evenVBand="0" w:oddHBand="0" w:evenHBand="0" w:firstRowFirstColumn="0" w:firstRowLastColumn="0" w:lastRowFirstColumn="0" w:lastRowLastColumn="0"/>
            <w:tcW w:w="2405" w:type="dxa"/>
          </w:tcPr>
          <w:p w14:paraId="74BAE63B" w14:textId="77777777" w:rsidR="000B79A8" w:rsidRPr="003B11AB" w:rsidRDefault="000B79A8" w:rsidP="001F5A74">
            <w:pPr>
              <w:rPr>
                <w:rFonts w:cs="Arial"/>
                <w:b w:val="0"/>
                <w:bCs w:val="0"/>
                <w:sz w:val="28"/>
                <w:szCs w:val="28"/>
              </w:rPr>
            </w:pPr>
            <w:r w:rsidRPr="003B11AB">
              <w:rPr>
                <w:b w:val="0"/>
                <w:bCs w:val="0"/>
              </w:rPr>
              <w:t>Module code:</w:t>
            </w:r>
          </w:p>
        </w:tc>
        <w:tc>
          <w:tcPr>
            <w:tcW w:w="6611" w:type="dxa"/>
          </w:tcPr>
          <w:p w14:paraId="411F542E" w14:textId="77777777" w:rsidR="000B79A8" w:rsidRDefault="000B79A8" w:rsidP="001F5A74">
            <w:pPr>
              <w:cnfStyle w:val="000000000000" w:firstRow="0" w:lastRow="0" w:firstColumn="0" w:lastColumn="0" w:oddVBand="0" w:evenVBand="0" w:oddHBand="0" w:evenHBand="0" w:firstRowFirstColumn="0" w:firstRowLastColumn="0" w:lastRowFirstColumn="0" w:lastRowLastColumn="0"/>
            </w:pPr>
            <w:r w:rsidRPr="00AA78C3">
              <w:t>LCHS7000</w:t>
            </w:r>
          </w:p>
        </w:tc>
      </w:tr>
      <w:tr w:rsidR="000B79A8" w14:paraId="38EF7934" w14:textId="77777777" w:rsidTr="001F5A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B111012" w14:textId="77777777" w:rsidR="000B79A8" w:rsidRPr="003B11AB" w:rsidRDefault="000B79A8" w:rsidP="001F5A74">
            <w:pPr>
              <w:rPr>
                <w:rFonts w:cs="Arial"/>
                <w:b w:val="0"/>
                <w:bCs w:val="0"/>
                <w:sz w:val="28"/>
                <w:szCs w:val="28"/>
              </w:rPr>
            </w:pPr>
            <w:r w:rsidRPr="003B11AB">
              <w:rPr>
                <w:b w:val="0"/>
                <w:bCs w:val="0"/>
              </w:rPr>
              <w:t>Lecturer:</w:t>
            </w:r>
          </w:p>
        </w:tc>
        <w:tc>
          <w:tcPr>
            <w:tcW w:w="6611" w:type="dxa"/>
          </w:tcPr>
          <w:p w14:paraId="68A26451" w14:textId="4C182495" w:rsidR="000B79A8" w:rsidRPr="005A0724" w:rsidRDefault="005A0724" w:rsidP="001F5A74">
            <w:pPr>
              <w:cnfStyle w:val="000000100000" w:firstRow="0" w:lastRow="0" w:firstColumn="0" w:lastColumn="0" w:oddVBand="0" w:evenVBand="0" w:oddHBand="1" w:evenHBand="0" w:firstRowFirstColumn="0" w:firstRowLastColumn="0" w:lastRowFirstColumn="0" w:lastRowLastColumn="0"/>
              <w:rPr>
                <w:sz w:val="24"/>
                <w:szCs w:val="24"/>
              </w:rPr>
            </w:pPr>
            <w:r w:rsidRPr="005A0724">
              <w:rPr>
                <w:sz w:val="24"/>
                <w:szCs w:val="24"/>
              </w:rPr>
              <w:t>Jolly Nwankwo</w:t>
            </w:r>
          </w:p>
        </w:tc>
      </w:tr>
      <w:tr w:rsidR="000B79A8" w14:paraId="7345EE00" w14:textId="77777777" w:rsidTr="001F5A74">
        <w:tc>
          <w:tcPr>
            <w:cnfStyle w:val="001000000000" w:firstRow="0" w:lastRow="0" w:firstColumn="1" w:lastColumn="0" w:oddVBand="0" w:evenVBand="0" w:oddHBand="0" w:evenHBand="0" w:firstRowFirstColumn="0" w:firstRowLastColumn="0" w:lastRowFirstColumn="0" w:lastRowLastColumn="0"/>
            <w:tcW w:w="2405" w:type="dxa"/>
          </w:tcPr>
          <w:p w14:paraId="56098A71" w14:textId="77777777" w:rsidR="000B79A8" w:rsidRPr="003B11AB" w:rsidRDefault="000B79A8" w:rsidP="001F5A74">
            <w:pPr>
              <w:rPr>
                <w:b w:val="0"/>
                <w:bCs w:val="0"/>
              </w:rPr>
            </w:pPr>
            <w:r w:rsidRPr="003B11AB">
              <w:rPr>
                <w:b w:val="0"/>
                <w:bCs w:val="0"/>
              </w:rPr>
              <w:t>Student Name:</w:t>
            </w:r>
          </w:p>
        </w:tc>
        <w:tc>
          <w:tcPr>
            <w:tcW w:w="6611" w:type="dxa"/>
          </w:tcPr>
          <w:p w14:paraId="471106FD" w14:textId="7E433290" w:rsidR="000B79A8" w:rsidRDefault="004A6528" w:rsidP="001F5A74">
            <w:pPr>
              <w:cnfStyle w:val="000000000000" w:firstRow="0" w:lastRow="0" w:firstColumn="0" w:lastColumn="0" w:oddVBand="0" w:evenVBand="0" w:oddHBand="0" w:evenHBand="0" w:firstRowFirstColumn="0" w:firstRowLastColumn="0" w:lastRowFirstColumn="0" w:lastRowLastColumn="0"/>
            </w:pPr>
            <w:r w:rsidRPr="004A6528">
              <w:t>MD.SAKYF JAWAD</w:t>
            </w:r>
          </w:p>
        </w:tc>
      </w:tr>
      <w:tr w:rsidR="000B79A8" w14:paraId="57C14A36" w14:textId="77777777" w:rsidTr="001F5A7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CC86AE3" w14:textId="77777777" w:rsidR="000B79A8" w:rsidRPr="003B11AB" w:rsidRDefault="000B79A8" w:rsidP="001F5A74">
            <w:pPr>
              <w:rPr>
                <w:b w:val="0"/>
                <w:bCs w:val="0"/>
              </w:rPr>
            </w:pPr>
            <w:r w:rsidRPr="003B11AB">
              <w:rPr>
                <w:b w:val="0"/>
                <w:bCs w:val="0"/>
              </w:rPr>
              <w:t>Student ID:</w:t>
            </w:r>
          </w:p>
        </w:tc>
        <w:tc>
          <w:tcPr>
            <w:tcW w:w="6611" w:type="dxa"/>
          </w:tcPr>
          <w:p w14:paraId="0FB96E18" w14:textId="20BF12DE" w:rsidR="000B79A8" w:rsidRDefault="004A6528" w:rsidP="001F5A74">
            <w:pPr>
              <w:cnfStyle w:val="000000100000" w:firstRow="0" w:lastRow="0" w:firstColumn="0" w:lastColumn="0" w:oddVBand="0" w:evenVBand="0" w:oddHBand="1" w:evenHBand="0" w:firstRowFirstColumn="0" w:firstRowLastColumn="0" w:lastRowFirstColumn="0" w:lastRowLastColumn="0"/>
            </w:pPr>
            <w:r w:rsidRPr="004A6528">
              <w:t>2435265</w:t>
            </w:r>
          </w:p>
        </w:tc>
      </w:tr>
      <w:bookmarkEnd w:id="0"/>
    </w:tbl>
    <w:p w14:paraId="05655A16" w14:textId="5B4D7648" w:rsidR="000B79A8" w:rsidRDefault="000B79A8"/>
    <w:p w14:paraId="45BF85BE" w14:textId="77777777" w:rsidR="000B79A8" w:rsidRDefault="000B79A8">
      <w:pPr>
        <w:spacing w:line="259" w:lineRule="auto"/>
        <w:jc w:val="left"/>
      </w:pPr>
      <w:r>
        <w:br w:type="page"/>
      </w:r>
    </w:p>
    <w:sdt>
      <w:sdtPr>
        <w:rPr>
          <w:rFonts w:ascii="Arial" w:eastAsiaTheme="minorHAnsi" w:hAnsi="Arial" w:cstheme="minorBidi"/>
          <w:color w:val="auto"/>
          <w:sz w:val="22"/>
          <w:szCs w:val="22"/>
          <w:lang w:val="en-GB"/>
        </w:rPr>
        <w:id w:val="510658570"/>
        <w:docPartObj>
          <w:docPartGallery w:val="Table of Contents"/>
          <w:docPartUnique/>
        </w:docPartObj>
      </w:sdtPr>
      <w:sdtEndPr>
        <w:rPr>
          <w:b/>
          <w:bCs/>
          <w:noProof/>
        </w:rPr>
      </w:sdtEndPr>
      <w:sdtContent>
        <w:p w14:paraId="14B73434" w14:textId="062A5128" w:rsidR="001B2FE7" w:rsidRDefault="001B2FE7">
          <w:pPr>
            <w:pStyle w:val="TOCHeading"/>
          </w:pPr>
          <w:r>
            <w:t>Table of Contents</w:t>
          </w:r>
        </w:p>
        <w:p w14:paraId="4DF4AB96" w14:textId="0E881E53" w:rsidR="001B2FE7" w:rsidRDefault="001B2FE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6014616" w:history="1">
            <w:r w:rsidRPr="008A6807">
              <w:rPr>
                <w:rStyle w:val="Hyperlink"/>
                <w:noProof/>
              </w:rPr>
              <w:t>Task 1: Social Epidemiological Analysis</w:t>
            </w:r>
            <w:r>
              <w:rPr>
                <w:noProof/>
                <w:webHidden/>
              </w:rPr>
              <w:tab/>
            </w:r>
            <w:r>
              <w:rPr>
                <w:noProof/>
                <w:webHidden/>
              </w:rPr>
              <w:fldChar w:fldCharType="begin"/>
            </w:r>
            <w:r>
              <w:rPr>
                <w:noProof/>
                <w:webHidden/>
              </w:rPr>
              <w:instrText xml:space="preserve"> PAGEREF _Toc216014616 \h </w:instrText>
            </w:r>
            <w:r>
              <w:rPr>
                <w:noProof/>
                <w:webHidden/>
              </w:rPr>
            </w:r>
            <w:r>
              <w:rPr>
                <w:noProof/>
                <w:webHidden/>
              </w:rPr>
              <w:fldChar w:fldCharType="separate"/>
            </w:r>
            <w:r>
              <w:rPr>
                <w:noProof/>
                <w:webHidden/>
              </w:rPr>
              <w:t>3</w:t>
            </w:r>
            <w:r>
              <w:rPr>
                <w:noProof/>
                <w:webHidden/>
              </w:rPr>
              <w:fldChar w:fldCharType="end"/>
            </w:r>
          </w:hyperlink>
        </w:p>
        <w:p w14:paraId="3E676EB0" w14:textId="0E828941" w:rsidR="001B2FE7" w:rsidRDefault="001B2FE7">
          <w:pPr>
            <w:pStyle w:val="TOC2"/>
            <w:tabs>
              <w:tab w:val="right" w:leader="dot" w:pos="9016"/>
            </w:tabs>
            <w:rPr>
              <w:rFonts w:asciiTheme="minorHAnsi" w:eastAsiaTheme="minorEastAsia" w:hAnsiTheme="minorHAnsi"/>
              <w:noProof/>
              <w:lang w:eastAsia="en-GB"/>
            </w:rPr>
          </w:pPr>
          <w:hyperlink w:anchor="_Toc216014617" w:history="1">
            <w:r w:rsidRPr="008A6807">
              <w:rPr>
                <w:rStyle w:val="Hyperlink"/>
                <w:noProof/>
              </w:rPr>
              <w:t>1. Introduction</w:t>
            </w:r>
            <w:r>
              <w:rPr>
                <w:noProof/>
                <w:webHidden/>
              </w:rPr>
              <w:tab/>
            </w:r>
            <w:r>
              <w:rPr>
                <w:noProof/>
                <w:webHidden/>
              </w:rPr>
              <w:fldChar w:fldCharType="begin"/>
            </w:r>
            <w:r>
              <w:rPr>
                <w:noProof/>
                <w:webHidden/>
              </w:rPr>
              <w:instrText xml:space="preserve"> PAGEREF _Toc216014617 \h </w:instrText>
            </w:r>
            <w:r>
              <w:rPr>
                <w:noProof/>
                <w:webHidden/>
              </w:rPr>
            </w:r>
            <w:r>
              <w:rPr>
                <w:noProof/>
                <w:webHidden/>
              </w:rPr>
              <w:fldChar w:fldCharType="separate"/>
            </w:r>
            <w:r>
              <w:rPr>
                <w:noProof/>
                <w:webHidden/>
              </w:rPr>
              <w:t>3</w:t>
            </w:r>
            <w:r>
              <w:rPr>
                <w:noProof/>
                <w:webHidden/>
              </w:rPr>
              <w:fldChar w:fldCharType="end"/>
            </w:r>
          </w:hyperlink>
        </w:p>
        <w:p w14:paraId="210E1D92" w14:textId="048AED14" w:rsidR="001B2FE7" w:rsidRDefault="001B2FE7">
          <w:pPr>
            <w:pStyle w:val="TOC2"/>
            <w:tabs>
              <w:tab w:val="right" w:leader="dot" w:pos="9016"/>
            </w:tabs>
            <w:rPr>
              <w:rFonts w:asciiTheme="minorHAnsi" w:eastAsiaTheme="minorEastAsia" w:hAnsiTheme="minorHAnsi"/>
              <w:noProof/>
              <w:lang w:eastAsia="en-GB"/>
            </w:rPr>
          </w:pPr>
          <w:hyperlink w:anchor="_Toc216014618" w:history="1">
            <w:r w:rsidRPr="008A6807">
              <w:rPr>
                <w:rStyle w:val="Hyperlink"/>
                <w:noProof/>
              </w:rPr>
              <w:t>2. Contextual Background and Contributing Factors</w:t>
            </w:r>
            <w:r>
              <w:rPr>
                <w:noProof/>
                <w:webHidden/>
              </w:rPr>
              <w:tab/>
            </w:r>
            <w:r>
              <w:rPr>
                <w:noProof/>
                <w:webHidden/>
              </w:rPr>
              <w:fldChar w:fldCharType="begin"/>
            </w:r>
            <w:r>
              <w:rPr>
                <w:noProof/>
                <w:webHidden/>
              </w:rPr>
              <w:instrText xml:space="preserve"> PAGEREF _Toc216014618 \h </w:instrText>
            </w:r>
            <w:r>
              <w:rPr>
                <w:noProof/>
                <w:webHidden/>
              </w:rPr>
            </w:r>
            <w:r>
              <w:rPr>
                <w:noProof/>
                <w:webHidden/>
              </w:rPr>
              <w:fldChar w:fldCharType="separate"/>
            </w:r>
            <w:r>
              <w:rPr>
                <w:noProof/>
                <w:webHidden/>
              </w:rPr>
              <w:t>3</w:t>
            </w:r>
            <w:r>
              <w:rPr>
                <w:noProof/>
                <w:webHidden/>
              </w:rPr>
              <w:fldChar w:fldCharType="end"/>
            </w:r>
          </w:hyperlink>
        </w:p>
        <w:p w14:paraId="35913664" w14:textId="21DFE9B4" w:rsidR="001B2FE7" w:rsidRDefault="001B2FE7">
          <w:pPr>
            <w:pStyle w:val="TOC3"/>
            <w:tabs>
              <w:tab w:val="right" w:leader="dot" w:pos="9016"/>
            </w:tabs>
            <w:rPr>
              <w:rFonts w:asciiTheme="minorHAnsi" w:eastAsiaTheme="minorEastAsia" w:hAnsiTheme="minorHAnsi"/>
              <w:noProof/>
              <w:lang w:eastAsia="en-GB"/>
            </w:rPr>
          </w:pPr>
          <w:hyperlink w:anchor="_Toc216014619" w:history="1">
            <w:r w:rsidRPr="008A6807">
              <w:rPr>
                <w:rStyle w:val="Hyperlink"/>
                <w:noProof/>
              </w:rPr>
              <w:t>2.1 Health Issues</w:t>
            </w:r>
            <w:r>
              <w:rPr>
                <w:noProof/>
                <w:webHidden/>
              </w:rPr>
              <w:tab/>
            </w:r>
            <w:r>
              <w:rPr>
                <w:noProof/>
                <w:webHidden/>
              </w:rPr>
              <w:fldChar w:fldCharType="begin"/>
            </w:r>
            <w:r>
              <w:rPr>
                <w:noProof/>
                <w:webHidden/>
              </w:rPr>
              <w:instrText xml:space="preserve"> PAGEREF _Toc216014619 \h </w:instrText>
            </w:r>
            <w:r>
              <w:rPr>
                <w:noProof/>
                <w:webHidden/>
              </w:rPr>
            </w:r>
            <w:r>
              <w:rPr>
                <w:noProof/>
                <w:webHidden/>
              </w:rPr>
              <w:fldChar w:fldCharType="separate"/>
            </w:r>
            <w:r>
              <w:rPr>
                <w:noProof/>
                <w:webHidden/>
              </w:rPr>
              <w:t>3</w:t>
            </w:r>
            <w:r>
              <w:rPr>
                <w:noProof/>
                <w:webHidden/>
              </w:rPr>
              <w:fldChar w:fldCharType="end"/>
            </w:r>
          </w:hyperlink>
        </w:p>
        <w:p w14:paraId="1EE077B1" w14:textId="5C82F60E" w:rsidR="001B2FE7" w:rsidRDefault="001B2FE7">
          <w:pPr>
            <w:pStyle w:val="TOC3"/>
            <w:tabs>
              <w:tab w:val="right" w:leader="dot" w:pos="9016"/>
            </w:tabs>
            <w:rPr>
              <w:rFonts w:asciiTheme="minorHAnsi" w:eastAsiaTheme="minorEastAsia" w:hAnsiTheme="minorHAnsi"/>
              <w:noProof/>
              <w:lang w:eastAsia="en-GB"/>
            </w:rPr>
          </w:pPr>
          <w:hyperlink w:anchor="_Toc216014620" w:history="1">
            <w:r w:rsidRPr="008A6807">
              <w:rPr>
                <w:rStyle w:val="Hyperlink"/>
                <w:noProof/>
              </w:rPr>
              <w:t>2.2 Social Issues</w:t>
            </w:r>
            <w:r>
              <w:rPr>
                <w:noProof/>
                <w:webHidden/>
              </w:rPr>
              <w:tab/>
            </w:r>
            <w:r>
              <w:rPr>
                <w:noProof/>
                <w:webHidden/>
              </w:rPr>
              <w:fldChar w:fldCharType="begin"/>
            </w:r>
            <w:r>
              <w:rPr>
                <w:noProof/>
                <w:webHidden/>
              </w:rPr>
              <w:instrText xml:space="preserve"> PAGEREF _Toc216014620 \h </w:instrText>
            </w:r>
            <w:r>
              <w:rPr>
                <w:noProof/>
                <w:webHidden/>
              </w:rPr>
            </w:r>
            <w:r>
              <w:rPr>
                <w:noProof/>
                <w:webHidden/>
              </w:rPr>
              <w:fldChar w:fldCharType="separate"/>
            </w:r>
            <w:r>
              <w:rPr>
                <w:noProof/>
                <w:webHidden/>
              </w:rPr>
              <w:t>4</w:t>
            </w:r>
            <w:r>
              <w:rPr>
                <w:noProof/>
                <w:webHidden/>
              </w:rPr>
              <w:fldChar w:fldCharType="end"/>
            </w:r>
          </w:hyperlink>
        </w:p>
        <w:p w14:paraId="245C8137" w14:textId="52BE255E" w:rsidR="001B2FE7" w:rsidRDefault="001B2FE7">
          <w:pPr>
            <w:pStyle w:val="TOC2"/>
            <w:tabs>
              <w:tab w:val="right" w:leader="dot" w:pos="9016"/>
            </w:tabs>
            <w:rPr>
              <w:rFonts w:asciiTheme="minorHAnsi" w:eastAsiaTheme="minorEastAsia" w:hAnsiTheme="minorHAnsi"/>
              <w:noProof/>
              <w:lang w:eastAsia="en-GB"/>
            </w:rPr>
          </w:pPr>
          <w:hyperlink w:anchor="_Toc216014621" w:history="1">
            <w:r w:rsidRPr="008A6807">
              <w:rPr>
                <w:rStyle w:val="Hyperlink"/>
                <w:noProof/>
              </w:rPr>
              <w:t>3. National Response to Reduce Health Inequalities</w:t>
            </w:r>
            <w:r>
              <w:rPr>
                <w:noProof/>
                <w:webHidden/>
              </w:rPr>
              <w:tab/>
            </w:r>
            <w:r>
              <w:rPr>
                <w:noProof/>
                <w:webHidden/>
              </w:rPr>
              <w:fldChar w:fldCharType="begin"/>
            </w:r>
            <w:r>
              <w:rPr>
                <w:noProof/>
                <w:webHidden/>
              </w:rPr>
              <w:instrText xml:space="preserve"> PAGEREF _Toc216014621 \h </w:instrText>
            </w:r>
            <w:r>
              <w:rPr>
                <w:noProof/>
                <w:webHidden/>
              </w:rPr>
            </w:r>
            <w:r>
              <w:rPr>
                <w:noProof/>
                <w:webHidden/>
              </w:rPr>
              <w:fldChar w:fldCharType="separate"/>
            </w:r>
            <w:r>
              <w:rPr>
                <w:noProof/>
                <w:webHidden/>
              </w:rPr>
              <w:t>5</w:t>
            </w:r>
            <w:r>
              <w:rPr>
                <w:noProof/>
                <w:webHidden/>
              </w:rPr>
              <w:fldChar w:fldCharType="end"/>
            </w:r>
          </w:hyperlink>
        </w:p>
        <w:p w14:paraId="0BD5F280" w14:textId="0994310F" w:rsidR="001B2FE7" w:rsidRDefault="001B2FE7">
          <w:pPr>
            <w:pStyle w:val="TOC2"/>
            <w:tabs>
              <w:tab w:val="right" w:leader="dot" w:pos="9016"/>
            </w:tabs>
            <w:rPr>
              <w:rFonts w:asciiTheme="minorHAnsi" w:eastAsiaTheme="minorEastAsia" w:hAnsiTheme="minorHAnsi"/>
              <w:noProof/>
              <w:lang w:eastAsia="en-GB"/>
            </w:rPr>
          </w:pPr>
          <w:hyperlink w:anchor="_Toc216014622" w:history="1">
            <w:r w:rsidRPr="008A6807">
              <w:rPr>
                <w:rStyle w:val="Hyperlink"/>
                <w:noProof/>
              </w:rPr>
              <w:t>4. Organizations Supporting Disabled People</w:t>
            </w:r>
            <w:r>
              <w:rPr>
                <w:noProof/>
                <w:webHidden/>
              </w:rPr>
              <w:tab/>
            </w:r>
            <w:r>
              <w:rPr>
                <w:noProof/>
                <w:webHidden/>
              </w:rPr>
              <w:fldChar w:fldCharType="begin"/>
            </w:r>
            <w:r>
              <w:rPr>
                <w:noProof/>
                <w:webHidden/>
              </w:rPr>
              <w:instrText xml:space="preserve"> PAGEREF _Toc216014622 \h </w:instrText>
            </w:r>
            <w:r>
              <w:rPr>
                <w:noProof/>
                <w:webHidden/>
              </w:rPr>
            </w:r>
            <w:r>
              <w:rPr>
                <w:noProof/>
                <w:webHidden/>
              </w:rPr>
              <w:fldChar w:fldCharType="separate"/>
            </w:r>
            <w:r>
              <w:rPr>
                <w:noProof/>
                <w:webHidden/>
              </w:rPr>
              <w:t>5</w:t>
            </w:r>
            <w:r>
              <w:rPr>
                <w:noProof/>
                <w:webHidden/>
              </w:rPr>
              <w:fldChar w:fldCharType="end"/>
            </w:r>
          </w:hyperlink>
        </w:p>
        <w:p w14:paraId="29C4D1F9" w14:textId="61A5EC42" w:rsidR="001B2FE7" w:rsidRDefault="001B2FE7">
          <w:pPr>
            <w:pStyle w:val="TOC2"/>
            <w:tabs>
              <w:tab w:val="right" w:leader="dot" w:pos="9016"/>
            </w:tabs>
            <w:rPr>
              <w:rFonts w:asciiTheme="minorHAnsi" w:eastAsiaTheme="minorEastAsia" w:hAnsiTheme="minorHAnsi"/>
              <w:noProof/>
              <w:lang w:eastAsia="en-GB"/>
            </w:rPr>
          </w:pPr>
          <w:hyperlink w:anchor="_Toc216014623" w:history="1">
            <w:r w:rsidRPr="008A6807">
              <w:rPr>
                <w:rStyle w:val="Hyperlink"/>
                <w:noProof/>
              </w:rPr>
              <w:t>5. Conclusion</w:t>
            </w:r>
            <w:r>
              <w:rPr>
                <w:noProof/>
                <w:webHidden/>
              </w:rPr>
              <w:tab/>
            </w:r>
            <w:r>
              <w:rPr>
                <w:noProof/>
                <w:webHidden/>
              </w:rPr>
              <w:fldChar w:fldCharType="begin"/>
            </w:r>
            <w:r>
              <w:rPr>
                <w:noProof/>
                <w:webHidden/>
              </w:rPr>
              <w:instrText xml:space="preserve"> PAGEREF _Toc216014623 \h </w:instrText>
            </w:r>
            <w:r>
              <w:rPr>
                <w:noProof/>
                <w:webHidden/>
              </w:rPr>
            </w:r>
            <w:r>
              <w:rPr>
                <w:noProof/>
                <w:webHidden/>
              </w:rPr>
              <w:fldChar w:fldCharType="separate"/>
            </w:r>
            <w:r>
              <w:rPr>
                <w:noProof/>
                <w:webHidden/>
              </w:rPr>
              <w:t>5</w:t>
            </w:r>
            <w:r>
              <w:rPr>
                <w:noProof/>
                <w:webHidden/>
              </w:rPr>
              <w:fldChar w:fldCharType="end"/>
            </w:r>
          </w:hyperlink>
        </w:p>
        <w:p w14:paraId="7EB7FD25" w14:textId="4B84A1BA" w:rsidR="001B2FE7" w:rsidRDefault="001B2FE7">
          <w:pPr>
            <w:pStyle w:val="TOC1"/>
            <w:tabs>
              <w:tab w:val="right" w:leader="dot" w:pos="9016"/>
            </w:tabs>
            <w:rPr>
              <w:rFonts w:asciiTheme="minorHAnsi" w:eastAsiaTheme="minorEastAsia" w:hAnsiTheme="minorHAnsi"/>
              <w:noProof/>
              <w:lang w:eastAsia="en-GB"/>
            </w:rPr>
          </w:pPr>
          <w:hyperlink w:anchor="_Toc216014624" w:history="1">
            <w:r w:rsidRPr="008A6807">
              <w:rPr>
                <w:rStyle w:val="Hyperlink"/>
                <w:noProof/>
              </w:rPr>
              <w:t>Task 2: Epidemiological Analysis</w:t>
            </w:r>
            <w:r>
              <w:rPr>
                <w:noProof/>
                <w:webHidden/>
              </w:rPr>
              <w:tab/>
            </w:r>
            <w:r>
              <w:rPr>
                <w:noProof/>
                <w:webHidden/>
              </w:rPr>
              <w:fldChar w:fldCharType="begin"/>
            </w:r>
            <w:r>
              <w:rPr>
                <w:noProof/>
                <w:webHidden/>
              </w:rPr>
              <w:instrText xml:space="preserve"> PAGEREF _Toc216014624 \h </w:instrText>
            </w:r>
            <w:r>
              <w:rPr>
                <w:noProof/>
                <w:webHidden/>
              </w:rPr>
            </w:r>
            <w:r>
              <w:rPr>
                <w:noProof/>
                <w:webHidden/>
              </w:rPr>
              <w:fldChar w:fldCharType="separate"/>
            </w:r>
            <w:r>
              <w:rPr>
                <w:noProof/>
                <w:webHidden/>
              </w:rPr>
              <w:t>7</w:t>
            </w:r>
            <w:r>
              <w:rPr>
                <w:noProof/>
                <w:webHidden/>
              </w:rPr>
              <w:fldChar w:fldCharType="end"/>
            </w:r>
          </w:hyperlink>
        </w:p>
        <w:p w14:paraId="73775D6A" w14:textId="3833B023" w:rsidR="001B2FE7" w:rsidRDefault="001B2FE7">
          <w:pPr>
            <w:pStyle w:val="TOC2"/>
            <w:tabs>
              <w:tab w:val="right" w:leader="dot" w:pos="9016"/>
            </w:tabs>
            <w:rPr>
              <w:rFonts w:asciiTheme="minorHAnsi" w:eastAsiaTheme="minorEastAsia" w:hAnsiTheme="minorHAnsi"/>
              <w:noProof/>
              <w:lang w:eastAsia="en-GB"/>
            </w:rPr>
          </w:pPr>
          <w:hyperlink w:anchor="_Toc216014625" w:history="1">
            <w:r w:rsidRPr="008A6807">
              <w:rPr>
                <w:rStyle w:val="Hyperlink"/>
                <w:noProof/>
              </w:rPr>
              <w:t>1. Introduction</w:t>
            </w:r>
            <w:r>
              <w:rPr>
                <w:noProof/>
                <w:webHidden/>
              </w:rPr>
              <w:tab/>
            </w:r>
            <w:r>
              <w:rPr>
                <w:noProof/>
                <w:webHidden/>
              </w:rPr>
              <w:fldChar w:fldCharType="begin"/>
            </w:r>
            <w:r>
              <w:rPr>
                <w:noProof/>
                <w:webHidden/>
              </w:rPr>
              <w:instrText xml:space="preserve"> PAGEREF _Toc216014625 \h </w:instrText>
            </w:r>
            <w:r>
              <w:rPr>
                <w:noProof/>
                <w:webHidden/>
              </w:rPr>
            </w:r>
            <w:r>
              <w:rPr>
                <w:noProof/>
                <w:webHidden/>
              </w:rPr>
              <w:fldChar w:fldCharType="separate"/>
            </w:r>
            <w:r>
              <w:rPr>
                <w:noProof/>
                <w:webHidden/>
              </w:rPr>
              <w:t>7</w:t>
            </w:r>
            <w:r>
              <w:rPr>
                <w:noProof/>
                <w:webHidden/>
              </w:rPr>
              <w:fldChar w:fldCharType="end"/>
            </w:r>
          </w:hyperlink>
        </w:p>
        <w:p w14:paraId="454797C7" w14:textId="71AA7CE7" w:rsidR="001B2FE7" w:rsidRDefault="001B2FE7">
          <w:pPr>
            <w:pStyle w:val="TOC2"/>
            <w:tabs>
              <w:tab w:val="right" w:leader="dot" w:pos="9016"/>
            </w:tabs>
            <w:rPr>
              <w:rFonts w:asciiTheme="minorHAnsi" w:eastAsiaTheme="minorEastAsia" w:hAnsiTheme="minorHAnsi"/>
              <w:noProof/>
              <w:lang w:eastAsia="en-GB"/>
            </w:rPr>
          </w:pPr>
          <w:hyperlink w:anchor="_Toc216014626" w:history="1">
            <w:r w:rsidRPr="008A6807">
              <w:rPr>
                <w:rStyle w:val="Hyperlink"/>
                <w:noProof/>
              </w:rPr>
              <w:t>2. Main Body</w:t>
            </w:r>
            <w:r>
              <w:rPr>
                <w:noProof/>
                <w:webHidden/>
              </w:rPr>
              <w:tab/>
            </w:r>
            <w:r>
              <w:rPr>
                <w:noProof/>
                <w:webHidden/>
              </w:rPr>
              <w:fldChar w:fldCharType="begin"/>
            </w:r>
            <w:r>
              <w:rPr>
                <w:noProof/>
                <w:webHidden/>
              </w:rPr>
              <w:instrText xml:space="preserve"> PAGEREF _Toc216014626 \h </w:instrText>
            </w:r>
            <w:r>
              <w:rPr>
                <w:noProof/>
                <w:webHidden/>
              </w:rPr>
            </w:r>
            <w:r>
              <w:rPr>
                <w:noProof/>
                <w:webHidden/>
              </w:rPr>
              <w:fldChar w:fldCharType="separate"/>
            </w:r>
            <w:r>
              <w:rPr>
                <w:noProof/>
                <w:webHidden/>
              </w:rPr>
              <w:t>7</w:t>
            </w:r>
            <w:r>
              <w:rPr>
                <w:noProof/>
                <w:webHidden/>
              </w:rPr>
              <w:fldChar w:fldCharType="end"/>
            </w:r>
          </w:hyperlink>
        </w:p>
        <w:p w14:paraId="66969943" w14:textId="553B5324" w:rsidR="001B2FE7" w:rsidRDefault="001B2FE7">
          <w:pPr>
            <w:pStyle w:val="TOC3"/>
            <w:tabs>
              <w:tab w:val="right" w:leader="dot" w:pos="9016"/>
            </w:tabs>
            <w:rPr>
              <w:rFonts w:asciiTheme="minorHAnsi" w:eastAsiaTheme="minorEastAsia" w:hAnsiTheme="minorHAnsi"/>
              <w:noProof/>
              <w:lang w:eastAsia="en-GB"/>
            </w:rPr>
          </w:pPr>
          <w:hyperlink w:anchor="_Toc216014627" w:history="1">
            <w:r w:rsidRPr="008A6807">
              <w:rPr>
                <w:rStyle w:val="Hyperlink"/>
                <w:noProof/>
              </w:rPr>
              <w:t>2.1 Public Health Measures Using the 3 P's Framework</w:t>
            </w:r>
            <w:r>
              <w:rPr>
                <w:noProof/>
                <w:webHidden/>
              </w:rPr>
              <w:tab/>
            </w:r>
            <w:r>
              <w:rPr>
                <w:noProof/>
                <w:webHidden/>
              </w:rPr>
              <w:fldChar w:fldCharType="begin"/>
            </w:r>
            <w:r>
              <w:rPr>
                <w:noProof/>
                <w:webHidden/>
              </w:rPr>
              <w:instrText xml:space="preserve"> PAGEREF _Toc216014627 \h </w:instrText>
            </w:r>
            <w:r>
              <w:rPr>
                <w:noProof/>
                <w:webHidden/>
              </w:rPr>
            </w:r>
            <w:r>
              <w:rPr>
                <w:noProof/>
                <w:webHidden/>
              </w:rPr>
              <w:fldChar w:fldCharType="separate"/>
            </w:r>
            <w:r>
              <w:rPr>
                <w:noProof/>
                <w:webHidden/>
              </w:rPr>
              <w:t>7</w:t>
            </w:r>
            <w:r>
              <w:rPr>
                <w:noProof/>
                <w:webHidden/>
              </w:rPr>
              <w:fldChar w:fldCharType="end"/>
            </w:r>
          </w:hyperlink>
        </w:p>
        <w:p w14:paraId="3A8295BA" w14:textId="2178ED65" w:rsidR="001B2FE7" w:rsidRDefault="001B2FE7">
          <w:pPr>
            <w:pStyle w:val="TOC3"/>
            <w:tabs>
              <w:tab w:val="right" w:leader="dot" w:pos="9016"/>
            </w:tabs>
            <w:rPr>
              <w:rFonts w:asciiTheme="minorHAnsi" w:eastAsiaTheme="minorEastAsia" w:hAnsiTheme="minorHAnsi"/>
              <w:noProof/>
              <w:lang w:eastAsia="en-GB"/>
            </w:rPr>
          </w:pPr>
          <w:hyperlink w:anchor="_Toc216014628" w:history="1">
            <w:r w:rsidRPr="008A6807">
              <w:rPr>
                <w:rStyle w:val="Hyperlink"/>
                <w:noProof/>
              </w:rPr>
              <w:t>2.2 Key Determinants and Risk Factors for Influenza Complications</w:t>
            </w:r>
            <w:r>
              <w:rPr>
                <w:noProof/>
                <w:webHidden/>
              </w:rPr>
              <w:tab/>
            </w:r>
            <w:r>
              <w:rPr>
                <w:noProof/>
                <w:webHidden/>
              </w:rPr>
              <w:fldChar w:fldCharType="begin"/>
            </w:r>
            <w:r>
              <w:rPr>
                <w:noProof/>
                <w:webHidden/>
              </w:rPr>
              <w:instrText xml:space="preserve"> PAGEREF _Toc216014628 \h </w:instrText>
            </w:r>
            <w:r>
              <w:rPr>
                <w:noProof/>
                <w:webHidden/>
              </w:rPr>
            </w:r>
            <w:r>
              <w:rPr>
                <w:noProof/>
                <w:webHidden/>
              </w:rPr>
              <w:fldChar w:fldCharType="separate"/>
            </w:r>
            <w:r>
              <w:rPr>
                <w:noProof/>
                <w:webHidden/>
              </w:rPr>
              <w:t>8</w:t>
            </w:r>
            <w:r>
              <w:rPr>
                <w:noProof/>
                <w:webHidden/>
              </w:rPr>
              <w:fldChar w:fldCharType="end"/>
            </w:r>
          </w:hyperlink>
        </w:p>
        <w:p w14:paraId="3EB6DA1C" w14:textId="7394E2CE" w:rsidR="001B2FE7" w:rsidRDefault="001B2FE7">
          <w:pPr>
            <w:pStyle w:val="TOC3"/>
            <w:tabs>
              <w:tab w:val="right" w:leader="dot" w:pos="9016"/>
            </w:tabs>
            <w:rPr>
              <w:rFonts w:asciiTheme="minorHAnsi" w:eastAsiaTheme="minorEastAsia" w:hAnsiTheme="minorHAnsi"/>
              <w:noProof/>
              <w:lang w:eastAsia="en-GB"/>
            </w:rPr>
          </w:pPr>
          <w:hyperlink w:anchor="_Toc216014629" w:history="1">
            <w:r w:rsidRPr="008A6807">
              <w:rPr>
                <w:rStyle w:val="Hyperlink"/>
                <w:noProof/>
              </w:rPr>
              <w:t>2.3 Epidemiological Studies and Health Needs Assessment</w:t>
            </w:r>
            <w:r>
              <w:rPr>
                <w:noProof/>
                <w:webHidden/>
              </w:rPr>
              <w:tab/>
            </w:r>
            <w:r>
              <w:rPr>
                <w:noProof/>
                <w:webHidden/>
              </w:rPr>
              <w:fldChar w:fldCharType="begin"/>
            </w:r>
            <w:r>
              <w:rPr>
                <w:noProof/>
                <w:webHidden/>
              </w:rPr>
              <w:instrText xml:space="preserve"> PAGEREF _Toc216014629 \h </w:instrText>
            </w:r>
            <w:r>
              <w:rPr>
                <w:noProof/>
                <w:webHidden/>
              </w:rPr>
            </w:r>
            <w:r>
              <w:rPr>
                <w:noProof/>
                <w:webHidden/>
              </w:rPr>
              <w:fldChar w:fldCharType="separate"/>
            </w:r>
            <w:r>
              <w:rPr>
                <w:noProof/>
                <w:webHidden/>
              </w:rPr>
              <w:t>8</w:t>
            </w:r>
            <w:r>
              <w:rPr>
                <w:noProof/>
                <w:webHidden/>
              </w:rPr>
              <w:fldChar w:fldCharType="end"/>
            </w:r>
          </w:hyperlink>
        </w:p>
        <w:p w14:paraId="07DA4056" w14:textId="3E8CB97D" w:rsidR="001B2FE7" w:rsidRDefault="001B2FE7">
          <w:pPr>
            <w:pStyle w:val="TOC3"/>
            <w:tabs>
              <w:tab w:val="right" w:leader="dot" w:pos="9016"/>
            </w:tabs>
            <w:rPr>
              <w:rFonts w:asciiTheme="minorHAnsi" w:eastAsiaTheme="minorEastAsia" w:hAnsiTheme="minorHAnsi"/>
              <w:noProof/>
              <w:lang w:eastAsia="en-GB"/>
            </w:rPr>
          </w:pPr>
          <w:hyperlink w:anchor="_Toc216014630" w:history="1">
            <w:r w:rsidRPr="008A6807">
              <w:rPr>
                <w:rStyle w:val="Hyperlink"/>
                <w:noProof/>
              </w:rPr>
              <w:t>2.4 Monitoring Systems and Surveillance Infrastructure</w:t>
            </w:r>
            <w:r>
              <w:rPr>
                <w:noProof/>
                <w:webHidden/>
              </w:rPr>
              <w:tab/>
            </w:r>
            <w:r>
              <w:rPr>
                <w:noProof/>
                <w:webHidden/>
              </w:rPr>
              <w:fldChar w:fldCharType="begin"/>
            </w:r>
            <w:r>
              <w:rPr>
                <w:noProof/>
                <w:webHidden/>
              </w:rPr>
              <w:instrText xml:space="preserve"> PAGEREF _Toc216014630 \h </w:instrText>
            </w:r>
            <w:r>
              <w:rPr>
                <w:noProof/>
                <w:webHidden/>
              </w:rPr>
            </w:r>
            <w:r>
              <w:rPr>
                <w:noProof/>
                <w:webHidden/>
              </w:rPr>
              <w:fldChar w:fldCharType="separate"/>
            </w:r>
            <w:r>
              <w:rPr>
                <w:noProof/>
                <w:webHidden/>
              </w:rPr>
              <w:t>9</w:t>
            </w:r>
            <w:r>
              <w:rPr>
                <w:noProof/>
                <w:webHidden/>
              </w:rPr>
              <w:fldChar w:fldCharType="end"/>
            </w:r>
          </w:hyperlink>
        </w:p>
        <w:p w14:paraId="5AE2E6C0" w14:textId="0B467200" w:rsidR="001B2FE7" w:rsidRDefault="001B2FE7">
          <w:pPr>
            <w:pStyle w:val="TOC3"/>
            <w:tabs>
              <w:tab w:val="right" w:leader="dot" w:pos="9016"/>
            </w:tabs>
            <w:rPr>
              <w:rFonts w:asciiTheme="minorHAnsi" w:eastAsiaTheme="minorEastAsia" w:hAnsiTheme="minorHAnsi"/>
              <w:noProof/>
              <w:lang w:eastAsia="en-GB"/>
            </w:rPr>
          </w:pPr>
          <w:hyperlink w:anchor="_Toc216014631" w:history="1">
            <w:r w:rsidRPr="008A6807">
              <w:rPr>
                <w:rStyle w:val="Hyperlink"/>
                <w:noProof/>
              </w:rPr>
              <w:t>2.5 Public Health Impact Assessment</w:t>
            </w:r>
            <w:r>
              <w:rPr>
                <w:noProof/>
                <w:webHidden/>
              </w:rPr>
              <w:tab/>
            </w:r>
            <w:r>
              <w:rPr>
                <w:noProof/>
                <w:webHidden/>
              </w:rPr>
              <w:fldChar w:fldCharType="begin"/>
            </w:r>
            <w:r>
              <w:rPr>
                <w:noProof/>
                <w:webHidden/>
              </w:rPr>
              <w:instrText xml:space="preserve"> PAGEREF _Toc216014631 \h </w:instrText>
            </w:r>
            <w:r>
              <w:rPr>
                <w:noProof/>
                <w:webHidden/>
              </w:rPr>
            </w:r>
            <w:r>
              <w:rPr>
                <w:noProof/>
                <w:webHidden/>
              </w:rPr>
              <w:fldChar w:fldCharType="separate"/>
            </w:r>
            <w:r>
              <w:rPr>
                <w:noProof/>
                <w:webHidden/>
              </w:rPr>
              <w:t>10</w:t>
            </w:r>
            <w:r>
              <w:rPr>
                <w:noProof/>
                <w:webHidden/>
              </w:rPr>
              <w:fldChar w:fldCharType="end"/>
            </w:r>
          </w:hyperlink>
        </w:p>
        <w:p w14:paraId="4DBB46D7" w14:textId="3B5CB220" w:rsidR="001B2FE7" w:rsidRDefault="001B2FE7">
          <w:pPr>
            <w:pStyle w:val="TOC3"/>
            <w:tabs>
              <w:tab w:val="right" w:leader="dot" w:pos="9016"/>
            </w:tabs>
            <w:rPr>
              <w:rFonts w:asciiTheme="minorHAnsi" w:eastAsiaTheme="minorEastAsia" w:hAnsiTheme="minorHAnsi"/>
              <w:noProof/>
              <w:lang w:eastAsia="en-GB"/>
            </w:rPr>
          </w:pPr>
          <w:hyperlink w:anchor="_Toc216014632" w:history="1">
            <w:r w:rsidRPr="008A6807">
              <w:rPr>
                <w:rStyle w:val="Hyperlink"/>
                <w:noProof/>
              </w:rPr>
              <w:t>2.6 Health Intervention Programme Design and Evaluation</w:t>
            </w:r>
            <w:r>
              <w:rPr>
                <w:noProof/>
                <w:webHidden/>
              </w:rPr>
              <w:tab/>
            </w:r>
            <w:r>
              <w:rPr>
                <w:noProof/>
                <w:webHidden/>
              </w:rPr>
              <w:fldChar w:fldCharType="begin"/>
            </w:r>
            <w:r>
              <w:rPr>
                <w:noProof/>
                <w:webHidden/>
              </w:rPr>
              <w:instrText xml:space="preserve"> PAGEREF _Toc216014632 \h </w:instrText>
            </w:r>
            <w:r>
              <w:rPr>
                <w:noProof/>
                <w:webHidden/>
              </w:rPr>
            </w:r>
            <w:r>
              <w:rPr>
                <w:noProof/>
                <w:webHidden/>
              </w:rPr>
              <w:fldChar w:fldCharType="separate"/>
            </w:r>
            <w:r>
              <w:rPr>
                <w:noProof/>
                <w:webHidden/>
              </w:rPr>
              <w:t>10</w:t>
            </w:r>
            <w:r>
              <w:rPr>
                <w:noProof/>
                <w:webHidden/>
              </w:rPr>
              <w:fldChar w:fldCharType="end"/>
            </w:r>
          </w:hyperlink>
        </w:p>
        <w:p w14:paraId="24997FF2" w14:textId="7865CD8E" w:rsidR="001B2FE7" w:rsidRDefault="001B2FE7">
          <w:pPr>
            <w:pStyle w:val="TOC3"/>
            <w:tabs>
              <w:tab w:val="right" w:leader="dot" w:pos="9016"/>
            </w:tabs>
            <w:rPr>
              <w:rFonts w:asciiTheme="minorHAnsi" w:eastAsiaTheme="minorEastAsia" w:hAnsiTheme="minorHAnsi"/>
              <w:noProof/>
              <w:lang w:eastAsia="en-GB"/>
            </w:rPr>
          </w:pPr>
          <w:hyperlink w:anchor="_Toc216014633" w:history="1">
            <w:r w:rsidRPr="008A6807">
              <w:rPr>
                <w:rStyle w:val="Hyperlink"/>
                <w:noProof/>
              </w:rPr>
              <w:t>2.7 Health Intervention Programme Evaluation</w:t>
            </w:r>
            <w:r>
              <w:rPr>
                <w:noProof/>
                <w:webHidden/>
              </w:rPr>
              <w:tab/>
            </w:r>
            <w:r>
              <w:rPr>
                <w:noProof/>
                <w:webHidden/>
              </w:rPr>
              <w:fldChar w:fldCharType="begin"/>
            </w:r>
            <w:r>
              <w:rPr>
                <w:noProof/>
                <w:webHidden/>
              </w:rPr>
              <w:instrText xml:space="preserve"> PAGEREF _Toc216014633 \h </w:instrText>
            </w:r>
            <w:r>
              <w:rPr>
                <w:noProof/>
                <w:webHidden/>
              </w:rPr>
            </w:r>
            <w:r>
              <w:rPr>
                <w:noProof/>
                <w:webHidden/>
              </w:rPr>
              <w:fldChar w:fldCharType="separate"/>
            </w:r>
            <w:r>
              <w:rPr>
                <w:noProof/>
                <w:webHidden/>
              </w:rPr>
              <w:t>11</w:t>
            </w:r>
            <w:r>
              <w:rPr>
                <w:noProof/>
                <w:webHidden/>
              </w:rPr>
              <w:fldChar w:fldCharType="end"/>
            </w:r>
          </w:hyperlink>
        </w:p>
        <w:p w14:paraId="2FCE3896" w14:textId="689FF842" w:rsidR="001B2FE7" w:rsidRDefault="001B2FE7">
          <w:pPr>
            <w:pStyle w:val="TOC3"/>
            <w:tabs>
              <w:tab w:val="right" w:leader="dot" w:pos="9016"/>
            </w:tabs>
            <w:rPr>
              <w:rFonts w:asciiTheme="minorHAnsi" w:eastAsiaTheme="minorEastAsia" w:hAnsiTheme="minorHAnsi"/>
              <w:noProof/>
              <w:lang w:eastAsia="en-GB"/>
            </w:rPr>
          </w:pPr>
          <w:hyperlink w:anchor="_Toc216014634" w:history="1">
            <w:r w:rsidRPr="008A6807">
              <w:rPr>
                <w:rStyle w:val="Hyperlink"/>
                <w:noProof/>
              </w:rPr>
              <w:t>2.8 Strengths and Weaknesses Epidemiological Approach</w:t>
            </w:r>
            <w:r>
              <w:rPr>
                <w:noProof/>
                <w:webHidden/>
              </w:rPr>
              <w:tab/>
            </w:r>
            <w:r>
              <w:rPr>
                <w:noProof/>
                <w:webHidden/>
              </w:rPr>
              <w:fldChar w:fldCharType="begin"/>
            </w:r>
            <w:r>
              <w:rPr>
                <w:noProof/>
                <w:webHidden/>
              </w:rPr>
              <w:instrText xml:space="preserve"> PAGEREF _Toc216014634 \h </w:instrText>
            </w:r>
            <w:r>
              <w:rPr>
                <w:noProof/>
                <w:webHidden/>
              </w:rPr>
            </w:r>
            <w:r>
              <w:rPr>
                <w:noProof/>
                <w:webHidden/>
              </w:rPr>
              <w:fldChar w:fldCharType="separate"/>
            </w:r>
            <w:r>
              <w:rPr>
                <w:noProof/>
                <w:webHidden/>
              </w:rPr>
              <w:t>11</w:t>
            </w:r>
            <w:r>
              <w:rPr>
                <w:noProof/>
                <w:webHidden/>
              </w:rPr>
              <w:fldChar w:fldCharType="end"/>
            </w:r>
          </w:hyperlink>
        </w:p>
        <w:p w14:paraId="155DABE2" w14:textId="0960F254" w:rsidR="001B2FE7" w:rsidRDefault="001B2FE7">
          <w:pPr>
            <w:pStyle w:val="TOC2"/>
            <w:tabs>
              <w:tab w:val="right" w:leader="dot" w:pos="9016"/>
            </w:tabs>
            <w:rPr>
              <w:rFonts w:asciiTheme="minorHAnsi" w:eastAsiaTheme="minorEastAsia" w:hAnsiTheme="minorHAnsi"/>
              <w:noProof/>
              <w:lang w:eastAsia="en-GB"/>
            </w:rPr>
          </w:pPr>
          <w:hyperlink w:anchor="_Toc216014635" w:history="1">
            <w:r w:rsidRPr="008A6807">
              <w:rPr>
                <w:rStyle w:val="Hyperlink"/>
                <w:noProof/>
              </w:rPr>
              <w:t>3. Conclusion</w:t>
            </w:r>
            <w:r>
              <w:rPr>
                <w:noProof/>
                <w:webHidden/>
              </w:rPr>
              <w:tab/>
            </w:r>
            <w:r>
              <w:rPr>
                <w:noProof/>
                <w:webHidden/>
              </w:rPr>
              <w:fldChar w:fldCharType="begin"/>
            </w:r>
            <w:r>
              <w:rPr>
                <w:noProof/>
                <w:webHidden/>
              </w:rPr>
              <w:instrText xml:space="preserve"> PAGEREF _Toc216014635 \h </w:instrText>
            </w:r>
            <w:r>
              <w:rPr>
                <w:noProof/>
                <w:webHidden/>
              </w:rPr>
            </w:r>
            <w:r>
              <w:rPr>
                <w:noProof/>
                <w:webHidden/>
              </w:rPr>
              <w:fldChar w:fldCharType="separate"/>
            </w:r>
            <w:r>
              <w:rPr>
                <w:noProof/>
                <w:webHidden/>
              </w:rPr>
              <w:t>12</w:t>
            </w:r>
            <w:r>
              <w:rPr>
                <w:noProof/>
                <w:webHidden/>
              </w:rPr>
              <w:fldChar w:fldCharType="end"/>
            </w:r>
          </w:hyperlink>
        </w:p>
        <w:p w14:paraId="4597CB54" w14:textId="6E5A48B6" w:rsidR="001B2FE7" w:rsidRDefault="001B2FE7">
          <w:pPr>
            <w:pStyle w:val="TOC1"/>
            <w:tabs>
              <w:tab w:val="right" w:leader="dot" w:pos="9016"/>
            </w:tabs>
            <w:rPr>
              <w:rFonts w:asciiTheme="minorHAnsi" w:eastAsiaTheme="minorEastAsia" w:hAnsiTheme="minorHAnsi"/>
              <w:noProof/>
              <w:lang w:eastAsia="en-GB"/>
            </w:rPr>
          </w:pPr>
          <w:hyperlink w:anchor="_Toc216014636" w:history="1">
            <w:r w:rsidRPr="008A6807">
              <w:rPr>
                <w:rStyle w:val="Hyperlink"/>
                <w:noProof/>
              </w:rPr>
              <w:t>References</w:t>
            </w:r>
            <w:r>
              <w:rPr>
                <w:noProof/>
                <w:webHidden/>
              </w:rPr>
              <w:tab/>
            </w:r>
            <w:r>
              <w:rPr>
                <w:noProof/>
                <w:webHidden/>
              </w:rPr>
              <w:fldChar w:fldCharType="begin"/>
            </w:r>
            <w:r>
              <w:rPr>
                <w:noProof/>
                <w:webHidden/>
              </w:rPr>
              <w:instrText xml:space="preserve"> PAGEREF _Toc216014636 \h </w:instrText>
            </w:r>
            <w:r>
              <w:rPr>
                <w:noProof/>
                <w:webHidden/>
              </w:rPr>
            </w:r>
            <w:r>
              <w:rPr>
                <w:noProof/>
                <w:webHidden/>
              </w:rPr>
              <w:fldChar w:fldCharType="separate"/>
            </w:r>
            <w:r>
              <w:rPr>
                <w:noProof/>
                <w:webHidden/>
              </w:rPr>
              <w:t>13</w:t>
            </w:r>
            <w:r>
              <w:rPr>
                <w:noProof/>
                <w:webHidden/>
              </w:rPr>
              <w:fldChar w:fldCharType="end"/>
            </w:r>
          </w:hyperlink>
        </w:p>
        <w:p w14:paraId="535A716D" w14:textId="6B602144" w:rsidR="001B2FE7" w:rsidRDefault="001B2FE7">
          <w:r>
            <w:rPr>
              <w:b/>
              <w:bCs/>
              <w:noProof/>
            </w:rPr>
            <w:fldChar w:fldCharType="end"/>
          </w:r>
        </w:p>
      </w:sdtContent>
    </w:sdt>
    <w:p w14:paraId="096255EB" w14:textId="70517BDE" w:rsidR="000B79A8" w:rsidRDefault="000B79A8" w:rsidP="001B2FE7">
      <w:r>
        <w:br w:type="page"/>
      </w:r>
    </w:p>
    <w:p w14:paraId="34F41677" w14:textId="77777777" w:rsidR="00450595" w:rsidRDefault="00450595" w:rsidP="00450595">
      <w:pPr>
        <w:pStyle w:val="Heading1"/>
      </w:pPr>
      <w:bookmarkStart w:id="1" w:name="_Toc216014616"/>
      <w:r>
        <w:t>Task 1: Social Epidemiological Analysis</w:t>
      </w:r>
      <w:bookmarkEnd w:id="1"/>
    </w:p>
    <w:p w14:paraId="34C4C0B4" w14:textId="5176377A" w:rsidR="00450595" w:rsidRDefault="00450595" w:rsidP="00450595">
      <w:r w:rsidRPr="00450595">
        <w:rPr>
          <w:b/>
          <w:bCs/>
        </w:rPr>
        <w:t>Title:</w:t>
      </w:r>
      <w:r>
        <w:t xml:space="preserve"> "Disability and Health Inequalities: An Analytical Examination of Disabled People's Health Disparities in the UK"</w:t>
      </w:r>
    </w:p>
    <w:p w14:paraId="3218FDD5" w14:textId="3F3B2181" w:rsidR="000B79A8" w:rsidRDefault="00450595" w:rsidP="00450595">
      <w:pPr>
        <w:pStyle w:val="Heading2"/>
      </w:pPr>
      <w:bookmarkStart w:id="2" w:name="_Toc216014617"/>
      <w:r>
        <w:t>1. Introduction</w:t>
      </w:r>
      <w:bookmarkEnd w:id="2"/>
    </w:p>
    <w:p w14:paraId="5A813810" w14:textId="6A42005C" w:rsidR="00450595" w:rsidRDefault="001207A6" w:rsidP="00450595">
      <w:r w:rsidRPr="001207A6">
        <w:t>A large portion of the UK population is disabled, but they face significant health disparities.  One in five English people have a long-term disability or illness, making it a public health issue</w:t>
      </w:r>
      <w:r w:rsidR="00B20989">
        <w:t xml:space="preserve"> </w:t>
      </w:r>
      <w:r w:rsidR="00B20989" w:rsidRPr="00B20989">
        <w:t>(Aitken et al., 2022)</w:t>
      </w:r>
      <w:r w:rsidRPr="001207A6">
        <w:t>.  People with disabilities have lower employment rates, incomes, access to health resources, and mental health issues.</w:t>
      </w:r>
      <w:r>
        <w:t xml:space="preserve"> </w:t>
      </w:r>
      <w:r w:rsidRPr="001207A6">
        <w:t>Understanding the complex interaction of biological, social, economic, and institutional factors that perpetuate disability health disparities is necessary to address these inequalities.</w:t>
      </w:r>
    </w:p>
    <w:p w14:paraId="00630B66" w14:textId="77777777" w:rsidR="001207A6" w:rsidRDefault="001207A6" w:rsidP="001207A6">
      <w:pPr>
        <w:pStyle w:val="Heading2"/>
      </w:pPr>
      <w:bookmarkStart w:id="3" w:name="_Toc216014618"/>
      <w:r>
        <w:t>2. Contextual Background and Contributing Factors</w:t>
      </w:r>
      <w:bookmarkEnd w:id="3"/>
    </w:p>
    <w:p w14:paraId="72B8F9BB" w14:textId="77777777" w:rsidR="001207A6" w:rsidRDefault="001207A6" w:rsidP="001207A6">
      <w:pPr>
        <w:pStyle w:val="Heading3"/>
      </w:pPr>
      <w:bookmarkStart w:id="4" w:name="_Toc216014619"/>
      <w:r>
        <w:t>2.1 Health Issues</w:t>
      </w:r>
      <w:bookmarkEnd w:id="4"/>
    </w:p>
    <w:p w14:paraId="3072A66F" w14:textId="76A393AA" w:rsidR="001207A6" w:rsidRPr="001207A6" w:rsidRDefault="001207A6" w:rsidP="001207A6">
      <w:pPr>
        <w:rPr>
          <w:b/>
          <w:bCs/>
        </w:rPr>
      </w:pPr>
      <w:r w:rsidRPr="001207A6">
        <w:rPr>
          <w:b/>
          <w:bCs/>
        </w:rPr>
        <w:t>Elevated Mortality Rates and Premature Death</w:t>
      </w:r>
    </w:p>
    <w:p w14:paraId="42162A4C" w14:textId="15491FE1" w:rsidR="001207A6" w:rsidRDefault="001207A6" w:rsidP="001207A6">
      <w:r>
        <w:t>Intellectually disabled people have much higher mortality rates than the general population.  Even after controlling for comorbidity, smoking, and deprivation, intellectually disabled adults have a 3.1 to 3.6 times higher death risk than controls</w:t>
      </w:r>
      <w:r w:rsidR="00B20989">
        <w:t xml:space="preserve"> </w:t>
      </w:r>
      <w:r w:rsidR="00B20989" w:rsidRPr="00B20989">
        <w:t>(Citizens Advice, 2025)</w:t>
      </w:r>
      <w:r>
        <w:t>. This mortality disparity did not change between 2000–2009 and 2010–2019. Respiratory diseases (55 times more common than in non-disabled children), nervous diseases, epilepsy, and aspiration-related complications kill disabled children most often</w:t>
      </w:r>
      <w:r w:rsidR="00B20989">
        <w:t xml:space="preserve"> </w:t>
      </w:r>
      <w:r w:rsidR="00B20989" w:rsidRPr="00B20989">
        <w:t>Hatton et al., 2021)</w:t>
      </w:r>
      <w:r>
        <w:t>. These findings highlight the urgent need for improved disabled population healthcare recognition, management, and service provision across the lifespan</w:t>
      </w:r>
      <w:r w:rsidR="00B20989">
        <w:t>.</w:t>
      </w:r>
    </w:p>
    <w:p w14:paraId="0B1E67D5" w14:textId="77777777" w:rsidR="001207A6" w:rsidRPr="001207A6" w:rsidRDefault="001207A6" w:rsidP="001207A6">
      <w:pPr>
        <w:rPr>
          <w:b/>
          <w:bCs/>
        </w:rPr>
      </w:pPr>
      <w:r w:rsidRPr="001207A6">
        <w:rPr>
          <w:b/>
          <w:bCs/>
        </w:rPr>
        <w:t>Several Chronic Conditions and Comorbidity</w:t>
      </w:r>
    </w:p>
    <w:p w14:paraId="71291143" w14:textId="42E438D8" w:rsidR="001207A6" w:rsidRDefault="001207A6" w:rsidP="001207A6">
      <w:r>
        <w:t>People with disabilities have higher rates of multimorbidity multiple physical and mental health conditions at younger ages than the general population. Scotland found that 31.8% of adults with intellectual disabilities have no other conditions, compared to 51.6% without</w:t>
      </w:r>
      <w:r w:rsidR="00B20989">
        <w:t xml:space="preserve"> </w:t>
      </w:r>
      <w:r w:rsidR="00B20989" w:rsidRPr="00B20989">
        <w:t>(Health Innovation West of England, 2020)</w:t>
      </w:r>
      <w:r>
        <w:t>.</w:t>
      </w:r>
      <w:r w:rsidR="00B20989">
        <w:t xml:space="preserve"> </w:t>
      </w:r>
      <w:r>
        <w:t>Multimorbidity complicates healthcare and lowers life expectancy, but therapeutic interventions often ignore these interconnected conditions. Deprivation indicators do not predict multimorbidity burden in disabled populations like they do for the general population, suggesting that disabled people need focused, comprehensive services regardless of residential area</w:t>
      </w:r>
      <w:r w:rsidR="00B20989">
        <w:t xml:space="preserve"> </w:t>
      </w:r>
      <w:r w:rsidR="00B20989" w:rsidRPr="00B20989">
        <w:t>(Hosking et al., 2016)</w:t>
      </w:r>
      <w:r>
        <w:t>.</w:t>
      </w:r>
    </w:p>
    <w:p w14:paraId="55EE1050" w14:textId="77777777" w:rsidR="001207A6" w:rsidRPr="001207A6" w:rsidRDefault="001207A6" w:rsidP="001207A6">
      <w:pPr>
        <w:rPr>
          <w:b/>
          <w:bCs/>
        </w:rPr>
      </w:pPr>
      <w:r w:rsidRPr="001207A6">
        <w:rPr>
          <w:b/>
          <w:bCs/>
        </w:rPr>
        <w:t xml:space="preserve"> Mental illness and stress</w:t>
      </w:r>
    </w:p>
    <w:p w14:paraId="7C64C78E" w14:textId="3B2A937F" w:rsidR="001207A6" w:rsidRDefault="001207A6" w:rsidP="001207A6">
      <w:r>
        <w:t>Disabled people have higher rates of mental health issues and poorer mental health.  According to the UK's Annual Population Survey, disabled people have an average anxiety rating of 4.27 out of 10, compared to 2.66 for non-disabled people</w:t>
      </w:r>
      <w:r w:rsidR="00B20989">
        <w:t xml:space="preserve"> </w:t>
      </w:r>
      <w:r w:rsidR="00B20989" w:rsidRPr="00B20989">
        <w:t>(Jones, 2019)</w:t>
      </w:r>
      <w:r>
        <w:t>.  Mentally disabled people have the worst well-being ratings across all measures. Women have higher anxiety and loneliness than men in both disabled and non-disabled populations, indicating intersectional vulnerabilities. Undiagnosed psychological issues often present late at more severe disease stages, limiting treatment responsiveness and perpetuating poor mental health outcomes.</w:t>
      </w:r>
    </w:p>
    <w:p w14:paraId="03E0F653" w14:textId="77777777" w:rsidR="001207A6" w:rsidRDefault="001207A6" w:rsidP="001207A6">
      <w:pPr>
        <w:pStyle w:val="Heading3"/>
      </w:pPr>
      <w:bookmarkStart w:id="5" w:name="_Toc216014620"/>
      <w:r>
        <w:t>2.2 Social Issues</w:t>
      </w:r>
      <w:bookmarkEnd w:id="5"/>
    </w:p>
    <w:p w14:paraId="575C3634" w14:textId="5A58DEE9" w:rsidR="001207A6" w:rsidRPr="001207A6" w:rsidRDefault="001207A6" w:rsidP="001207A6">
      <w:pPr>
        <w:rPr>
          <w:b/>
          <w:bCs/>
        </w:rPr>
      </w:pPr>
      <w:r w:rsidRPr="001207A6">
        <w:rPr>
          <w:b/>
          <w:bCs/>
        </w:rPr>
        <w:t>Employment Barriers and Economic Disadvantage</w:t>
      </w:r>
    </w:p>
    <w:p w14:paraId="64AB40D2" w14:textId="0C7CA0B8" w:rsidR="00413DE0" w:rsidRDefault="00413DE0" w:rsidP="00413DE0">
      <w:r>
        <w:t>The rate of employment amongst the disabled people is still significantly lower than the non-disabled groups and this has caused a lot of economic and health burden. Although only 33 percent of disabled individuals have full-time jobs versus 60</w:t>
      </w:r>
      <w:r w:rsidR="00B20989">
        <w:t>%</w:t>
      </w:r>
      <w:r>
        <w:t xml:space="preserve"> of non-disabled individuals, these figures represent institutional constraints and not personal ones</w:t>
      </w:r>
      <w:r w:rsidR="00B20989">
        <w:t xml:space="preserve"> </w:t>
      </w:r>
      <w:r w:rsidR="00B20989" w:rsidRPr="00B20989">
        <w:t>(Kavanagh et al., 2021)</w:t>
      </w:r>
      <w:r>
        <w:t xml:space="preserve">. </w:t>
      </w:r>
      <w:r w:rsidR="00B20989" w:rsidRPr="00B20989">
        <w:t>Research has shown that fear of benefit reassessment, improved work conditions, and punishment for failed employment attempts is a major cause of the disability employment gap</w:t>
      </w:r>
      <w:r w:rsidR="00B20989">
        <w:t xml:space="preserve"> </w:t>
      </w:r>
      <w:r w:rsidR="00B20989" w:rsidRPr="00B20989">
        <w:t>(Porter, 2024)</w:t>
      </w:r>
      <w:r>
        <w:t>. This job drawback has a direct effect on the health outcomes of lower income, inability to meet health-promoting resources, and high stress and insecurity factors that are recorded as aggravating health inequalities.</w:t>
      </w:r>
    </w:p>
    <w:p w14:paraId="48D8B8F8" w14:textId="7E0E12DA" w:rsidR="00413DE0" w:rsidRPr="00413DE0" w:rsidRDefault="00413DE0" w:rsidP="00413DE0">
      <w:pPr>
        <w:spacing w:line="259" w:lineRule="auto"/>
        <w:jc w:val="left"/>
        <w:rPr>
          <w:b/>
          <w:bCs/>
        </w:rPr>
      </w:pPr>
      <w:r w:rsidRPr="00413DE0">
        <w:rPr>
          <w:b/>
          <w:bCs/>
        </w:rPr>
        <w:t>Income Insecurity and Poverty</w:t>
      </w:r>
    </w:p>
    <w:p w14:paraId="61A8FEB0" w14:textId="7BE219E3" w:rsidR="00413DE0" w:rsidRDefault="00413DE0" w:rsidP="00413DE0">
      <w:r>
        <w:t>The disabled have disproportionate poverty rates because they cannot get employment, earn less, and have increased costs of living because of disability. Believed to be supportive, the benefits system brings about precariousness and insecurity. Concerning those who are judged to have diminished PIP eligibility, forecasted income shortfalls are all over 300 pounds a month to vulnerable debt customers already struggling to keep up positive household budgets</w:t>
      </w:r>
      <w:r w:rsidR="00B20989">
        <w:t xml:space="preserve"> </w:t>
      </w:r>
      <w:r w:rsidR="00B20989" w:rsidRPr="00B20989">
        <w:t>(Sport England, 2023)</w:t>
      </w:r>
      <w:r>
        <w:t>. The mental and physical health are directly damaged by the stress levels linked with financial instability, uncertainty about benefits, and sanctions threats</w:t>
      </w:r>
      <w:r w:rsidR="00B20989">
        <w:t xml:space="preserve"> </w:t>
      </w:r>
      <w:r w:rsidR="00B20989" w:rsidRPr="00B20989">
        <w:t>(Tyrer et al., 2021)</w:t>
      </w:r>
      <w:r>
        <w:t>.</w:t>
      </w:r>
    </w:p>
    <w:p w14:paraId="3DC54A96" w14:textId="0FD2C630" w:rsidR="00413DE0" w:rsidRPr="00413DE0" w:rsidRDefault="00413DE0" w:rsidP="00413DE0">
      <w:pPr>
        <w:spacing w:line="259" w:lineRule="auto"/>
        <w:jc w:val="left"/>
        <w:rPr>
          <w:b/>
          <w:bCs/>
        </w:rPr>
      </w:pPr>
      <w:r w:rsidRPr="00413DE0">
        <w:rPr>
          <w:b/>
          <w:bCs/>
        </w:rPr>
        <w:t>Less Physical Exercise and Lifestyle</w:t>
      </w:r>
    </w:p>
    <w:p w14:paraId="1E6C7773" w14:textId="5DFE70FC" w:rsidR="00413DE0" w:rsidRDefault="00413DE0" w:rsidP="00413DE0">
      <w:r>
        <w:t xml:space="preserve">The prevalence of physical inactivity is also significantly higher among disabled people and this creates a poorer health outcome and risk of chronic diseases. </w:t>
      </w:r>
      <w:r w:rsidR="00B20989">
        <w:t>T</w:t>
      </w:r>
      <w:r>
        <w:t>he disabled are nearly twice as likely to be physically inactive (43% inactivity) than non-disabled people (23% inactivity)</w:t>
      </w:r>
      <w:r w:rsidR="00B20989">
        <w:t xml:space="preserve"> </w:t>
      </w:r>
      <w:r w:rsidR="00B20989" w:rsidRPr="00B20989">
        <w:t>(Office for National Statistics, 2021)</w:t>
      </w:r>
      <w:r>
        <w:t>. Exercise deprivation leads to obesity, heart diseases, metabolic disorders, and mental trauma. Several overlapping issues cause this trend: the barriers to the accessibility of recreational facilities, the lack of money to participate in activities, health issues and transport issues. To resolve the issue of physical inactivity, systemic modifications are necessary such as making activities universally available, affordable, individualized support to meet functional impairments, and healthcare professional's consideration of safe activities</w:t>
      </w:r>
      <w:r w:rsidR="00B20989">
        <w:t xml:space="preserve"> </w:t>
      </w:r>
      <w:r w:rsidR="00B20989" w:rsidRPr="00B20989">
        <w:t>(Oxfordhealth.nhs.uk, 2018)</w:t>
      </w:r>
      <w:r>
        <w:t>.</w:t>
      </w:r>
    </w:p>
    <w:p w14:paraId="687B86DA" w14:textId="6BC97FE6" w:rsidR="00413DE0" w:rsidRDefault="00413DE0" w:rsidP="00413DE0">
      <w:pPr>
        <w:pStyle w:val="Heading2"/>
      </w:pPr>
      <w:bookmarkStart w:id="6" w:name="_Toc216014621"/>
      <w:r w:rsidRPr="00413DE0">
        <w:t>3. National Response to Reduce Health Inequalities</w:t>
      </w:r>
      <w:bookmarkEnd w:id="6"/>
    </w:p>
    <w:p w14:paraId="0A600914" w14:textId="0373DD85" w:rsidR="001207A6" w:rsidRDefault="00413DE0" w:rsidP="00413DE0">
      <w:r>
        <w:t>The UK government has implemented several health inequalities policies for disabled people, but their efficacy and comprehensiveness are disputed. The Disability Action Plan (2023–2024) is the government's commitment to improving disabled people's lives across sectors.  The government passed the British Sign Language Act and the Down Syndrome Act to protect and recognise disabled people</w:t>
      </w:r>
      <w:r w:rsidR="00B20989">
        <w:t xml:space="preserve"> </w:t>
      </w:r>
      <w:r w:rsidR="00B20989" w:rsidRPr="00B20989">
        <w:t>(UK Parliament, 2023)</w:t>
      </w:r>
      <w:r>
        <w:t xml:space="preserve">. In 2022–2023, the government invested £1 billion in complex needs education to reduce educational inequality. </w:t>
      </w:r>
      <w:r w:rsidR="008F7F76" w:rsidRPr="008F7F76">
        <w:t>In its "Transforming Support: Health and Disability White Paper," the Department for Work and Pensions (DWP) implemented employment-focused reforms to help disabled people start, stay, and succeed in work</w:t>
      </w:r>
      <w:r>
        <w:t xml:space="preserve">. An online employment rights advice hub, Access to Work programme improvements, a local supported employment programme for people with learning disabilities and autism, and </w:t>
      </w:r>
      <w:proofErr w:type="spellStart"/>
      <w:r>
        <w:t>WorkWell</w:t>
      </w:r>
      <w:proofErr w:type="spellEnd"/>
      <w:r>
        <w:t xml:space="preserve"> Partnerships for integrated work and health support are among the initiatives</w:t>
      </w:r>
      <w:r w:rsidR="00B20989">
        <w:t xml:space="preserve"> </w:t>
      </w:r>
      <w:r w:rsidR="00B20989" w:rsidRPr="00B20989">
        <w:t>(Cooper et al., 2015)</w:t>
      </w:r>
      <w:r w:rsidR="00B20989">
        <w:t>.</w:t>
      </w:r>
    </w:p>
    <w:p w14:paraId="0D603097" w14:textId="57CCDFDE" w:rsidR="00413DE0" w:rsidRDefault="00413DE0" w:rsidP="00413DE0">
      <w:pPr>
        <w:pStyle w:val="Heading2"/>
      </w:pPr>
      <w:bookmarkStart w:id="7" w:name="_Toc216014622"/>
      <w:r w:rsidRPr="00413DE0">
        <w:t>4. Organizations Supporting Disabled People</w:t>
      </w:r>
      <w:bookmarkEnd w:id="7"/>
    </w:p>
    <w:p w14:paraId="69B52EBF" w14:textId="320D1354" w:rsidR="00413DE0" w:rsidRDefault="00413DE0" w:rsidP="00413DE0">
      <w:r w:rsidRPr="00413DE0">
        <w:t>Many organizations in the UK strive to minimize health disparities and social injustice to disabled individuals and play vital roles in advocacy, service provision, research, and awareness creation. The Disability Charities Consortium (DCC) is a group of nine mainstream disability organizations, such as Mencap, Mind, National Autistic Society, RNID, RNIB, Scope, Sense, Leonard Cheshire and the Business Disability Forum which combine forces and impacts government policy development on disability</w:t>
      </w:r>
      <w:r w:rsidR="00B20989">
        <w:t xml:space="preserve"> </w:t>
      </w:r>
      <w:r w:rsidR="00B20989" w:rsidRPr="00B20989">
        <w:t>(Easpd.eu, 2025)</w:t>
      </w:r>
      <w:r w:rsidRPr="00413DE0">
        <w:t>. The DCC makes sure they lived experiences of disabled people shape the policy by frequently communicating with the Disability Unit, ministers, and government representatives. Voluntary Organisations Disability Group (VODG) is a collective of more than 100 non-profit organisations based on values that offer services to over a million disabled adults and children</w:t>
      </w:r>
      <w:r w:rsidR="00B20989">
        <w:t xml:space="preserve"> </w:t>
      </w:r>
      <w:r w:rsidR="00B20989" w:rsidRPr="00B20989">
        <w:t>(England, 2020)</w:t>
      </w:r>
      <w:r w:rsidRPr="00413DE0">
        <w:t>. VODG member organizations offer both housing and day support direct services as well as employment assistance and advocacy, but advocate jointly the conditions under which disability services work through sector leadership and policy participation.</w:t>
      </w:r>
    </w:p>
    <w:p w14:paraId="215AE925" w14:textId="5F40006A" w:rsidR="00413DE0" w:rsidRDefault="00413DE0" w:rsidP="00413DE0">
      <w:pPr>
        <w:pStyle w:val="Heading2"/>
      </w:pPr>
      <w:bookmarkStart w:id="8" w:name="_Toc216014623"/>
      <w:r>
        <w:t>5. Conclusion</w:t>
      </w:r>
      <w:bookmarkEnd w:id="8"/>
    </w:p>
    <w:p w14:paraId="355CCC15" w14:textId="3AAB5E53" w:rsidR="00413DE0" w:rsidRDefault="008F7F76" w:rsidP="00413DE0">
      <w:r w:rsidRPr="008F7F76">
        <w:t>UK disabled people face higher premature mortality, early-onset chronic illness, mental health issues, poverty, discrimination, and insecure housing due to structural and economic failures.  Policy promises aren't always followed.</w:t>
      </w:r>
      <w:r>
        <w:t xml:space="preserve"> </w:t>
      </w:r>
      <w:r w:rsidRPr="008F7F76">
        <w:t>Progress requires accessible healthcare, housing, income security, inclusive employment, and disabled people's meaningful participation in decision-making.</w:t>
      </w:r>
    </w:p>
    <w:p w14:paraId="0CF027AC" w14:textId="742EA88E" w:rsidR="00B20989" w:rsidRDefault="00B20989" w:rsidP="00B20989">
      <w:pPr>
        <w:spacing w:line="259" w:lineRule="auto"/>
        <w:jc w:val="left"/>
      </w:pPr>
      <w:r>
        <w:br w:type="page"/>
      </w:r>
    </w:p>
    <w:p w14:paraId="3F8AC9E0" w14:textId="77777777" w:rsidR="008F7F76" w:rsidRDefault="008F7F76" w:rsidP="008F7F76">
      <w:pPr>
        <w:pStyle w:val="Heading1"/>
      </w:pPr>
      <w:bookmarkStart w:id="9" w:name="_Toc216014624"/>
      <w:r>
        <w:t>Task 2: Epidemiological Analysis</w:t>
      </w:r>
      <w:bookmarkEnd w:id="9"/>
    </w:p>
    <w:p w14:paraId="3F235D2D" w14:textId="306FFCCF" w:rsidR="008F7F76" w:rsidRDefault="008F7F76" w:rsidP="008F7F76">
      <w:r w:rsidRPr="008F7F76">
        <w:rPr>
          <w:b/>
          <w:bCs/>
        </w:rPr>
        <w:t>Title:</w:t>
      </w:r>
      <w:r>
        <w:t xml:space="preserve"> Epidemiological Assessment and Management of Influenza in the UK: A Regional Public Health Analysis</w:t>
      </w:r>
    </w:p>
    <w:p w14:paraId="53425CA7" w14:textId="7B2F2D47" w:rsidR="008F7F76" w:rsidRDefault="008F7F76" w:rsidP="008F7F76">
      <w:pPr>
        <w:pStyle w:val="Heading2"/>
      </w:pPr>
      <w:bookmarkStart w:id="10" w:name="_Toc216014625"/>
      <w:r w:rsidRPr="008F7F76">
        <w:t>1. Introduction</w:t>
      </w:r>
      <w:bookmarkEnd w:id="10"/>
    </w:p>
    <w:p w14:paraId="5BE8FA4C" w14:textId="478049B9" w:rsidR="008F7F76" w:rsidRDefault="007F2EE3" w:rsidP="007F2EE3">
      <w:r w:rsidRPr="007F2EE3">
        <w:t xml:space="preserve">The UK has a high rate of illness, healthcare burden, and thousands of preventable deaths caused by influenza. </w:t>
      </w:r>
      <w:r w:rsidR="0058094F" w:rsidRPr="0058094F">
        <w:t>It leads to 10,500–25,000 annual deaths and around 800,000 GP visits, with influenza</w:t>
      </w:r>
      <w:r w:rsidR="0058094F">
        <w:t xml:space="preserve"> </w:t>
      </w:r>
      <w:r w:rsidR="0058094F" w:rsidRPr="0058094F">
        <w:t>causing up to 21,700 deaths</w:t>
      </w:r>
      <w:r w:rsidR="00B20989">
        <w:t xml:space="preserve"> </w:t>
      </w:r>
      <w:r w:rsidR="00B20989" w:rsidRPr="00B20989">
        <w:t>(England, 2025)</w:t>
      </w:r>
      <w:r w:rsidR="0058094F" w:rsidRPr="0058094F">
        <w:t>.</w:t>
      </w:r>
      <w:r w:rsidR="0058094F">
        <w:t xml:space="preserve"> </w:t>
      </w:r>
      <w:r w:rsidRPr="007F2EE3">
        <w:t>School-aged children are the major carriers, and the actual positivity rates are the highest in 514 years. Although there is an improvement to an extent, there is still under-vaccination particularly among the older population. Prevention was also important with up to 120,000 hospital admissions averted by the 2024</w:t>
      </w:r>
      <w:r>
        <w:t>-</w:t>
      </w:r>
      <w:r w:rsidRPr="007F2EE3">
        <w:t>2025-vaccine programme</w:t>
      </w:r>
      <w:r w:rsidR="00B20989">
        <w:t xml:space="preserve"> </w:t>
      </w:r>
      <w:r w:rsidR="00B20989" w:rsidRPr="00B20989">
        <w:t>(Gov. UK, 2025)</w:t>
      </w:r>
      <w:r w:rsidRPr="007F2EE3">
        <w:t>. Influenza is an important public health priority with high health and economic impact and substantial seasonal variation as well as high transmissibility, which requires robust vaccination, surveillance, and response measures.</w:t>
      </w:r>
    </w:p>
    <w:p w14:paraId="631C601A" w14:textId="77777777" w:rsidR="008F7F76" w:rsidRDefault="008F7F76" w:rsidP="008F7F76">
      <w:pPr>
        <w:pStyle w:val="Heading2"/>
      </w:pPr>
      <w:bookmarkStart w:id="11" w:name="_Toc216014626"/>
      <w:r>
        <w:t>2. Main Body</w:t>
      </w:r>
      <w:bookmarkEnd w:id="11"/>
    </w:p>
    <w:p w14:paraId="39AE1BDF" w14:textId="560F673E" w:rsidR="008F7F76" w:rsidRDefault="008F7F76" w:rsidP="008F7F76">
      <w:pPr>
        <w:pStyle w:val="Heading3"/>
      </w:pPr>
      <w:bookmarkStart w:id="12" w:name="_Toc216014627"/>
      <w:r>
        <w:t>2.1 Public Health Measures Using the 3 P's Framework</w:t>
      </w:r>
      <w:bookmarkEnd w:id="12"/>
    </w:p>
    <w:p w14:paraId="65067627" w14:textId="6DD5FA20" w:rsidR="007F2EE3" w:rsidRPr="007F2EE3" w:rsidRDefault="007F2EE3" w:rsidP="007F2EE3">
      <w:pPr>
        <w:rPr>
          <w:b/>
          <w:bCs/>
        </w:rPr>
      </w:pPr>
      <w:r w:rsidRPr="007F2EE3">
        <w:rPr>
          <w:b/>
          <w:bCs/>
        </w:rPr>
        <w:t>Primary Prevention</w:t>
      </w:r>
    </w:p>
    <w:p w14:paraId="5A0C9C08" w14:textId="449966FF" w:rsidR="007F2EE3" w:rsidRDefault="007F2EE3" w:rsidP="007F2EE3">
      <w:r>
        <w:t>Primary prevention is the way in which influenza infection is prevented by minimizing the exposure, promoting population immunity and changing risk factors. In the UK, the targets of vaccination are all individuals aged 65 years and older, all pregnant women, all children under 2-15 years, individuals with chronic illnesses or immunodeficiency of any age, persons with learning disability, and healthcare workers</w:t>
      </w:r>
      <w:r w:rsidR="00B8602E">
        <w:t xml:space="preserve"> </w:t>
      </w:r>
      <w:r w:rsidR="00B8602E" w:rsidRPr="00B8602E">
        <w:t>(Chronic Illness Inclusion, 2022)</w:t>
      </w:r>
      <w:r>
        <w:t>.</w:t>
      </w:r>
    </w:p>
    <w:p w14:paraId="7057186E" w14:textId="4CEEF2A9" w:rsidR="007F2EE3" w:rsidRPr="007F2EE3" w:rsidRDefault="007F2EE3" w:rsidP="007F2EE3">
      <w:pPr>
        <w:rPr>
          <w:b/>
          <w:bCs/>
        </w:rPr>
      </w:pPr>
      <w:r w:rsidRPr="007F2EE3">
        <w:rPr>
          <w:b/>
          <w:bCs/>
        </w:rPr>
        <w:t>Secondary prevention</w:t>
      </w:r>
    </w:p>
    <w:p w14:paraId="3BFADBA5" w14:textId="098360B5" w:rsidR="007F2EE3" w:rsidRDefault="007F2EE3" w:rsidP="007F2EE3">
      <w:r>
        <w:t>Secondary prevention is aimed at identifying and treating cases of influenza at early stages in order to avoid serious complications. Influenza Clinical suspicion, symptomatic acute onset fever, cough, myalgia, malaise precipitates rapid diagnostic tests (molecular methods, PCR) to confirm and use antiviral therapy. Infectivity is also minimized with treatment and this limits transmission</w:t>
      </w:r>
      <w:r w:rsidR="00B8602E">
        <w:t xml:space="preserve"> (</w:t>
      </w:r>
      <w:proofErr w:type="spellStart"/>
      <w:r w:rsidR="00B8602E" w:rsidRPr="00B8602E">
        <w:t>Fragaszy</w:t>
      </w:r>
      <w:proofErr w:type="spellEnd"/>
      <w:r w:rsidR="00B8602E" w:rsidRPr="00B8602E">
        <w:t xml:space="preserve"> et al., 2018)</w:t>
      </w:r>
      <w:r w:rsidR="00B8602E">
        <w:t>.</w:t>
      </w:r>
    </w:p>
    <w:p w14:paraId="3DFFF08B" w14:textId="042CA4D7" w:rsidR="007F2EE3" w:rsidRPr="007F2EE3" w:rsidRDefault="007F2EE3" w:rsidP="007F2EE3">
      <w:pPr>
        <w:rPr>
          <w:b/>
          <w:bCs/>
        </w:rPr>
      </w:pPr>
      <w:r w:rsidRPr="007F2EE3">
        <w:rPr>
          <w:b/>
          <w:bCs/>
        </w:rPr>
        <w:t>Tertiary prevention</w:t>
      </w:r>
    </w:p>
    <w:p w14:paraId="27F8A3D2" w14:textId="102F215D" w:rsidR="008F7F76" w:rsidRDefault="007F2EE3" w:rsidP="007F2EE3">
      <w:r>
        <w:t>Tertiary prevention covers complications among established influenza and promotion of recovery health. In the context of hospitalized patients, tertiary prevention includes oxygen, mechanical ventilation in case of severe respiratory failure, confirmed bacterial superinfection antibiotics, and supportive treatment. Observation of such complications as acute respiratory distress syndrome, thromboembolism, secondary bacterial pneumonia, and myocarditis allows taking timely action</w:t>
      </w:r>
      <w:r w:rsidR="00B8602E">
        <w:t xml:space="preserve"> </w:t>
      </w:r>
      <w:r w:rsidR="00B8602E" w:rsidRPr="00B8602E">
        <w:t>(Hassan et al., 2025)</w:t>
      </w:r>
      <w:r>
        <w:t xml:space="preserve">. Recovery provision such as post-influenza recovery, designates rehabilitation assistance, psychological assistance to individuals who undergo critical illness experience, and return-to-work </w:t>
      </w:r>
      <w:proofErr w:type="spellStart"/>
      <w:r>
        <w:t>counseling</w:t>
      </w:r>
      <w:proofErr w:type="spellEnd"/>
      <w:r>
        <w:t>.</w:t>
      </w:r>
    </w:p>
    <w:p w14:paraId="3BE7BAC7" w14:textId="79B39224" w:rsidR="007F2EE3" w:rsidRDefault="0058094F" w:rsidP="0058094F">
      <w:pPr>
        <w:pStyle w:val="Heading3"/>
      </w:pPr>
      <w:bookmarkStart w:id="13" w:name="_Toc216014628"/>
      <w:r w:rsidRPr="0058094F">
        <w:t>2.2 Key Determinants and Risk Factors for Influenza Complications</w:t>
      </w:r>
      <w:bookmarkEnd w:id="13"/>
    </w:p>
    <w:p w14:paraId="78FA67A2" w14:textId="7E1181F4" w:rsidR="0058094F" w:rsidRPr="0058094F" w:rsidRDefault="0058094F" w:rsidP="007F2EE3">
      <w:pPr>
        <w:rPr>
          <w:b/>
          <w:bCs/>
        </w:rPr>
      </w:pPr>
      <w:r w:rsidRPr="0058094F">
        <w:rPr>
          <w:b/>
          <w:bCs/>
        </w:rPr>
        <w:t>Age and Life Stage Factors</w:t>
      </w:r>
    </w:p>
    <w:p w14:paraId="5FAF2B21" w14:textId="364D9877" w:rsidR="0058094F" w:rsidRDefault="0058094F" w:rsidP="0058094F">
      <w:r>
        <w:t>Flu severity is U-shaped, with young children (under 5 years) and older adults (65 years and older) having more complications. The elderly (75+) has the highest hospitalisation and mortality rates. Children under 5 are hospitalised more often for lower respiratory tract infections and pneumonia</w:t>
      </w:r>
      <w:r w:rsidR="00B8602E">
        <w:t xml:space="preserve"> </w:t>
      </w:r>
      <w:r w:rsidR="00B8602E" w:rsidRPr="00B8602E">
        <w:t>(</w:t>
      </w:r>
      <w:proofErr w:type="spellStart"/>
      <w:r w:rsidR="00B8602E" w:rsidRPr="00B8602E">
        <w:t>Jané</w:t>
      </w:r>
      <w:proofErr w:type="spellEnd"/>
      <w:r w:rsidR="00B8602E" w:rsidRPr="00B8602E">
        <w:t xml:space="preserve"> et al., 2019)</w:t>
      </w:r>
    </w:p>
    <w:p w14:paraId="452592FA" w14:textId="77777777" w:rsidR="0058094F" w:rsidRPr="0058094F" w:rsidRDefault="0058094F" w:rsidP="0058094F">
      <w:pPr>
        <w:rPr>
          <w:b/>
          <w:bCs/>
        </w:rPr>
      </w:pPr>
      <w:r w:rsidRPr="0058094F">
        <w:rPr>
          <w:b/>
          <w:bCs/>
        </w:rPr>
        <w:t>Medical Conditions Chronic</w:t>
      </w:r>
    </w:p>
    <w:p w14:paraId="21835CEF" w14:textId="77777777" w:rsidR="0058094F" w:rsidRDefault="0058094F" w:rsidP="0058094F">
      <w:r>
        <w:t>Patients with chronic conditions are disproportionately affected by influenza. COPD, asthma, and other chronic respiratory conditions increase pneumonia and respiratory failure risk.  Cardiovascular disease worsens heart failure and arrhythmias. Diabetes can cause serious infections and complications.</w:t>
      </w:r>
    </w:p>
    <w:p w14:paraId="16EDD2C9" w14:textId="77777777" w:rsidR="0058094F" w:rsidRPr="0058094F" w:rsidRDefault="0058094F" w:rsidP="0058094F">
      <w:pPr>
        <w:rPr>
          <w:b/>
          <w:bCs/>
        </w:rPr>
      </w:pPr>
      <w:r w:rsidRPr="0058094F">
        <w:rPr>
          <w:b/>
          <w:bCs/>
        </w:rPr>
        <w:t>Immunocompromise and Vaccine Response</w:t>
      </w:r>
    </w:p>
    <w:p w14:paraId="65A4B60E" w14:textId="38A37E5C" w:rsidR="0058094F" w:rsidRDefault="0058094F" w:rsidP="0058094F">
      <w:r>
        <w:t>HIV/AIDS patients, chemotherapy patients, post-transplant recipients, and immunosuppressive medication users are at high risk of serious infections. As vaccine response is variable and possibly insufficient, additional protective strategies like antiviral prophylaxis during community transmission and more aggressive treatment of confirmed infection benefit this population</w:t>
      </w:r>
      <w:r w:rsidR="00B8602E">
        <w:t xml:space="preserve"> </w:t>
      </w:r>
      <w:r w:rsidR="00B8602E" w:rsidRPr="00B8602E">
        <w:t>(Macias et al., 2021)</w:t>
      </w:r>
      <w:r w:rsidR="00B8602E">
        <w:t>.</w:t>
      </w:r>
    </w:p>
    <w:p w14:paraId="3FF924E0" w14:textId="77777777" w:rsidR="0058094F" w:rsidRPr="0058094F" w:rsidRDefault="0058094F" w:rsidP="0058094F">
      <w:pPr>
        <w:rPr>
          <w:b/>
          <w:bCs/>
        </w:rPr>
      </w:pPr>
      <w:r w:rsidRPr="0058094F">
        <w:rPr>
          <w:b/>
          <w:bCs/>
        </w:rPr>
        <w:t>Health Care Worker</w:t>
      </w:r>
    </w:p>
    <w:p w14:paraId="00B37AE2" w14:textId="094AE941" w:rsidR="0058094F" w:rsidRDefault="0058094F" w:rsidP="0058094F">
      <w:r>
        <w:t>Healthcare workers risk occupational influenza exposure from patients and coworkers, which increases patient exposure and personal health risks. Vaccination and infection prevention prevent healthcare-associated influenza transmission, protecting hospitalised patients and workforce capacity</w:t>
      </w:r>
      <w:r w:rsidR="00B8602E">
        <w:t xml:space="preserve"> </w:t>
      </w:r>
      <w:r w:rsidR="00B8602E" w:rsidRPr="00B8602E">
        <w:t>(NHS, 2024a)</w:t>
      </w:r>
      <w:r w:rsidR="00B8602E">
        <w:t>.</w:t>
      </w:r>
    </w:p>
    <w:p w14:paraId="50FF1FD3" w14:textId="24873917" w:rsidR="0058094F" w:rsidRDefault="0058094F" w:rsidP="0058094F">
      <w:pPr>
        <w:pStyle w:val="Heading3"/>
      </w:pPr>
      <w:bookmarkStart w:id="14" w:name="_Toc216014629"/>
      <w:r w:rsidRPr="0058094F">
        <w:t>2.3 Epidemiological Studies and Health Needs Assessment</w:t>
      </w:r>
      <w:bookmarkEnd w:id="14"/>
    </w:p>
    <w:p w14:paraId="72A5E70B" w14:textId="36F28518" w:rsidR="0058094F" w:rsidRPr="0058094F" w:rsidRDefault="0058094F" w:rsidP="0058094F">
      <w:pPr>
        <w:rPr>
          <w:b/>
          <w:bCs/>
        </w:rPr>
      </w:pPr>
      <w:r w:rsidRPr="0058094F">
        <w:rPr>
          <w:b/>
          <w:bCs/>
        </w:rPr>
        <w:t>Clinical Practice Research Datalink (CPRD) Studies</w:t>
      </w:r>
    </w:p>
    <w:p w14:paraId="1FF64ED5" w14:textId="6424BA78" w:rsidR="00BF2E2A" w:rsidRDefault="0058094F" w:rsidP="0058094F">
      <w:r>
        <w:t>Large-scale epidemiological studies are possible with the UK's Clinical Practice Research Datalink (CPRD), which contains de-identified primary care records from representative practices covering 8% of the population</w:t>
      </w:r>
      <w:r w:rsidR="00B8602E">
        <w:t xml:space="preserve"> </w:t>
      </w:r>
      <w:r w:rsidR="00B8602E" w:rsidRPr="00B8602E">
        <w:t>(NHS, 2024b)</w:t>
      </w:r>
      <w:r>
        <w:t>. CPRD-based influenza research has identified age- and risk-group-specific patterns in general practitioner influenza episodes.</w:t>
      </w:r>
    </w:p>
    <w:p w14:paraId="6558F430" w14:textId="77777777" w:rsidR="00BF2E2A" w:rsidRPr="00BF2E2A" w:rsidRDefault="0058094F" w:rsidP="0058094F">
      <w:pPr>
        <w:rPr>
          <w:b/>
          <w:bCs/>
        </w:rPr>
      </w:pPr>
      <w:r w:rsidRPr="00BF2E2A">
        <w:rPr>
          <w:b/>
          <w:bCs/>
        </w:rPr>
        <w:t>Hospitalisation and Severity Studies</w:t>
      </w:r>
    </w:p>
    <w:p w14:paraId="04BB57F2" w14:textId="427B6A86" w:rsidR="00BF2E2A" w:rsidRDefault="0058094F" w:rsidP="0058094F">
      <w:r>
        <w:t>Hospitalisation risk varies greatly: 4,200 of 20,000 influenza A-attributable hospital admissions annually occur in children under 4, indicating disproportionate disease risk</w:t>
      </w:r>
      <w:r w:rsidR="00B8602E">
        <w:t xml:space="preserve"> </w:t>
      </w:r>
      <w:r w:rsidR="00B8602E" w:rsidRPr="00B8602E">
        <w:t>(Oakley et al., 2021)</w:t>
      </w:r>
      <w:r>
        <w:t>.  Immunocompromised patients have higher hospitalisation and ICU admission rates.  Out of 24,300 estimated annual QALY losses from influenza in the UK, two-thirds occurred in working-age adults (16–64 years), indicating a significant economic productivity impact beyond direct health outcomes</w:t>
      </w:r>
      <w:r w:rsidR="00B8602E">
        <w:t xml:space="preserve"> </w:t>
      </w:r>
      <w:r w:rsidR="00B8602E" w:rsidRPr="00B8602E">
        <w:t>(Peacock et al., 2020)</w:t>
      </w:r>
      <w:r w:rsidR="00B8602E">
        <w:t>.</w:t>
      </w:r>
    </w:p>
    <w:p w14:paraId="0D44337C" w14:textId="77777777" w:rsidR="00BF2E2A" w:rsidRPr="00BF2E2A" w:rsidRDefault="0058094F" w:rsidP="0058094F">
      <w:pPr>
        <w:rPr>
          <w:b/>
          <w:bCs/>
        </w:rPr>
      </w:pPr>
      <w:r w:rsidRPr="00BF2E2A">
        <w:rPr>
          <w:b/>
          <w:bCs/>
        </w:rPr>
        <w:t>Health Needs Assessment Results</w:t>
      </w:r>
    </w:p>
    <w:p w14:paraId="10E8CD00" w14:textId="2A342775" w:rsidR="0058094F" w:rsidRDefault="0058094F" w:rsidP="0058094F">
      <w:r>
        <w:t>Influenza health needs assessments in the UK identify several service gaps and priority interventions.</w:t>
      </w:r>
      <w:r w:rsidR="00BF2E2A">
        <w:t xml:space="preserve"> </w:t>
      </w:r>
      <w:r>
        <w:t>Despite influenza vaccination being cost-effective and preventing significant morbidity and mortality, key populations have low vaccination rates.</w:t>
      </w:r>
      <w:r w:rsidR="00BF2E2A">
        <w:t xml:space="preserve"> </w:t>
      </w:r>
      <w:r>
        <w:t>Safety concerns and healthcare provider communication gaps reduce pregnant women's uptake</w:t>
      </w:r>
      <w:r w:rsidR="00B8602E">
        <w:t xml:space="preserve"> </w:t>
      </w:r>
      <w:r w:rsidR="00B8602E" w:rsidRPr="00B8602E">
        <w:t xml:space="preserve">(Tyrrell, Allen and </w:t>
      </w:r>
      <w:proofErr w:type="spellStart"/>
      <w:r w:rsidR="00B8602E" w:rsidRPr="00B8602E">
        <w:t>Gkrania-Klotsas</w:t>
      </w:r>
      <w:proofErr w:type="spellEnd"/>
      <w:r w:rsidR="00B8602E" w:rsidRPr="00B8602E">
        <w:t>, 2021)</w:t>
      </w:r>
      <w:r w:rsidR="00BF2E2A">
        <w:t xml:space="preserve">. </w:t>
      </w:r>
      <w:r>
        <w:t>Integrated antenatal care programs, standing orders for nurse-delivered vaccination, and healthcare provider-led counselling increase uptake.</w:t>
      </w:r>
      <w:r w:rsidR="00BF2E2A">
        <w:t xml:space="preserve"> </w:t>
      </w:r>
      <w:r>
        <w:t>Healthcare workers had low vaccination coverage due to vaccine hesitancy, workload barriers, and misconceptions; mandatory or strongly recommended workplace vaccination policies with on-site clinics greatly improved uptake.</w:t>
      </w:r>
    </w:p>
    <w:p w14:paraId="5F500475" w14:textId="335122D1" w:rsidR="00BF2E2A" w:rsidRDefault="00BF2E2A" w:rsidP="001B2FE7">
      <w:pPr>
        <w:pStyle w:val="Heading3"/>
      </w:pPr>
      <w:bookmarkStart w:id="15" w:name="_Toc216014630"/>
      <w:r w:rsidRPr="00BF2E2A">
        <w:t>2.4 Monitoring Systems and Surveillance Infrastructure</w:t>
      </w:r>
      <w:bookmarkEnd w:id="15"/>
    </w:p>
    <w:p w14:paraId="63008E6C" w14:textId="5E935354" w:rsidR="00BF2E2A" w:rsidRPr="00BF2E2A" w:rsidRDefault="00BF2E2A" w:rsidP="00BF2E2A">
      <w:pPr>
        <w:rPr>
          <w:b/>
          <w:bCs/>
        </w:rPr>
      </w:pPr>
      <w:r w:rsidRPr="00BF2E2A">
        <w:rPr>
          <w:b/>
          <w:bCs/>
        </w:rPr>
        <w:t>Laboratory Surveillance</w:t>
      </w:r>
    </w:p>
    <w:p w14:paraId="5AE3E5D0" w14:textId="54F0A298" w:rsidR="00BF2E2A" w:rsidRDefault="00BF2E2A" w:rsidP="00BF2E2A">
      <w:r>
        <w:t>Surveillance of influenza viruses in diagnostics laboratories across the UK is carried out by the UK Health Security Agency (UKHSA). Positivity rate, strain distribution and antiviral susceptibility is followed on weekly laboratory reporting. This real-time information is used to select strain of vaccines to be used in further seasons and the development of antiviral resistant strains.</w:t>
      </w:r>
    </w:p>
    <w:p w14:paraId="7DF6FB22" w14:textId="77A09DEB" w:rsidR="00BF2E2A" w:rsidRPr="00BF2E2A" w:rsidRDefault="00BF2E2A" w:rsidP="00BF2E2A">
      <w:pPr>
        <w:rPr>
          <w:b/>
          <w:bCs/>
        </w:rPr>
      </w:pPr>
      <w:r w:rsidRPr="00BF2E2A">
        <w:rPr>
          <w:b/>
          <w:bCs/>
        </w:rPr>
        <w:t>Surveillance of GP Consultation</w:t>
      </w:r>
    </w:p>
    <w:p w14:paraId="2436DC0F" w14:textId="4A7297DB" w:rsidR="00BF2E2A" w:rsidRDefault="00BF2E2A" w:rsidP="00BF2E2A">
      <w:r>
        <w:t>The sentinel general practice surveillance is a network of representative practices in the country that records the rate of influenza-like illness (ILI) consultation and respiratory illness consultation and pattern of laboratory testing</w:t>
      </w:r>
      <w:r w:rsidR="00B8602E">
        <w:t xml:space="preserve"> </w:t>
      </w:r>
      <w:r w:rsidR="00B8602E" w:rsidRPr="00B8602E">
        <w:t>(Peacock et al., 2020)</w:t>
      </w:r>
      <w:r>
        <w:t>. The RSC (Research and Surveillance Centre) scheme of the Royal College of General Practitioners (RCGP) gives weekly ILI consultation data.</w:t>
      </w:r>
    </w:p>
    <w:p w14:paraId="3CBB083E" w14:textId="1609DBF6" w:rsidR="00BF2E2A" w:rsidRPr="00BF2E2A" w:rsidRDefault="00BF2E2A" w:rsidP="00BF2E2A">
      <w:pPr>
        <w:rPr>
          <w:b/>
          <w:bCs/>
        </w:rPr>
      </w:pPr>
      <w:r w:rsidRPr="00BF2E2A">
        <w:rPr>
          <w:b/>
          <w:bCs/>
        </w:rPr>
        <w:t>Hospital Surveillance: SARI Watch</w:t>
      </w:r>
    </w:p>
    <w:p w14:paraId="75E90CD8" w14:textId="4DB0181F" w:rsidR="00BF2E2A" w:rsidRDefault="00BF2E2A" w:rsidP="00BF2E2A">
      <w:r>
        <w:t>SARI Watch (Severe Acute Respiratory Infection surveillance) is an extensive system of surveillance of respiratory infections caused by hospitalization and monitors influenza, respiratory syncytial virus (RSV), and SARS-CoV-2, which is conducted by the UK Health Security Agency</w:t>
      </w:r>
      <w:r w:rsidR="00B8602E">
        <w:t xml:space="preserve"> </w:t>
      </w:r>
      <w:r w:rsidR="00B8602E" w:rsidRPr="00B8602E">
        <w:t>(England, 2020)</w:t>
      </w:r>
      <w:r>
        <w:t>.</w:t>
      </w:r>
      <w:r w:rsidR="00B8602E">
        <w:t xml:space="preserve"> </w:t>
      </w:r>
      <w:r>
        <w:t>The involved hospitals provide weekly reports on hospitalized patients with confirmed respiratory diseases, demographics, underlying diseases, severity (</w:t>
      </w:r>
      <w:proofErr w:type="spellStart"/>
      <w:r>
        <w:t>ICUay</w:t>
      </w:r>
      <w:proofErr w:type="spellEnd"/>
      <w:r>
        <w:t>, mechanical ventilation), and outcomes (discharge, death).</w:t>
      </w:r>
    </w:p>
    <w:p w14:paraId="4B1EB93C" w14:textId="52A99FBE" w:rsidR="00BF2E2A" w:rsidRPr="00BF2E2A" w:rsidRDefault="00BF2E2A" w:rsidP="00BF2E2A">
      <w:pPr>
        <w:rPr>
          <w:b/>
          <w:bCs/>
        </w:rPr>
      </w:pPr>
      <w:r w:rsidRPr="00BF2E2A">
        <w:rPr>
          <w:b/>
          <w:bCs/>
        </w:rPr>
        <w:t>Mortality Surveillance</w:t>
      </w:r>
    </w:p>
    <w:p w14:paraId="4AB16F23" w14:textId="7D79E723" w:rsidR="00BF2E2A" w:rsidRDefault="00BF2E2A" w:rsidP="00BF2E2A">
      <w:r>
        <w:t>The Office of National Statistics (</w:t>
      </w:r>
      <w:r w:rsidR="00B8602E">
        <w:t>2021</w:t>
      </w:r>
      <w:r>
        <w:t>) collects data on death certification that would allow monitoring of the mortality caused by influenza. Deaths that are caused or contributed by influenza are reported through compulsory death certification.</w:t>
      </w:r>
    </w:p>
    <w:p w14:paraId="5D35993B" w14:textId="1CB39BBB" w:rsidR="00BF2E2A" w:rsidRDefault="001D2FDD" w:rsidP="001D2FDD">
      <w:pPr>
        <w:pStyle w:val="Heading3"/>
      </w:pPr>
      <w:bookmarkStart w:id="16" w:name="_Toc216014631"/>
      <w:r w:rsidRPr="001D2FDD">
        <w:t>2.5 Public Health Impact Assessment</w:t>
      </w:r>
      <w:bookmarkEnd w:id="16"/>
    </w:p>
    <w:p w14:paraId="6C8B60D8" w14:textId="79657696" w:rsidR="001D2FDD" w:rsidRPr="001D2FDD" w:rsidRDefault="001D2FDD" w:rsidP="001D2FDD">
      <w:pPr>
        <w:rPr>
          <w:b/>
          <w:bCs/>
        </w:rPr>
      </w:pPr>
      <w:r w:rsidRPr="001D2FDD">
        <w:rPr>
          <w:b/>
          <w:bCs/>
        </w:rPr>
        <w:t>Short-Term Consequences</w:t>
      </w:r>
    </w:p>
    <w:p w14:paraId="7171D171" w14:textId="1917E817" w:rsidR="001D2FDD" w:rsidRDefault="001D2FDD" w:rsidP="001D2FDD">
      <w:r>
        <w:t>Symptoms lasting 3-7 days (fever, cough, myalgia, malaise, headache), functional limitations, work or school absenteeism and medical care usage are short-term effects that influenza has on the infected population. Influenza-infected school absences are about 1.12 million days per year among the young age group of 515 years, with 85</w:t>
      </w:r>
      <w:r w:rsidR="00B8602E">
        <w:t>%</w:t>
      </w:r>
      <w:r>
        <w:t xml:space="preserve"> of this being due to the loss of productivity when a person or a student is absent because of influenza, a significant rise in health care expenditures, and provision of informal care</w:t>
      </w:r>
      <w:r w:rsidR="00B8602E">
        <w:t xml:space="preserve"> </w:t>
      </w:r>
      <w:r w:rsidR="00B8602E" w:rsidRPr="00B8602E">
        <w:t>(Statista, 2025)</w:t>
      </w:r>
      <w:r>
        <w:t>. Psychological effects are anxiety over severity of illness, the fear of complications and social isolation during acute infection phase.</w:t>
      </w:r>
    </w:p>
    <w:p w14:paraId="6D6E2EB4" w14:textId="48A51B88" w:rsidR="001D2FDD" w:rsidRPr="00B8602E" w:rsidRDefault="001D2FDD" w:rsidP="001D2FDD">
      <w:pPr>
        <w:rPr>
          <w:b/>
          <w:bCs/>
        </w:rPr>
      </w:pPr>
      <w:r w:rsidRPr="001D2FDD">
        <w:rPr>
          <w:b/>
          <w:bCs/>
        </w:rPr>
        <w:t>Long-Term Consequences</w:t>
      </w:r>
    </w:p>
    <w:p w14:paraId="316A051D" w14:textId="29C1B27D" w:rsidR="001D2FDD" w:rsidRDefault="001D2FDD" w:rsidP="001D2FDD">
      <w:r>
        <w:t>The long run effects of influenza are mainly experienced in severe complications and complications of underlying disorders. In severely ill patients (pneumonia, ARDS, sepsis) recovery can take weeks to months of functional residual impairment. Possible long-term effects are cardiovascular complications such as myocarditis, thromboembolic disease, and acute coronary syndrome. Neurological side effects such as Guillain-Barré syndrome incur permanent disability. The worst long-term outcome is mortality: 10,500- 25,000 deaths of influenza and complications in England and Wales each year, with those aged 65 and older and with chronic diseases having disproportionate effects</w:t>
      </w:r>
      <w:r w:rsidR="00B8602E">
        <w:t xml:space="preserve"> </w:t>
      </w:r>
      <w:r w:rsidR="00B8602E" w:rsidRPr="00B8602E">
        <w:t>(NHS, 2024b)</w:t>
      </w:r>
      <w:r>
        <w:t>.</w:t>
      </w:r>
    </w:p>
    <w:p w14:paraId="1F15698B" w14:textId="2B8A0486" w:rsidR="001D2FDD" w:rsidRDefault="001D2FDD" w:rsidP="001D2FDD">
      <w:pPr>
        <w:pStyle w:val="Heading3"/>
      </w:pPr>
      <w:bookmarkStart w:id="17" w:name="_Toc216014632"/>
      <w:r w:rsidRPr="001D2FDD">
        <w:t>2.6 Health Intervention Programme Design and Evaluation</w:t>
      </w:r>
      <w:bookmarkEnd w:id="17"/>
    </w:p>
    <w:p w14:paraId="5F6C72AB" w14:textId="122966D4" w:rsidR="00F26037" w:rsidRDefault="001D2FDD" w:rsidP="001D2FDD">
      <w:r>
        <w:t>Key public health interventions include the UK's annual influenza vaccination programme for high-risk groups like adults 65+, pregnant women, children 2–15, people with chronic conditions or immunocompromise, long-term care facility residents, those with learning disabilities, and all health and social care workers</w:t>
      </w:r>
      <w:r w:rsidR="00B8602E">
        <w:t xml:space="preserve"> </w:t>
      </w:r>
      <w:r w:rsidR="00B8602E" w:rsidRPr="00B8602E">
        <w:t>(GOV.UK, 2024a)</w:t>
      </w:r>
      <w:r>
        <w:t>.</w:t>
      </w:r>
      <w:r w:rsidR="00F26037">
        <w:t xml:space="preserve"> </w:t>
      </w:r>
      <w:r>
        <w:t>GP practices identify eligible patients and administer vaccines; community pharmacies increase access for working adults; school-based programs vaccinate children; and community clinics provide culturally appropriate services in high-deprivation areas.</w:t>
      </w:r>
      <w:r w:rsidR="00F26037">
        <w:t xml:space="preserve"> </w:t>
      </w:r>
      <w:r>
        <w:t>Vaccination is supported by hand hygiene, respiratory etiquette, ventilation, staying home when sick, and masks during severe seasons</w:t>
      </w:r>
      <w:r w:rsidR="00B8602E">
        <w:t xml:space="preserve"> </w:t>
      </w:r>
      <w:r w:rsidR="00B8602E" w:rsidRPr="00B8602E">
        <w:t>(GOV.UK, 2024b)</w:t>
      </w:r>
      <w:r>
        <w:t>.</w:t>
      </w:r>
    </w:p>
    <w:p w14:paraId="54AA1C57" w14:textId="62D2DE69" w:rsidR="00F26037" w:rsidRDefault="00F26037" w:rsidP="00F26037">
      <w:pPr>
        <w:pStyle w:val="Heading3"/>
      </w:pPr>
      <w:bookmarkStart w:id="18" w:name="_Toc216014633"/>
      <w:r w:rsidRPr="001D2FDD">
        <w:t>2.</w:t>
      </w:r>
      <w:r>
        <w:t>7</w:t>
      </w:r>
      <w:r w:rsidRPr="001D2FDD">
        <w:t xml:space="preserve"> Health Intervention Programme</w:t>
      </w:r>
      <w:r>
        <w:t xml:space="preserve"> </w:t>
      </w:r>
      <w:r w:rsidRPr="001D2FDD">
        <w:t>Evaluation</w:t>
      </w:r>
      <w:bookmarkEnd w:id="18"/>
    </w:p>
    <w:p w14:paraId="0198328F" w14:textId="2A7BDAE4" w:rsidR="00F26037" w:rsidRDefault="001D2FDD" w:rsidP="001D2FDD">
      <w:r>
        <w:t>Process evaluation considers vaccination coverage and program efficiency.</w:t>
      </w:r>
      <w:r w:rsidR="00F26037">
        <w:t xml:space="preserve"> </w:t>
      </w:r>
      <w:r>
        <w:t>NHS targets 75% vaccination for 65+ adults, 75% for pregnant women, and 65% for under-65 clinical risk groups</w:t>
      </w:r>
      <w:r w:rsidR="00B8602E">
        <w:t xml:space="preserve"> </w:t>
      </w:r>
      <w:r w:rsidR="00B8602E" w:rsidRPr="00B8602E">
        <w:t>(NHS, 2024a)</w:t>
      </w:r>
      <w:r>
        <w:t>.</w:t>
      </w:r>
      <w:r w:rsidR="00F26037">
        <w:t xml:space="preserve"> </w:t>
      </w:r>
      <w:r>
        <w:t>Monitoring includes vaccine waste, appointment use, delivery timeliness, and outreach effectiveness.</w:t>
      </w:r>
    </w:p>
    <w:p w14:paraId="68DC57E0" w14:textId="120B2244" w:rsidR="001D2FDD" w:rsidRDefault="001D2FDD" w:rsidP="001D2FDD">
      <w:r>
        <w:t>The program's impact on disease burden and population health is evaluated.</w:t>
      </w:r>
      <w:r w:rsidR="00F26037">
        <w:t xml:space="preserve"> </w:t>
      </w:r>
      <w:r>
        <w:t>Reduced laboratory-confirmed influenza, hospitalisations, deaths, and QALYs are key indicators.</w:t>
      </w:r>
      <w:r w:rsidR="00F26037">
        <w:t xml:space="preserve"> </w:t>
      </w:r>
      <w:r>
        <w:t>The 2024–2025 programme prevented 96,000–120,000 English hospital admissions, improving health</w:t>
      </w:r>
      <w:r w:rsidR="00B8602E">
        <w:t xml:space="preserve"> </w:t>
      </w:r>
      <w:r w:rsidR="00B8602E" w:rsidRPr="00B8602E">
        <w:t>(Sport England, 2023)</w:t>
      </w:r>
      <w:r w:rsidR="00B8602E">
        <w:t>.</w:t>
      </w:r>
    </w:p>
    <w:p w14:paraId="70FF5D00" w14:textId="1DBDFAF7" w:rsidR="001D2FDD" w:rsidRDefault="001D2FDD" w:rsidP="001D2FDD">
      <w:pPr>
        <w:pStyle w:val="Heading3"/>
      </w:pPr>
      <w:bookmarkStart w:id="19" w:name="_Toc216014634"/>
      <w:r>
        <w:t>2.</w:t>
      </w:r>
      <w:r w:rsidR="00F26037">
        <w:t>8</w:t>
      </w:r>
      <w:r>
        <w:t xml:space="preserve"> Strengths and Weaknesses Epidemiological Approach</w:t>
      </w:r>
      <w:bookmarkEnd w:id="19"/>
    </w:p>
    <w:p w14:paraId="7B6D55E2" w14:textId="7F83D499" w:rsidR="001D2FDD" w:rsidRPr="001D2FDD" w:rsidRDefault="001D2FDD" w:rsidP="001D2FDD">
      <w:pPr>
        <w:rPr>
          <w:b/>
          <w:bCs/>
        </w:rPr>
      </w:pPr>
      <w:r w:rsidRPr="001D2FDD">
        <w:rPr>
          <w:b/>
          <w:bCs/>
        </w:rPr>
        <w:t>Strengths</w:t>
      </w:r>
    </w:p>
    <w:p w14:paraId="7930A1BC" w14:textId="66F5FBF3" w:rsidR="001D2FDD" w:rsidRDefault="001D2FDD" w:rsidP="001D2FDD">
      <w:r>
        <w:t>Extensive surveillance systems to capture influenza patterns using various sources of data laboratory, primary care, hospital, and mortality with complementary data, this gives a complete picture of disease burden at either end of the continuum of severity. A large-scale data source with millions of patient data records such as CPRD allows revealing patterns of diseases in subgroups such as high-risk populations and the presence of certain chronic conditions to make targeted interventions</w:t>
      </w:r>
      <w:r w:rsidR="00B8602E">
        <w:t xml:space="preserve"> </w:t>
      </w:r>
      <w:r w:rsidR="00B8602E" w:rsidRPr="00B8602E">
        <w:t>(Tyrrell</w:t>
      </w:r>
      <w:r w:rsidR="00B8602E">
        <w:t xml:space="preserve"> et al., </w:t>
      </w:r>
      <w:r w:rsidR="00B8602E" w:rsidRPr="00B8602E">
        <w:t>2021)</w:t>
      </w:r>
      <w:r w:rsidR="00B8602E">
        <w:t>.</w:t>
      </w:r>
    </w:p>
    <w:p w14:paraId="432F7F3E" w14:textId="68FE8531" w:rsidR="001D2FDD" w:rsidRPr="001D2FDD" w:rsidRDefault="001D2FDD" w:rsidP="001D2FDD">
      <w:pPr>
        <w:rPr>
          <w:b/>
          <w:bCs/>
        </w:rPr>
      </w:pPr>
      <w:r w:rsidRPr="001D2FDD">
        <w:rPr>
          <w:b/>
          <w:bCs/>
        </w:rPr>
        <w:t>Limitations</w:t>
      </w:r>
    </w:p>
    <w:p w14:paraId="4EC65BD3" w14:textId="4A709978" w:rsidR="001D2FDD" w:rsidRDefault="001D2FDD" w:rsidP="001D2FDD">
      <w:r>
        <w:t>Nevertheless, there are strong limitations to the epidemiological approach even though it has strengths. Only tested cases and cases attended to by the medical fraternity are captured by surveillance systems which grossly underestimates the prevalence rate of the disease. The surveys of the community indicate that infection rates are much higher than the medically-attended ones; the actual influenza burden could be 5 to 10 times greater than what surveillance would capture</w:t>
      </w:r>
      <w:r w:rsidR="00B8602E">
        <w:t xml:space="preserve"> </w:t>
      </w:r>
      <w:r w:rsidR="00B8602E" w:rsidRPr="00B8602E">
        <w:t>(UK Parliament, 2023)</w:t>
      </w:r>
      <w:r>
        <w:t>. The UK surveillance is geographically divided into four systems (England, Scotland, Wales and Northern Ireland) making it difficult to analyse and respond effectively</w:t>
      </w:r>
      <w:r w:rsidR="00B8602E">
        <w:t xml:space="preserve"> </w:t>
      </w:r>
      <w:r w:rsidR="00B8602E" w:rsidRPr="00B8602E">
        <w:t>(GOV.UK, 2024b)</w:t>
      </w:r>
      <w:r>
        <w:t>. Certain sources of data (especially mortality data) are delayed by months which restricts real-time evaluation.</w:t>
      </w:r>
    </w:p>
    <w:p w14:paraId="032E3835" w14:textId="36A1F009" w:rsidR="00F26037" w:rsidRDefault="00F26037" w:rsidP="00F26037">
      <w:pPr>
        <w:pStyle w:val="Heading2"/>
      </w:pPr>
      <w:bookmarkStart w:id="20" w:name="_Toc216014635"/>
      <w:r>
        <w:t>3. Conclusion</w:t>
      </w:r>
      <w:bookmarkEnd w:id="20"/>
    </w:p>
    <w:p w14:paraId="55B77FA4" w14:textId="1EA4DFB6" w:rsidR="00F26037" w:rsidRDefault="00F26037" w:rsidP="001D2FDD">
      <w:r w:rsidRPr="00F26037">
        <w:t>Influenza remains a major UK public health challenge, with high illness and death rates, especially among young children, older adults, and those with chronic conditions. Vaccination and antivirals are effective but underused due to access barriers and hesitancy. Strengthened vaccination outreach, rapid diagnostics, improved vaccines, and equity-focused public health strategies are essential to reduce this preventable annual burden.</w:t>
      </w:r>
    </w:p>
    <w:p w14:paraId="6499C807" w14:textId="362708E2" w:rsidR="00F26037" w:rsidRDefault="00F26037">
      <w:pPr>
        <w:spacing w:line="259" w:lineRule="auto"/>
        <w:jc w:val="left"/>
      </w:pPr>
      <w:r>
        <w:br w:type="page"/>
      </w:r>
    </w:p>
    <w:p w14:paraId="128C8FAF" w14:textId="67DB577B" w:rsidR="001D2FDD" w:rsidRDefault="00F26037" w:rsidP="00F26037">
      <w:pPr>
        <w:pStyle w:val="Heading1"/>
      </w:pPr>
      <w:bookmarkStart w:id="21" w:name="_Toc216014636"/>
      <w:r>
        <w:t>References</w:t>
      </w:r>
      <w:bookmarkEnd w:id="21"/>
    </w:p>
    <w:p w14:paraId="25F33873" w14:textId="00AD5430" w:rsidR="00B8602E" w:rsidRDefault="00B8602E" w:rsidP="00B8602E">
      <w:r>
        <w:t xml:space="preserve">Aitken, Z., Bishop, G.M., Disney, G., Emerson, E. and Kavanagh, A.M. (2022). Disability-related inequalities in health and well-being are mediated by barriers to participation faced by people with disability. A causal mediation analysis. </w:t>
      </w:r>
      <w:r>
        <w:rPr>
          <w:i/>
          <w:iCs/>
        </w:rPr>
        <w:t>Social Science &amp; Medicine</w:t>
      </w:r>
      <w:r>
        <w:t xml:space="preserve">, [online] 315, p.115500. </w:t>
      </w:r>
      <w:proofErr w:type="spellStart"/>
      <w:r>
        <w:t>doi</w:t>
      </w:r>
      <w:proofErr w:type="spellEnd"/>
      <w:r>
        <w:t xml:space="preserve">: </w:t>
      </w:r>
      <w:hyperlink r:id="rId7" w:history="1">
        <w:r w:rsidRPr="006E459D">
          <w:rPr>
            <w:rStyle w:val="Hyperlink"/>
          </w:rPr>
          <w:t>https://doi.org/10.1016/j.socscimed.2022.115500</w:t>
        </w:r>
      </w:hyperlink>
      <w:r>
        <w:t>.</w:t>
      </w:r>
    </w:p>
    <w:p w14:paraId="7EC9624C" w14:textId="182DF210" w:rsidR="00B8602E" w:rsidRDefault="00B8602E" w:rsidP="00B8602E">
      <w:r>
        <w:t xml:space="preserve">Chronic Illness Inclusion. (2022). </w:t>
      </w:r>
      <w:r>
        <w:rPr>
          <w:i/>
          <w:iCs/>
        </w:rPr>
        <w:t>Employment and social security - Chronic Illness Inclusion</w:t>
      </w:r>
      <w:r>
        <w:t xml:space="preserve">. [online] Available at: </w:t>
      </w:r>
      <w:hyperlink r:id="rId8" w:history="1">
        <w:r w:rsidRPr="006E459D">
          <w:rPr>
            <w:rStyle w:val="Hyperlink"/>
          </w:rPr>
          <w:t>https://chronicillnessinclusion.org.uk/our-work/elci-benefits-and-employment/</w:t>
        </w:r>
      </w:hyperlink>
    </w:p>
    <w:p w14:paraId="0ECD0B9A" w14:textId="787A3CDF" w:rsidR="00B8602E" w:rsidRDefault="00B8602E" w:rsidP="00B8602E">
      <w:r>
        <w:t xml:space="preserve">Citizens Advice. (2025). </w:t>
      </w:r>
      <w:r>
        <w:rPr>
          <w:i/>
          <w:iCs/>
        </w:rPr>
        <w:t>The UK suffers from stark health inequalities, and disability benefit cuts will make them worse</w:t>
      </w:r>
      <w:r>
        <w:t xml:space="preserve">. [online] Available at: </w:t>
      </w:r>
      <w:hyperlink r:id="rId9" w:history="1">
        <w:r w:rsidRPr="006E459D">
          <w:rPr>
            <w:rStyle w:val="Hyperlink"/>
          </w:rPr>
          <w:t>https://www.citizensadvice.org.uk/policy/publications/the-uk-suffers-from-stark-health-inequalities-and-disability-benefit-cuts/</w:t>
        </w:r>
      </w:hyperlink>
      <w:r>
        <w:t>.</w:t>
      </w:r>
    </w:p>
    <w:p w14:paraId="6B42CE83" w14:textId="5B3DE0C9" w:rsidR="00B8602E" w:rsidRDefault="00B8602E" w:rsidP="00B8602E">
      <w:r>
        <w:t xml:space="preserve">Cooper, S.-A., McLean, G., Guthrie, B., McConnachie, A., Mercer, S., Sullivan, F. and Morrison, J. (2015). Multiple physical and mental health comorbidity in adults with intellectual disabilities: population-based cross-sectional analysis. </w:t>
      </w:r>
      <w:r>
        <w:rPr>
          <w:i/>
          <w:iCs/>
        </w:rPr>
        <w:t>BMC Family Practice</w:t>
      </w:r>
      <w:r>
        <w:t xml:space="preserve">, 16(1). </w:t>
      </w:r>
      <w:proofErr w:type="spellStart"/>
      <w:r>
        <w:t>doi</w:t>
      </w:r>
      <w:proofErr w:type="spellEnd"/>
      <w:r>
        <w:t xml:space="preserve">: </w:t>
      </w:r>
      <w:hyperlink r:id="rId10" w:history="1">
        <w:r w:rsidRPr="006E459D">
          <w:rPr>
            <w:rStyle w:val="Hyperlink"/>
          </w:rPr>
          <w:t>https://doi.org/10.1186/s12875-015-0329-3</w:t>
        </w:r>
      </w:hyperlink>
      <w:r>
        <w:t>.</w:t>
      </w:r>
    </w:p>
    <w:p w14:paraId="7CF960F0" w14:textId="7DDCF212" w:rsidR="00B8602E" w:rsidRDefault="00B8602E" w:rsidP="00B8602E">
      <w:r>
        <w:t xml:space="preserve">Easpd.eu. (2025). </w:t>
      </w:r>
      <w:r>
        <w:rPr>
          <w:i/>
          <w:iCs/>
        </w:rPr>
        <w:t>New research finds well-designed disability allowances can increase income without discouraging employment</w:t>
      </w:r>
      <w:r>
        <w:t xml:space="preserve">. [online] Available at: </w:t>
      </w:r>
      <w:hyperlink r:id="rId11" w:history="1">
        <w:r w:rsidRPr="006E459D">
          <w:rPr>
            <w:rStyle w:val="Hyperlink"/>
          </w:rPr>
          <w:t>https://easpd.eu/news-detail/new-research-finds-well-designed-disability-allowances-can-increase-income-without-discouraging-employment/</w:t>
        </w:r>
      </w:hyperlink>
    </w:p>
    <w:p w14:paraId="0608C004" w14:textId="1A71DCCD" w:rsidR="00B8602E" w:rsidRDefault="00B8602E" w:rsidP="00B8602E">
      <w:r>
        <w:t xml:space="preserve">England, N. (2020). </w:t>
      </w:r>
      <w:r>
        <w:rPr>
          <w:i/>
          <w:iCs/>
        </w:rPr>
        <w:t>NHS England — South East» It’s not ‘just the flu: people with a learning disability at greater risk of developing serious illness</w:t>
      </w:r>
      <w:r>
        <w:t xml:space="preserve">. [online] England.nhs.uk. Available at: </w:t>
      </w:r>
      <w:hyperlink r:id="rId12" w:history="1">
        <w:r w:rsidRPr="006E459D">
          <w:rPr>
            <w:rStyle w:val="Hyperlink"/>
          </w:rPr>
          <w:t>https://www.england.nhs.uk/south-east/2020/11/05/its-not-just-the-flu-people-with-a-learning-disability-at-greater-risk-of-developing-serious-illness/</w:t>
        </w:r>
      </w:hyperlink>
    </w:p>
    <w:p w14:paraId="18BB116D" w14:textId="0025520C" w:rsidR="00B8602E" w:rsidRDefault="00B8602E" w:rsidP="00B8602E">
      <w:r>
        <w:t xml:space="preserve">England, N. (2025). </w:t>
      </w:r>
      <w:r>
        <w:rPr>
          <w:i/>
          <w:iCs/>
        </w:rPr>
        <w:t>NHS England» Health inequalities and equality legal duties: A reference document for NHS commissioners and providers</w:t>
      </w:r>
      <w:r>
        <w:t xml:space="preserve">. [online] England.nhs.uk. Available at: </w:t>
      </w:r>
      <w:hyperlink r:id="rId13" w:history="1">
        <w:r w:rsidRPr="006E459D">
          <w:rPr>
            <w:rStyle w:val="Hyperlink"/>
          </w:rPr>
          <w:t>https://www.england.nhs.uk/long-read/health-inequalities-equality-legal-duties/</w:t>
        </w:r>
      </w:hyperlink>
      <w:r>
        <w:t>.</w:t>
      </w:r>
    </w:p>
    <w:p w14:paraId="5B98505F" w14:textId="610F60C9" w:rsidR="00B8602E" w:rsidRDefault="00B8602E" w:rsidP="00B8602E">
      <w:proofErr w:type="spellStart"/>
      <w:r>
        <w:t>Fragaszy</w:t>
      </w:r>
      <w:proofErr w:type="spellEnd"/>
      <w:r>
        <w:t xml:space="preserve">, E.B., Warren-Gash, C., White, P.J., Zambon, M., Edmunds, W.J., Nguyen-Van-Tam, J.S. and Hayward, A.C. (2018). Effects of seasonal and pandemic influenza on health-related quality of life, work and school absence in England: Results from the Flu Watch cohort study. </w:t>
      </w:r>
      <w:r>
        <w:rPr>
          <w:i/>
          <w:iCs/>
        </w:rPr>
        <w:t>Influenza and Other Respiratory Viruses</w:t>
      </w:r>
      <w:r>
        <w:t xml:space="preserve">, 12(1), pp.171–182. </w:t>
      </w:r>
      <w:proofErr w:type="spellStart"/>
      <w:r>
        <w:t>doi</w:t>
      </w:r>
      <w:proofErr w:type="spellEnd"/>
      <w:r>
        <w:t xml:space="preserve">: </w:t>
      </w:r>
      <w:hyperlink r:id="rId14" w:history="1">
        <w:r w:rsidRPr="006E459D">
          <w:rPr>
            <w:rStyle w:val="Hyperlink"/>
          </w:rPr>
          <w:t>https://doi.org/10.1111/irv.12506</w:t>
        </w:r>
      </w:hyperlink>
      <w:r>
        <w:t>.</w:t>
      </w:r>
    </w:p>
    <w:p w14:paraId="51B37DCF" w14:textId="77777777" w:rsidR="00B8602E" w:rsidRDefault="00B8602E" w:rsidP="00B8602E"/>
    <w:p w14:paraId="7D503B2D" w14:textId="18B697CD" w:rsidR="00B8602E" w:rsidRDefault="00B8602E" w:rsidP="00B8602E">
      <w:r>
        <w:t xml:space="preserve">Gov. UK (2025). </w:t>
      </w:r>
      <w:r>
        <w:rPr>
          <w:i/>
          <w:iCs/>
        </w:rPr>
        <w:t>Influenza in the UK, annual epidemiological report: winter 2024 to 2025</w:t>
      </w:r>
      <w:r>
        <w:t xml:space="preserve">. [online] GOV.UK. Available at: </w:t>
      </w:r>
      <w:hyperlink r:id="rId15" w:history="1">
        <w:r w:rsidRPr="006E459D">
          <w:rPr>
            <w:rStyle w:val="Hyperlink"/>
          </w:rPr>
          <w:t>https://www.gov.uk/government/statistics/influenza-in-the-uk-annual-epidemiological-report-winter-2024-to-2025/influenza-in-the-uk-annual-epidemiological-report-winter-2024-to-2025</w:t>
        </w:r>
      </w:hyperlink>
      <w:r>
        <w:t>.</w:t>
      </w:r>
    </w:p>
    <w:p w14:paraId="09FB386B" w14:textId="7ACB7CA9" w:rsidR="00B8602E" w:rsidRDefault="00B8602E" w:rsidP="00B8602E">
      <w:r>
        <w:t xml:space="preserve">GOV.UK (2024a). </w:t>
      </w:r>
      <w:r>
        <w:rPr>
          <w:i/>
          <w:iCs/>
        </w:rPr>
        <w:t>Disability Action Plan</w:t>
      </w:r>
      <w:r>
        <w:t xml:space="preserve">. [online] GOV.UK. Available at: </w:t>
      </w:r>
      <w:hyperlink r:id="rId16" w:history="1">
        <w:r w:rsidRPr="006E459D">
          <w:rPr>
            <w:rStyle w:val="Hyperlink"/>
          </w:rPr>
          <w:t>https://www.gov.uk/government/publications/disability-action-plan/disability-action-plan</w:t>
        </w:r>
      </w:hyperlink>
      <w:r>
        <w:t>.</w:t>
      </w:r>
    </w:p>
    <w:p w14:paraId="05B01925" w14:textId="62569F06" w:rsidR="00B8602E" w:rsidRDefault="00B8602E" w:rsidP="00B8602E">
      <w:r>
        <w:t xml:space="preserve">GOV.UK. (2024b). </w:t>
      </w:r>
      <w:r>
        <w:rPr>
          <w:i/>
          <w:iCs/>
        </w:rPr>
        <w:t>Disability Action Plan 2023 to 2024: consultation document</w:t>
      </w:r>
      <w:r>
        <w:t xml:space="preserve">. [online] Available at: </w:t>
      </w:r>
      <w:hyperlink r:id="rId17" w:history="1">
        <w:r w:rsidRPr="006E459D">
          <w:rPr>
            <w:rStyle w:val="Hyperlink"/>
          </w:rPr>
          <w:t>https://www.gov.uk/government/consultations/disability-action-plan-2023-to-2024/disability-action-plan-2023-to-2024-consultation-document</w:t>
        </w:r>
      </w:hyperlink>
      <w:r>
        <w:t>.</w:t>
      </w:r>
    </w:p>
    <w:p w14:paraId="4FC163BA" w14:textId="6D5127F9" w:rsidR="00B8602E" w:rsidRDefault="00B8602E" w:rsidP="00B8602E">
      <w:r>
        <w:t xml:space="preserve">Hassan, M.Z., Haider, S., Aleem, M.A., Islam, M.A., Shuvo, T.A., Bhuiya, S., Rahman, M., Rahman, M., Shirin, T. and Chowdhury, F. (2025). Addressing influenza in Bangladesh: closing evidence and policy gaps with strategic interventions. </w:t>
      </w:r>
      <w:r>
        <w:rPr>
          <w:i/>
          <w:iCs/>
        </w:rPr>
        <w:t>The Lancet Regional Health - Southeast Asia</w:t>
      </w:r>
      <w:r>
        <w:t xml:space="preserve">, [online] 37, p.100592. </w:t>
      </w:r>
      <w:proofErr w:type="spellStart"/>
      <w:r>
        <w:t>doi</w:t>
      </w:r>
      <w:proofErr w:type="spellEnd"/>
      <w:r>
        <w:t xml:space="preserve">: </w:t>
      </w:r>
      <w:hyperlink r:id="rId18" w:history="1">
        <w:r w:rsidRPr="006E459D">
          <w:rPr>
            <w:rStyle w:val="Hyperlink"/>
          </w:rPr>
          <w:t>https://doi.org/10.1016/j.lansea.2025.100592</w:t>
        </w:r>
      </w:hyperlink>
      <w:r>
        <w:t>.</w:t>
      </w:r>
    </w:p>
    <w:p w14:paraId="491BB4C1" w14:textId="146FFA96" w:rsidR="00B8602E" w:rsidRDefault="00B8602E" w:rsidP="00B8602E">
      <w:r>
        <w:t xml:space="preserve">Hatton, C., Bailey, T., Bradshaw, J., Caton, S., Flynn, S., Gillooly, A., Jahoda, A., Maguire, R., Marriott, A., Mulhall, P., </w:t>
      </w:r>
      <w:proofErr w:type="spellStart"/>
      <w:r>
        <w:t>Oloidi</w:t>
      </w:r>
      <w:proofErr w:type="spellEnd"/>
      <w:r>
        <w:t xml:space="preserve">, E., Taggart, L., Todd, S., Abbott, D., Beyer, S., Gore, N., Heslop, P., </w:t>
      </w:r>
      <w:proofErr w:type="spellStart"/>
      <w:r>
        <w:t>Scior</w:t>
      </w:r>
      <w:proofErr w:type="spellEnd"/>
      <w:r>
        <w:t>, K. and Hastings, R.P. (2021). The willingness of UK adults with intellectual disabilities to take COVID</w:t>
      </w:r>
      <w:r>
        <w:rPr>
          <w:rFonts w:ascii="Cambria Math" w:hAnsi="Cambria Math" w:cs="Cambria Math"/>
        </w:rPr>
        <w:t>‐</w:t>
      </w:r>
      <w:r>
        <w:t xml:space="preserve">19 vaccines. </w:t>
      </w:r>
      <w:r>
        <w:rPr>
          <w:i/>
          <w:iCs/>
        </w:rPr>
        <w:t>Journal of Intellectual Disability Research</w:t>
      </w:r>
      <w:r>
        <w:t xml:space="preserve">, 65(11). </w:t>
      </w:r>
      <w:proofErr w:type="spellStart"/>
      <w:r>
        <w:t>doi</w:t>
      </w:r>
      <w:proofErr w:type="spellEnd"/>
      <w:r>
        <w:t xml:space="preserve">: </w:t>
      </w:r>
      <w:hyperlink r:id="rId19" w:history="1">
        <w:r w:rsidRPr="006E459D">
          <w:rPr>
            <w:rStyle w:val="Hyperlink"/>
          </w:rPr>
          <w:t>https://doi.org/10.1111/jir.12884</w:t>
        </w:r>
      </w:hyperlink>
      <w:r>
        <w:t>.</w:t>
      </w:r>
    </w:p>
    <w:p w14:paraId="46F23651" w14:textId="774B02BF" w:rsidR="00B8602E" w:rsidRDefault="00B8602E" w:rsidP="00B8602E">
      <w:r>
        <w:t xml:space="preserve">Health Innovation West of England. (2020). </w:t>
      </w:r>
      <w:r>
        <w:rPr>
          <w:i/>
          <w:iCs/>
        </w:rPr>
        <w:t>Flu resources launched: People with a learning disability are at greater risk of developing serious illness - Health Innovation West of England</w:t>
      </w:r>
      <w:r>
        <w:t xml:space="preserve">. [online] Available at: </w:t>
      </w:r>
      <w:hyperlink r:id="rId20" w:history="1">
        <w:r w:rsidRPr="006E459D">
          <w:rPr>
            <w:rStyle w:val="Hyperlink"/>
          </w:rPr>
          <w:t>https://www.healthinnowest.net/news/flu-people-with-a-learning-disability-are-at-greater-risk-of-developing-serious-illness/</w:t>
        </w:r>
      </w:hyperlink>
    </w:p>
    <w:p w14:paraId="551A91F9" w14:textId="5F81B777" w:rsidR="00B8602E" w:rsidRDefault="00B8602E" w:rsidP="00B8602E">
      <w:r>
        <w:t xml:space="preserve">Hosking, F.J., Carey, I.M., Shah, S.M., Harris, T., DeWilde, S., Beighton, C. and Cook, D.G. (2016). Mortality Among Adults </w:t>
      </w:r>
      <w:proofErr w:type="gramStart"/>
      <w:r>
        <w:t>With</w:t>
      </w:r>
      <w:proofErr w:type="gramEnd"/>
      <w:r>
        <w:t xml:space="preserve"> Intellectual Disability in England: Comparisons </w:t>
      </w:r>
      <w:proofErr w:type="gramStart"/>
      <w:r>
        <w:t>With</w:t>
      </w:r>
      <w:proofErr w:type="gramEnd"/>
      <w:r>
        <w:t xml:space="preserve"> the General Population. </w:t>
      </w:r>
      <w:r>
        <w:rPr>
          <w:i/>
          <w:iCs/>
        </w:rPr>
        <w:t>American Journal of Public Health</w:t>
      </w:r>
      <w:r>
        <w:t xml:space="preserve">, 106(8), pp.1483–1490. </w:t>
      </w:r>
      <w:proofErr w:type="spellStart"/>
      <w:r>
        <w:t>doi</w:t>
      </w:r>
      <w:proofErr w:type="spellEnd"/>
      <w:r>
        <w:t xml:space="preserve">: </w:t>
      </w:r>
      <w:hyperlink r:id="rId21" w:history="1">
        <w:r w:rsidRPr="006E459D">
          <w:rPr>
            <w:rStyle w:val="Hyperlink"/>
          </w:rPr>
          <w:t>https://doi.org/10.2105/ajph.2016.303240</w:t>
        </w:r>
      </w:hyperlink>
      <w:r>
        <w:t>.</w:t>
      </w:r>
    </w:p>
    <w:p w14:paraId="775EE169" w14:textId="6751E91F" w:rsidR="00B8602E" w:rsidRDefault="00B8602E" w:rsidP="00B8602E">
      <w:proofErr w:type="spellStart"/>
      <w:r>
        <w:t>Jané</w:t>
      </w:r>
      <w:proofErr w:type="spellEnd"/>
      <w:r>
        <w:t xml:space="preserve">, M., Vidal, M.J., Soldevila, N., Romero, A., Martínez, A., Torner, N., Godoy, P., </w:t>
      </w:r>
      <w:proofErr w:type="spellStart"/>
      <w:r>
        <w:t>Launes</w:t>
      </w:r>
      <w:proofErr w:type="spellEnd"/>
      <w:r>
        <w:t xml:space="preserve">, C., Rius, C., Marcos, M.A. and Dominguez, A. (2019). Epidemiological and clinical characteristics of children hospitalized due to influenza A and B in the south of Europe, 2010–2016. </w:t>
      </w:r>
      <w:r>
        <w:rPr>
          <w:i/>
          <w:iCs/>
        </w:rPr>
        <w:t>Scientific Reports</w:t>
      </w:r>
      <w:r>
        <w:t xml:space="preserve">, 9(1). </w:t>
      </w:r>
      <w:proofErr w:type="spellStart"/>
      <w:r>
        <w:t>doi</w:t>
      </w:r>
      <w:proofErr w:type="spellEnd"/>
      <w:r>
        <w:t xml:space="preserve">: </w:t>
      </w:r>
      <w:hyperlink r:id="rId22" w:history="1">
        <w:r w:rsidRPr="006E459D">
          <w:rPr>
            <w:rStyle w:val="Hyperlink"/>
          </w:rPr>
          <w:t>https://doi.org/10.1038/s41598-019-49273-z</w:t>
        </w:r>
      </w:hyperlink>
      <w:r>
        <w:t>.</w:t>
      </w:r>
    </w:p>
    <w:p w14:paraId="0DFA5ED3" w14:textId="2D411349" w:rsidR="00B8602E" w:rsidRDefault="00B8602E" w:rsidP="00B8602E">
      <w:r>
        <w:t xml:space="preserve">Jones, J. (2019). </w:t>
      </w:r>
      <w:r>
        <w:rPr>
          <w:i/>
          <w:iCs/>
        </w:rPr>
        <w:t>Disability, well-being and loneliness, UK - Office for National Statistics</w:t>
      </w:r>
      <w:r>
        <w:t xml:space="preserve">. [online] www.ons.gov.uk. Available at: </w:t>
      </w:r>
      <w:hyperlink r:id="rId23" w:history="1">
        <w:r w:rsidRPr="006E459D">
          <w:rPr>
            <w:rStyle w:val="Hyperlink"/>
          </w:rPr>
          <w:t>https://www.ons.gov.uk/peoplepopulationandcommunity/healthandsocialcare/disability/bulletins/disabilitywellbeingandlonelinessuk/2019</w:t>
        </w:r>
      </w:hyperlink>
      <w:r>
        <w:t>.</w:t>
      </w:r>
    </w:p>
    <w:p w14:paraId="59148ADC" w14:textId="73E23A20" w:rsidR="00B8602E" w:rsidRDefault="00B8602E" w:rsidP="00B8602E">
      <w:r>
        <w:t xml:space="preserve">Kavanagh, A., Hatton, C., Stancliffe, R.J., Aitken, Z., King, T., Hastings, R., </w:t>
      </w:r>
      <w:proofErr w:type="spellStart"/>
      <w:r>
        <w:t>Totsika</w:t>
      </w:r>
      <w:proofErr w:type="spellEnd"/>
      <w:r>
        <w:t xml:space="preserve">, V., Llewellyn, G. and Emerson, E. (2021). Health and healthcare for people with disabilities in the UK during the COVID-19 pandemic. </w:t>
      </w:r>
      <w:r>
        <w:rPr>
          <w:i/>
          <w:iCs/>
        </w:rPr>
        <w:t>Disability and Health Journal</w:t>
      </w:r>
      <w:r>
        <w:t xml:space="preserve">, 15(1), p.101171. </w:t>
      </w:r>
      <w:proofErr w:type="spellStart"/>
      <w:r>
        <w:t>doi</w:t>
      </w:r>
      <w:proofErr w:type="spellEnd"/>
      <w:r>
        <w:t xml:space="preserve">: </w:t>
      </w:r>
      <w:hyperlink r:id="rId24" w:history="1">
        <w:r w:rsidRPr="006E459D">
          <w:rPr>
            <w:rStyle w:val="Hyperlink"/>
          </w:rPr>
          <w:t>https://doi.org/10.1016/j.dhjo.2021.101171</w:t>
        </w:r>
      </w:hyperlink>
      <w:r>
        <w:t>.</w:t>
      </w:r>
    </w:p>
    <w:p w14:paraId="041FFB55" w14:textId="04528341" w:rsidR="00B8602E" w:rsidRDefault="00B8602E" w:rsidP="00B8602E">
      <w:r>
        <w:t xml:space="preserve">Macias, A.E., McElhaney, J.E., Chaves, S.S., Nealon, J., Nunes, M.C., Samson, S.I., Seet, B.T., Weinke, T. and Yu, H. (2021). The Disease Burden of Influenza Beyond Respiratory Illness. </w:t>
      </w:r>
      <w:r>
        <w:rPr>
          <w:i/>
          <w:iCs/>
        </w:rPr>
        <w:t>Vaccine</w:t>
      </w:r>
      <w:r>
        <w:t xml:space="preserve">, [online] 39(1), </w:t>
      </w:r>
      <w:proofErr w:type="gramStart"/>
      <w:r>
        <w:t>pp.A</w:t>
      </w:r>
      <w:proofErr w:type="gramEnd"/>
      <w:r>
        <w:t xml:space="preserve">6–A14. </w:t>
      </w:r>
      <w:proofErr w:type="spellStart"/>
      <w:r>
        <w:t>doi</w:t>
      </w:r>
      <w:proofErr w:type="spellEnd"/>
      <w:r>
        <w:t xml:space="preserve">: </w:t>
      </w:r>
      <w:hyperlink r:id="rId25" w:history="1">
        <w:r w:rsidRPr="006E459D">
          <w:rPr>
            <w:rStyle w:val="Hyperlink"/>
          </w:rPr>
          <w:t>https://doi.org/10.1016/j.vaccine.2020.09.048</w:t>
        </w:r>
      </w:hyperlink>
      <w:r>
        <w:t>.</w:t>
      </w:r>
    </w:p>
    <w:p w14:paraId="59F9A473" w14:textId="53B6FA29" w:rsidR="00B8602E" w:rsidRDefault="00B8602E" w:rsidP="00B8602E">
      <w:r>
        <w:t xml:space="preserve">NHS (2024a). </w:t>
      </w:r>
      <w:r>
        <w:rPr>
          <w:i/>
          <w:iCs/>
        </w:rPr>
        <w:t>Flu Vaccine</w:t>
      </w:r>
      <w:r>
        <w:t xml:space="preserve">. [online] nhs.uk. Available at: </w:t>
      </w:r>
      <w:hyperlink r:id="rId26" w:history="1">
        <w:r w:rsidRPr="006E459D">
          <w:rPr>
            <w:rStyle w:val="Hyperlink"/>
          </w:rPr>
          <w:t>https://www.nhs.uk/vaccinations/flu-vaccine/</w:t>
        </w:r>
      </w:hyperlink>
      <w:r>
        <w:t>.</w:t>
      </w:r>
    </w:p>
    <w:p w14:paraId="5926AEEF" w14:textId="22720FDB" w:rsidR="00B8602E" w:rsidRDefault="00B8602E" w:rsidP="00B8602E">
      <w:r>
        <w:t xml:space="preserve">NHS (2024b). </w:t>
      </w:r>
      <w:r>
        <w:rPr>
          <w:i/>
          <w:iCs/>
        </w:rPr>
        <w:t>Statistics» Flu Vaccinations</w:t>
      </w:r>
      <w:r>
        <w:t xml:space="preserve">. [online] www.england.nhs.uk. Available at: </w:t>
      </w:r>
      <w:hyperlink r:id="rId27" w:history="1">
        <w:r w:rsidRPr="006E459D">
          <w:rPr>
            <w:rStyle w:val="Hyperlink"/>
          </w:rPr>
          <w:t>https://www.england.nhs.uk/statistics/statistical-work-areas/flu-vaccinations/</w:t>
        </w:r>
      </w:hyperlink>
      <w:r>
        <w:t>.</w:t>
      </w:r>
    </w:p>
    <w:p w14:paraId="3C11FAE4" w14:textId="10EA9353" w:rsidR="00B8602E" w:rsidRDefault="00B8602E" w:rsidP="00B8602E">
      <w:r>
        <w:t xml:space="preserve">Oakley, S., Bouchet, J., Costello, P. and Parker, J. (2021). Influenza vaccine uptake among at-risk adults (aged 16–64 years) in the UK: a retrospective database analysis. </w:t>
      </w:r>
      <w:r>
        <w:rPr>
          <w:i/>
          <w:iCs/>
        </w:rPr>
        <w:t>BMC Public Health</w:t>
      </w:r>
      <w:r>
        <w:t xml:space="preserve">, 21(1). </w:t>
      </w:r>
      <w:proofErr w:type="spellStart"/>
      <w:r>
        <w:t>doi</w:t>
      </w:r>
      <w:proofErr w:type="spellEnd"/>
      <w:r>
        <w:t xml:space="preserve">: </w:t>
      </w:r>
      <w:hyperlink r:id="rId28" w:history="1">
        <w:r w:rsidRPr="006E459D">
          <w:rPr>
            <w:rStyle w:val="Hyperlink"/>
          </w:rPr>
          <w:t>https://doi.org/10.1186/s12889-021-11736-2</w:t>
        </w:r>
      </w:hyperlink>
      <w:r>
        <w:t>.</w:t>
      </w:r>
    </w:p>
    <w:p w14:paraId="18D2BE2B" w14:textId="5D44617D" w:rsidR="00B8602E" w:rsidRDefault="00B8602E" w:rsidP="00B8602E">
      <w:r>
        <w:t xml:space="preserve">Office for National Statistics (2021). </w:t>
      </w:r>
      <w:r>
        <w:rPr>
          <w:i/>
          <w:iCs/>
        </w:rPr>
        <w:t>Health inequalities - Office for National Statistics</w:t>
      </w:r>
      <w:r>
        <w:t xml:space="preserve">. [online] Ons.gov.uk. Available at: </w:t>
      </w:r>
      <w:hyperlink r:id="rId29" w:history="1">
        <w:r w:rsidRPr="006E459D">
          <w:rPr>
            <w:rStyle w:val="Hyperlink"/>
          </w:rPr>
          <w:t>https://www.ons.gov.uk/peoplepopulationandcommunity/healthandsocialcare/healthinequalities</w:t>
        </w:r>
      </w:hyperlink>
      <w:r>
        <w:t>.</w:t>
      </w:r>
    </w:p>
    <w:p w14:paraId="67D63A15" w14:textId="5C7A2AB6" w:rsidR="00B8602E" w:rsidRDefault="00B8602E" w:rsidP="00B8602E">
      <w:r>
        <w:t xml:space="preserve">Oxfordhealth.nhs.uk (2018). </w:t>
      </w:r>
      <w:r>
        <w:rPr>
          <w:i/>
          <w:iCs/>
        </w:rPr>
        <w:t>People with learning disabilities more susceptible to effects of flu | Oxford Health NHS Foundation Trust</w:t>
      </w:r>
      <w:r>
        <w:t xml:space="preserve">. [online] Oxford Health NHS Foundation Trust. Available at: </w:t>
      </w:r>
      <w:hyperlink r:id="rId30" w:history="1">
        <w:r w:rsidRPr="006E459D">
          <w:rPr>
            <w:rStyle w:val="Hyperlink"/>
          </w:rPr>
          <w:t>https://oxfordhealth.nhs.uk/news/people-who-have-a-learning-disability-can-be-more-susceptible-to-the-effects-of-flu/</w:t>
        </w:r>
      </w:hyperlink>
    </w:p>
    <w:p w14:paraId="207F15E4" w14:textId="2A9AAAA2" w:rsidR="00B8602E" w:rsidRDefault="00B8602E" w:rsidP="00B8602E">
      <w:r>
        <w:t xml:space="preserve">Peacock, G., Ryerson, A.B., </w:t>
      </w:r>
      <w:proofErr w:type="spellStart"/>
      <w:r>
        <w:t>Koppaka</w:t>
      </w:r>
      <w:proofErr w:type="spellEnd"/>
      <w:r>
        <w:t xml:space="preserve">, R. and Tschida, J. (2020). The importance of seasonal influenza vaccination for people with disabilities during the COVID-19 pandemic. </w:t>
      </w:r>
      <w:r>
        <w:rPr>
          <w:i/>
          <w:iCs/>
        </w:rPr>
        <w:t>Disability and Health Journal</w:t>
      </w:r>
      <w:r>
        <w:t xml:space="preserve">, p.101058. </w:t>
      </w:r>
      <w:proofErr w:type="spellStart"/>
      <w:r>
        <w:t>doi</w:t>
      </w:r>
      <w:proofErr w:type="spellEnd"/>
      <w:r>
        <w:t xml:space="preserve">: </w:t>
      </w:r>
      <w:hyperlink r:id="rId31" w:history="1">
        <w:r w:rsidRPr="006E459D">
          <w:rPr>
            <w:rStyle w:val="Hyperlink"/>
          </w:rPr>
          <w:t>https://doi.org/10.1016/j.dhjo.2020.101058</w:t>
        </w:r>
      </w:hyperlink>
      <w:r>
        <w:t>.</w:t>
      </w:r>
    </w:p>
    <w:p w14:paraId="467792A3" w14:textId="41335E97" w:rsidR="00B8602E" w:rsidRDefault="00B8602E" w:rsidP="00B8602E">
      <w:r>
        <w:t xml:space="preserve">Porter, I. (2024). </w:t>
      </w:r>
      <w:r>
        <w:rPr>
          <w:i/>
          <w:iCs/>
        </w:rPr>
        <w:t>Unlocking benefits: Tackling barriers for disabled people wanting to work</w:t>
      </w:r>
      <w:r>
        <w:t xml:space="preserve">. [online] Joseph Rowntree Foundation. Available at: </w:t>
      </w:r>
      <w:hyperlink r:id="rId32" w:history="1">
        <w:r w:rsidRPr="006E459D">
          <w:rPr>
            <w:rStyle w:val="Hyperlink"/>
          </w:rPr>
          <w:t>https://www.jrf.org.uk/work/unlocking-benefits-tackling-barriers-for-disabled-people-wanting-to-work</w:t>
        </w:r>
      </w:hyperlink>
      <w:r>
        <w:t>.</w:t>
      </w:r>
    </w:p>
    <w:p w14:paraId="4EC28A22" w14:textId="77777777" w:rsidR="00B8602E" w:rsidRDefault="00B8602E" w:rsidP="00B8602E"/>
    <w:p w14:paraId="744143A4" w14:textId="3CC83D5C" w:rsidR="00B8602E" w:rsidRDefault="00B8602E" w:rsidP="00B8602E">
      <w:r>
        <w:t xml:space="preserve">Sport England (2023). </w:t>
      </w:r>
      <w:r>
        <w:rPr>
          <w:i/>
          <w:iCs/>
        </w:rPr>
        <w:t>Disabled people</w:t>
      </w:r>
      <w:r>
        <w:t xml:space="preserve">. [online] Sport England. Available at: </w:t>
      </w:r>
      <w:hyperlink r:id="rId33" w:history="1">
        <w:r w:rsidRPr="006E459D">
          <w:rPr>
            <w:rStyle w:val="Hyperlink"/>
          </w:rPr>
          <w:t>https://www.sportengland.org/research-and-data/research/disabled-people</w:t>
        </w:r>
      </w:hyperlink>
      <w:r>
        <w:t>.</w:t>
      </w:r>
    </w:p>
    <w:p w14:paraId="06CCCEE9" w14:textId="627BD65D" w:rsidR="00B8602E" w:rsidRDefault="00B8602E" w:rsidP="00B8602E">
      <w:r>
        <w:t xml:space="preserve">Statista. (2025). </w:t>
      </w:r>
      <w:r>
        <w:rPr>
          <w:i/>
          <w:iCs/>
        </w:rPr>
        <w:t>England and Wales: influenza deaths 2019, by age and gender</w:t>
      </w:r>
      <w:r>
        <w:t xml:space="preserve">. [online] Available at: </w:t>
      </w:r>
      <w:hyperlink r:id="rId34" w:history="1">
        <w:r w:rsidRPr="006E459D">
          <w:rPr>
            <w:rStyle w:val="Hyperlink"/>
          </w:rPr>
          <w:t>https://www.statista.com/statistics/970800/influenza-deaths-by-age-and-gender-england-wales/</w:t>
        </w:r>
      </w:hyperlink>
      <w:r>
        <w:t>.</w:t>
      </w:r>
    </w:p>
    <w:p w14:paraId="7A2A7C82" w14:textId="6E4F5BD9" w:rsidR="00B8602E" w:rsidRDefault="00B8602E" w:rsidP="00B8602E">
      <w:r>
        <w:t xml:space="preserve">Tyrer, F., Morriss, R., Kiani, R., Gangadharan, S.K. and Rutherford, M.J. (2021). Mortality disparities and deprivation among people with intellectual disabilities in England: 2000–2019. </w:t>
      </w:r>
      <w:r>
        <w:rPr>
          <w:i/>
          <w:iCs/>
        </w:rPr>
        <w:t>Journal of Epidemiology and Community Health</w:t>
      </w:r>
      <w:r>
        <w:t xml:space="preserve">, 76(2), </w:t>
      </w:r>
      <w:proofErr w:type="gramStart"/>
      <w:r>
        <w:t>p.jech</w:t>
      </w:r>
      <w:proofErr w:type="gramEnd"/>
      <w:r>
        <w:t xml:space="preserve">-2021-216798. </w:t>
      </w:r>
      <w:proofErr w:type="spellStart"/>
      <w:r>
        <w:t>doi</w:t>
      </w:r>
      <w:proofErr w:type="spellEnd"/>
      <w:r>
        <w:t xml:space="preserve">: </w:t>
      </w:r>
      <w:hyperlink r:id="rId35" w:history="1">
        <w:r w:rsidRPr="006E459D">
          <w:rPr>
            <w:rStyle w:val="Hyperlink"/>
          </w:rPr>
          <w:t>https://doi.org/10.1136/jech-2021-216798</w:t>
        </w:r>
      </w:hyperlink>
      <w:r>
        <w:t>.</w:t>
      </w:r>
    </w:p>
    <w:p w14:paraId="4AF78C73" w14:textId="0402A30E" w:rsidR="00B8602E" w:rsidRDefault="00B8602E" w:rsidP="00B8602E">
      <w:r>
        <w:t xml:space="preserve">Tyrrell, C.SB., Allen, J.L.Y. and </w:t>
      </w:r>
      <w:proofErr w:type="spellStart"/>
      <w:r>
        <w:t>Gkrania-Klotsas</w:t>
      </w:r>
      <w:proofErr w:type="spellEnd"/>
      <w:r>
        <w:t xml:space="preserve">, E. (2021). Influenza: epidemiology and hospital management. </w:t>
      </w:r>
      <w:r>
        <w:rPr>
          <w:i/>
          <w:iCs/>
        </w:rPr>
        <w:t>Medicine</w:t>
      </w:r>
      <w:r>
        <w:t xml:space="preserve">, 49(12), pp.797–804. </w:t>
      </w:r>
      <w:proofErr w:type="spellStart"/>
      <w:r>
        <w:t>doi</w:t>
      </w:r>
      <w:proofErr w:type="spellEnd"/>
      <w:r>
        <w:t xml:space="preserve">: </w:t>
      </w:r>
      <w:hyperlink r:id="rId36" w:history="1">
        <w:r w:rsidRPr="006E459D">
          <w:rPr>
            <w:rStyle w:val="Hyperlink"/>
          </w:rPr>
          <w:t>https://doi.org/10.1016/j.mpmed.2021.09.015</w:t>
        </w:r>
      </w:hyperlink>
      <w:r>
        <w:t>.</w:t>
      </w:r>
    </w:p>
    <w:p w14:paraId="15D3F01F" w14:textId="4E02BCA9" w:rsidR="00B8602E" w:rsidRDefault="00B8602E" w:rsidP="00B8602E">
      <w:r>
        <w:t xml:space="preserve">UK Parliament (2023). </w:t>
      </w:r>
      <w:r>
        <w:rPr>
          <w:i/>
          <w:iCs/>
        </w:rPr>
        <w:t>Inequalities in healthcare and employment for people with a learning disability and autistic people - Women and Equalities Committee</w:t>
      </w:r>
      <w:r>
        <w:t xml:space="preserve">. [online] Parliament.uk. Available at: </w:t>
      </w:r>
      <w:hyperlink r:id="rId37" w:history="1">
        <w:r w:rsidRPr="006E459D">
          <w:rPr>
            <w:rStyle w:val="Hyperlink"/>
          </w:rPr>
          <w:t>https://publications.parliament.uk/pa/cm5804/cmselect/cmwomeq/134/report.html</w:t>
        </w:r>
      </w:hyperlink>
      <w:r>
        <w:t>.</w:t>
      </w:r>
    </w:p>
    <w:p w14:paraId="01B0F7BA" w14:textId="77777777" w:rsidR="00B8602E" w:rsidRDefault="00B8602E" w:rsidP="00B8602E"/>
    <w:p w14:paraId="452AA012" w14:textId="77777777" w:rsidR="00F26037" w:rsidRDefault="00F26037" w:rsidP="001D2FDD"/>
    <w:p w14:paraId="6AEBE0CD" w14:textId="074898D3" w:rsidR="001D2FDD" w:rsidRDefault="001D2FDD" w:rsidP="00BF2E2A"/>
    <w:p w14:paraId="071B78F9" w14:textId="77777777" w:rsidR="001D2FDD" w:rsidRPr="008F7F76" w:rsidRDefault="001D2FDD" w:rsidP="00BF2E2A"/>
    <w:sectPr w:rsidR="001D2FDD" w:rsidRPr="008F7F76">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B6BD1" w14:textId="77777777" w:rsidR="006013B0" w:rsidRDefault="006013B0" w:rsidP="00B8602E">
      <w:pPr>
        <w:spacing w:after="0" w:line="240" w:lineRule="auto"/>
      </w:pPr>
      <w:r>
        <w:separator/>
      </w:r>
    </w:p>
  </w:endnote>
  <w:endnote w:type="continuationSeparator" w:id="0">
    <w:p w14:paraId="6CE98E6B" w14:textId="77777777" w:rsidR="006013B0" w:rsidRDefault="006013B0" w:rsidP="00B86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112317"/>
      <w:docPartObj>
        <w:docPartGallery w:val="Page Numbers (Bottom of Page)"/>
        <w:docPartUnique/>
      </w:docPartObj>
    </w:sdtPr>
    <w:sdtEndPr>
      <w:rPr>
        <w:color w:val="7F7F7F" w:themeColor="background1" w:themeShade="7F"/>
        <w:spacing w:val="60"/>
      </w:rPr>
    </w:sdtEndPr>
    <w:sdtContent>
      <w:p w14:paraId="3E5B50F0" w14:textId="4904ED10" w:rsidR="00B8602E" w:rsidRDefault="00B8602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991B863" w14:textId="77777777" w:rsidR="00B8602E" w:rsidRDefault="00B86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24F15D" w14:textId="77777777" w:rsidR="006013B0" w:rsidRDefault="006013B0" w:rsidP="00B8602E">
      <w:pPr>
        <w:spacing w:after="0" w:line="240" w:lineRule="auto"/>
      </w:pPr>
      <w:r>
        <w:separator/>
      </w:r>
    </w:p>
  </w:footnote>
  <w:footnote w:type="continuationSeparator" w:id="0">
    <w:p w14:paraId="5D217F1F" w14:textId="77777777" w:rsidR="006013B0" w:rsidRDefault="006013B0" w:rsidP="00B860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9A8"/>
    <w:rsid w:val="000B79A8"/>
    <w:rsid w:val="001207A6"/>
    <w:rsid w:val="001B2FE7"/>
    <w:rsid w:val="001D2FDD"/>
    <w:rsid w:val="00413DE0"/>
    <w:rsid w:val="00450595"/>
    <w:rsid w:val="004A6528"/>
    <w:rsid w:val="0058094F"/>
    <w:rsid w:val="005A0724"/>
    <w:rsid w:val="006013B0"/>
    <w:rsid w:val="007F2EE3"/>
    <w:rsid w:val="008557E8"/>
    <w:rsid w:val="008F7F76"/>
    <w:rsid w:val="009109B0"/>
    <w:rsid w:val="0092389D"/>
    <w:rsid w:val="00955F96"/>
    <w:rsid w:val="00A42696"/>
    <w:rsid w:val="00B20989"/>
    <w:rsid w:val="00B8602E"/>
    <w:rsid w:val="00BF2E2A"/>
    <w:rsid w:val="00C12E49"/>
    <w:rsid w:val="00D4705E"/>
    <w:rsid w:val="00E816B6"/>
    <w:rsid w:val="00F26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F3FB1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9A8"/>
    <w:pPr>
      <w:spacing w:line="360" w:lineRule="auto"/>
      <w:jc w:val="both"/>
    </w:pPr>
    <w:rPr>
      <w:rFonts w:ascii="Arial" w:hAnsi="Arial"/>
    </w:rPr>
  </w:style>
  <w:style w:type="paragraph" w:styleId="Heading1">
    <w:name w:val="heading 1"/>
    <w:basedOn w:val="Normal"/>
    <w:next w:val="Normal"/>
    <w:link w:val="Heading1Char"/>
    <w:autoRedefine/>
    <w:uiPriority w:val="9"/>
    <w:qFormat/>
    <w:rsid w:val="000B79A8"/>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0B79A8"/>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0B79A8"/>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B79A8"/>
    <w:rPr>
      <w:rFonts w:ascii="Arial" w:eastAsiaTheme="majorEastAsia" w:hAnsi="Arial" w:cstheme="majorBidi"/>
      <w:color w:val="2F5496" w:themeColor="accent1" w:themeShade="BF"/>
      <w:sz w:val="28"/>
      <w:szCs w:val="26"/>
    </w:rPr>
  </w:style>
  <w:style w:type="table" w:styleId="GridTable4">
    <w:name w:val="Grid Table 4"/>
    <w:basedOn w:val="TableNormal"/>
    <w:uiPriority w:val="49"/>
    <w:rsid w:val="000B79A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1Char">
    <w:name w:val="Heading 1 Char"/>
    <w:basedOn w:val="DefaultParagraphFont"/>
    <w:link w:val="Heading1"/>
    <w:uiPriority w:val="9"/>
    <w:rsid w:val="000B79A8"/>
    <w:rPr>
      <w:rFonts w:ascii="Arial" w:eastAsiaTheme="majorEastAsia" w:hAnsi="Arial" w:cstheme="majorBidi"/>
      <w:color w:val="2F5496" w:themeColor="accent1" w:themeShade="BF"/>
      <w:sz w:val="32"/>
      <w:szCs w:val="32"/>
    </w:rPr>
  </w:style>
  <w:style w:type="character" w:customStyle="1" w:styleId="Heading3Char">
    <w:name w:val="Heading 3 Char"/>
    <w:basedOn w:val="DefaultParagraphFont"/>
    <w:link w:val="Heading3"/>
    <w:uiPriority w:val="9"/>
    <w:rsid w:val="000B79A8"/>
    <w:rPr>
      <w:rFonts w:ascii="Arial" w:eastAsiaTheme="majorEastAsia" w:hAnsi="Arial" w:cstheme="majorBidi"/>
      <w:color w:val="1F3763" w:themeColor="accent1" w:themeShade="7F"/>
      <w:sz w:val="26"/>
      <w:szCs w:val="24"/>
    </w:rPr>
  </w:style>
  <w:style w:type="paragraph" w:styleId="ListParagraph">
    <w:name w:val="List Paragraph"/>
    <w:basedOn w:val="Normal"/>
    <w:uiPriority w:val="34"/>
    <w:qFormat/>
    <w:rsid w:val="00450595"/>
    <w:pPr>
      <w:ind w:left="720"/>
      <w:contextualSpacing/>
    </w:pPr>
  </w:style>
  <w:style w:type="paragraph" w:styleId="Header">
    <w:name w:val="header"/>
    <w:basedOn w:val="Normal"/>
    <w:link w:val="HeaderChar"/>
    <w:uiPriority w:val="99"/>
    <w:unhideWhenUsed/>
    <w:rsid w:val="00B86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02E"/>
    <w:rPr>
      <w:rFonts w:ascii="Arial" w:hAnsi="Arial"/>
    </w:rPr>
  </w:style>
  <w:style w:type="paragraph" w:styleId="Footer">
    <w:name w:val="footer"/>
    <w:basedOn w:val="Normal"/>
    <w:link w:val="FooterChar"/>
    <w:uiPriority w:val="99"/>
    <w:unhideWhenUsed/>
    <w:rsid w:val="00B86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02E"/>
    <w:rPr>
      <w:rFonts w:ascii="Arial" w:hAnsi="Arial"/>
    </w:rPr>
  </w:style>
  <w:style w:type="paragraph" w:styleId="NormalWeb">
    <w:name w:val="Normal (Web)"/>
    <w:basedOn w:val="Normal"/>
    <w:uiPriority w:val="99"/>
    <w:semiHidden/>
    <w:unhideWhenUsed/>
    <w:rsid w:val="00B8602E"/>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8602E"/>
    <w:rPr>
      <w:color w:val="0563C1" w:themeColor="hyperlink"/>
      <w:u w:val="single"/>
    </w:rPr>
  </w:style>
  <w:style w:type="character" w:styleId="UnresolvedMention">
    <w:name w:val="Unresolved Mention"/>
    <w:basedOn w:val="DefaultParagraphFont"/>
    <w:uiPriority w:val="99"/>
    <w:semiHidden/>
    <w:unhideWhenUsed/>
    <w:rsid w:val="00B8602E"/>
    <w:rPr>
      <w:color w:val="605E5C"/>
      <w:shd w:val="clear" w:color="auto" w:fill="E1DFDD"/>
    </w:rPr>
  </w:style>
  <w:style w:type="paragraph" w:styleId="TOCHeading">
    <w:name w:val="TOC Heading"/>
    <w:basedOn w:val="Heading1"/>
    <w:next w:val="Normal"/>
    <w:uiPriority w:val="39"/>
    <w:unhideWhenUsed/>
    <w:qFormat/>
    <w:rsid w:val="001B2FE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1B2FE7"/>
    <w:pPr>
      <w:spacing w:after="100"/>
    </w:pPr>
  </w:style>
  <w:style w:type="paragraph" w:styleId="TOC2">
    <w:name w:val="toc 2"/>
    <w:basedOn w:val="Normal"/>
    <w:next w:val="Normal"/>
    <w:autoRedefine/>
    <w:uiPriority w:val="39"/>
    <w:unhideWhenUsed/>
    <w:rsid w:val="001B2FE7"/>
    <w:pPr>
      <w:spacing w:after="100"/>
      <w:ind w:left="220"/>
    </w:pPr>
  </w:style>
  <w:style w:type="paragraph" w:styleId="TOC3">
    <w:name w:val="toc 3"/>
    <w:basedOn w:val="Normal"/>
    <w:next w:val="Normal"/>
    <w:autoRedefine/>
    <w:uiPriority w:val="39"/>
    <w:unhideWhenUsed/>
    <w:rsid w:val="001B2FE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9539349">
      <w:bodyDiv w:val="1"/>
      <w:marLeft w:val="0"/>
      <w:marRight w:val="0"/>
      <w:marTop w:val="0"/>
      <w:marBottom w:val="0"/>
      <w:divBdr>
        <w:top w:val="none" w:sz="0" w:space="0" w:color="auto"/>
        <w:left w:val="none" w:sz="0" w:space="0" w:color="auto"/>
        <w:bottom w:val="none" w:sz="0" w:space="0" w:color="auto"/>
        <w:right w:val="none" w:sz="0" w:space="0" w:color="auto"/>
      </w:divBdr>
      <w:divsChild>
        <w:div w:id="2881241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gland.nhs.uk/long-read/health-inequalities-equality-legal-duties/" TargetMode="External"/><Relationship Id="rId18" Type="http://schemas.openxmlformats.org/officeDocument/2006/relationships/hyperlink" Target="https://doi.org/10.1016/j.lansea.2025.100592" TargetMode="External"/><Relationship Id="rId26" Type="http://schemas.openxmlformats.org/officeDocument/2006/relationships/hyperlink" Target="https://www.nhs.uk/vaccinations/flu-vaccine/" TargetMode="External"/><Relationship Id="rId39" Type="http://schemas.openxmlformats.org/officeDocument/2006/relationships/fontTable" Target="fontTable.xml"/><Relationship Id="rId21" Type="http://schemas.openxmlformats.org/officeDocument/2006/relationships/hyperlink" Target="https://doi.org/10.2105/ajph.2016.303240" TargetMode="External"/><Relationship Id="rId34" Type="http://schemas.openxmlformats.org/officeDocument/2006/relationships/hyperlink" Target="https://www.statista.com/statistics/970800/influenza-deaths-by-age-and-gender-england-wales/" TargetMode="External"/><Relationship Id="rId7" Type="http://schemas.openxmlformats.org/officeDocument/2006/relationships/hyperlink" Target="https://doi.org/10.1016/j.socscimed.2022.115500" TargetMode="External"/><Relationship Id="rId12" Type="http://schemas.openxmlformats.org/officeDocument/2006/relationships/hyperlink" Target="https://www.england.nhs.uk/south-east/2020/11/05/its-not-just-the-flu-people-with-a-learning-disability-at-greater-risk-of-developing-serious-illness/" TargetMode="External"/><Relationship Id="rId17" Type="http://schemas.openxmlformats.org/officeDocument/2006/relationships/hyperlink" Target="https://www.gov.uk/government/consultations/disability-action-plan-2023-to-2024/disability-action-plan-2023-to-2024-consultation-document" TargetMode="External"/><Relationship Id="rId25" Type="http://schemas.openxmlformats.org/officeDocument/2006/relationships/hyperlink" Target="https://doi.org/10.1016/j.vaccine.2020.09.048" TargetMode="External"/><Relationship Id="rId33" Type="http://schemas.openxmlformats.org/officeDocument/2006/relationships/hyperlink" Target="https://www.sportengland.org/research-and-data/research/disabled-people"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v.uk/government/publications/disability-action-plan/disability-action-plan" TargetMode="External"/><Relationship Id="rId20" Type="http://schemas.openxmlformats.org/officeDocument/2006/relationships/hyperlink" Target="https://www.healthinnowest.net/news/flu-people-with-a-learning-disability-are-at-greater-risk-of-developing-serious-illness/" TargetMode="External"/><Relationship Id="rId29" Type="http://schemas.openxmlformats.org/officeDocument/2006/relationships/hyperlink" Target="https://www.ons.gov.uk/peoplepopulationandcommunity/healthandsocialcare/healthinequaliti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aspd.eu/news-detail/new-research-finds-well-designed-disability-allowances-can-increase-income-without-discouraging-employment/" TargetMode="External"/><Relationship Id="rId24" Type="http://schemas.openxmlformats.org/officeDocument/2006/relationships/hyperlink" Target="https://doi.org/10.1016/j.dhjo.2021.101171" TargetMode="External"/><Relationship Id="rId32" Type="http://schemas.openxmlformats.org/officeDocument/2006/relationships/hyperlink" Target="https://www.jrf.org.uk/work/unlocking-benefits-tackling-barriers-for-disabled-people-wanting-to-work" TargetMode="External"/><Relationship Id="rId37" Type="http://schemas.openxmlformats.org/officeDocument/2006/relationships/hyperlink" Target="https://publications.parliament.uk/pa/cm5804/cmselect/cmwomeq/134/report.html"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statistics/influenza-in-the-uk-annual-epidemiological-report-winter-2024-to-2025/influenza-in-the-uk-annual-epidemiological-report-winter-2024-to-2025" TargetMode="External"/><Relationship Id="rId23" Type="http://schemas.openxmlformats.org/officeDocument/2006/relationships/hyperlink" Target="https://www.ons.gov.uk/peoplepopulationandcommunity/healthandsocialcare/disability/bulletins/disabilitywellbeingandlonelinessuk/2019" TargetMode="External"/><Relationship Id="rId28" Type="http://schemas.openxmlformats.org/officeDocument/2006/relationships/hyperlink" Target="https://doi.org/10.1186/s12889-021-11736-2" TargetMode="External"/><Relationship Id="rId36" Type="http://schemas.openxmlformats.org/officeDocument/2006/relationships/hyperlink" Target="https://doi.org/10.1016/j.mpmed.2021.09.015" TargetMode="External"/><Relationship Id="rId10" Type="http://schemas.openxmlformats.org/officeDocument/2006/relationships/hyperlink" Target="https://doi.org/10.1186/s12875-015-0329-3" TargetMode="External"/><Relationship Id="rId19" Type="http://schemas.openxmlformats.org/officeDocument/2006/relationships/hyperlink" Target="https://doi.org/10.1111/jir.12884" TargetMode="External"/><Relationship Id="rId31" Type="http://schemas.openxmlformats.org/officeDocument/2006/relationships/hyperlink" Target="https://doi.org/10.1016/j.dhjo.2020.101058" TargetMode="External"/><Relationship Id="rId4" Type="http://schemas.openxmlformats.org/officeDocument/2006/relationships/webSettings" Target="webSettings.xml"/><Relationship Id="rId9" Type="http://schemas.openxmlformats.org/officeDocument/2006/relationships/hyperlink" Target="https://www.citizensadvice.org.uk/policy/publications/the-uk-suffers-from-stark-health-inequalities-and-disability-benefit-cuts/" TargetMode="External"/><Relationship Id="rId14" Type="http://schemas.openxmlformats.org/officeDocument/2006/relationships/hyperlink" Target="https://doi.org/10.1111/irv.12506" TargetMode="External"/><Relationship Id="rId22" Type="http://schemas.openxmlformats.org/officeDocument/2006/relationships/hyperlink" Target="https://doi.org/10.1038/s41598-019-49273-z" TargetMode="External"/><Relationship Id="rId27" Type="http://schemas.openxmlformats.org/officeDocument/2006/relationships/hyperlink" Target="https://www.england.nhs.uk/statistics/statistical-work-areas/flu-vaccinations/" TargetMode="External"/><Relationship Id="rId30" Type="http://schemas.openxmlformats.org/officeDocument/2006/relationships/hyperlink" Target="https://oxfordhealth.nhs.uk/news/people-who-have-a-learning-disability-can-be-more-susceptible-to-the-effects-of-flu/" TargetMode="External"/><Relationship Id="rId35" Type="http://schemas.openxmlformats.org/officeDocument/2006/relationships/hyperlink" Target="https://doi.org/10.1136/jech-2021-216798" TargetMode="External"/><Relationship Id="rId8" Type="http://schemas.openxmlformats.org/officeDocument/2006/relationships/hyperlink" Target="https://chronicillnessinclusion.org.uk/our-work/elci-benefits-and-employmen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3EC308-A60F-4EA9-9213-E4D7AD7CC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4291</Words>
  <Characters>29914</Characters>
  <Application>Microsoft Office Word</Application>
  <DocSecurity>0</DocSecurity>
  <Lines>490</Lines>
  <Paragraphs>187</Paragraphs>
  <ScaleCrop>false</ScaleCrop>
  <Company/>
  <LinksUpToDate>false</LinksUpToDate>
  <CharactersWithSpaces>34018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2025-12-07T09:44:00Z</dcterms:created>
  <dcterms:modified xsi:type="dcterms:W3CDTF">2025-12-10T10:55:00Z</dcterms:modified>
</cp:coreProperties>
</file>