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62D6F2" w14:textId="77777777" w:rsidR="00B07440" w:rsidRDefault="00522350">
      <w:r>
        <w:t xml:space="preserve">Discuss the representation of disability (physical or mental) in either Greek or Roman literature and art. </w:t>
      </w:r>
    </w:p>
    <w:p w14:paraId="7ADCEFFB" w14:textId="77777777" w:rsidR="00292889" w:rsidRDefault="00292889"/>
    <w:p w14:paraId="08EF69DF" w14:textId="77777777" w:rsidR="00292889" w:rsidRDefault="002E510F">
      <w:r>
        <w:t xml:space="preserve">In my </w:t>
      </w:r>
      <w:r w:rsidR="005A42AC">
        <w:t>essay,</w:t>
      </w:r>
      <w:r>
        <w:t xml:space="preserve"> I will focus on the issue and Roman </w:t>
      </w:r>
      <w:r w:rsidR="00CC7EDD">
        <w:t>endeavour</w:t>
      </w:r>
      <w:r>
        <w:t xml:space="preserve"> of the exposure of infants, using Hephaestus </w:t>
      </w:r>
      <w:r w:rsidR="00842DF1">
        <w:t xml:space="preserve">as an example of </w:t>
      </w:r>
      <w:r w:rsidR="00855E01">
        <w:t xml:space="preserve">an abandoned infant </w:t>
      </w:r>
      <w:r w:rsidR="004D26BE">
        <w:t>in art</w:t>
      </w:r>
      <w:r w:rsidR="005A42AC">
        <w:t xml:space="preserve"> and literature</w:t>
      </w:r>
      <w:r w:rsidR="004D26BE">
        <w:t xml:space="preserve">. We consider the abandonment of a child, in the way the Romans do, </w:t>
      </w:r>
      <w:r w:rsidR="00CC7EDD">
        <w:t>heinous</w:t>
      </w:r>
      <w:r w:rsidR="004D26BE">
        <w:t xml:space="preserve"> and unthinkable. In contemporary soc</w:t>
      </w:r>
      <w:r w:rsidR="00CC7EDD">
        <w:t>iety, all children are precious, yet in roman culture the father or patriarch of the family very much had the final say on if the infant was to be kept or to be exposed</w:t>
      </w:r>
      <w:r w:rsidR="00CC7EDD">
        <w:rPr>
          <w:rStyle w:val="FootnoteReference"/>
        </w:rPr>
        <w:footnoteReference w:id="1"/>
      </w:r>
      <w:r w:rsidR="00CC7EDD">
        <w:t>. It is in the word ‘exposed’ we experience some debate as it is clear to us now that the exposed children would have died rather quickly due to the elements, hunger or</w:t>
      </w:r>
      <w:r w:rsidR="00937AA5">
        <w:t xml:space="preserve"> the attentions of wild animals. To the Roman</w:t>
      </w:r>
      <w:r w:rsidR="00D36F52">
        <w:t xml:space="preserve">s, the term exposure is used more commonly in the narrative as it was widely thought (by the romans) that </w:t>
      </w:r>
      <w:r w:rsidR="005A42AC">
        <w:t>the abandoned infant would be picked up and enslaved</w:t>
      </w:r>
      <w:r w:rsidR="005A42AC">
        <w:rPr>
          <w:rStyle w:val="FootnoteReference"/>
        </w:rPr>
        <w:footnoteReference w:id="2"/>
      </w:r>
      <w:r w:rsidR="00855E01">
        <w:t xml:space="preserve"> it is also worth mentioning that this was a totally legal method of limiting the size of a family</w:t>
      </w:r>
      <w:r w:rsidR="00855E01">
        <w:rPr>
          <w:rStyle w:val="FootnoteReference"/>
        </w:rPr>
        <w:footnoteReference w:id="3"/>
      </w:r>
      <w:r w:rsidR="005A42AC">
        <w:t xml:space="preserve">. </w:t>
      </w:r>
    </w:p>
    <w:p w14:paraId="63BD42E3" w14:textId="77777777" w:rsidR="005A42AC" w:rsidRDefault="005A42AC"/>
    <w:p w14:paraId="6EBBE51D" w14:textId="77777777" w:rsidR="00855E01" w:rsidRPr="00593540" w:rsidRDefault="005A42AC" w:rsidP="00F37484">
      <w:r>
        <w:t xml:space="preserve">Hephaestus is a key figure that represents an </w:t>
      </w:r>
      <w:r w:rsidR="001549F3">
        <w:t>induvial</w:t>
      </w:r>
      <w:r>
        <w:t xml:space="preserve"> with disabilities </w:t>
      </w:r>
      <w:r w:rsidR="00855E01">
        <w:t xml:space="preserve">in the ancient world and is one of the earliest </w:t>
      </w:r>
      <w:r w:rsidR="0056677E">
        <w:t>interpretations</w:t>
      </w:r>
      <w:r w:rsidR="00855E01">
        <w:t xml:space="preserve"> of disability from the ancient world. His origin myth is what connects him to my primary exploration of the topic of the exposure of infants, in some versions of this myth however it is important to note that it is considered that it is his fall </w:t>
      </w:r>
      <w:r w:rsidR="0056677E">
        <w:t>which causes him to be disabled but for my purposes today I will follow the more generally accepted form of the myth where he is born with his disability</w:t>
      </w:r>
      <w:r w:rsidR="00593540">
        <w:rPr>
          <w:rStyle w:val="FootnoteReference"/>
        </w:rPr>
        <w:footnoteReference w:id="4"/>
      </w:r>
      <w:r w:rsidR="0056677E">
        <w:t xml:space="preserve">. He is born out of </w:t>
      </w:r>
      <w:r w:rsidR="00593540">
        <w:t>jealousy</w:t>
      </w:r>
      <w:r w:rsidR="0056677E">
        <w:t xml:space="preserve"> and spite towards </w:t>
      </w:r>
      <w:r w:rsidR="00593540">
        <w:t>Zeus</w:t>
      </w:r>
      <w:r w:rsidR="0056677E">
        <w:t xml:space="preserve"> by </w:t>
      </w:r>
      <w:r w:rsidR="00593540">
        <w:t>Hera</w:t>
      </w:r>
      <w:r w:rsidR="0056677E">
        <w:t xml:space="preserve"> who is trying to replicate the solo birth of </w:t>
      </w:r>
      <w:r w:rsidR="00593540">
        <w:t>Zeus</w:t>
      </w:r>
      <w:r w:rsidR="0056677E">
        <w:t xml:space="preserve"> to Athena, in my interpretation I am unclear if the statement being made is that a child born of hate will be ‘monstrous’ or tha</w:t>
      </w:r>
      <w:r w:rsidR="00593540">
        <w:t xml:space="preserve">t a child born of woman alone will be of the same, exploring the idea that a woman cannot have a child on her own but a child born of man alone will be great (Athena), thinking of the Aristotle verse where he takes on the tact that women are the first on the ladder to being monsters (Aristotle </w:t>
      </w:r>
      <w:r w:rsidR="00593540">
        <w:rPr>
          <w:i/>
        </w:rPr>
        <w:t xml:space="preserve">on the generation of animals </w:t>
      </w:r>
      <w:r w:rsidR="00593540">
        <w:t>1) it becomes easier to make this assumption. Adjacent to this, the mother of the child in antiquity was not the one to decide if the infant was to be exposed</w:t>
      </w:r>
      <w:r w:rsidR="003F740D">
        <w:t xml:space="preserve">, yet in the myth it is Hera who casts Hephaestus from Olympus. Perhaps it was thought that by the goddess herself casting out the infant is meant as a message that abandoning your infant when they </w:t>
      </w:r>
      <w:proofErr w:type="gramStart"/>
      <w:r w:rsidR="003F740D">
        <w:t>are considered to be</w:t>
      </w:r>
      <w:proofErr w:type="gramEnd"/>
      <w:r w:rsidR="003F740D">
        <w:t xml:space="preserve"> disabled or disfigured was not in fact a morally gross thing to do.</w:t>
      </w:r>
    </w:p>
    <w:p w14:paraId="395183E5" w14:textId="77777777" w:rsidR="00855E01" w:rsidRDefault="00855E01" w:rsidP="00F37484"/>
    <w:p w14:paraId="073DB380" w14:textId="77777777" w:rsidR="00563484" w:rsidRDefault="005A42AC" w:rsidP="00F37484">
      <w:pPr>
        <w:rPr>
          <w:rFonts w:eastAsia="Times New Roman" w:cs="Times New Roman"/>
          <w:color w:val="231F20"/>
          <w:shd w:val="clear" w:color="auto" w:fill="FFFFFF"/>
          <w:lang w:eastAsia="en-GB"/>
        </w:rPr>
      </w:pPr>
      <w:r>
        <w:t xml:space="preserve">Little </w:t>
      </w:r>
      <w:r w:rsidR="003F740D">
        <w:t>can be said for what Hephaestus’s</w:t>
      </w:r>
      <w:r>
        <w:t xml:space="preserve"> </w:t>
      </w:r>
      <w:r w:rsidR="005D5525">
        <w:t xml:space="preserve">disability is specifically and </w:t>
      </w:r>
      <w:r w:rsidR="00422A2B">
        <w:t xml:space="preserve">is generally considered to be a sort </w:t>
      </w:r>
      <w:r w:rsidR="00422A2B" w:rsidRPr="002B3AC3">
        <w:t>of lameness which involves limping and sometimes ‘shrunken’ legs</w:t>
      </w:r>
      <w:r w:rsidR="00EC197B" w:rsidRPr="002B3AC3">
        <w:t xml:space="preserve"> (Homer, </w:t>
      </w:r>
      <w:r w:rsidR="00EC197B" w:rsidRPr="002B3AC3">
        <w:rPr>
          <w:i/>
        </w:rPr>
        <w:t xml:space="preserve">Iliad </w:t>
      </w:r>
      <w:r w:rsidR="00EC197B" w:rsidRPr="002B3AC3">
        <w:t xml:space="preserve">20.37; Homer, </w:t>
      </w:r>
      <w:r w:rsidR="00EC197B" w:rsidRPr="002B3AC3">
        <w:rPr>
          <w:i/>
        </w:rPr>
        <w:t xml:space="preserve">Iliad </w:t>
      </w:r>
      <w:r w:rsidR="00EC197B" w:rsidRPr="002B3AC3">
        <w:t xml:space="preserve">18.136). Albeit having some descriptions of what </w:t>
      </w:r>
      <w:r w:rsidR="001549F3" w:rsidRPr="002B3AC3">
        <w:t>Hephaestus</w:t>
      </w:r>
      <w:r w:rsidR="00EC197B" w:rsidRPr="002B3AC3">
        <w:t xml:space="preserve"> looks like </w:t>
      </w:r>
      <w:r w:rsidR="006F171A" w:rsidRPr="002B3AC3">
        <w:t xml:space="preserve">they are few and far between, for gaining an understanding on how the ancients viewed </w:t>
      </w:r>
      <w:r w:rsidR="0099006E" w:rsidRPr="002B3AC3">
        <w:t xml:space="preserve">those with physical disabilities we must turn to their art. </w:t>
      </w:r>
      <w:r w:rsidR="002B3AC3" w:rsidRPr="002B3AC3">
        <w:t>Hephaestus</w:t>
      </w:r>
      <w:r w:rsidR="0080201F" w:rsidRPr="002B3AC3">
        <w:t xml:space="preserve"> is clearly </w:t>
      </w:r>
      <w:r w:rsidR="002B3AC3" w:rsidRPr="002B3AC3">
        <w:t>envisioned</w:t>
      </w:r>
      <w:r w:rsidR="0080201F" w:rsidRPr="002B3AC3">
        <w:t xml:space="preserve"> as </w:t>
      </w:r>
      <w:r w:rsidR="0080201F" w:rsidRPr="002B3AC3">
        <w:lastRenderedPageBreak/>
        <w:t>struggling or being unable to walk, at least without assistance and is almost always depicted as s</w:t>
      </w:r>
      <w:r w:rsidR="002B3AC3" w:rsidRPr="002B3AC3">
        <w:t xml:space="preserve">itting down or riding a donkey. In one vase we see, as usual Hephaestus riding a donkey but this time we can </w:t>
      </w:r>
      <w:proofErr w:type="gramStart"/>
      <w:r w:rsidR="002B3AC3" w:rsidRPr="002B3AC3">
        <w:t>actually see</w:t>
      </w:r>
      <w:proofErr w:type="gramEnd"/>
      <w:r w:rsidR="002B3AC3" w:rsidRPr="002B3AC3">
        <w:t xml:space="preserve"> a physical deformity</w:t>
      </w:r>
      <w:r w:rsidR="00D03F81">
        <w:rPr>
          <w:rStyle w:val="FootnoteReference"/>
        </w:rPr>
        <w:footnoteReference w:id="5"/>
      </w:r>
      <w:r w:rsidR="00D03F81">
        <w:rPr>
          <w:rFonts w:eastAsia="Times New Roman" w:cs="Times New Roman"/>
          <w:color w:val="333333"/>
          <w:shd w:val="clear" w:color="auto" w:fill="FFFDF9"/>
          <w:lang w:eastAsia="en-GB"/>
        </w:rPr>
        <w:t>. T</w:t>
      </w:r>
      <w:r w:rsidR="002B3AC3">
        <w:rPr>
          <w:rFonts w:eastAsia="Times New Roman" w:cs="Times New Roman"/>
          <w:color w:val="333333"/>
          <w:shd w:val="clear" w:color="auto" w:fill="FFFDF9"/>
          <w:lang w:eastAsia="en-GB"/>
        </w:rPr>
        <w:t xml:space="preserve">his specific artwork depicts what clearly resembles a severe </w:t>
      </w:r>
      <w:r w:rsidR="00F37484">
        <w:rPr>
          <w:rFonts w:eastAsia="Times New Roman" w:cs="Times New Roman"/>
          <w:color w:val="333333"/>
          <w:shd w:val="clear" w:color="auto" w:fill="FFFDF9"/>
          <w:lang w:eastAsia="en-GB"/>
        </w:rPr>
        <w:t>case of the b</w:t>
      </w:r>
      <w:r w:rsidR="00D03F81">
        <w:rPr>
          <w:rFonts w:eastAsia="Times New Roman" w:cs="Times New Roman"/>
          <w:color w:val="333333"/>
          <w:shd w:val="clear" w:color="auto" w:fill="FFFDF9"/>
          <w:lang w:eastAsia="en-GB"/>
        </w:rPr>
        <w:t>irth defect, Clubfoot;</w:t>
      </w:r>
      <w:r w:rsidR="00F37484">
        <w:rPr>
          <w:rFonts w:eastAsia="Times New Roman" w:cs="Times New Roman"/>
          <w:color w:val="333333"/>
          <w:shd w:val="clear" w:color="auto" w:fill="FFFDF9"/>
          <w:lang w:eastAsia="en-GB"/>
        </w:rPr>
        <w:t xml:space="preserve"> Clubfoot means that the ‘</w:t>
      </w:r>
      <w:r w:rsidR="00F37484" w:rsidRPr="00F37484">
        <w:rPr>
          <w:rFonts w:eastAsia="Times New Roman" w:cs="Times New Roman"/>
          <w:color w:val="231F20"/>
          <w:shd w:val="clear" w:color="auto" w:fill="FFFFFF"/>
          <w:lang w:eastAsia="en-GB"/>
        </w:rPr>
        <w:t>foot points down and inwards, with the soles of the feet facing backwards’</w:t>
      </w:r>
      <w:r w:rsidR="00D03F81">
        <w:rPr>
          <w:rStyle w:val="FootnoteReference"/>
          <w:rFonts w:eastAsia="Times New Roman" w:cs="Times New Roman"/>
          <w:color w:val="231F20"/>
          <w:shd w:val="clear" w:color="auto" w:fill="FFFFFF"/>
          <w:lang w:eastAsia="en-GB"/>
        </w:rPr>
        <w:footnoteReference w:id="6"/>
      </w:r>
      <w:r w:rsidR="00D03F81">
        <w:rPr>
          <w:rFonts w:eastAsia="Times New Roman" w:cs="Times New Roman"/>
          <w:color w:val="231F20"/>
          <w:shd w:val="clear" w:color="auto" w:fill="FFFFFF"/>
          <w:lang w:eastAsia="en-GB"/>
        </w:rPr>
        <w:t xml:space="preserve">. </w:t>
      </w:r>
      <w:r w:rsidR="001E1B09">
        <w:rPr>
          <w:rFonts w:eastAsia="Times New Roman" w:cs="Times New Roman"/>
          <w:color w:val="231F20"/>
          <w:shd w:val="clear" w:color="auto" w:fill="FFFFFF"/>
          <w:lang w:eastAsia="en-GB"/>
        </w:rPr>
        <w:t xml:space="preserve">This can only suggest to us that having read or most likely heard descriptions of this god the artist has taken this into a form of disability in the legs that he has seen or knows of himself. </w:t>
      </w:r>
      <w:r w:rsidR="00563484">
        <w:rPr>
          <w:rFonts w:eastAsia="Times New Roman" w:cs="Times New Roman"/>
          <w:color w:val="231F20"/>
          <w:shd w:val="clear" w:color="auto" w:fill="FFFFFF"/>
          <w:lang w:eastAsia="en-GB"/>
        </w:rPr>
        <w:t xml:space="preserve">From this point is it fair to assume that other figures in myth with disabilities are inspired solely by those that have been seen before? As another example we see the </w:t>
      </w:r>
      <w:r w:rsidR="00497477">
        <w:rPr>
          <w:rFonts w:eastAsia="Times New Roman" w:cs="Times New Roman"/>
          <w:color w:val="231F20"/>
          <w:shd w:val="clear" w:color="auto" w:fill="FFFFFF"/>
          <w:lang w:eastAsia="en-GB"/>
        </w:rPr>
        <w:t>cyclops, whom although seen more as a mythological creature rather than a person, or god in the case of Hephaestus. It is a common sight in both lambs and calves for them to share the common trait with the cyclops of only one eye, creatures such as these often die shortly after birth or are still born</w:t>
      </w:r>
      <w:r w:rsidR="00855E01">
        <w:rPr>
          <w:rFonts w:eastAsia="Times New Roman" w:cs="Times New Roman"/>
          <w:color w:val="231F20"/>
          <w:shd w:val="clear" w:color="auto" w:fill="FFFFFF"/>
          <w:lang w:eastAsia="en-GB"/>
        </w:rPr>
        <w:t>.</w:t>
      </w:r>
    </w:p>
    <w:p w14:paraId="651BD7AA" w14:textId="77777777" w:rsidR="00855E01" w:rsidRDefault="00855E01" w:rsidP="00F37484">
      <w:pPr>
        <w:rPr>
          <w:rFonts w:eastAsia="Times New Roman" w:cs="Times New Roman"/>
          <w:color w:val="231F20"/>
          <w:shd w:val="clear" w:color="auto" w:fill="FFFFFF"/>
          <w:lang w:eastAsia="en-GB"/>
        </w:rPr>
      </w:pPr>
    </w:p>
    <w:p w14:paraId="782D8E5D" w14:textId="77777777" w:rsidR="00855E01" w:rsidRPr="00683B67" w:rsidRDefault="003F740D" w:rsidP="00F37484">
      <w:pPr>
        <w:rPr>
          <w:rFonts w:eastAsia="Times New Roman" w:cs="Times New Roman"/>
          <w:color w:val="231F20"/>
          <w:shd w:val="clear" w:color="auto" w:fill="FFFFFF"/>
          <w:lang w:eastAsia="en-GB"/>
        </w:rPr>
      </w:pPr>
      <w:r>
        <w:rPr>
          <w:rFonts w:eastAsia="Times New Roman" w:cs="Times New Roman"/>
          <w:color w:val="231F20"/>
          <w:shd w:val="clear" w:color="auto" w:fill="FFFFFF"/>
          <w:lang w:eastAsia="en-GB"/>
        </w:rPr>
        <w:t>It is of great importance to address the social attitudes of the ancient world when discussing disability</w:t>
      </w:r>
      <w:r w:rsidR="006F29A0">
        <w:rPr>
          <w:rFonts w:eastAsia="Times New Roman" w:cs="Times New Roman"/>
          <w:color w:val="231F20"/>
          <w:shd w:val="clear" w:color="auto" w:fill="FFFFFF"/>
          <w:lang w:eastAsia="en-GB"/>
        </w:rPr>
        <w:t xml:space="preserve">. Just like most of life in antiquity we find that attitudes to those with disability come from a place of religion and the </w:t>
      </w:r>
      <w:r w:rsidR="00683B67">
        <w:rPr>
          <w:rFonts w:eastAsia="Times New Roman" w:cs="Times New Roman"/>
          <w:color w:val="231F20"/>
          <w:shd w:val="clear" w:color="auto" w:fill="FFFFFF"/>
          <w:lang w:eastAsia="en-GB"/>
        </w:rPr>
        <w:t>Greco-Roman</w:t>
      </w:r>
      <w:r w:rsidR="006F29A0">
        <w:rPr>
          <w:rFonts w:eastAsia="Times New Roman" w:cs="Times New Roman"/>
          <w:color w:val="231F20"/>
          <w:shd w:val="clear" w:color="auto" w:fill="FFFFFF"/>
          <w:lang w:eastAsia="en-GB"/>
        </w:rPr>
        <w:t xml:space="preserve"> idea that those who are beautiful and ‘whole’ have the favour of the gods</w:t>
      </w:r>
      <w:r w:rsidR="00683B67">
        <w:rPr>
          <w:rStyle w:val="FootnoteReference"/>
          <w:rFonts w:eastAsia="Times New Roman" w:cs="Times New Roman"/>
          <w:color w:val="231F20"/>
          <w:shd w:val="clear" w:color="auto" w:fill="FFFFFF"/>
          <w:lang w:eastAsia="en-GB"/>
        </w:rPr>
        <w:footnoteReference w:id="7"/>
      </w:r>
      <w:r w:rsidR="006F29A0">
        <w:rPr>
          <w:rFonts w:eastAsia="Times New Roman" w:cs="Times New Roman"/>
          <w:color w:val="231F20"/>
          <w:shd w:val="clear" w:color="auto" w:fill="FFFFFF"/>
          <w:lang w:eastAsia="en-GB"/>
        </w:rPr>
        <w:t xml:space="preserve">. </w:t>
      </w:r>
      <w:r w:rsidR="00683B67">
        <w:rPr>
          <w:rFonts w:eastAsia="Times New Roman" w:cs="Times New Roman"/>
          <w:color w:val="231F20"/>
          <w:shd w:val="clear" w:color="auto" w:fill="FFFFFF"/>
          <w:lang w:eastAsia="en-GB"/>
        </w:rPr>
        <w:t xml:space="preserve">On a separate yet parallel note to this there is the notion that those who are disfigured by disease and who are naturally going blind are to be regarded with pity (Plato </w:t>
      </w:r>
      <w:r w:rsidR="00683B67">
        <w:rPr>
          <w:rFonts w:eastAsia="Times New Roman" w:cs="Times New Roman"/>
          <w:i/>
          <w:color w:val="231F20"/>
          <w:shd w:val="clear" w:color="auto" w:fill="FFFFFF"/>
          <w:lang w:eastAsia="en-GB"/>
        </w:rPr>
        <w:t xml:space="preserve">Protagoras </w:t>
      </w:r>
      <w:r w:rsidR="00683B67">
        <w:rPr>
          <w:rFonts w:eastAsia="Times New Roman" w:cs="Times New Roman"/>
          <w:color w:val="231F20"/>
          <w:shd w:val="clear" w:color="auto" w:fill="FFFFFF"/>
          <w:lang w:eastAsia="en-GB"/>
        </w:rPr>
        <w:t xml:space="preserve">323d) and perhaps the same outlook was given to those with lifelong disabilities but this is unclear but when the notion of luck comes into the attitudes of those who are considered able-bodied it seems likely that there was a notion of pity to all </w:t>
      </w:r>
      <w:r w:rsidR="00E17AD4">
        <w:rPr>
          <w:rFonts w:eastAsia="Times New Roman" w:cs="Times New Roman"/>
          <w:color w:val="231F20"/>
          <w:shd w:val="clear" w:color="auto" w:fill="FFFFFF"/>
          <w:lang w:eastAsia="en-GB"/>
        </w:rPr>
        <w:t xml:space="preserve">those with impairments. </w:t>
      </w:r>
      <w:r w:rsidR="00C67EAC">
        <w:rPr>
          <w:rFonts w:eastAsia="Times New Roman" w:cs="Times New Roman"/>
          <w:color w:val="231F20"/>
          <w:shd w:val="clear" w:color="auto" w:fill="FFFFFF"/>
          <w:lang w:eastAsia="en-GB"/>
        </w:rPr>
        <w:t xml:space="preserve">As aforementioned, primary issues with figures with physical disabilities was the aesthetic issue which although ties into religion, the way a person looked was more than this was a critical part of </w:t>
      </w:r>
      <w:r w:rsidR="00B360BB">
        <w:rPr>
          <w:rFonts w:eastAsia="Times New Roman" w:cs="Times New Roman"/>
          <w:color w:val="231F20"/>
          <w:shd w:val="clear" w:color="auto" w:fill="FFFFFF"/>
          <w:lang w:eastAsia="en-GB"/>
        </w:rPr>
        <w:t>Greco-Roman</w:t>
      </w:r>
      <w:r w:rsidR="00C67EAC">
        <w:rPr>
          <w:rFonts w:eastAsia="Times New Roman" w:cs="Times New Roman"/>
          <w:color w:val="231F20"/>
          <w:shd w:val="clear" w:color="auto" w:fill="FFFFFF"/>
          <w:lang w:eastAsia="en-GB"/>
        </w:rPr>
        <w:t xml:space="preserve"> culture, particularly amongst the upper class. Martha L. Rose, author of ‘the staff of Oedipus’ argues in her book that despite the </w:t>
      </w:r>
      <w:r w:rsidR="00B360BB">
        <w:rPr>
          <w:rFonts w:eastAsia="Times New Roman" w:cs="Times New Roman"/>
          <w:color w:val="231F20"/>
          <w:shd w:val="clear" w:color="auto" w:fill="FFFFFF"/>
          <w:lang w:eastAsia="en-GB"/>
        </w:rPr>
        <w:t>ugliness</w:t>
      </w:r>
      <w:r w:rsidR="00C67EAC">
        <w:rPr>
          <w:rFonts w:eastAsia="Times New Roman" w:cs="Times New Roman"/>
          <w:color w:val="231F20"/>
          <w:shd w:val="clear" w:color="auto" w:fill="FFFFFF"/>
          <w:lang w:eastAsia="en-GB"/>
        </w:rPr>
        <w:t xml:space="preserve"> of a baby it would not be killed based on looks alone, however this separates the issues of ugliness and disfigurement as a part of disability as the god </w:t>
      </w:r>
      <w:r w:rsidR="00B360BB">
        <w:rPr>
          <w:rFonts w:eastAsia="Times New Roman" w:cs="Times New Roman"/>
          <w:color w:val="231F20"/>
          <w:shd w:val="clear" w:color="auto" w:fill="FFFFFF"/>
          <w:lang w:eastAsia="en-GB"/>
        </w:rPr>
        <w:t>Hephaestus</w:t>
      </w:r>
      <w:r w:rsidR="00C67EAC">
        <w:rPr>
          <w:rFonts w:eastAsia="Times New Roman" w:cs="Times New Roman"/>
          <w:color w:val="231F20"/>
          <w:shd w:val="clear" w:color="auto" w:fill="FFFFFF"/>
          <w:lang w:eastAsia="en-GB"/>
        </w:rPr>
        <w:t xml:space="preserve"> was considered gross and misshapen</w:t>
      </w:r>
      <w:r w:rsidR="00B360BB">
        <w:rPr>
          <w:rFonts w:eastAsia="Times New Roman" w:cs="Times New Roman"/>
          <w:color w:val="231F20"/>
          <w:shd w:val="clear" w:color="auto" w:fill="FFFFFF"/>
          <w:lang w:eastAsia="en-GB"/>
        </w:rPr>
        <w:t>, yet is known as disabled individual</w:t>
      </w:r>
      <w:r w:rsidR="00B360BB">
        <w:rPr>
          <w:rStyle w:val="FootnoteReference"/>
          <w:rFonts w:eastAsia="Times New Roman" w:cs="Times New Roman"/>
          <w:color w:val="231F20"/>
          <w:shd w:val="clear" w:color="auto" w:fill="FFFFFF"/>
          <w:lang w:eastAsia="en-GB"/>
        </w:rPr>
        <w:footnoteReference w:id="8"/>
      </w:r>
      <w:r w:rsidR="00B360BB">
        <w:rPr>
          <w:rFonts w:eastAsia="Times New Roman" w:cs="Times New Roman"/>
          <w:color w:val="231F20"/>
          <w:shd w:val="clear" w:color="auto" w:fill="FFFFFF"/>
          <w:lang w:eastAsia="en-GB"/>
        </w:rPr>
        <w:t>. Rose also states that although most disabled or deformed babies were killed, individuals with ‘physical abnormalities would still have populated the ancient world’ and that archaeological evidence shows that over forty percent of adults had a bone disease</w:t>
      </w:r>
      <w:r w:rsidR="00B360BB">
        <w:rPr>
          <w:rStyle w:val="FootnoteReference"/>
          <w:rFonts w:eastAsia="Times New Roman" w:cs="Times New Roman"/>
          <w:color w:val="231F20"/>
          <w:shd w:val="clear" w:color="auto" w:fill="FFFFFF"/>
          <w:lang w:eastAsia="en-GB"/>
        </w:rPr>
        <w:footnoteReference w:id="9"/>
      </w:r>
      <w:r w:rsidR="00B360BB">
        <w:rPr>
          <w:rFonts w:eastAsia="Times New Roman" w:cs="Times New Roman"/>
          <w:color w:val="231F20"/>
          <w:shd w:val="clear" w:color="auto" w:fill="FFFFFF"/>
          <w:lang w:eastAsia="en-GB"/>
        </w:rPr>
        <w:t xml:space="preserve">. However, perhaps it was the case that many of these defects were not detectable or even present at birth, nay throughout the individual’s whole life, which may explain why they were not exposed at birth. </w:t>
      </w:r>
    </w:p>
    <w:p w14:paraId="06BB7E6C" w14:textId="77777777" w:rsidR="001327BA" w:rsidRDefault="001327BA" w:rsidP="00F37484">
      <w:pPr>
        <w:rPr>
          <w:rFonts w:eastAsia="Times New Roman" w:cs="Times New Roman"/>
          <w:color w:val="231F20"/>
          <w:shd w:val="clear" w:color="auto" w:fill="FFFFFF"/>
          <w:lang w:eastAsia="en-GB"/>
        </w:rPr>
      </w:pPr>
    </w:p>
    <w:p w14:paraId="61EDB9CB" w14:textId="77777777" w:rsidR="00DB2505" w:rsidRPr="00DB2505" w:rsidRDefault="001327BA" w:rsidP="00F37484">
      <w:pPr>
        <w:rPr>
          <w:rFonts w:eastAsia="Times New Roman" w:cs="Times New Roman"/>
          <w:color w:val="231F20"/>
          <w:shd w:val="clear" w:color="auto" w:fill="FFFFFF"/>
          <w:lang w:eastAsia="en-GB"/>
        </w:rPr>
      </w:pPr>
      <w:r>
        <w:rPr>
          <w:rFonts w:eastAsia="Times New Roman" w:cs="Times New Roman"/>
          <w:color w:val="231F20"/>
          <w:shd w:val="clear" w:color="auto" w:fill="FFFFFF"/>
          <w:lang w:eastAsia="en-GB"/>
        </w:rPr>
        <w:t xml:space="preserve">Fear of the unknown and the </w:t>
      </w:r>
      <w:r w:rsidR="006769CA">
        <w:rPr>
          <w:rFonts w:eastAsia="Times New Roman" w:cs="Times New Roman"/>
          <w:color w:val="231F20"/>
          <w:shd w:val="clear" w:color="auto" w:fill="FFFFFF"/>
          <w:lang w:eastAsia="en-GB"/>
        </w:rPr>
        <w:t>Greco-Roman</w:t>
      </w:r>
      <w:r>
        <w:rPr>
          <w:rFonts w:eastAsia="Times New Roman" w:cs="Times New Roman"/>
          <w:color w:val="231F20"/>
          <w:shd w:val="clear" w:color="auto" w:fill="FFFFFF"/>
          <w:lang w:eastAsia="en-GB"/>
        </w:rPr>
        <w:t xml:space="preserve"> ideals of strength and ‘good looks’ lead to babies who are disabled being abandoned, then those who are born able-bodied and of able-mind are abandoned due to rampant poverty or too many daughters. We know that there are those with milder disabilities who lived to adulthood, our main examples are through myth but as I state throughout this essay, real life was a huge influence on myth and with slight twists and turns was made into thrilling tales of despair </w:t>
      </w:r>
      <w:r w:rsidR="0039151E">
        <w:rPr>
          <w:rFonts w:eastAsia="Times New Roman" w:cs="Times New Roman"/>
          <w:color w:val="231F20"/>
          <w:shd w:val="clear" w:color="auto" w:fill="FFFFFF"/>
          <w:lang w:eastAsia="en-GB"/>
        </w:rPr>
        <w:t xml:space="preserve">and love. We see Hephaestus and Oedipus reach adulthood, though this work is of myth we do not get an accurate depiction of how an individual with a disability would have lived in regular society, though through the ridicule we see Hephaestus receive we cannot assume life was easy for those with any form of disability in a world where only the strongest of the strong survive. We also have mythological figures such as the cyclopes who a much more likely to have been plucked straight from myth, yet still inspired from real life as most literary figures are. In </w:t>
      </w:r>
      <w:r w:rsidR="006769CA">
        <w:rPr>
          <w:rFonts w:eastAsia="Times New Roman" w:cs="Times New Roman"/>
          <w:color w:val="231F20"/>
          <w:shd w:val="clear" w:color="auto" w:fill="FFFFFF"/>
          <w:lang w:eastAsia="en-GB"/>
        </w:rPr>
        <w:t>literature,</w:t>
      </w:r>
      <w:r w:rsidR="00DB2505">
        <w:rPr>
          <w:rFonts w:eastAsia="Times New Roman" w:cs="Times New Roman"/>
          <w:color w:val="231F20"/>
          <w:shd w:val="clear" w:color="auto" w:fill="FFFFFF"/>
          <w:lang w:eastAsia="en-GB"/>
        </w:rPr>
        <w:t xml:space="preserve"> we also have the noble </w:t>
      </w:r>
      <w:r w:rsidR="006769CA">
        <w:rPr>
          <w:rFonts w:eastAsia="Times New Roman" w:cs="Times New Roman"/>
          <w:color w:val="231F20"/>
          <w:shd w:val="clear" w:color="auto" w:fill="FFFFFF"/>
          <w:lang w:eastAsia="en-GB"/>
        </w:rPr>
        <w:t>shepherds</w:t>
      </w:r>
      <w:r w:rsidR="00DB2505">
        <w:rPr>
          <w:rFonts w:eastAsia="Times New Roman" w:cs="Times New Roman"/>
          <w:color w:val="231F20"/>
          <w:shd w:val="clear" w:color="auto" w:fill="FFFFFF"/>
          <w:lang w:eastAsia="en-GB"/>
        </w:rPr>
        <w:t xml:space="preserve"> and farmers who take in these </w:t>
      </w:r>
      <w:r w:rsidR="006769CA">
        <w:rPr>
          <w:rFonts w:eastAsia="Times New Roman" w:cs="Times New Roman"/>
          <w:color w:val="231F20"/>
          <w:shd w:val="clear" w:color="auto" w:fill="FFFFFF"/>
          <w:lang w:eastAsia="en-GB"/>
        </w:rPr>
        <w:t xml:space="preserve">abandoned babies – the founding of Rome itself is based on such a myth. It was the hope of the parents that their exposed infants would </w:t>
      </w:r>
      <w:proofErr w:type="gramStart"/>
      <w:r w:rsidR="006769CA">
        <w:rPr>
          <w:rFonts w:eastAsia="Times New Roman" w:cs="Times New Roman"/>
          <w:color w:val="231F20"/>
          <w:shd w:val="clear" w:color="auto" w:fill="FFFFFF"/>
          <w:lang w:eastAsia="en-GB"/>
        </w:rPr>
        <w:t>actually survive</w:t>
      </w:r>
      <w:proofErr w:type="gramEnd"/>
      <w:r w:rsidR="006769CA">
        <w:rPr>
          <w:rFonts w:eastAsia="Times New Roman" w:cs="Times New Roman"/>
          <w:color w:val="231F20"/>
          <w:shd w:val="clear" w:color="auto" w:fill="FFFFFF"/>
          <w:lang w:eastAsia="en-GB"/>
        </w:rPr>
        <w:t>, in an idealistic world, to be raised by a kindly farmer and live out their days. Was the same hope held by those who exposed an abandoned a disabled infant? Perhaps, but from what we can astatine from what little we have on the treatment</w:t>
      </w:r>
      <w:r w:rsidR="00520096">
        <w:rPr>
          <w:rFonts w:eastAsia="Times New Roman" w:cs="Times New Roman"/>
          <w:color w:val="231F20"/>
          <w:shd w:val="clear" w:color="auto" w:fill="FFFFFF"/>
          <w:lang w:eastAsia="en-GB"/>
        </w:rPr>
        <w:t xml:space="preserve"> of disabled infants in art and </w:t>
      </w:r>
      <w:r w:rsidR="006769CA">
        <w:rPr>
          <w:rFonts w:eastAsia="Times New Roman" w:cs="Times New Roman"/>
          <w:color w:val="231F20"/>
          <w:shd w:val="clear" w:color="auto" w:fill="FFFFFF"/>
          <w:lang w:eastAsia="en-GB"/>
        </w:rPr>
        <w:t xml:space="preserve">myth, </w:t>
      </w:r>
      <w:r w:rsidR="00520096">
        <w:rPr>
          <w:rFonts w:eastAsia="Times New Roman" w:cs="Times New Roman"/>
          <w:color w:val="231F20"/>
          <w:shd w:val="clear" w:color="auto" w:fill="FFFFFF"/>
          <w:lang w:eastAsia="en-GB"/>
        </w:rPr>
        <w:t xml:space="preserve">despite </w:t>
      </w:r>
      <w:r w:rsidR="00C5150E">
        <w:rPr>
          <w:rFonts w:eastAsia="Times New Roman" w:cs="Times New Roman"/>
          <w:color w:val="231F20"/>
          <w:shd w:val="clear" w:color="auto" w:fill="FFFFFF"/>
          <w:lang w:eastAsia="en-GB"/>
        </w:rPr>
        <w:t>their</w:t>
      </w:r>
      <w:r w:rsidR="00520096">
        <w:rPr>
          <w:rFonts w:eastAsia="Times New Roman" w:cs="Times New Roman"/>
          <w:color w:val="231F20"/>
          <w:shd w:val="clear" w:color="auto" w:fill="FFFFFF"/>
          <w:lang w:eastAsia="en-GB"/>
        </w:rPr>
        <w:t xml:space="preserve"> seeming to be little bias towards those </w:t>
      </w:r>
      <w:r w:rsidR="00C5150E">
        <w:rPr>
          <w:rFonts w:eastAsia="Times New Roman" w:cs="Times New Roman"/>
          <w:color w:val="231F20"/>
          <w:shd w:val="clear" w:color="auto" w:fill="FFFFFF"/>
          <w:lang w:eastAsia="en-GB"/>
        </w:rPr>
        <w:t xml:space="preserve">with deformities who made it to adulthood, </w:t>
      </w:r>
      <w:r w:rsidR="006769CA">
        <w:rPr>
          <w:rFonts w:eastAsia="Times New Roman" w:cs="Times New Roman"/>
          <w:color w:val="231F20"/>
          <w:shd w:val="clear" w:color="auto" w:fill="FFFFFF"/>
          <w:lang w:eastAsia="en-GB"/>
        </w:rPr>
        <w:t xml:space="preserve">the reality may not have been so. </w:t>
      </w:r>
    </w:p>
    <w:p w14:paraId="77FD824D" w14:textId="77777777" w:rsidR="002B3AC3" w:rsidRPr="00CC7EDD" w:rsidRDefault="002B3AC3" w:rsidP="002B3AC3">
      <w:pPr>
        <w:rPr>
          <w:rFonts w:ascii="Times New Roman" w:eastAsia="Times New Roman" w:hAnsi="Times New Roman" w:cs="Times New Roman"/>
          <w:lang w:eastAsia="en-GB"/>
        </w:rPr>
      </w:pPr>
    </w:p>
    <w:p w14:paraId="537CB0D8" w14:textId="77777777" w:rsidR="00CC7EDD" w:rsidRDefault="00CC7EDD"/>
    <w:p w14:paraId="71992575" w14:textId="77777777" w:rsidR="00555650" w:rsidRDefault="00555650"/>
    <w:p w14:paraId="1B3EF54A" w14:textId="77777777" w:rsidR="00555650" w:rsidRDefault="00555650">
      <w:bookmarkStart w:id="0" w:name="_GoBack"/>
      <w:bookmarkEnd w:id="0"/>
    </w:p>
    <w:p w14:paraId="5954CE0E" w14:textId="77777777" w:rsidR="00555650" w:rsidRDefault="00555650"/>
    <w:p w14:paraId="2571D571" w14:textId="77777777" w:rsidR="00555650" w:rsidRPr="00555650" w:rsidRDefault="00555650">
      <w:pPr>
        <w:rPr>
          <w:u w:val="single"/>
        </w:rPr>
      </w:pPr>
      <w:r w:rsidRPr="00555650">
        <w:rPr>
          <w:u w:val="single"/>
        </w:rPr>
        <w:t xml:space="preserve">Bibliography </w:t>
      </w:r>
    </w:p>
    <w:p w14:paraId="1B16082D" w14:textId="77777777" w:rsidR="00CC7EDD" w:rsidRDefault="00CC7EDD"/>
    <w:p w14:paraId="37445BB3" w14:textId="77777777" w:rsidR="00555650" w:rsidRPr="00555650" w:rsidRDefault="00555650" w:rsidP="00555650">
      <w:pPr>
        <w:pStyle w:val="NormalWeb"/>
        <w:spacing w:before="0" w:beforeAutospacing="0" w:after="180" w:afterAutospacing="0"/>
        <w:ind w:left="450" w:hanging="450"/>
        <w:rPr>
          <w:rFonts w:asciiTheme="minorHAnsi" w:hAnsiTheme="minorHAnsi"/>
          <w:color w:val="000000"/>
        </w:rPr>
      </w:pPr>
      <w:r w:rsidRPr="00555650">
        <w:rPr>
          <w:rFonts w:asciiTheme="minorHAnsi" w:hAnsiTheme="minorHAnsi"/>
          <w:color w:val="000000"/>
        </w:rPr>
        <w:t>Carroll, M. and Graham, E. (2014). </w:t>
      </w:r>
      <w:r w:rsidRPr="00555650">
        <w:rPr>
          <w:rFonts w:asciiTheme="minorHAnsi" w:hAnsiTheme="minorHAnsi"/>
          <w:i/>
          <w:iCs/>
          <w:color w:val="000000"/>
        </w:rPr>
        <w:t>Infant health and death in Roman Italy and beyond</w:t>
      </w:r>
      <w:r w:rsidRPr="00555650">
        <w:rPr>
          <w:rFonts w:asciiTheme="minorHAnsi" w:hAnsiTheme="minorHAnsi"/>
          <w:color w:val="000000"/>
        </w:rPr>
        <w:t>. Portsmouth, Rhode Island: Journal of Roman Archaeology.</w:t>
      </w:r>
    </w:p>
    <w:p w14:paraId="547EA217" w14:textId="77777777" w:rsidR="00555650" w:rsidRPr="00555650" w:rsidRDefault="00555650" w:rsidP="00555650">
      <w:pPr>
        <w:pStyle w:val="NormalWeb"/>
        <w:spacing w:before="0" w:beforeAutospacing="0" w:after="180" w:afterAutospacing="0"/>
        <w:ind w:left="450" w:hanging="450"/>
        <w:rPr>
          <w:rFonts w:asciiTheme="minorHAnsi" w:hAnsiTheme="minorHAnsi"/>
          <w:color w:val="000000"/>
        </w:rPr>
      </w:pPr>
      <w:proofErr w:type="spellStart"/>
      <w:r w:rsidRPr="00555650">
        <w:rPr>
          <w:rFonts w:asciiTheme="minorHAnsi" w:hAnsiTheme="minorHAnsi"/>
          <w:color w:val="000000"/>
        </w:rPr>
        <w:t>Ebenstein</w:t>
      </w:r>
      <w:proofErr w:type="spellEnd"/>
      <w:r w:rsidRPr="00555650">
        <w:rPr>
          <w:rFonts w:asciiTheme="minorHAnsi" w:hAnsiTheme="minorHAnsi"/>
          <w:color w:val="000000"/>
        </w:rPr>
        <w:t>, W. (2006). Toward an Archetypal Psychology of Disability Based on the Hephaestus Myth. </w:t>
      </w:r>
      <w:r w:rsidRPr="00555650">
        <w:rPr>
          <w:rFonts w:asciiTheme="minorHAnsi" w:hAnsiTheme="minorHAnsi"/>
          <w:i/>
          <w:iCs/>
          <w:color w:val="000000"/>
        </w:rPr>
        <w:t>Disability Studies Quarterly</w:t>
      </w:r>
      <w:r w:rsidRPr="00555650">
        <w:rPr>
          <w:rFonts w:asciiTheme="minorHAnsi" w:hAnsiTheme="minorHAnsi"/>
          <w:color w:val="000000"/>
        </w:rPr>
        <w:t>, 26(4).</w:t>
      </w:r>
    </w:p>
    <w:p w14:paraId="191D31D0" w14:textId="77777777" w:rsidR="00555650" w:rsidRPr="00555650" w:rsidRDefault="00555650" w:rsidP="00555650">
      <w:pPr>
        <w:pStyle w:val="NormalWeb"/>
        <w:spacing w:before="0" w:beforeAutospacing="0" w:after="180" w:afterAutospacing="0"/>
        <w:ind w:left="450" w:hanging="450"/>
        <w:rPr>
          <w:rFonts w:asciiTheme="minorHAnsi" w:hAnsiTheme="minorHAnsi"/>
          <w:color w:val="000000"/>
        </w:rPr>
      </w:pPr>
      <w:r w:rsidRPr="00555650">
        <w:rPr>
          <w:rFonts w:asciiTheme="minorHAnsi" w:hAnsiTheme="minorHAnsi"/>
          <w:color w:val="000000"/>
        </w:rPr>
        <w:t>Garland, R. (2010). </w:t>
      </w:r>
      <w:r w:rsidRPr="00555650">
        <w:rPr>
          <w:rFonts w:asciiTheme="minorHAnsi" w:hAnsiTheme="minorHAnsi"/>
          <w:i/>
          <w:iCs/>
          <w:color w:val="000000"/>
        </w:rPr>
        <w:t>The eye of the beholder</w:t>
      </w:r>
      <w:r w:rsidRPr="00555650">
        <w:rPr>
          <w:rFonts w:asciiTheme="minorHAnsi" w:hAnsiTheme="minorHAnsi"/>
          <w:color w:val="000000"/>
        </w:rPr>
        <w:t>. London: Duckworth.</w:t>
      </w:r>
    </w:p>
    <w:p w14:paraId="100CA9CB" w14:textId="77777777" w:rsidR="00555650" w:rsidRPr="00555650" w:rsidRDefault="00555650" w:rsidP="00555650">
      <w:pPr>
        <w:pStyle w:val="NormalWeb"/>
        <w:spacing w:before="0" w:beforeAutospacing="0" w:after="180" w:afterAutospacing="0"/>
        <w:ind w:left="450" w:hanging="450"/>
        <w:rPr>
          <w:rFonts w:asciiTheme="minorHAnsi" w:hAnsiTheme="minorHAnsi"/>
          <w:color w:val="000000"/>
        </w:rPr>
      </w:pPr>
      <w:r w:rsidRPr="00555650">
        <w:rPr>
          <w:rFonts w:asciiTheme="minorHAnsi" w:hAnsiTheme="minorHAnsi"/>
          <w:color w:val="000000"/>
        </w:rPr>
        <w:t xml:space="preserve">Garnsey, P. and </w:t>
      </w:r>
      <w:proofErr w:type="spellStart"/>
      <w:r w:rsidRPr="00555650">
        <w:rPr>
          <w:rFonts w:asciiTheme="minorHAnsi" w:hAnsiTheme="minorHAnsi"/>
          <w:color w:val="000000"/>
        </w:rPr>
        <w:t>Saller</w:t>
      </w:r>
      <w:proofErr w:type="spellEnd"/>
      <w:r w:rsidRPr="00555650">
        <w:rPr>
          <w:rFonts w:asciiTheme="minorHAnsi" w:hAnsiTheme="minorHAnsi"/>
          <w:color w:val="000000"/>
        </w:rPr>
        <w:t>, R. (</w:t>
      </w:r>
      <w:proofErr w:type="spellStart"/>
      <w:r w:rsidRPr="00555650">
        <w:rPr>
          <w:rFonts w:asciiTheme="minorHAnsi" w:hAnsiTheme="minorHAnsi"/>
          <w:color w:val="000000"/>
        </w:rPr>
        <w:t>n.d.</w:t>
      </w:r>
      <w:proofErr w:type="spellEnd"/>
      <w:r w:rsidRPr="00555650">
        <w:rPr>
          <w:rFonts w:asciiTheme="minorHAnsi" w:hAnsiTheme="minorHAnsi"/>
          <w:color w:val="000000"/>
        </w:rPr>
        <w:t>). </w:t>
      </w:r>
      <w:r w:rsidRPr="00555650">
        <w:rPr>
          <w:rFonts w:asciiTheme="minorHAnsi" w:hAnsiTheme="minorHAnsi"/>
          <w:i/>
          <w:iCs/>
          <w:color w:val="000000"/>
        </w:rPr>
        <w:t>The Roman Empire</w:t>
      </w:r>
      <w:r w:rsidRPr="00555650">
        <w:rPr>
          <w:rFonts w:asciiTheme="minorHAnsi" w:hAnsiTheme="minorHAnsi"/>
          <w:color w:val="000000"/>
        </w:rPr>
        <w:t>.</w:t>
      </w:r>
    </w:p>
    <w:p w14:paraId="50DA912F" w14:textId="77777777" w:rsidR="00555650" w:rsidRPr="00555650" w:rsidRDefault="00555650" w:rsidP="00555650">
      <w:pPr>
        <w:pStyle w:val="NormalWeb"/>
        <w:spacing w:before="0" w:beforeAutospacing="0" w:after="180" w:afterAutospacing="0"/>
        <w:ind w:left="450" w:hanging="450"/>
        <w:rPr>
          <w:rFonts w:asciiTheme="minorHAnsi" w:hAnsiTheme="minorHAnsi"/>
          <w:color w:val="000000"/>
        </w:rPr>
      </w:pPr>
      <w:r w:rsidRPr="00555650">
        <w:rPr>
          <w:rFonts w:asciiTheme="minorHAnsi" w:hAnsiTheme="minorHAnsi"/>
          <w:color w:val="000000"/>
        </w:rPr>
        <w:t>Rose, M. (2003). </w:t>
      </w:r>
      <w:r w:rsidRPr="00555650">
        <w:rPr>
          <w:rFonts w:asciiTheme="minorHAnsi" w:hAnsiTheme="minorHAnsi"/>
          <w:i/>
          <w:iCs/>
          <w:color w:val="000000"/>
        </w:rPr>
        <w:t>The staff of Oedipus</w:t>
      </w:r>
      <w:r w:rsidRPr="00555650">
        <w:rPr>
          <w:rFonts w:asciiTheme="minorHAnsi" w:hAnsiTheme="minorHAnsi"/>
          <w:color w:val="000000"/>
        </w:rPr>
        <w:t xml:space="preserve">. Ann </w:t>
      </w:r>
      <w:proofErr w:type="spellStart"/>
      <w:r w:rsidRPr="00555650">
        <w:rPr>
          <w:rFonts w:asciiTheme="minorHAnsi" w:hAnsiTheme="minorHAnsi"/>
          <w:color w:val="000000"/>
        </w:rPr>
        <w:t>Arbor</w:t>
      </w:r>
      <w:proofErr w:type="spellEnd"/>
      <w:r w:rsidRPr="00555650">
        <w:rPr>
          <w:rFonts w:asciiTheme="minorHAnsi" w:hAnsiTheme="minorHAnsi"/>
          <w:color w:val="000000"/>
        </w:rPr>
        <w:t>, Mich.: University of Michigan Press.</w:t>
      </w:r>
    </w:p>
    <w:p w14:paraId="6C009A01" w14:textId="77777777" w:rsidR="00555650" w:rsidRDefault="00555650"/>
    <w:p w14:paraId="6E2101B6" w14:textId="77777777" w:rsidR="00555650" w:rsidRDefault="00555650"/>
    <w:sectPr w:rsidR="00555650" w:rsidSect="00E0240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3E724D" w14:textId="77777777" w:rsidR="00B27B85" w:rsidRDefault="00B27B85" w:rsidP="00CC7EDD">
      <w:r>
        <w:separator/>
      </w:r>
    </w:p>
  </w:endnote>
  <w:endnote w:type="continuationSeparator" w:id="0">
    <w:p w14:paraId="1A22ED54" w14:textId="77777777" w:rsidR="00B27B85" w:rsidRDefault="00B27B85" w:rsidP="00CC7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9442B7" w14:textId="77777777" w:rsidR="00B27B85" w:rsidRDefault="00B27B85" w:rsidP="00CC7EDD">
      <w:r>
        <w:separator/>
      </w:r>
    </w:p>
  </w:footnote>
  <w:footnote w:type="continuationSeparator" w:id="0">
    <w:p w14:paraId="25A62782" w14:textId="77777777" w:rsidR="00B27B85" w:rsidRDefault="00B27B85" w:rsidP="00CC7EDD">
      <w:r>
        <w:continuationSeparator/>
      </w:r>
    </w:p>
  </w:footnote>
  <w:footnote w:id="1">
    <w:p w14:paraId="356A3050" w14:textId="77777777" w:rsidR="00683B67" w:rsidRPr="00593540" w:rsidRDefault="00CC7EDD" w:rsidP="00683B67">
      <w:pPr>
        <w:pStyle w:val="NormalWeb"/>
        <w:spacing w:before="0" w:beforeAutospacing="0" w:after="180" w:afterAutospacing="0"/>
        <w:ind w:left="450" w:hanging="450"/>
        <w:rPr>
          <w:rFonts w:asciiTheme="minorHAnsi" w:hAnsiTheme="minorHAnsi"/>
          <w:color w:val="000000" w:themeColor="text1"/>
          <w:sz w:val="20"/>
          <w:szCs w:val="20"/>
        </w:rPr>
      </w:pPr>
      <w:r w:rsidRPr="00593540">
        <w:rPr>
          <w:rStyle w:val="FootnoteReference"/>
          <w:rFonts w:asciiTheme="minorHAnsi" w:hAnsiTheme="minorHAnsi"/>
          <w:color w:val="000000" w:themeColor="text1"/>
          <w:sz w:val="20"/>
          <w:szCs w:val="20"/>
        </w:rPr>
        <w:footnoteRef/>
      </w:r>
      <w:r w:rsidRPr="00593540">
        <w:rPr>
          <w:rFonts w:asciiTheme="minorHAnsi" w:hAnsiTheme="minorHAnsi"/>
          <w:color w:val="000000" w:themeColor="text1"/>
          <w:sz w:val="20"/>
          <w:szCs w:val="20"/>
        </w:rPr>
        <w:t xml:space="preserve"> </w:t>
      </w:r>
      <w:r w:rsidRPr="00593540">
        <w:rPr>
          <w:rFonts w:asciiTheme="minorHAnsi" w:hAnsiTheme="minorHAnsi"/>
          <w:color w:val="000000" w:themeColor="text1"/>
          <w:sz w:val="20"/>
          <w:szCs w:val="20"/>
        </w:rPr>
        <w:t xml:space="preserve">Garnsey, P. and </w:t>
      </w:r>
      <w:proofErr w:type="spellStart"/>
      <w:r w:rsidRPr="00593540">
        <w:rPr>
          <w:rFonts w:asciiTheme="minorHAnsi" w:hAnsiTheme="minorHAnsi"/>
          <w:color w:val="000000" w:themeColor="text1"/>
          <w:sz w:val="20"/>
          <w:szCs w:val="20"/>
        </w:rPr>
        <w:t>Saller</w:t>
      </w:r>
      <w:proofErr w:type="spellEnd"/>
      <w:r w:rsidRPr="00593540">
        <w:rPr>
          <w:rFonts w:asciiTheme="minorHAnsi" w:hAnsiTheme="minorHAnsi"/>
          <w:color w:val="000000" w:themeColor="text1"/>
          <w:sz w:val="20"/>
          <w:szCs w:val="20"/>
        </w:rPr>
        <w:t>, R. (</w:t>
      </w:r>
      <w:proofErr w:type="spellStart"/>
      <w:r w:rsidRPr="00593540">
        <w:rPr>
          <w:rFonts w:asciiTheme="minorHAnsi" w:hAnsiTheme="minorHAnsi"/>
          <w:color w:val="000000" w:themeColor="text1"/>
          <w:sz w:val="20"/>
          <w:szCs w:val="20"/>
        </w:rPr>
        <w:t>n.d.</w:t>
      </w:r>
      <w:proofErr w:type="spellEnd"/>
      <w:r w:rsidRPr="00593540">
        <w:rPr>
          <w:rFonts w:asciiTheme="minorHAnsi" w:hAnsiTheme="minorHAnsi"/>
          <w:color w:val="000000" w:themeColor="text1"/>
          <w:sz w:val="20"/>
          <w:szCs w:val="20"/>
        </w:rPr>
        <w:t>). </w:t>
      </w:r>
      <w:r w:rsidRPr="00593540">
        <w:rPr>
          <w:rFonts w:asciiTheme="minorHAnsi" w:hAnsiTheme="minorHAnsi"/>
          <w:i/>
          <w:iCs/>
          <w:color w:val="000000" w:themeColor="text1"/>
          <w:sz w:val="20"/>
          <w:szCs w:val="20"/>
        </w:rPr>
        <w:t>The Roman Empire</w:t>
      </w:r>
      <w:r w:rsidRPr="00593540">
        <w:rPr>
          <w:rFonts w:asciiTheme="minorHAnsi" w:hAnsiTheme="minorHAnsi"/>
          <w:color w:val="000000" w:themeColor="text1"/>
          <w:sz w:val="20"/>
          <w:szCs w:val="20"/>
        </w:rPr>
        <w:t>.</w:t>
      </w:r>
      <w:r w:rsidRPr="00593540">
        <w:rPr>
          <w:rFonts w:asciiTheme="minorHAnsi" w:hAnsiTheme="minorHAnsi"/>
          <w:color w:val="000000" w:themeColor="text1"/>
          <w:sz w:val="20"/>
          <w:szCs w:val="20"/>
        </w:rPr>
        <w:t xml:space="preserve"> Pg. 137 </w:t>
      </w:r>
    </w:p>
  </w:footnote>
  <w:footnote w:id="2">
    <w:p w14:paraId="45CC3106" w14:textId="77777777" w:rsidR="00855E01" w:rsidRPr="00593540" w:rsidRDefault="005A42AC">
      <w:pPr>
        <w:pStyle w:val="FootnoteText"/>
        <w:rPr>
          <w:color w:val="000000" w:themeColor="text1"/>
          <w:sz w:val="20"/>
          <w:szCs w:val="20"/>
        </w:rPr>
      </w:pPr>
      <w:r w:rsidRPr="00593540">
        <w:rPr>
          <w:rStyle w:val="FootnoteReference"/>
          <w:color w:val="000000" w:themeColor="text1"/>
          <w:sz w:val="20"/>
          <w:szCs w:val="20"/>
        </w:rPr>
        <w:footnoteRef/>
      </w:r>
      <w:r w:rsidRPr="00593540">
        <w:rPr>
          <w:color w:val="000000" w:themeColor="text1"/>
          <w:sz w:val="20"/>
          <w:szCs w:val="20"/>
        </w:rPr>
        <w:t xml:space="preserve"> </w:t>
      </w:r>
      <w:r w:rsidRPr="00593540">
        <w:rPr>
          <w:color w:val="000000" w:themeColor="text1"/>
          <w:sz w:val="20"/>
          <w:szCs w:val="20"/>
        </w:rPr>
        <w:t xml:space="preserve">Garnsey, P. and </w:t>
      </w:r>
      <w:proofErr w:type="spellStart"/>
      <w:r w:rsidRPr="00593540">
        <w:rPr>
          <w:color w:val="000000" w:themeColor="text1"/>
          <w:sz w:val="20"/>
          <w:szCs w:val="20"/>
        </w:rPr>
        <w:t>Saller</w:t>
      </w:r>
      <w:proofErr w:type="spellEnd"/>
      <w:r w:rsidRPr="00593540">
        <w:rPr>
          <w:color w:val="000000" w:themeColor="text1"/>
          <w:sz w:val="20"/>
          <w:szCs w:val="20"/>
        </w:rPr>
        <w:t>, R. (</w:t>
      </w:r>
      <w:proofErr w:type="spellStart"/>
      <w:r w:rsidRPr="00593540">
        <w:rPr>
          <w:color w:val="000000" w:themeColor="text1"/>
          <w:sz w:val="20"/>
          <w:szCs w:val="20"/>
        </w:rPr>
        <w:t>n.d.</w:t>
      </w:r>
      <w:proofErr w:type="spellEnd"/>
      <w:r w:rsidRPr="00593540">
        <w:rPr>
          <w:color w:val="000000" w:themeColor="text1"/>
          <w:sz w:val="20"/>
          <w:szCs w:val="20"/>
        </w:rPr>
        <w:t>). </w:t>
      </w:r>
      <w:r w:rsidRPr="00593540">
        <w:rPr>
          <w:i/>
          <w:iCs/>
          <w:color w:val="000000" w:themeColor="text1"/>
          <w:sz w:val="20"/>
          <w:szCs w:val="20"/>
        </w:rPr>
        <w:t>The Roman Empire</w:t>
      </w:r>
      <w:r w:rsidRPr="00593540">
        <w:rPr>
          <w:color w:val="000000" w:themeColor="text1"/>
          <w:sz w:val="20"/>
          <w:szCs w:val="20"/>
        </w:rPr>
        <w:t>. Pg. 13</w:t>
      </w:r>
      <w:r w:rsidRPr="00593540">
        <w:rPr>
          <w:color w:val="000000" w:themeColor="text1"/>
          <w:sz w:val="20"/>
          <w:szCs w:val="20"/>
        </w:rPr>
        <w:t>8</w:t>
      </w:r>
    </w:p>
    <w:p w14:paraId="4581835A" w14:textId="77777777" w:rsidR="00855E01" w:rsidRPr="00593540" w:rsidRDefault="00855E01">
      <w:pPr>
        <w:pStyle w:val="FootnoteText"/>
        <w:rPr>
          <w:color w:val="000000" w:themeColor="text1"/>
          <w:sz w:val="20"/>
          <w:szCs w:val="20"/>
        </w:rPr>
      </w:pPr>
    </w:p>
  </w:footnote>
  <w:footnote w:id="3">
    <w:p w14:paraId="1498FB2D" w14:textId="77777777" w:rsidR="00683B67" w:rsidRPr="00593540" w:rsidRDefault="00855E01" w:rsidP="00683B67">
      <w:pPr>
        <w:pStyle w:val="NormalWeb"/>
        <w:spacing w:before="0" w:beforeAutospacing="0" w:after="180" w:afterAutospacing="0"/>
        <w:ind w:left="450" w:hanging="450"/>
        <w:rPr>
          <w:rFonts w:asciiTheme="minorHAnsi" w:hAnsiTheme="minorHAnsi"/>
          <w:color w:val="000000" w:themeColor="text1"/>
          <w:sz w:val="20"/>
          <w:szCs w:val="20"/>
        </w:rPr>
      </w:pPr>
      <w:r w:rsidRPr="00593540">
        <w:rPr>
          <w:rStyle w:val="FootnoteReference"/>
          <w:rFonts w:asciiTheme="minorHAnsi" w:hAnsiTheme="minorHAnsi"/>
          <w:color w:val="000000" w:themeColor="text1"/>
          <w:sz w:val="20"/>
          <w:szCs w:val="20"/>
        </w:rPr>
        <w:footnoteRef/>
      </w:r>
      <w:r w:rsidRPr="00593540">
        <w:rPr>
          <w:rFonts w:asciiTheme="minorHAnsi" w:hAnsiTheme="minorHAnsi"/>
          <w:color w:val="000000" w:themeColor="text1"/>
          <w:sz w:val="20"/>
          <w:szCs w:val="20"/>
        </w:rPr>
        <w:t xml:space="preserve"> </w:t>
      </w:r>
      <w:r w:rsidRPr="00593540">
        <w:rPr>
          <w:rFonts w:asciiTheme="minorHAnsi" w:hAnsiTheme="minorHAnsi"/>
          <w:color w:val="000000" w:themeColor="text1"/>
          <w:sz w:val="20"/>
          <w:szCs w:val="20"/>
        </w:rPr>
        <w:t>Carroll, M. and Graham, E. (2014). </w:t>
      </w:r>
      <w:r w:rsidRPr="00593540">
        <w:rPr>
          <w:rFonts w:asciiTheme="minorHAnsi" w:hAnsiTheme="minorHAnsi"/>
          <w:i/>
          <w:iCs/>
          <w:color w:val="000000" w:themeColor="text1"/>
          <w:sz w:val="20"/>
          <w:szCs w:val="20"/>
        </w:rPr>
        <w:t>Infant health and death in Roman Italy and beyond</w:t>
      </w:r>
      <w:r w:rsidR="00683B67">
        <w:rPr>
          <w:rFonts w:asciiTheme="minorHAnsi" w:hAnsiTheme="minorHAnsi"/>
          <w:color w:val="000000" w:themeColor="text1"/>
          <w:sz w:val="20"/>
          <w:szCs w:val="20"/>
        </w:rPr>
        <w:t xml:space="preserve">. Portsmouth, Rhode </w:t>
      </w:r>
      <w:r w:rsidRPr="00593540">
        <w:rPr>
          <w:rFonts w:asciiTheme="minorHAnsi" w:hAnsiTheme="minorHAnsi"/>
          <w:color w:val="000000" w:themeColor="text1"/>
          <w:sz w:val="20"/>
          <w:szCs w:val="20"/>
        </w:rPr>
        <w:t>Island: Journal of Roman Archaeology.</w:t>
      </w:r>
    </w:p>
  </w:footnote>
  <w:footnote w:id="4">
    <w:p w14:paraId="4BE89AE7" w14:textId="77777777" w:rsidR="00593540" w:rsidRPr="00593540" w:rsidRDefault="00593540" w:rsidP="00593540">
      <w:pPr>
        <w:pStyle w:val="NormalWeb"/>
        <w:spacing w:before="0" w:beforeAutospacing="0" w:after="180" w:afterAutospacing="0"/>
        <w:ind w:left="450" w:hanging="450"/>
        <w:rPr>
          <w:rFonts w:asciiTheme="minorHAnsi" w:hAnsiTheme="minorHAnsi"/>
          <w:color w:val="000000"/>
          <w:sz w:val="20"/>
          <w:szCs w:val="20"/>
        </w:rPr>
      </w:pPr>
      <w:r w:rsidRPr="00593540">
        <w:rPr>
          <w:rStyle w:val="FootnoteReference"/>
          <w:rFonts w:asciiTheme="minorHAnsi" w:hAnsiTheme="minorHAnsi"/>
          <w:sz w:val="20"/>
          <w:szCs w:val="20"/>
        </w:rPr>
        <w:footnoteRef/>
      </w:r>
      <w:r w:rsidRPr="00593540">
        <w:rPr>
          <w:rFonts w:asciiTheme="minorHAnsi" w:hAnsiTheme="minorHAnsi"/>
          <w:sz w:val="20"/>
          <w:szCs w:val="20"/>
        </w:rPr>
        <w:t xml:space="preserve"> </w:t>
      </w:r>
      <w:proofErr w:type="spellStart"/>
      <w:r w:rsidRPr="00593540">
        <w:rPr>
          <w:rFonts w:asciiTheme="minorHAnsi" w:hAnsiTheme="minorHAnsi"/>
          <w:color w:val="000000"/>
          <w:sz w:val="20"/>
          <w:szCs w:val="20"/>
        </w:rPr>
        <w:t>Ebenstein</w:t>
      </w:r>
      <w:proofErr w:type="spellEnd"/>
      <w:r w:rsidRPr="00593540">
        <w:rPr>
          <w:rFonts w:asciiTheme="minorHAnsi" w:hAnsiTheme="minorHAnsi"/>
          <w:color w:val="000000"/>
          <w:sz w:val="20"/>
          <w:szCs w:val="20"/>
        </w:rPr>
        <w:t>, W. (2006). Toward an Archetypal Psychology of Disability Based on the Hephaestus Myth. </w:t>
      </w:r>
      <w:r w:rsidRPr="00593540">
        <w:rPr>
          <w:rFonts w:asciiTheme="minorHAnsi" w:hAnsiTheme="minorHAnsi"/>
          <w:i/>
          <w:iCs/>
          <w:color w:val="000000"/>
          <w:sz w:val="20"/>
          <w:szCs w:val="20"/>
        </w:rPr>
        <w:t>Disability Studies Quarterly</w:t>
      </w:r>
      <w:r w:rsidRPr="00593540">
        <w:rPr>
          <w:rFonts w:asciiTheme="minorHAnsi" w:hAnsiTheme="minorHAnsi"/>
          <w:color w:val="000000"/>
          <w:sz w:val="20"/>
          <w:szCs w:val="20"/>
        </w:rPr>
        <w:t>, 26(4).</w:t>
      </w:r>
    </w:p>
  </w:footnote>
  <w:footnote w:id="5">
    <w:p w14:paraId="358B7A8B" w14:textId="77777777" w:rsidR="00855E01" w:rsidRDefault="00D03F81">
      <w:pPr>
        <w:pStyle w:val="FootnoteText"/>
        <w:rPr>
          <w:rFonts w:eastAsia="Times New Roman" w:cs="Times New Roman"/>
          <w:color w:val="000000" w:themeColor="text1"/>
          <w:sz w:val="20"/>
          <w:szCs w:val="20"/>
          <w:shd w:val="clear" w:color="auto" w:fill="FFFDF9"/>
          <w:lang w:eastAsia="en-GB"/>
        </w:rPr>
      </w:pPr>
      <w:r w:rsidRPr="00B360BB">
        <w:rPr>
          <w:rStyle w:val="FootnoteReference"/>
          <w:color w:val="000000" w:themeColor="text1"/>
          <w:sz w:val="20"/>
          <w:szCs w:val="20"/>
        </w:rPr>
        <w:footnoteRef/>
      </w:r>
      <w:r w:rsidRPr="00B360BB">
        <w:rPr>
          <w:color w:val="000000" w:themeColor="text1"/>
          <w:sz w:val="20"/>
          <w:szCs w:val="20"/>
        </w:rPr>
        <w:t xml:space="preserve"> </w:t>
      </w:r>
      <w:r w:rsidRPr="00CC7EDD">
        <w:rPr>
          <w:rFonts w:eastAsia="Times New Roman" w:cs="Times New Roman"/>
          <w:color w:val="000000" w:themeColor="text1"/>
          <w:sz w:val="20"/>
          <w:szCs w:val="20"/>
          <w:shd w:val="clear" w:color="auto" w:fill="FFFDF9"/>
          <w:lang w:eastAsia="en-GB"/>
        </w:rPr>
        <w:t>Dionysus and Hephaestus riding donkey, Caeretan black-figure hydria C6th B.C</w:t>
      </w:r>
    </w:p>
    <w:p w14:paraId="42E8EC2E" w14:textId="77777777" w:rsidR="00B360BB" w:rsidRPr="00B360BB" w:rsidRDefault="00B360BB">
      <w:pPr>
        <w:pStyle w:val="FootnoteText"/>
        <w:rPr>
          <w:rFonts w:eastAsia="Times New Roman" w:cs="Times New Roman"/>
          <w:color w:val="000000" w:themeColor="text1"/>
          <w:sz w:val="20"/>
          <w:szCs w:val="20"/>
          <w:shd w:val="clear" w:color="auto" w:fill="FFFDF9"/>
          <w:lang w:eastAsia="en-GB"/>
        </w:rPr>
      </w:pPr>
    </w:p>
  </w:footnote>
  <w:footnote w:id="6">
    <w:p w14:paraId="7CB977B3" w14:textId="77777777" w:rsidR="00D03F81" w:rsidRDefault="00D03F81" w:rsidP="00683B67">
      <w:pPr>
        <w:rPr>
          <w:rFonts w:eastAsia="Times New Roman" w:cs="Arial"/>
          <w:color w:val="000000" w:themeColor="text1"/>
          <w:sz w:val="20"/>
          <w:szCs w:val="20"/>
          <w:shd w:val="clear" w:color="auto" w:fill="FFFFFF"/>
          <w:lang w:eastAsia="en-GB"/>
        </w:rPr>
      </w:pPr>
      <w:r w:rsidRPr="00B360BB">
        <w:rPr>
          <w:rStyle w:val="FootnoteReference"/>
          <w:color w:val="000000" w:themeColor="text1"/>
          <w:sz w:val="20"/>
          <w:szCs w:val="20"/>
        </w:rPr>
        <w:footnoteRef/>
      </w:r>
      <w:r w:rsidRPr="00B360BB">
        <w:rPr>
          <w:color w:val="000000" w:themeColor="text1"/>
          <w:sz w:val="20"/>
          <w:szCs w:val="20"/>
        </w:rPr>
        <w:t xml:space="preserve"> </w:t>
      </w:r>
      <w:r w:rsidRPr="00B360BB">
        <w:rPr>
          <w:rFonts w:eastAsia="Times New Roman" w:cs="Arial"/>
          <w:color w:val="000000" w:themeColor="text1"/>
          <w:sz w:val="20"/>
          <w:szCs w:val="20"/>
          <w:shd w:val="clear" w:color="auto" w:fill="FFFFFF"/>
          <w:lang w:eastAsia="en-GB"/>
        </w:rPr>
        <w:t>nhs.uk. (2017). </w:t>
      </w:r>
      <w:r w:rsidRPr="00B360BB">
        <w:rPr>
          <w:rFonts w:eastAsia="Times New Roman" w:cs="Arial"/>
          <w:i/>
          <w:iCs/>
          <w:color w:val="000000" w:themeColor="text1"/>
          <w:sz w:val="20"/>
          <w:szCs w:val="20"/>
          <w:shd w:val="clear" w:color="auto" w:fill="FFFFFF"/>
          <w:lang w:eastAsia="en-GB"/>
        </w:rPr>
        <w:t>Club foot</w:t>
      </w:r>
      <w:r w:rsidRPr="00B360BB">
        <w:rPr>
          <w:rFonts w:eastAsia="Times New Roman" w:cs="Arial"/>
          <w:color w:val="000000" w:themeColor="text1"/>
          <w:sz w:val="20"/>
          <w:szCs w:val="20"/>
          <w:shd w:val="clear" w:color="auto" w:fill="FFFFFF"/>
          <w:lang w:eastAsia="en-GB"/>
        </w:rPr>
        <w:t xml:space="preserve"> Available at: https://www.nhs.uk/conditions/club-foot/ [Accessed 5 Dec. 2017].</w:t>
      </w:r>
    </w:p>
    <w:p w14:paraId="723209CE" w14:textId="77777777" w:rsidR="00B360BB" w:rsidRPr="00B360BB" w:rsidRDefault="00B360BB" w:rsidP="00683B67">
      <w:pPr>
        <w:rPr>
          <w:rFonts w:eastAsia="Times New Roman" w:cs="Arial"/>
          <w:color w:val="000000" w:themeColor="text1"/>
          <w:sz w:val="20"/>
          <w:szCs w:val="20"/>
          <w:shd w:val="clear" w:color="auto" w:fill="FFFFFF"/>
          <w:lang w:eastAsia="en-GB"/>
        </w:rPr>
      </w:pPr>
    </w:p>
  </w:footnote>
  <w:footnote w:id="7">
    <w:p w14:paraId="04AF26BD" w14:textId="77777777" w:rsidR="00683B67" w:rsidRPr="00B360BB" w:rsidRDefault="00683B67" w:rsidP="00B360BB">
      <w:pPr>
        <w:pStyle w:val="NormalWeb"/>
        <w:spacing w:before="0" w:beforeAutospacing="0" w:after="180" w:afterAutospacing="0"/>
        <w:ind w:left="450" w:hanging="450"/>
        <w:rPr>
          <w:rFonts w:asciiTheme="minorHAnsi" w:hAnsiTheme="minorHAnsi"/>
          <w:color w:val="000000"/>
          <w:sz w:val="20"/>
          <w:szCs w:val="20"/>
        </w:rPr>
      </w:pPr>
      <w:r w:rsidRPr="00B360BB">
        <w:rPr>
          <w:rStyle w:val="FootnoteReference"/>
          <w:rFonts w:asciiTheme="minorHAnsi" w:hAnsiTheme="minorHAnsi"/>
          <w:sz w:val="20"/>
          <w:szCs w:val="20"/>
        </w:rPr>
        <w:footnoteRef/>
      </w:r>
      <w:r w:rsidRPr="00B360BB">
        <w:rPr>
          <w:rFonts w:asciiTheme="minorHAnsi" w:hAnsiTheme="minorHAnsi"/>
          <w:sz w:val="20"/>
          <w:szCs w:val="20"/>
        </w:rPr>
        <w:t xml:space="preserve"> </w:t>
      </w:r>
      <w:r w:rsidRPr="00B360BB">
        <w:rPr>
          <w:rFonts w:asciiTheme="minorHAnsi" w:hAnsiTheme="minorHAnsi"/>
          <w:color w:val="000000"/>
          <w:sz w:val="20"/>
          <w:szCs w:val="20"/>
        </w:rPr>
        <w:t>Garland, R. (2010). </w:t>
      </w:r>
      <w:r w:rsidRPr="00B360BB">
        <w:rPr>
          <w:rFonts w:asciiTheme="minorHAnsi" w:hAnsiTheme="minorHAnsi"/>
          <w:i/>
          <w:iCs/>
          <w:color w:val="000000"/>
          <w:sz w:val="20"/>
          <w:szCs w:val="20"/>
        </w:rPr>
        <w:t>The eye of the beholder</w:t>
      </w:r>
      <w:r w:rsidRPr="00B360BB">
        <w:rPr>
          <w:rFonts w:asciiTheme="minorHAnsi" w:hAnsiTheme="minorHAnsi"/>
          <w:color w:val="000000"/>
          <w:sz w:val="20"/>
          <w:szCs w:val="20"/>
        </w:rPr>
        <w:t>. London: Duckworth.</w:t>
      </w:r>
    </w:p>
  </w:footnote>
  <w:footnote w:id="8">
    <w:p w14:paraId="4E6DE0B9" w14:textId="77777777" w:rsidR="00B360BB" w:rsidRPr="00B360BB" w:rsidRDefault="00B360BB" w:rsidP="00B360BB">
      <w:pPr>
        <w:pStyle w:val="NormalWeb"/>
        <w:spacing w:before="0" w:beforeAutospacing="0" w:after="180" w:afterAutospacing="0"/>
        <w:ind w:left="450" w:hanging="450"/>
        <w:rPr>
          <w:rFonts w:asciiTheme="minorHAnsi" w:hAnsiTheme="minorHAnsi"/>
          <w:color w:val="000000"/>
          <w:sz w:val="20"/>
          <w:szCs w:val="20"/>
        </w:rPr>
      </w:pPr>
      <w:r w:rsidRPr="00B360BB">
        <w:rPr>
          <w:rStyle w:val="FootnoteReference"/>
          <w:rFonts w:asciiTheme="minorHAnsi" w:hAnsiTheme="minorHAnsi"/>
          <w:sz w:val="20"/>
          <w:szCs w:val="20"/>
        </w:rPr>
        <w:footnoteRef/>
      </w:r>
      <w:r w:rsidRPr="00B360BB">
        <w:rPr>
          <w:rFonts w:asciiTheme="minorHAnsi" w:hAnsiTheme="minorHAnsi"/>
          <w:sz w:val="20"/>
          <w:szCs w:val="20"/>
        </w:rPr>
        <w:t xml:space="preserve"> </w:t>
      </w:r>
      <w:r w:rsidRPr="00B360BB">
        <w:rPr>
          <w:rFonts w:asciiTheme="minorHAnsi" w:hAnsiTheme="minorHAnsi"/>
          <w:color w:val="000000"/>
          <w:sz w:val="20"/>
          <w:szCs w:val="20"/>
        </w:rPr>
        <w:t>Rose, M. (2003). </w:t>
      </w:r>
      <w:r w:rsidRPr="00B360BB">
        <w:rPr>
          <w:rFonts w:asciiTheme="minorHAnsi" w:hAnsiTheme="minorHAnsi"/>
          <w:i/>
          <w:iCs/>
          <w:color w:val="000000"/>
          <w:sz w:val="20"/>
          <w:szCs w:val="20"/>
        </w:rPr>
        <w:t>The staff of Oedipus</w:t>
      </w:r>
      <w:r w:rsidRPr="00B360BB">
        <w:rPr>
          <w:rFonts w:asciiTheme="minorHAnsi" w:hAnsiTheme="minorHAnsi"/>
          <w:color w:val="000000"/>
          <w:sz w:val="20"/>
          <w:szCs w:val="20"/>
        </w:rPr>
        <w:t xml:space="preserve">. Ann </w:t>
      </w:r>
      <w:proofErr w:type="spellStart"/>
      <w:r w:rsidRPr="00B360BB">
        <w:rPr>
          <w:rFonts w:asciiTheme="minorHAnsi" w:hAnsiTheme="minorHAnsi"/>
          <w:color w:val="000000"/>
          <w:sz w:val="20"/>
          <w:szCs w:val="20"/>
        </w:rPr>
        <w:t>Arbor</w:t>
      </w:r>
      <w:proofErr w:type="spellEnd"/>
      <w:r w:rsidRPr="00B360BB">
        <w:rPr>
          <w:rFonts w:asciiTheme="minorHAnsi" w:hAnsiTheme="minorHAnsi"/>
          <w:color w:val="000000"/>
          <w:sz w:val="20"/>
          <w:szCs w:val="20"/>
        </w:rPr>
        <w:t>, Mich.: University of Michigan Press.</w:t>
      </w:r>
    </w:p>
  </w:footnote>
  <w:footnote w:id="9">
    <w:p w14:paraId="6852FEA8" w14:textId="77777777" w:rsidR="00B360BB" w:rsidRDefault="00B360BB">
      <w:pPr>
        <w:pStyle w:val="FootnoteText"/>
      </w:pPr>
      <w:r>
        <w:rPr>
          <w:rStyle w:val="FootnoteReference"/>
        </w:rPr>
        <w:footnoteRef/>
      </w:r>
      <w:r>
        <w:t xml:space="preserve"> </w:t>
      </w:r>
      <w:r w:rsidRPr="00B360BB">
        <w:rPr>
          <w:color w:val="000000"/>
          <w:sz w:val="20"/>
          <w:szCs w:val="20"/>
        </w:rPr>
        <w:t>Rose, M. (2003). </w:t>
      </w:r>
      <w:r w:rsidRPr="00B360BB">
        <w:rPr>
          <w:i/>
          <w:iCs/>
          <w:color w:val="000000"/>
          <w:sz w:val="20"/>
          <w:szCs w:val="20"/>
        </w:rPr>
        <w:t>The staff of Oedipus</w:t>
      </w:r>
      <w:r w:rsidRPr="00B360BB">
        <w:rPr>
          <w:color w:val="000000"/>
          <w:sz w:val="20"/>
          <w:szCs w:val="20"/>
        </w:rPr>
        <w:t xml:space="preserve">. Ann </w:t>
      </w:r>
      <w:proofErr w:type="spellStart"/>
      <w:r w:rsidRPr="00B360BB">
        <w:rPr>
          <w:color w:val="000000"/>
          <w:sz w:val="20"/>
          <w:szCs w:val="20"/>
        </w:rPr>
        <w:t>Arbor</w:t>
      </w:r>
      <w:proofErr w:type="spellEnd"/>
      <w:r w:rsidRPr="00B360BB">
        <w:rPr>
          <w:color w:val="000000"/>
          <w:sz w:val="20"/>
          <w:szCs w:val="20"/>
        </w:rPr>
        <w:t>, Mich.: University of Michigan Press.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350"/>
    <w:rsid w:val="001327BA"/>
    <w:rsid w:val="001549F3"/>
    <w:rsid w:val="00165354"/>
    <w:rsid w:val="001E1B09"/>
    <w:rsid w:val="00292889"/>
    <w:rsid w:val="002B3AC3"/>
    <w:rsid w:val="002E510F"/>
    <w:rsid w:val="0039151E"/>
    <w:rsid w:val="003F740D"/>
    <w:rsid w:val="00422A2B"/>
    <w:rsid w:val="00497477"/>
    <w:rsid w:val="004D26BE"/>
    <w:rsid w:val="00520096"/>
    <w:rsid w:val="00522350"/>
    <w:rsid w:val="00555650"/>
    <w:rsid w:val="00563484"/>
    <w:rsid w:val="0056677E"/>
    <w:rsid w:val="00593540"/>
    <w:rsid w:val="005A42AC"/>
    <w:rsid w:val="005D5525"/>
    <w:rsid w:val="006769CA"/>
    <w:rsid w:val="00683B67"/>
    <w:rsid w:val="006F171A"/>
    <w:rsid w:val="006F29A0"/>
    <w:rsid w:val="0080201F"/>
    <w:rsid w:val="0080326D"/>
    <w:rsid w:val="00842DF1"/>
    <w:rsid w:val="00855E01"/>
    <w:rsid w:val="00937AA5"/>
    <w:rsid w:val="0099006E"/>
    <w:rsid w:val="009F445A"/>
    <w:rsid w:val="00B27B85"/>
    <w:rsid w:val="00B360BB"/>
    <w:rsid w:val="00C5150E"/>
    <w:rsid w:val="00C67EAC"/>
    <w:rsid w:val="00CC7EDD"/>
    <w:rsid w:val="00D03F81"/>
    <w:rsid w:val="00D36F52"/>
    <w:rsid w:val="00DB2505"/>
    <w:rsid w:val="00E02405"/>
    <w:rsid w:val="00E17AD4"/>
    <w:rsid w:val="00EC197B"/>
    <w:rsid w:val="00F37484"/>
    <w:rsid w:val="00F628C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FC5EA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292889"/>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2889"/>
    <w:rPr>
      <w:rFonts w:ascii="Times New Roman" w:hAnsi="Times New Roman" w:cs="Times New Roman"/>
      <w:b/>
      <w:bCs/>
      <w:sz w:val="36"/>
      <w:szCs w:val="36"/>
      <w:lang w:eastAsia="en-GB"/>
    </w:rPr>
  </w:style>
  <w:style w:type="paragraph" w:styleId="NormalWeb">
    <w:name w:val="Normal (Web)"/>
    <w:basedOn w:val="Normal"/>
    <w:uiPriority w:val="99"/>
    <w:unhideWhenUsed/>
    <w:rsid w:val="00292889"/>
    <w:pPr>
      <w:spacing w:before="100" w:beforeAutospacing="1" w:after="100" w:afterAutospacing="1"/>
    </w:pPr>
    <w:rPr>
      <w:rFonts w:ascii="Times New Roman" w:hAnsi="Times New Roman" w:cs="Times New Roman"/>
      <w:lang w:eastAsia="en-GB"/>
    </w:rPr>
  </w:style>
  <w:style w:type="paragraph" w:styleId="FootnoteText">
    <w:name w:val="footnote text"/>
    <w:basedOn w:val="Normal"/>
    <w:link w:val="FootnoteTextChar"/>
    <w:uiPriority w:val="99"/>
    <w:unhideWhenUsed/>
    <w:rsid w:val="00CC7EDD"/>
  </w:style>
  <w:style w:type="character" w:customStyle="1" w:styleId="FootnoteTextChar">
    <w:name w:val="Footnote Text Char"/>
    <w:basedOn w:val="DefaultParagraphFont"/>
    <w:link w:val="FootnoteText"/>
    <w:uiPriority w:val="99"/>
    <w:rsid w:val="00CC7EDD"/>
  </w:style>
  <w:style w:type="character" w:styleId="FootnoteReference">
    <w:name w:val="footnote reference"/>
    <w:basedOn w:val="DefaultParagraphFont"/>
    <w:uiPriority w:val="99"/>
    <w:unhideWhenUsed/>
    <w:rsid w:val="00CC7ED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7369321">
      <w:bodyDiv w:val="1"/>
      <w:marLeft w:val="0"/>
      <w:marRight w:val="0"/>
      <w:marTop w:val="0"/>
      <w:marBottom w:val="0"/>
      <w:divBdr>
        <w:top w:val="none" w:sz="0" w:space="0" w:color="auto"/>
        <w:left w:val="none" w:sz="0" w:space="0" w:color="auto"/>
        <w:bottom w:val="none" w:sz="0" w:space="0" w:color="auto"/>
        <w:right w:val="none" w:sz="0" w:space="0" w:color="auto"/>
      </w:divBdr>
    </w:div>
    <w:div w:id="898441148">
      <w:bodyDiv w:val="1"/>
      <w:marLeft w:val="0"/>
      <w:marRight w:val="0"/>
      <w:marTop w:val="0"/>
      <w:marBottom w:val="0"/>
      <w:divBdr>
        <w:top w:val="none" w:sz="0" w:space="0" w:color="auto"/>
        <w:left w:val="none" w:sz="0" w:space="0" w:color="auto"/>
        <w:bottom w:val="none" w:sz="0" w:space="0" w:color="auto"/>
        <w:right w:val="none" w:sz="0" w:space="0" w:color="auto"/>
      </w:divBdr>
    </w:div>
    <w:div w:id="995307414">
      <w:bodyDiv w:val="1"/>
      <w:marLeft w:val="0"/>
      <w:marRight w:val="0"/>
      <w:marTop w:val="0"/>
      <w:marBottom w:val="0"/>
      <w:divBdr>
        <w:top w:val="none" w:sz="0" w:space="0" w:color="auto"/>
        <w:left w:val="none" w:sz="0" w:space="0" w:color="auto"/>
        <w:bottom w:val="none" w:sz="0" w:space="0" w:color="auto"/>
        <w:right w:val="none" w:sz="0" w:space="0" w:color="auto"/>
      </w:divBdr>
    </w:div>
    <w:div w:id="18197611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3</Pages>
  <Words>1220</Words>
  <Characters>6956</Characters>
  <Application>Microsoft Macintosh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8160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1</cp:revision>
  <dcterms:created xsi:type="dcterms:W3CDTF">2017-12-05T10:44:00Z</dcterms:created>
  <dcterms:modified xsi:type="dcterms:W3CDTF">2017-12-05T14:42:00Z</dcterms:modified>
</cp:coreProperties>
</file>