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CB9C"/>
  <w:body>
    <w:p w14:paraId="00000001" w14:textId="77777777" w:rsidR="003347A9" w:rsidRDefault="003347A9">
      <w:pPr>
        <w:pStyle w:val="Heading3"/>
      </w:pPr>
      <w:bookmarkStart w:id="0" w:name="_heading=h.7ee6nrydst8v" w:colFirst="0" w:colLast="0"/>
      <w:bookmarkEnd w:id="0"/>
    </w:p>
    <w:p w14:paraId="00000002" w14:textId="77777777" w:rsidR="003347A9" w:rsidRDefault="00000000">
      <w:pPr>
        <w:pStyle w:val="Heading3"/>
        <w:jc w:val="center"/>
      </w:pPr>
      <w:bookmarkStart w:id="1" w:name="_heading=h.aa2wpketwm9b" w:colFirst="0" w:colLast="0"/>
      <w:bookmarkEnd w:id="1"/>
      <w:r>
        <w:t>Children's Play: Theory and Practices</w:t>
      </w:r>
    </w:p>
    <w:p w14:paraId="00000003" w14:textId="77777777" w:rsidR="003347A9" w:rsidRDefault="00000000">
      <w:pPr>
        <w:pStyle w:val="Heading3"/>
        <w:jc w:val="center"/>
      </w:pPr>
      <w:bookmarkStart w:id="2" w:name="_heading=h.5bn9927h4gtd" w:colFirst="0" w:colLast="0"/>
      <w:bookmarkEnd w:id="2"/>
      <w:r>
        <w:t xml:space="preserve">Noorhan </w:t>
      </w:r>
    </w:p>
    <w:p w14:paraId="00000004" w14:textId="77777777" w:rsidR="003347A9" w:rsidRDefault="00000000">
      <w:pPr>
        <w:pStyle w:val="Heading3"/>
        <w:jc w:val="center"/>
      </w:pPr>
      <w:bookmarkStart w:id="3" w:name="_heading=h.mqr9bh62x4m7" w:colFirst="0" w:colLast="0"/>
      <w:bookmarkEnd w:id="3"/>
      <w:r>
        <w:t>3400 Words</w:t>
      </w:r>
    </w:p>
    <w:p w14:paraId="00000005" w14:textId="77777777" w:rsidR="003347A9" w:rsidRDefault="003347A9"/>
    <w:p w14:paraId="00000006" w14:textId="77777777" w:rsidR="003347A9" w:rsidRDefault="00000000">
      <w:pPr>
        <w:pStyle w:val="Heading3"/>
        <w:spacing w:before="0" w:line="288" w:lineRule="auto"/>
        <w:jc w:val="center"/>
        <w:rPr>
          <w:rFonts w:ascii="Helvetica Neue" w:eastAsia="Helvetica Neue" w:hAnsi="Helvetica Neue" w:cs="Helvetica Neue"/>
          <w:color w:val="FFFFFF"/>
          <w:sz w:val="46"/>
          <w:szCs w:val="46"/>
        </w:rPr>
      </w:pPr>
      <w:bookmarkStart w:id="4" w:name="_heading=h.vjhvraqulr90" w:colFirst="0" w:colLast="0"/>
      <w:bookmarkEnd w:id="4"/>
      <w:r>
        <w:t>(ECEY4003/C)</w:t>
      </w:r>
    </w:p>
    <w:p w14:paraId="00000007" w14:textId="77777777" w:rsidR="003347A9" w:rsidRDefault="003347A9"/>
    <w:p w14:paraId="00000008" w14:textId="77777777" w:rsidR="003347A9" w:rsidRDefault="00000000">
      <w:pPr>
        <w:spacing w:after="0" w:line="360" w:lineRule="auto"/>
        <w:jc w:val="center"/>
        <w:rPr>
          <w:rFonts w:ascii="Arial" w:eastAsia="Arial" w:hAnsi="Arial" w:cs="Arial"/>
          <w:sz w:val="24"/>
          <w:szCs w:val="24"/>
          <w:shd w:val="clear" w:color="auto" w:fill="FF9900"/>
        </w:rPr>
      </w:pPr>
      <w:r>
        <w:rPr>
          <w:rFonts w:ascii="Arial" w:eastAsia="Arial" w:hAnsi="Arial" w:cs="Arial"/>
          <w:b/>
          <w:sz w:val="24"/>
          <w:szCs w:val="24"/>
          <w:shd w:val="clear" w:color="auto" w:fill="FF9900"/>
        </w:rPr>
        <w:t xml:space="preserve">Section 1 </w:t>
      </w:r>
    </w:p>
    <w:p w14:paraId="00000009" w14:textId="77777777" w:rsidR="003347A9" w:rsidRDefault="00000000">
      <w:pPr>
        <w:spacing w:after="0" w:line="360" w:lineRule="auto"/>
        <w:rPr>
          <w:rFonts w:ascii="Arial" w:eastAsia="Arial" w:hAnsi="Arial" w:cs="Arial"/>
          <w:b/>
          <w:sz w:val="24"/>
          <w:szCs w:val="24"/>
          <w:highlight w:val="green"/>
        </w:rPr>
      </w:pPr>
      <w:r>
        <w:rPr>
          <w:rFonts w:ascii="Arial" w:eastAsia="Arial" w:hAnsi="Arial" w:cs="Arial"/>
          <w:b/>
          <w:sz w:val="24"/>
          <w:szCs w:val="24"/>
          <w:highlight w:val="green"/>
        </w:rPr>
        <w:t xml:space="preserve">Types of Play and How They Can Be Supported in </w:t>
      </w:r>
      <w:proofErr w:type="spellStart"/>
      <w:r>
        <w:rPr>
          <w:rFonts w:ascii="Arial" w:eastAsia="Arial" w:hAnsi="Arial" w:cs="Arial"/>
          <w:b/>
          <w:sz w:val="24"/>
          <w:szCs w:val="24"/>
          <w:highlight w:val="green"/>
        </w:rPr>
        <w:t>Practic</w:t>
      </w:r>
      <w:proofErr w:type="spellEnd"/>
    </w:p>
    <w:p w14:paraId="0000000A"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Symbolic play and exploratory play are two essential modes of play that enrich and enhance a child wholly. Symbolic play, or pretend play, is where children use objects, actions, or ideas to represent other objects, actions, or ideas. For instance, a child might pretend that a banana is a telephone or that he is a doctor wearing a pretend stethoscope treating patients. This type of play generally develops by the age of two years and becomes more sophisticated as cognitive development progresses (Bruce et al., 2015, p. 82).</w:t>
      </w:r>
    </w:p>
    <w:p w14:paraId="0000000B"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Exploratory play, also called sensory play, is rooted in the child's interaction with objects in a manner that does not have to involve the child's creativity. In early years settings, symbolic play can be facilitated by the introduction of open-ended resources, such as dressing-up costumes, puppets, domestic objects, and props, which children can use in unlimited ways to stimulate imaginative play. Adults are important in listening, joining sensitively, scaffolding children's stories, and not controlling them (McMahon and Dyer, 2017, p. 5). An enabling environment that supports exploratory play is a multisensory place with natural materials, treasure baskets, and objects that vary in texture, weight, and sound.</w:t>
      </w:r>
    </w:p>
    <w:p w14:paraId="0000000C" w14:textId="77777777" w:rsidR="003347A9" w:rsidRDefault="00000000">
      <w:pPr>
        <w:spacing w:after="0" w:line="360" w:lineRule="auto"/>
        <w:rPr>
          <w:rFonts w:ascii="Arial" w:eastAsia="Arial" w:hAnsi="Arial" w:cs="Arial"/>
          <w:sz w:val="24"/>
          <w:szCs w:val="24"/>
          <w:highlight w:val="green"/>
        </w:rPr>
      </w:pPr>
      <w:r>
        <w:rPr>
          <w:rFonts w:ascii="Arial" w:eastAsia="Arial" w:hAnsi="Arial" w:cs="Arial"/>
          <w:b/>
          <w:sz w:val="24"/>
          <w:szCs w:val="24"/>
          <w:highlight w:val="green"/>
        </w:rPr>
        <w:t>Play Types and How They Support Children's Holistic Development</w:t>
      </w:r>
    </w:p>
    <w:p w14:paraId="0000000D"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 xml:space="preserve">Symbolic play is the capacity to use symbols to stand for things, ideas, emotions, or activities. For instance, a child may use a stick as a gun. Later, they could use symbols </w:t>
      </w:r>
      <w:r>
        <w:rPr>
          <w:rFonts w:ascii="Arial" w:eastAsia="Arial" w:hAnsi="Arial" w:cs="Arial"/>
          <w:sz w:val="24"/>
          <w:szCs w:val="24"/>
        </w:rPr>
        <w:lastRenderedPageBreak/>
        <w:t xml:space="preserve">as substitutes for things, for instance, a squiggle to stand in for the ocean or symbols to stand in for abstract concepts like a flag to signify a nation or membership of a gang (Play types, 2017). Children evaluating the potential of a certain item or environment—for instance, constructing with Lego blocks, learning how a new rope swing works, and hammering a nail into a piece of wood—defines exploratory play. New props and circumstances encourage object play since this </w:t>
      </w:r>
      <w:proofErr w:type="spellStart"/>
      <w:r>
        <w:rPr>
          <w:rFonts w:ascii="Arial" w:eastAsia="Arial" w:hAnsi="Arial" w:cs="Arial"/>
          <w:sz w:val="24"/>
          <w:szCs w:val="24"/>
        </w:rPr>
        <w:t>fulfils</w:t>
      </w:r>
      <w:proofErr w:type="spellEnd"/>
      <w:r>
        <w:rPr>
          <w:rFonts w:ascii="Arial" w:eastAsia="Arial" w:hAnsi="Arial" w:cs="Arial"/>
          <w:sz w:val="24"/>
          <w:szCs w:val="24"/>
        </w:rPr>
        <w:t xml:space="preserve"> children's inherent curiosity and need for excitement. Both forms of play are essential because they stimulate different regions of brain growth and involve various types of learning (Play Types, 2017). While exploratory play stresses sensory involvement and discovery, symbolic play stresses representational thinking and social cooperation.</w:t>
      </w:r>
    </w:p>
    <w:p w14:paraId="0000000E" w14:textId="77777777" w:rsidR="003347A9" w:rsidRDefault="00000000">
      <w:pPr>
        <w:spacing w:after="0" w:line="360" w:lineRule="auto"/>
        <w:rPr>
          <w:rFonts w:ascii="Arial" w:eastAsia="Arial" w:hAnsi="Arial" w:cs="Arial"/>
          <w:sz w:val="24"/>
          <w:szCs w:val="24"/>
          <w:highlight w:val="green"/>
        </w:rPr>
      </w:pPr>
      <w:r>
        <w:rPr>
          <w:rFonts w:ascii="Arial" w:eastAsia="Arial" w:hAnsi="Arial" w:cs="Arial"/>
          <w:b/>
          <w:sz w:val="24"/>
          <w:szCs w:val="24"/>
          <w:highlight w:val="green"/>
        </w:rPr>
        <w:t>Benefits</w:t>
      </w:r>
    </w:p>
    <w:p w14:paraId="0000000F"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The important thing about symbolic play is not the object of play or prop that the child selects but the meaning the child assigns to it; this is the meaning that controls the play. The development of symbolic play correlates with the onset of signs and writing. Like other forms of play that contain an element of pretend, symbolic play needs a supportive, non-threatening environment where children are at ease and know they will not be mocked. Trees, bushes, mounds and ditches, tubes, buildings, and areas to hide in encourage children to investigate and explore more. Exploratory play has significant advantages (Howard, 2020, p. 262). It fosters curiosity, develops independent thinking, and supports sensory integration—essential for developing a foundation for future science and mathematics learning. Assisting children to learn through active experimentation is a constructivist view of learning consistent with Piaget's theory. In addition, both forms of play promote well-being and internal motivation.</w:t>
      </w:r>
    </w:p>
    <w:p w14:paraId="00000010" w14:textId="77777777" w:rsidR="003347A9" w:rsidRDefault="00000000">
      <w:pPr>
        <w:spacing w:after="0" w:line="360" w:lineRule="auto"/>
        <w:rPr>
          <w:rFonts w:ascii="Arial" w:eastAsia="Arial" w:hAnsi="Arial" w:cs="Arial"/>
          <w:sz w:val="24"/>
          <w:szCs w:val="24"/>
          <w:highlight w:val="green"/>
        </w:rPr>
      </w:pPr>
      <w:r>
        <w:rPr>
          <w:rFonts w:ascii="Arial" w:eastAsia="Arial" w:hAnsi="Arial" w:cs="Arial"/>
          <w:b/>
          <w:sz w:val="24"/>
          <w:szCs w:val="24"/>
          <w:highlight w:val="green"/>
        </w:rPr>
        <w:t>Stages of play</w:t>
      </w:r>
    </w:p>
    <w:p w14:paraId="00000011"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 xml:space="preserve">Understanding the stages of play can guide teachers in establishing a supportive environment according to the level of children's development. The stages are unoccupied, solitary, onlooker, parallel, associative, and cooperative play. Symbolic play initially evolves from solitary play to social play. It starts when a child first pretends alone (solitary play), then watches another child play (onlooker), and finally plays with the other children (cooperative). Exploratory play emerges earlier in development, with </w:t>
      </w:r>
      <w:r>
        <w:rPr>
          <w:rFonts w:ascii="Arial" w:eastAsia="Arial" w:hAnsi="Arial" w:cs="Arial"/>
          <w:sz w:val="24"/>
          <w:szCs w:val="24"/>
        </w:rPr>
        <w:lastRenderedPageBreak/>
        <w:t xml:space="preserve">fewer toddlers entering cooperative or associative play. Infants and toddlers can investigate independently or with other children without direct contact. The emphasis is more on sensations than community. But eventually, as skills develop, children start sharing insights or working together to solve problems, heading toward associative play. Although exploratory play looks simple, it is the sort of play that provides the groundwork for advanced performance. These early steps are crucial for developing confidence, sensory processing, and even the concept of object permanence. Jean Piaget considered play to reflect the developmental stages of children. Symbolic play appears during the </w:t>
      </w:r>
      <w:proofErr w:type="spellStart"/>
      <w:r>
        <w:rPr>
          <w:rFonts w:ascii="Arial" w:eastAsia="Arial" w:hAnsi="Arial" w:cs="Arial"/>
          <w:sz w:val="24"/>
          <w:szCs w:val="24"/>
        </w:rPr>
        <w:t>preoperational</w:t>
      </w:r>
      <w:proofErr w:type="spellEnd"/>
      <w:r>
        <w:rPr>
          <w:rFonts w:ascii="Arial" w:eastAsia="Arial" w:hAnsi="Arial" w:cs="Arial"/>
          <w:sz w:val="24"/>
          <w:szCs w:val="24"/>
        </w:rPr>
        <w:t xml:space="preserve"> stage when concepts and symbols are used for the first time to represent the world. Piaget stressed that children build understanding through active processes and that symbolic and exploratory play aid this by allowing the testing of ideas and incorporation of what is learnt, respectively (Aubrey and Riley, 2022, p. 19).</w:t>
      </w:r>
      <w:proofErr w:type="spellStart"/>
      <w:r>
        <w:rPr>
          <w:rFonts w:ascii="Arial" w:eastAsia="Arial" w:hAnsi="Arial" w:cs="Arial"/>
          <w:sz w:val="24"/>
          <w:szCs w:val="24"/>
        </w:rPr>
        <w:t>Vygotsky</w:t>
      </w:r>
      <w:proofErr w:type="spellEnd"/>
      <w:r>
        <w:rPr>
          <w:rFonts w:ascii="Arial" w:eastAsia="Arial" w:hAnsi="Arial" w:cs="Arial"/>
          <w:sz w:val="24"/>
          <w:szCs w:val="24"/>
        </w:rPr>
        <w:t xml:space="preserve"> described the play as a stimulus for development. </w:t>
      </w:r>
      <w:proofErr w:type="spellStart"/>
      <w:r>
        <w:rPr>
          <w:rFonts w:ascii="Arial" w:eastAsia="Arial" w:hAnsi="Arial" w:cs="Arial"/>
          <w:sz w:val="24"/>
          <w:szCs w:val="24"/>
        </w:rPr>
        <w:t>Vygotsky</w:t>
      </w:r>
      <w:proofErr w:type="spellEnd"/>
      <w:r>
        <w:rPr>
          <w:rFonts w:ascii="Arial" w:eastAsia="Arial" w:hAnsi="Arial" w:cs="Arial"/>
          <w:sz w:val="24"/>
          <w:szCs w:val="24"/>
        </w:rPr>
        <w:t xml:space="preserve"> also saw the importance of language in play, language as a tool for thought. Jerome Bruner thought that adults should support children's learning by providing the minimum amount of help required to enable children to succeed. Bruner saw symbolic play as crucial to building the "language of mind", which allows a child to order, plan, and understand the perspectives of others. For exploratory play, all three theorists are relevant. Piaget </w:t>
      </w:r>
      <w:proofErr w:type="spellStart"/>
      <w:r>
        <w:rPr>
          <w:rFonts w:ascii="Arial" w:eastAsia="Arial" w:hAnsi="Arial" w:cs="Arial"/>
          <w:sz w:val="24"/>
          <w:szCs w:val="24"/>
        </w:rPr>
        <w:t>emphasises</w:t>
      </w:r>
      <w:proofErr w:type="spellEnd"/>
      <w:r>
        <w:rPr>
          <w:rFonts w:ascii="Arial" w:eastAsia="Arial" w:hAnsi="Arial" w:cs="Arial"/>
          <w:sz w:val="24"/>
          <w:szCs w:val="24"/>
        </w:rPr>
        <w:t xml:space="preserve"> its importance in sensory-motor development, and </w:t>
      </w:r>
      <w:proofErr w:type="spellStart"/>
      <w:r>
        <w:rPr>
          <w:rFonts w:ascii="Arial" w:eastAsia="Arial" w:hAnsi="Arial" w:cs="Arial"/>
          <w:sz w:val="24"/>
          <w:szCs w:val="24"/>
        </w:rPr>
        <w:t>Vygotsky</w:t>
      </w:r>
      <w:proofErr w:type="spellEnd"/>
      <w:r>
        <w:rPr>
          <w:rFonts w:ascii="Arial" w:eastAsia="Arial" w:hAnsi="Arial" w:cs="Arial"/>
          <w:sz w:val="24"/>
          <w:szCs w:val="24"/>
        </w:rPr>
        <w:t xml:space="preserve"> argues that it is how the adult extends play through naming, </w:t>
      </w:r>
      <w:proofErr w:type="spellStart"/>
      <w:r>
        <w:rPr>
          <w:rFonts w:ascii="Arial" w:eastAsia="Arial" w:hAnsi="Arial" w:cs="Arial"/>
          <w:sz w:val="24"/>
          <w:szCs w:val="24"/>
        </w:rPr>
        <w:t>modelling</w:t>
      </w:r>
      <w:proofErr w:type="spellEnd"/>
      <w:r>
        <w:rPr>
          <w:rFonts w:ascii="Arial" w:eastAsia="Arial" w:hAnsi="Arial" w:cs="Arial"/>
          <w:sz w:val="24"/>
          <w:szCs w:val="24"/>
        </w:rPr>
        <w:t>, or taking the child's discoveries to a higher level. Bruner explores how the process was one of making sense of interaction with an environment richly resourced (Aubrey and Riley, 2022, p. 62).</w:t>
      </w:r>
    </w:p>
    <w:p w14:paraId="00000012" w14:textId="77777777" w:rsidR="003347A9" w:rsidRDefault="00000000">
      <w:pPr>
        <w:spacing w:after="0" w:line="360" w:lineRule="auto"/>
        <w:jc w:val="center"/>
        <w:rPr>
          <w:rFonts w:ascii="Arial" w:eastAsia="Arial" w:hAnsi="Arial" w:cs="Arial"/>
          <w:sz w:val="24"/>
          <w:szCs w:val="24"/>
          <w:shd w:val="clear" w:color="auto" w:fill="FF9900"/>
        </w:rPr>
      </w:pPr>
      <w:r>
        <w:rPr>
          <w:rFonts w:ascii="Arial" w:eastAsia="Arial" w:hAnsi="Arial" w:cs="Arial"/>
          <w:b/>
          <w:sz w:val="24"/>
          <w:szCs w:val="24"/>
          <w:shd w:val="clear" w:color="auto" w:fill="FF9900"/>
        </w:rPr>
        <w:t>Section 2</w:t>
      </w:r>
    </w:p>
    <w:p w14:paraId="00000013" w14:textId="77777777" w:rsidR="003347A9" w:rsidRDefault="00000000">
      <w:pPr>
        <w:spacing w:after="0" w:line="360" w:lineRule="auto"/>
        <w:rPr>
          <w:rFonts w:ascii="Arial" w:eastAsia="Arial" w:hAnsi="Arial" w:cs="Arial"/>
          <w:sz w:val="24"/>
          <w:szCs w:val="24"/>
          <w:highlight w:val="green"/>
        </w:rPr>
      </w:pPr>
      <w:r>
        <w:rPr>
          <w:rFonts w:ascii="Arial" w:eastAsia="Arial" w:hAnsi="Arial" w:cs="Arial"/>
          <w:b/>
          <w:sz w:val="24"/>
          <w:szCs w:val="24"/>
          <w:highlight w:val="green"/>
        </w:rPr>
        <w:t>Self-Directed Play</w:t>
      </w:r>
    </w:p>
    <w:p w14:paraId="00000014"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 xml:space="preserve">Self-directed play is any play activity the child can select, lead, and control rather than being led by an adult. This type of play originates from the interests, imagination, and curiosity of a child and is motivated by internal or intrinsic factors rather than an extrinsic desire or goal (Else, 2014, p. 5). Unlike adult-directed sports or games, playing on the playground allows children to explore, test their limits, and learn how to work in groups. </w:t>
      </w:r>
      <w:proofErr w:type="spellStart"/>
      <w:r>
        <w:rPr>
          <w:rFonts w:ascii="Arial" w:eastAsia="Arial" w:hAnsi="Arial" w:cs="Arial"/>
          <w:sz w:val="24"/>
          <w:szCs w:val="24"/>
        </w:rPr>
        <w:t>Bottrill</w:t>
      </w:r>
      <w:proofErr w:type="spellEnd"/>
      <w:r>
        <w:rPr>
          <w:rFonts w:ascii="Arial" w:eastAsia="Arial" w:hAnsi="Arial" w:cs="Arial"/>
          <w:sz w:val="24"/>
          <w:szCs w:val="24"/>
        </w:rPr>
        <w:t xml:space="preserve"> (2018) </w:t>
      </w:r>
      <w:proofErr w:type="spellStart"/>
      <w:r>
        <w:rPr>
          <w:rFonts w:ascii="Arial" w:eastAsia="Arial" w:hAnsi="Arial" w:cs="Arial"/>
          <w:sz w:val="24"/>
          <w:szCs w:val="24"/>
        </w:rPr>
        <w:t>emphasises</w:t>
      </w:r>
      <w:proofErr w:type="spellEnd"/>
      <w:r>
        <w:rPr>
          <w:rFonts w:ascii="Arial" w:eastAsia="Arial" w:hAnsi="Arial" w:cs="Arial"/>
          <w:sz w:val="24"/>
          <w:szCs w:val="24"/>
        </w:rPr>
        <w:t xml:space="preserve"> that spontaneous play is not a second-rate form of learning </w:t>
      </w:r>
      <w:r>
        <w:rPr>
          <w:rFonts w:ascii="Arial" w:eastAsia="Arial" w:hAnsi="Arial" w:cs="Arial"/>
          <w:sz w:val="24"/>
          <w:szCs w:val="24"/>
        </w:rPr>
        <w:lastRenderedPageBreak/>
        <w:t>but a deep and real process by which children come across ideas, experiment with hypotheses, and consider alternatives. Such play is frequently described as having high levels of engagement, flow, and persistence and is an ideal state for embedded learning to occur. Children can moderate their experience and feel a great deal of control over their surroundings. McLean et al. (2023) show that how adults understand play profoundly influences the extent to which environments support or restrict this freedom, supporting a pedagogy that listens to children's perspectives.</w:t>
      </w:r>
    </w:p>
    <w:p w14:paraId="00000015" w14:textId="77777777" w:rsidR="003347A9" w:rsidRDefault="00000000">
      <w:pPr>
        <w:spacing w:after="0" w:line="360" w:lineRule="auto"/>
        <w:rPr>
          <w:rFonts w:ascii="Arial" w:eastAsia="Arial" w:hAnsi="Arial" w:cs="Arial"/>
          <w:sz w:val="24"/>
          <w:szCs w:val="24"/>
          <w:highlight w:val="green"/>
        </w:rPr>
      </w:pPr>
      <w:r>
        <w:rPr>
          <w:rFonts w:ascii="Arial" w:eastAsia="Arial" w:hAnsi="Arial" w:cs="Arial"/>
          <w:b/>
          <w:sz w:val="24"/>
          <w:szCs w:val="24"/>
          <w:highlight w:val="green"/>
        </w:rPr>
        <w:t>How Adults Support Self-Directed Play</w:t>
      </w:r>
    </w:p>
    <w:p w14:paraId="00000016"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 xml:space="preserve">Although self-directed play is child-initiated and child-led, an adult's role is nonetheless important. Adults are facilitators, spectators, and mediators of the environment that facilitate, rather than disrupt, meaningful play experiences. For adults interested in helping to facilitate self-directed play, one of the most powerful ways to do so is through creating an environment that enables this type of play by being safe, stimulating, and full of open-ended materials (McMahon and Dyer, 2017, p. 6). The adult's attitude toward play is also a crucial action that determines the effectiveness of play (Moyles, 2014, p. 214). Adults who </w:t>
      </w:r>
      <w:proofErr w:type="spellStart"/>
      <w:r>
        <w:rPr>
          <w:rFonts w:ascii="Arial" w:eastAsia="Arial" w:hAnsi="Arial" w:cs="Arial"/>
          <w:sz w:val="24"/>
          <w:szCs w:val="24"/>
        </w:rPr>
        <w:t>recognise</w:t>
      </w:r>
      <w:proofErr w:type="spellEnd"/>
      <w:r>
        <w:rPr>
          <w:rFonts w:ascii="Arial" w:eastAsia="Arial" w:hAnsi="Arial" w:cs="Arial"/>
          <w:sz w:val="24"/>
          <w:szCs w:val="24"/>
        </w:rPr>
        <w:t xml:space="preserve"> the legitimacy of play as learning are more likely to give that playtime, space, and freedom for immersion. King and Newstead (2020) highlight the need for adult intervention at the right point of play. They consider the play cycle concept, which models play as a sequence of stimuli and responses. Adults should know when to step in or out and let that cycle continue. Self-directed play is also evident when adults set up enabling environments – especially outdoors. Informal intermediate spaces, such as courtyards or garden edges, can support rich self-directed play, particularly if adults resist the temptation to over-design or police them. Time, space, and exploration permission are key (</w:t>
      </w:r>
      <w:proofErr w:type="spellStart"/>
      <w:r>
        <w:rPr>
          <w:rFonts w:ascii="Arial" w:eastAsia="Arial" w:hAnsi="Arial" w:cs="Arial"/>
          <w:sz w:val="24"/>
          <w:szCs w:val="24"/>
        </w:rPr>
        <w:t>Aminpour</w:t>
      </w:r>
      <w:proofErr w:type="spellEnd"/>
      <w:r>
        <w:rPr>
          <w:rFonts w:ascii="Arial" w:eastAsia="Arial" w:hAnsi="Arial" w:cs="Arial"/>
          <w:sz w:val="24"/>
          <w:szCs w:val="24"/>
        </w:rPr>
        <w:t xml:space="preserve"> et al., 2020, p. 1).</w:t>
      </w:r>
    </w:p>
    <w:p w14:paraId="00000017" w14:textId="77777777" w:rsidR="003347A9" w:rsidRDefault="00000000">
      <w:pPr>
        <w:spacing w:after="0" w:line="360" w:lineRule="auto"/>
        <w:rPr>
          <w:rFonts w:ascii="Arial" w:eastAsia="Arial" w:hAnsi="Arial" w:cs="Arial"/>
          <w:sz w:val="24"/>
          <w:szCs w:val="24"/>
          <w:highlight w:val="green"/>
        </w:rPr>
      </w:pPr>
      <w:r>
        <w:rPr>
          <w:rFonts w:ascii="Arial" w:eastAsia="Arial" w:hAnsi="Arial" w:cs="Arial"/>
          <w:b/>
          <w:sz w:val="24"/>
          <w:szCs w:val="24"/>
          <w:highlight w:val="green"/>
        </w:rPr>
        <w:t>Importance of Self-Play</w:t>
      </w:r>
    </w:p>
    <w:p w14:paraId="00000018"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 xml:space="preserve">Self-directed play is the basis of meaningful and deep learning. When children lead their play, they are good at sustaining attention, troubleshooting, and creating a narrative–while often revisiting their ideas over time. This reciprocal process serves to entrench learning and enhance memory and executive function (Else, 2014, p. 100). </w:t>
      </w:r>
      <w:proofErr w:type="spellStart"/>
      <w:r>
        <w:rPr>
          <w:rFonts w:ascii="Arial" w:eastAsia="Arial" w:hAnsi="Arial" w:cs="Arial"/>
          <w:sz w:val="24"/>
          <w:szCs w:val="24"/>
        </w:rPr>
        <w:t>Vygotsky</w:t>
      </w:r>
      <w:proofErr w:type="spellEnd"/>
      <w:r>
        <w:rPr>
          <w:rFonts w:ascii="Arial" w:eastAsia="Arial" w:hAnsi="Arial" w:cs="Arial"/>
          <w:sz w:val="24"/>
          <w:szCs w:val="24"/>
        </w:rPr>
        <w:t xml:space="preserve"> proposed that symbolic play helps children act at the level of their proximal development, acting like 'little scientists', trying out concepts and social roles in non-</w:t>
      </w:r>
      <w:r>
        <w:rPr>
          <w:rFonts w:ascii="Arial" w:eastAsia="Arial" w:hAnsi="Arial" w:cs="Arial"/>
          <w:sz w:val="24"/>
          <w:szCs w:val="24"/>
        </w:rPr>
        <w:lastRenderedPageBreak/>
        <w:t>threatening, voluntary situations. This scaffolding is most powerful when play is self-driven. Also, children feel more emotionally secure if they consider things to be play rather than work. Children's affective reactions to tasks vary substantially according to whether they received an instruction to consider the task a play (Howard and McInnes, 2013, p. 741). Freedom is also about identity and agency. Play is one of the few opportunities children have to be in control (</w:t>
      </w:r>
      <w:proofErr w:type="spellStart"/>
      <w:r>
        <w:rPr>
          <w:rFonts w:ascii="Arial" w:eastAsia="Arial" w:hAnsi="Arial" w:cs="Arial"/>
          <w:sz w:val="24"/>
          <w:szCs w:val="24"/>
        </w:rPr>
        <w:t>Bottrill</w:t>
      </w:r>
      <w:proofErr w:type="spellEnd"/>
      <w:r>
        <w:rPr>
          <w:rFonts w:ascii="Arial" w:eastAsia="Arial" w:hAnsi="Arial" w:cs="Arial"/>
          <w:sz w:val="24"/>
          <w:szCs w:val="24"/>
        </w:rPr>
        <w:t>, 2022). Children also become more engaged and motivated when they select their play. As Howard (2020) states, motivation is an integral part of learning, not something that can be forced. Self-directed play complements children's intrinsic motivation and supports optimal levels of focused attention, emotional engagement, and satisfaction. Play driven by the child's interest often results in embedded learning – a way of learning where things are learnt naturally and meaningfully rather than by being taught. Piaget stressed that knowledge is the product of an active construction process rather than passive reception. In this sense, self-directed play allows children to connect new information to what they already know in ways that matter to them (Moyles, 2014, p. 76). Children with disabilities can gain a great deal of benefit from self-directed play, particularly when inclusive provisions are made. When children are permitted to play conveniently with adapted tools and environments, all children benefit from the cognitive, physical, and emotional opportunities provided (</w:t>
      </w:r>
      <w:proofErr w:type="spellStart"/>
      <w:r>
        <w:rPr>
          <w:rFonts w:ascii="Arial" w:eastAsia="Arial" w:hAnsi="Arial" w:cs="Arial"/>
          <w:sz w:val="24"/>
          <w:szCs w:val="24"/>
        </w:rPr>
        <w:t>Encarnação</w:t>
      </w:r>
      <w:proofErr w:type="spellEnd"/>
      <w:r>
        <w:rPr>
          <w:rFonts w:ascii="Arial" w:eastAsia="Arial" w:hAnsi="Arial" w:cs="Arial"/>
          <w:sz w:val="24"/>
          <w:szCs w:val="24"/>
        </w:rPr>
        <w:t xml:space="preserve"> et al., 2018, p. 11). Children's social skills are also enhanced by self-directed play. They cultivate a sense of cooperation, empathy, and confrontation by selecting their playmates and negotiating the terms of engagement. The therapeutic value of play in the context of self-directed play enables children to deal with the emotions and feelings that sprout during the play, unlike structured activities (</w:t>
      </w:r>
      <w:proofErr w:type="spellStart"/>
      <w:r>
        <w:rPr>
          <w:rFonts w:ascii="Arial" w:eastAsia="Arial" w:hAnsi="Arial" w:cs="Arial"/>
          <w:sz w:val="24"/>
          <w:szCs w:val="24"/>
        </w:rPr>
        <w:t>Gaikwad</w:t>
      </w:r>
      <w:proofErr w:type="spellEnd"/>
      <w:r>
        <w:rPr>
          <w:rFonts w:ascii="Arial" w:eastAsia="Arial" w:hAnsi="Arial" w:cs="Arial"/>
          <w:sz w:val="24"/>
          <w:szCs w:val="24"/>
        </w:rPr>
        <w:t xml:space="preserve"> et al., 2015, p. 23).</w:t>
      </w:r>
    </w:p>
    <w:p w14:paraId="00000019" w14:textId="77777777" w:rsidR="003347A9" w:rsidRDefault="00000000">
      <w:pPr>
        <w:spacing w:after="0" w:line="360" w:lineRule="auto"/>
        <w:jc w:val="center"/>
        <w:rPr>
          <w:rFonts w:ascii="Arial" w:eastAsia="Arial" w:hAnsi="Arial" w:cs="Arial"/>
          <w:sz w:val="24"/>
          <w:szCs w:val="24"/>
          <w:shd w:val="clear" w:color="auto" w:fill="FF9900"/>
        </w:rPr>
      </w:pPr>
      <w:r>
        <w:rPr>
          <w:rFonts w:ascii="Arial" w:eastAsia="Arial" w:hAnsi="Arial" w:cs="Arial"/>
          <w:b/>
          <w:sz w:val="24"/>
          <w:szCs w:val="24"/>
          <w:shd w:val="clear" w:color="auto" w:fill="FF9900"/>
        </w:rPr>
        <w:t>Section 3</w:t>
      </w:r>
    </w:p>
    <w:p w14:paraId="0000001A" w14:textId="77777777" w:rsidR="003347A9" w:rsidRDefault="00000000">
      <w:pPr>
        <w:spacing w:after="0" w:line="360" w:lineRule="auto"/>
        <w:rPr>
          <w:rFonts w:ascii="Arial" w:eastAsia="Arial" w:hAnsi="Arial" w:cs="Arial"/>
          <w:sz w:val="24"/>
          <w:szCs w:val="24"/>
          <w:highlight w:val="green"/>
        </w:rPr>
      </w:pPr>
      <w:r>
        <w:rPr>
          <w:rFonts w:ascii="Arial" w:eastAsia="Arial" w:hAnsi="Arial" w:cs="Arial"/>
          <w:b/>
          <w:sz w:val="24"/>
          <w:szCs w:val="24"/>
          <w:highlight w:val="green"/>
        </w:rPr>
        <w:t>Observation and Its Importance</w:t>
      </w:r>
    </w:p>
    <w:p w14:paraId="0000001B"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Observation is a purposeful and selective examination of behavior in natural contexts: watching, listening, and recording students in a systematic way. In preschool classes, observation is the base of knowledge of where each child is developmentally, what they enjoy, and what they might need. Watching children in a purposeful way might help give carers an understanding of a child's level of development and depth of learning (</w:t>
      </w:r>
      <w:proofErr w:type="spellStart"/>
      <w:r>
        <w:rPr>
          <w:rFonts w:ascii="Arial" w:eastAsia="Arial" w:hAnsi="Arial" w:cs="Arial"/>
          <w:sz w:val="24"/>
          <w:szCs w:val="24"/>
        </w:rPr>
        <w:t>Smidt</w:t>
      </w:r>
      <w:proofErr w:type="spellEnd"/>
      <w:r>
        <w:rPr>
          <w:rFonts w:ascii="Arial" w:eastAsia="Arial" w:hAnsi="Arial" w:cs="Arial"/>
          <w:sz w:val="24"/>
          <w:szCs w:val="24"/>
        </w:rPr>
        <w:t xml:space="preserve">, </w:t>
      </w:r>
      <w:r>
        <w:rPr>
          <w:rFonts w:ascii="Arial" w:eastAsia="Arial" w:hAnsi="Arial" w:cs="Arial"/>
          <w:sz w:val="24"/>
          <w:szCs w:val="24"/>
        </w:rPr>
        <w:lastRenderedPageBreak/>
        <w:t xml:space="preserve">2015, p. 19). Observation brings out trends in behavior, helps to keep track of participation, and promotes long-term classroom management. It can also support </w:t>
      </w:r>
      <w:proofErr w:type="spellStart"/>
      <w:r>
        <w:rPr>
          <w:rFonts w:ascii="Arial" w:eastAsia="Arial" w:hAnsi="Arial" w:cs="Arial"/>
          <w:sz w:val="24"/>
          <w:szCs w:val="24"/>
        </w:rPr>
        <w:t>behaviour</w:t>
      </w:r>
      <w:proofErr w:type="spellEnd"/>
      <w:r>
        <w:rPr>
          <w:rFonts w:ascii="Arial" w:eastAsia="Arial" w:hAnsi="Arial" w:cs="Arial"/>
          <w:sz w:val="24"/>
          <w:szCs w:val="24"/>
        </w:rPr>
        <w:t xml:space="preserve"> management, social development, and language development. Observation is especially key in the early years, as young children are not always able to express their thoughts and wishes verbally.Play and context-sensitive observations are the richest sources of knowledge concerning children's cognitive, emotional, and social world. Observations also assist the practitioner in forming relationships, monitoring progress, sharing information with families, and planning inclusively and holistically. Howard (2020) highlights that observations in a play-based setting enable educators to view the world from the child's eyes. This practice conforms to a rights-based approach to childhood, taking the child's viewpoint into account in assessment. Observation is essential to children, especially when transforming environments or methodologies to meet the challenges of children with additional needs (</w:t>
      </w:r>
      <w:proofErr w:type="spellStart"/>
      <w:r>
        <w:rPr>
          <w:rFonts w:ascii="Arial" w:eastAsia="Arial" w:hAnsi="Arial" w:cs="Arial"/>
          <w:sz w:val="24"/>
          <w:szCs w:val="24"/>
        </w:rPr>
        <w:t>Encarnação</w:t>
      </w:r>
      <w:proofErr w:type="spellEnd"/>
      <w:r>
        <w:rPr>
          <w:rFonts w:ascii="Arial" w:eastAsia="Arial" w:hAnsi="Arial" w:cs="Arial"/>
          <w:sz w:val="24"/>
          <w:szCs w:val="24"/>
        </w:rPr>
        <w:t xml:space="preserve"> et al., 2018, p. 43).</w:t>
      </w:r>
    </w:p>
    <w:p w14:paraId="0000001C" w14:textId="77777777" w:rsidR="003347A9" w:rsidRDefault="00000000">
      <w:pPr>
        <w:spacing w:after="0" w:line="360" w:lineRule="auto"/>
        <w:rPr>
          <w:rFonts w:ascii="Arial" w:eastAsia="Arial" w:hAnsi="Arial" w:cs="Arial"/>
          <w:sz w:val="24"/>
          <w:szCs w:val="24"/>
          <w:highlight w:val="green"/>
        </w:rPr>
      </w:pPr>
      <w:r>
        <w:rPr>
          <w:rFonts w:ascii="Arial" w:eastAsia="Arial" w:hAnsi="Arial" w:cs="Arial"/>
          <w:b/>
          <w:sz w:val="24"/>
          <w:szCs w:val="24"/>
          <w:highlight w:val="green"/>
        </w:rPr>
        <w:t>The Chosen Observational Method</w:t>
      </w:r>
      <w:r>
        <w:rPr>
          <w:rFonts w:ascii="Arial" w:eastAsia="Arial" w:hAnsi="Arial" w:cs="Arial"/>
          <w:sz w:val="24"/>
          <w:szCs w:val="24"/>
          <w:highlight w:val="green"/>
        </w:rPr>
        <w:t xml:space="preserve"> </w:t>
      </w:r>
    </w:p>
    <w:p w14:paraId="0000001D"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 xml:space="preserve">A running record is a popular observational method used in early years settings where everything a child does and says is written down and timed, usually over a 5–20-minute period. It is a narrative approach to observing, recording, and portraying events as they unfold in a chronological, descriptive, nonjudgmental plan. The observer is an objective bystander and records information such as the setting, what the child is doing and saying, and how they interact with their peers. This procedure enables observation of a child in a naturalistic setting during play or typical activities without interfering with their </w:t>
      </w:r>
      <w:proofErr w:type="spellStart"/>
      <w:r>
        <w:rPr>
          <w:rFonts w:ascii="Arial" w:eastAsia="Arial" w:hAnsi="Arial" w:cs="Arial"/>
          <w:sz w:val="24"/>
          <w:szCs w:val="24"/>
        </w:rPr>
        <w:t>behaviour</w:t>
      </w:r>
      <w:proofErr w:type="spellEnd"/>
      <w:r>
        <w:rPr>
          <w:rFonts w:ascii="Arial" w:eastAsia="Arial" w:hAnsi="Arial" w:cs="Arial"/>
          <w:sz w:val="24"/>
          <w:szCs w:val="24"/>
        </w:rPr>
        <w:t xml:space="preserve">. Running records offer a window into a child's behavior and can help identify trends in how a child interacts with peers, manipulates materials, or regulates emotions (Brock et al., 2013, p. 50). </w:t>
      </w:r>
      <w:proofErr w:type="spellStart"/>
      <w:r>
        <w:rPr>
          <w:rFonts w:ascii="Arial" w:eastAsia="Arial" w:hAnsi="Arial" w:cs="Arial"/>
          <w:sz w:val="24"/>
          <w:szCs w:val="24"/>
        </w:rPr>
        <w:t>Smidt</w:t>
      </w:r>
      <w:proofErr w:type="spellEnd"/>
      <w:r>
        <w:rPr>
          <w:rFonts w:ascii="Arial" w:eastAsia="Arial" w:hAnsi="Arial" w:cs="Arial"/>
          <w:sz w:val="24"/>
          <w:szCs w:val="24"/>
        </w:rPr>
        <w:t xml:space="preserve"> (2015) stresses the importance of running records in understanding the circumstances surrounding </w:t>
      </w:r>
      <w:proofErr w:type="spellStart"/>
      <w:r>
        <w:rPr>
          <w:rFonts w:ascii="Arial" w:eastAsia="Arial" w:hAnsi="Arial" w:cs="Arial"/>
          <w:sz w:val="24"/>
          <w:szCs w:val="24"/>
        </w:rPr>
        <w:t>behaviour</w:t>
      </w:r>
      <w:proofErr w:type="spellEnd"/>
      <w:r>
        <w:rPr>
          <w:rFonts w:ascii="Arial" w:eastAsia="Arial" w:hAnsi="Arial" w:cs="Arial"/>
          <w:sz w:val="24"/>
          <w:szCs w:val="24"/>
        </w:rPr>
        <w:t xml:space="preserve">, interaction sequences, and small group social </w:t>
      </w:r>
      <w:proofErr w:type="spellStart"/>
      <w:r>
        <w:rPr>
          <w:rFonts w:ascii="Arial" w:eastAsia="Arial" w:hAnsi="Arial" w:cs="Arial"/>
          <w:sz w:val="24"/>
          <w:szCs w:val="24"/>
        </w:rPr>
        <w:t>behaviour</w:t>
      </w:r>
      <w:proofErr w:type="spellEnd"/>
      <w:r>
        <w:rPr>
          <w:rFonts w:ascii="Arial" w:eastAsia="Arial" w:hAnsi="Arial" w:cs="Arial"/>
          <w:sz w:val="24"/>
          <w:szCs w:val="24"/>
        </w:rPr>
        <w:t xml:space="preserve"> and dynamics in young children's play.</w:t>
      </w:r>
    </w:p>
    <w:p w14:paraId="0000001E" w14:textId="77777777" w:rsidR="003347A9" w:rsidRDefault="00000000">
      <w:pPr>
        <w:spacing w:after="0" w:line="360" w:lineRule="auto"/>
        <w:rPr>
          <w:rFonts w:ascii="Arial" w:eastAsia="Arial" w:hAnsi="Arial" w:cs="Arial"/>
          <w:sz w:val="24"/>
          <w:szCs w:val="24"/>
          <w:highlight w:val="green"/>
        </w:rPr>
      </w:pPr>
      <w:r>
        <w:rPr>
          <w:rFonts w:ascii="Arial" w:eastAsia="Arial" w:hAnsi="Arial" w:cs="Arial"/>
          <w:b/>
          <w:sz w:val="24"/>
          <w:szCs w:val="24"/>
          <w:highlight w:val="green"/>
        </w:rPr>
        <w:t>Benefits and Limitations of the Chosen Observation Tool</w:t>
      </w:r>
    </w:p>
    <w:p w14:paraId="0000001F"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 xml:space="preserve">One advantage of the running record is the wealth of qualitative data it yields. Viewing real-time behavior without prompts or structured tasks, the observer can infer the child's thinking, interests, and methods of learning. This is particularly critical in assessing communication, problem-solving, emotional regulation, and peer </w:t>
      </w:r>
      <w:r>
        <w:rPr>
          <w:rFonts w:ascii="Arial" w:eastAsia="Arial" w:hAnsi="Arial" w:cs="Arial"/>
          <w:sz w:val="24"/>
          <w:szCs w:val="24"/>
        </w:rPr>
        <w:lastRenderedPageBreak/>
        <w:t xml:space="preserve">relationships, as these developmental areas are not easily measured through </w:t>
      </w:r>
      <w:proofErr w:type="spellStart"/>
      <w:r>
        <w:rPr>
          <w:rFonts w:ascii="Arial" w:eastAsia="Arial" w:hAnsi="Arial" w:cs="Arial"/>
          <w:sz w:val="24"/>
          <w:szCs w:val="24"/>
        </w:rPr>
        <w:t>standardised</w:t>
      </w:r>
      <w:proofErr w:type="spellEnd"/>
      <w:r>
        <w:rPr>
          <w:rFonts w:ascii="Arial" w:eastAsia="Arial" w:hAnsi="Arial" w:cs="Arial"/>
          <w:sz w:val="24"/>
          <w:szCs w:val="24"/>
        </w:rPr>
        <w:t xml:space="preserve"> quantitative measures. Running records also facilitate professional reflection, enabling practitioners to </w:t>
      </w:r>
      <w:proofErr w:type="spellStart"/>
      <w:r>
        <w:rPr>
          <w:rFonts w:ascii="Arial" w:eastAsia="Arial" w:hAnsi="Arial" w:cs="Arial"/>
          <w:sz w:val="24"/>
          <w:szCs w:val="24"/>
        </w:rPr>
        <w:t>recognise</w:t>
      </w:r>
      <w:proofErr w:type="spellEnd"/>
      <w:r>
        <w:rPr>
          <w:rFonts w:ascii="Arial" w:eastAsia="Arial" w:hAnsi="Arial" w:cs="Arial"/>
          <w:sz w:val="24"/>
          <w:szCs w:val="24"/>
        </w:rPr>
        <w:t xml:space="preserve"> learning dispositions, teaching moments, and points for further observation or intervention (</w:t>
      </w:r>
      <w:proofErr w:type="spellStart"/>
      <w:r>
        <w:rPr>
          <w:rFonts w:ascii="Arial" w:eastAsia="Arial" w:hAnsi="Arial" w:cs="Arial"/>
          <w:sz w:val="24"/>
          <w:szCs w:val="24"/>
        </w:rPr>
        <w:t>Smidt</w:t>
      </w:r>
      <w:proofErr w:type="spellEnd"/>
      <w:r>
        <w:rPr>
          <w:rFonts w:ascii="Arial" w:eastAsia="Arial" w:hAnsi="Arial" w:cs="Arial"/>
          <w:sz w:val="24"/>
          <w:szCs w:val="24"/>
        </w:rPr>
        <w:t>, 2015, p. 23). When adults do not interrupt play, children behave most naturally, and it will be easier to notice the development of authentic experiences.Running records permit </w:t>
      </w:r>
      <w:proofErr w:type="spellStart"/>
      <w:r>
        <w:rPr>
          <w:rFonts w:ascii="Arial" w:eastAsia="Arial" w:hAnsi="Arial" w:cs="Arial"/>
          <w:sz w:val="24"/>
          <w:szCs w:val="24"/>
        </w:rPr>
        <w:t>individualised</w:t>
      </w:r>
      <w:proofErr w:type="spellEnd"/>
      <w:r>
        <w:rPr>
          <w:rFonts w:ascii="Arial" w:eastAsia="Arial" w:hAnsi="Arial" w:cs="Arial"/>
          <w:sz w:val="24"/>
          <w:szCs w:val="24"/>
        </w:rPr>
        <w:t xml:space="preserve"> assessment. Since the observation is unspecific, it is free for the observing teacher to interpret in relation to the child's development or concerns they need to address. Instruments for observation that permit the presence of children with disabilities contribute to more accurate understanding and identification of support strategies (</w:t>
      </w:r>
      <w:proofErr w:type="spellStart"/>
      <w:r>
        <w:rPr>
          <w:rFonts w:ascii="Arial" w:eastAsia="Arial" w:hAnsi="Arial" w:cs="Arial"/>
          <w:sz w:val="24"/>
          <w:szCs w:val="24"/>
        </w:rPr>
        <w:t>Encarnação</w:t>
      </w:r>
      <w:proofErr w:type="spellEnd"/>
      <w:r>
        <w:rPr>
          <w:rFonts w:ascii="Arial" w:eastAsia="Arial" w:hAnsi="Arial" w:cs="Arial"/>
          <w:sz w:val="24"/>
          <w:szCs w:val="24"/>
        </w:rPr>
        <w:t xml:space="preserve"> et al., 2018, p. 45). Running records also promote reflective teaching practice. Narrative observations assist educators in interpreting and re-looking at children's actions in many ways.Another advantage of running records is that they are quick and inexpensive to administer. They need no special equipment aside from a notepad and pen or a digital equivalent (Bruce et al., 2015, p. 12). However, running records as a tool have their limitations. Running records is labour-intensive and necessitates undivided attention from the observer, which can be a challenge in classrooms where it is impractical for a practitioner to focus solely on one child. Running records are also situation-specific and, therefore, represent a subset of a child's more global abilities and </w:t>
      </w:r>
      <w:proofErr w:type="spellStart"/>
      <w:r>
        <w:rPr>
          <w:rFonts w:ascii="Arial" w:eastAsia="Arial" w:hAnsi="Arial" w:cs="Arial"/>
          <w:sz w:val="24"/>
          <w:szCs w:val="24"/>
        </w:rPr>
        <w:t>behaviours</w:t>
      </w:r>
      <w:proofErr w:type="spellEnd"/>
      <w:r>
        <w:rPr>
          <w:rFonts w:ascii="Arial" w:eastAsia="Arial" w:hAnsi="Arial" w:cs="Arial"/>
          <w:sz w:val="24"/>
          <w:szCs w:val="24"/>
        </w:rPr>
        <w:t xml:space="preserve"> across environments at a given point in time (Sharman et al., 2015, p. 67). It is also difficult to maintain privacy and ethical considerations.</w:t>
      </w:r>
    </w:p>
    <w:p w14:paraId="00000020" w14:textId="77777777" w:rsidR="003347A9" w:rsidRDefault="00000000">
      <w:pPr>
        <w:spacing w:after="0" w:line="360" w:lineRule="auto"/>
        <w:rPr>
          <w:rFonts w:ascii="Arial" w:eastAsia="Arial" w:hAnsi="Arial" w:cs="Arial"/>
          <w:sz w:val="24"/>
          <w:szCs w:val="24"/>
          <w:highlight w:val="green"/>
        </w:rPr>
      </w:pPr>
      <w:r>
        <w:rPr>
          <w:rFonts w:ascii="Arial" w:eastAsia="Arial" w:hAnsi="Arial" w:cs="Arial"/>
          <w:b/>
          <w:sz w:val="24"/>
          <w:szCs w:val="24"/>
          <w:highlight w:val="green"/>
        </w:rPr>
        <w:t>Strengths and Limitations of the Observational Method</w:t>
      </w:r>
    </w:p>
    <w:p w14:paraId="00000021"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 xml:space="preserve">The running record provides a holistic view of the child, especially when used in a play. It is unstructured and descriptive, which enables practitioners to observe how children use language, </w:t>
      </w:r>
      <w:proofErr w:type="spellStart"/>
      <w:r>
        <w:rPr>
          <w:rFonts w:ascii="Arial" w:eastAsia="Arial" w:hAnsi="Arial" w:cs="Arial"/>
          <w:sz w:val="24"/>
          <w:szCs w:val="24"/>
        </w:rPr>
        <w:t>socialise</w:t>
      </w:r>
      <w:proofErr w:type="spellEnd"/>
      <w:r>
        <w:rPr>
          <w:rFonts w:ascii="Arial" w:eastAsia="Arial" w:hAnsi="Arial" w:cs="Arial"/>
          <w:sz w:val="24"/>
          <w:szCs w:val="24"/>
        </w:rPr>
        <w:t xml:space="preserve">, resolve conflicts, and express emotion in a natural setting. Holistic assessment </w:t>
      </w:r>
      <w:proofErr w:type="spellStart"/>
      <w:r>
        <w:rPr>
          <w:rFonts w:ascii="Arial" w:eastAsia="Arial" w:hAnsi="Arial" w:cs="Arial"/>
          <w:sz w:val="24"/>
          <w:szCs w:val="24"/>
        </w:rPr>
        <w:t>recognises</w:t>
      </w:r>
      <w:proofErr w:type="spellEnd"/>
      <w:r>
        <w:rPr>
          <w:rFonts w:ascii="Arial" w:eastAsia="Arial" w:hAnsi="Arial" w:cs="Arial"/>
          <w:sz w:val="24"/>
          <w:szCs w:val="24"/>
        </w:rPr>
        <w:t xml:space="preserve"> that children's development is not made up of separate strands but in a dynamic and context-dependent way (Else, 2014, p. 111). When children are observed while playing—particularly when it is play they regard as self-selected— they provide more emotionally accurate and developmentally valid information (Howard and McInnes, 2013, 741). Running records make it possible to </w:t>
      </w:r>
      <w:r>
        <w:rPr>
          <w:rFonts w:ascii="Arial" w:eastAsia="Arial" w:hAnsi="Arial" w:cs="Arial"/>
          <w:sz w:val="24"/>
          <w:szCs w:val="24"/>
        </w:rPr>
        <w:lastRenderedPageBreak/>
        <w:t xml:space="preserve">capture these motivated episodes, providing a more comprehensive picture of a child's competencies, interests, and well-being.While the running record allows for depth, it lacks </w:t>
      </w:r>
      <w:proofErr w:type="spellStart"/>
      <w:r>
        <w:rPr>
          <w:rFonts w:ascii="Arial" w:eastAsia="Arial" w:hAnsi="Arial" w:cs="Arial"/>
          <w:sz w:val="24"/>
          <w:szCs w:val="24"/>
        </w:rPr>
        <w:t>standardisation</w:t>
      </w:r>
      <w:proofErr w:type="spellEnd"/>
      <w:r>
        <w:rPr>
          <w:rFonts w:ascii="Arial" w:eastAsia="Arial" w:hAnsi="Arial" w:cs="Arial"/>
          <w:sz w:val="24"/>
          <w:szCs w:val="24"/>
        </w:rPr>
        <w:t>. No normative data or developmental milestones are available with running records. This may complicate comparisons of children's development across multiple cohorts or the identification of deficits in particular aspects of development unless supplemented with extra measures (</w:t>
      </w:r>
      <w:proofErr w:type="spellStart"/>
      <w:r>
        <w:rPr>
          <w:rFonts w:ascii="Arial" w:eastAsia="Arial" w:hAnsi="Arial" w:cs="Arial"/>
          <w:sz w:val="24"/>
          <w:szCs w:val="24"/>
        </w:rPr>
        <w:t>Serenella</w:t>
      </w:r>
      <w:proofErr w:type="spellEnd"/>
      <w:r>
        <w:rPr>
          <w:rFonts w:ascii="Arial" w:eastAsia="Arial" w:hAnsi="Arial" w:cs="Arial"/>
          <w:sz w:val="24"/>
          <w:szCs w:val="24"/>
        </w:rPr>
        <w:t xml:space="preserve"> et al., 2018, p. 117). A limitation is that it can only observe </w:t>
      </w:r>
      <w:proofErr w:type="spellStart"/>
      <w:r>
        <w:rPr>
          <w:rFonts w:ascii="Arial" w:eastAsia="Arial" w:hAnsi="Arial" w:cs="Arial"/>
          <w:sz w:val="24"/>
          <w:szCs w:val="24"/>
        </w:rPr>
        <w:t>behaviour</w:t>
      </w:r>
      <w:proofErr w:type="spellEnd"/>
      <w:r>
        <w:rPr>
          <w:rFonts w:ascii="Arial" w:eastAsia="Arial" w:hAnsi="Arial" w:cs="Arial"/>
          <w:sz w:val="24"/>
          <w:szCs w:val="24"/>
        </w:rPr>
        <w:t xml:space="preserve"> and not thoughts and feelings. As Bruner argued, a child's inner learning is frequently known only in forms that are symbolic to himself or emotional. The running record is a potent instrument; it values the child's agency, demonstrates learning in authentic contexts, and offers a platform for adults to reflect, respond, and plan developmentally appropriate conduct (</w:t>
      </w:r>
      <w:proofErr w:type="spellStart"/>
      <w:r>
        <w:rPr>
          <w:rFonts w:ascii="Arial" w:eastAsia="Arial" w:hAnsi="Arial" w:cs="Arial"/>
          <w:sz w:val="24"/>
          <w:szCs w:val="24"/>
        </w:rPr>
        <w:t>Bottrill</w:t>
      </w:r>
      <w:proofErr w:type="spellEnd"/>
      <w:r>
        <w:rPr>
          <w:rFonts w:ascii="Arial" w:eastAsia="Arial" w:hAnsi="Arial" w:cs="Arial"/>
          <w:sz w:val="24"/>
          <w:szCs w:val="24"/>
        </w:rPr>
        <w:t>, 2022).</w:t>
      </w:r>
    </w:p>
    <w:p w14:paraId="00000022" w14:textId="77777777" w:rsidR="003347A9" w:rsidRDefault="00000000">
      <w:pPr>
        <w:spacing w:after="0" w:line="360" w:lineRule="auto"/>
        <w:jc w:val="center"/>
        <w:rPr>
          <w:rFonts w:ascii="Arial" w:eastAsia="Arial" w:hAnsi="Arial" w:cs="Arial"/>
          <w:sz w:val="24"/>
          <w:szCs w:val="24"/>
          <w:shd w:val="clear" w:color="auto" w:fill="FF9900"/>
        </w:rPr>
      </w:pPr>
      <w:r>
        <w:rPr>
          <w:rFonts w:ascii="Arial" w:eastAsia="Arial" w:hAnsi="Arial" w:cs="Arial"/>
          <w:b/>
          <w:sz w:val="24"/>
          <w:szCs w:val="24"/>
          <w:shd w:val="clear" w:color="auto" w:fill="FF9900"/>
        </w:rPr>
        <w:t>Section 4</w:t>
      </w:r>
    </w:p>
    <w:p w14:paraId="00000023" w14:textId="77777777" w:rsidR="003347A9" w:rsidRDefault="00000000">
      <w:pPr>
        <w:spacing w:after="0" w:line="360" w:lineRule="auto"/>
        <w:rPr>
          <w:rFonts w:ascii="Arial" w:eastAsia="Arial" w:hAnsi="Arial" w:cs="Arial"/>
          <w:sz w:val="24"/>
          <w:szCs w:val="24"/>
          <w:highlight w:val="green"/>
        </w:rPr>
      </w:pPr>
      <w:r>
        <w:rPr>
          <w:rFonts w:ascii="Arial" w:eastAsia="Arial" w:hAnsi="Arial" w:cs="Arial"/>
          <w:b/>
          <w:sz w:val="24"/>
          <w:szCs w:val="24"/>
          <w:highlight w:val="green"/>
        </w:rPr>
        <w:t>Importance of Play When Observing and Assessing Children</w:t>
      </w:r>
    </w:p>
    <w:p w14:paraId="00000024"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 xml:space="preserve">Play is at the centre of children's development, learning, and well-being and is also central to examining and assessing them. Watching children at play offers insight into how they learn and develop, as their natural </w:t>
      </w:r>
      <w:proofErr w:type="spellStart"/>
      <w:r>
        <w:rPr>
          <w:rFonts w:ascii="Arial" w:eastAsia="Arial" w:hAnsi="Arial" w:cs="Arial"/>
          <w:sz w:val="24"/>
          <w:szCs w:val="24"/>
        </w:rPr>
        <w:t>behaviours</w:t>
      </w:r>
      <w:proofErr w:type="spellEnd"/>
      <w:r>
        <w:rPr>
          <w:rFonts w:ascii="Arial" w:eastAsia="Arial" w:hAnsi="Arial" w:cs="Arial"/>
          <w:sz w:val="24"/>
          <w:szCs w:val="24"/>
        </w:rPr>
        <w:t xml:space="preserve">, interactions, problem-solving skills, and communication styles are recorded in a way that is meaningful and interesting to them. Howard (2020) suggests that through play, children represent and communicate their ideas, emotions, and perceptions of the world. Watching them play offers a broader, more realistic view of where they are developmentally.Unlike traditional evaluations, play-based observations create less performance anxiety for a child and let the child work at their speed and style. This results in better estimates of their intelligence, especially in the cognitive, social, and emotional areas. Play provides a brief glimpse into the mind of a child that cannot be obtained through questioning or </w:t>
      </w:r>
      <w:proofErr w:type="spellStart"/>
      <w:r>
        <w:rPr>
          <w:rFonts w:ascii="Arial" w:eastAsia="Arial" w:hAnsi="Arial" w:cs="Arial"/>
          <w:sz w:val="24"/>
          <w:szCs w:val="24"/>
        </w:rPr>
        <w:t>standardised</w:t>
      </w:r>
      <w:proofErr w:type="spellEnd"/>
      <w:r>
        <w:rPr>
          <w:rFonts w:ascii="Arial" w:eastAsia="Arial" w:hAnsi="Arial" w:cs="Arial"/>
          <w:sz w:val="24"/>
          <w:szCs w:val="24"/>
        </w:rPr>
        <w:t xml:space="preserve"> testing (</w:t>
      </w:r>
      <w:proofErr w:type="spellStart"/>
      <w:r>
        <w:rPr>
          <w:rFonts w:ascii="Arial" w:eastAsia="Arial" w:hAnsi="Arial" w:cs="Arial"/>
          <w:sz w:val="24"/>
          <w:szCs w:val="24"/>
        </w:rPr>
        <w:t>Smidt</w:t>
      </w:r>
      <w:proofErr w:type="spellEnd"/>
      <w:r>
        <w:rPr>
          <w:rFonts w:ascii="Arial" w:eastAsia="Arial" w:hAnsi="Arial" w:cs="Arial"/>
          <w:sz w:val="24"/>
          <w:szCs w:val="24"/>
        </w:rPr>
        <w:t xml:space="preserve">, 2015, p. 59). A child with difficulty with verbal expression may demonstrate leadership or problem-solving abilities in a cooperative play setting.Howard and McInnes (2013) provide valuable knowledge on how children's viewpoints shape their participation. When children consider an activity play, not learning, their well-being soars. With the Leuven Involvement Scale, greater emotional involvement and higher well-being are observed in children who perceive the activity as </w:t>
      </w:r>
      <w:r>
        <w:rPr>
          <w:rFonts w:ascii="Arial" w:eastAsia="Arial" w:hAnsi="Arial" w:cs="Arial"/>
          <w:sz w:val="24"/>
          <w:szCs w:val="24"/>
        </w:rPr>
        <w:lastRenderedPageBreak/>
        <w:t>play. This is important when depicting development — it is more reliable to watch children within environments they are likely to understand as being playful.</w:t>
      </w:r>
    </w:p>
    <w:p w14:paraId="00000025" w14:textId="77777777" w:rsidR="003347A9" w:rsidRDefault="00000000">
      <w:pPr>
        <w:spacing w:after="0" w:line="360" w:lineRule="auto"/>
        <w:rPr>
          <w:rFonts w:ascii="Arial" w:eastAsia="Arial" w:hAnsi="Arial" w:cs="Arial"/>
          <w:sz w:val="24"/>
          <w:szCs w:val="24"/>
          <w:highlight w:val="green"/>
        </w:rPr>
      </w:pPr>
      <w:r>
        <w:rPr>
          <w:rFonts w:ascii="Arial" w:eastAsia="Arial" w:hAnsi="Arial" w:cs="Arial"/>
          <w:b/>
          <w:sz w:val="24"/>
          <w:szCs w:val="24"/>
          <w:highlight w:val="green"/>
        </w:rPr>
        <w:t>Relation of Observing Children in Play and Their Development Stage</w:t>
      </w:r>
    </w:p>
    <w:p w14:paraId="00000026"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Observing children play is the only way to gain an accurate and comprehensive understanding of a child's progress, for play is a perfect reflection of what the child is ready to learn. Children's emotional well-being and engagement are significantly higher when they define an activity as play as opposed to non-play. This confirms they are more inclined to build their skill sets—motor, speech and communication, empathy, or even executive function—while playing. This is reinforced by the Leuven Scale of Well-being and Involvement. This machine detects intense emotional engagement during play, which is associated with more profound learning (Howard and McInnes, 2013, 740).</w:t>
      </w:r>
    </w:p>
    <w:p w14:paraId="00000027" w14:textId="77777777" w:rsidR="003347A9" w:rsidRDefault="00000000">
      <w:pPr>
        <w:spacing w:after="0" w:line="360" w:lineRule="auto"/>
        <w:rPr>
          <w:rFonts w:ascii="Arial" w:eastAsia="Arial" w:hAnsi="Arial" w:cs="Arial"/>
          <w:sz w:val="24"/>
          <w:szCs w:val="24"/>
          <w:highlight w:val="green"/>
        </w:rPr>
      </w:pPr>
      <w:r>
        <w:rPr>
          <w:rFonts w:ascii="Arial" w:eastAsia="Arial" w:hAnsi="Arial" w:cs="Arial"/>
          <w:b/>
          <w:sz w:val="24"/>
          <w:szCs w:val="24"/>
          <w:highlight w:val="green"/>
        </w:rPr>
        <w:t>How Adults Support Observation of Children Playing</w:t>
      </w:r>
    </w:p>
    <w:p w14:paraId="00000028" w14:textId="77777777" w:rsidR="003347A9" w:rsidRDefault="00000000">
      <w:pPr>
        <w:spacing w:after="0" w:line="360" w:lineRule="auto"/>
        <w:rPr>
          <w:rFonts w:ascii="Arial" w:eastAsia="Arial" w:hAnsi="Arial" w:cs="Arial"/>
          <w:sz w:val="24"/>
          <w:szCs w:val="24"/>
        </w:rPr>
      </w:pPr>
      <w:r>
        <w:rPr>
          <w:rFonts w:ascii="Arial" w:eastAsia="Arial" w:hAnsi="Arial" w:cs="Arial"/>
          <w:sz w:val="24"/>
          <w:szCs w:val="24"/>
        </w:rPr>
        <w:t xml:space="preserve">It is the role of adults to provide the conditions in which accurate and purposeful observations through play can be made. One of the key strategies is to "stand back" — to allow children the space to lead their play without adult intrusion. It does not mean doing nothing but being there, noticing, and acting when needed. The sensitive observation by </w:t>
      </w:r>
      <w:proofErr w:type="spellStart"/>
      <w:r>
        <w:rPr>
          <w:rFonts w:ascii="Arial" w:eastAsia="Arial" w:hAnsi="Arial" w:cs="Arial"/>
          <w:sz w:val="24"/>
          <w:szCs w:val="24"/>
        </w:rPr>
        <w:t>emphasising</w:t>
      </w:r>
      <w:proofErr w:type="spellEnd"/>
      <w:r>
        <w:rPr>
          <w:rFonts w:ascii="Arial" w:eastAsia="Arial" w:hAnsi="Arial" w:cs="Arial"/>
          <w:sz w:val="24"/>
          <w:szCs w:val="24"/>
        </w:rPr>
        <w:t xml:space="preserve"> the teacher's respect for the child's autonomy and that children learn best when they feel secure, in control, and </w:t>
      </w:r>
      <w:proofErr w:type="spellStart"/>
      <w:r>
        <w:rPr>
          <w:rFonts w:ascii="Arial" w:eastAsia="Arial" w:hAnsi="Arial" w:cs="Arial"/>
          <w:sz w:val="24"/>
          <w:szCs w:val="24"/>
        </w:rPr>
        <w:t>unjudged</w:t>
      </w:r>
      <w:proofErr w:type="spellEnd"/>
      <w:r>
        <w:rPr>
          <w:rFonts w:ascii="Arial" w:eastAsia="Arial" w:hAnsi="Arial" w:cs="Arial"/>
          <w:sz w:val="24"/>
          <w:szCs w:val="24"/>
        </w:rPr>
        <w:t xml:space="preserve"> (Else, 2014, p. 136). Adults also must possess a robust understanding of child development to observe accurately. Knowing what is normal at various ages can help distinguish between emerging skills. Observing development allows educators to see "teachable moments" and to scaffold learning support if required without interrupting the play flow (Waters-Davies, 2022, p. 10).Observation skills and confidence are developed through expertise and training as well. Good observers are reflective, intentional, and detached (Bruce et al., 2015, p. 3). They refrain from making hasty judgements or prematurely labelling </w:t>
      </w:r>
      <w:proofErr w:type="spellStart"/>
      <w:r>
        <w:rPr>
          <w:rFonts w:ascii="Arial" w:eastAsia="Arial" w:hAnsi="Arial" w:cs="Arial"/>
          <w:sz w:val="24"/>
          <w:szCs w:val="24"/>
        </w:rPr>
        <w:t>behaviours</w:t>
      </w:r>
      <w:proofErr w:type="spellEnd"/>
      <w:r>
        <w:rPr>
          <w:rFonts w:ascii="Arial" w:eastAsia="Arial" w:hAnsi="Arial" w:cs="Arial"/>
          <w:sz w:val="24"/>
          <w:szCs w:val="24"/>
        </w:rPr>
        <w:t xml:space="preserve">. Documentation tools, such as running records, photo sequences, and learning stories, can help </w:t>
      </w:r>
      <w:proofErr w:type="spellStart"/>
      <w:r>
        <w:rPr>
          <w:rFonts w:ascii="Arial" w:eastAsia="Arial" w:hAnsi="Arial" w:cs="Arial"/>
          <w:sz w:val="24"/>
          <w:szCs w:val="24"/>
        </w:rPr>
        <w:t>organise</w:t>
      </w:r>
      <w:proofErr w:type="spellEnd"/>
      <w:r>
        <w:rPr>
          <w:rFonts w:ascii="Arial" w:eastAsia="Arial" w:hAnsi="Arial" w:cs="Arial"/>
          <w:sz w:val="24"/>
          <w:szCs w:val="24"/>
        </w:rPr>
        <w:t xml:space="preserve"> observations and maintain a coherent system over time (Fleet, 2017, p. 21). They also foster collaborative relationships with families and other professionals who contribute multiple perspectives on the child's development. Confidence and competence in observation techniques are equally </w:t>
      </w:r>
      <w:r>
        <w:rPr>
          <w:rFonts w:ascii="Arial" w:eastAsia="Arial" w:hAnsi="Arial" w:cs="Arial"/>
          <w:sz w:val="24"/>
          <w:szCs w:val="24"/>
        </w:rPr>
        <w:lastRenderedPageBreak/>
        <w:t xml:space="preserve">important. Skilled observation involves the ability to record objectively, make critical reflections, and connect observation to theoretical backdrops and curricular goals. Besides, the physical and emotional environment should be enabling. Educators need to create places that facilitate autonomy, exploration and creativity. When adults grant children freedom to play, it provides a rare picture of children’s agency and innovation. Using video, notes, photos and learning stories, educators can identify and interpret </w:t>
      </w:r>
      <w:proofErr w:type="spellStart"/>
      <w:r>
        <w:rPr>
          <w:rFonts w:ascii="Arial" w:eastAsia="Arial" w:hAnsi="Arial" w:cs="Arial"/>
          <w:sz w:val="24"/>
          <w:szCs w:val="24"/>
        </w:rPr>
        <w:t>behaviours</w:t>
      </w:r>
      <w:proofErr w:type="spellEnd"/>
      <w:r>
        <w:rPr>
          <w:rFonts w:ascii="Arial" w:eastAsia="Arial" w:hAnsi="Arial" w:cs="Arial"/>
          <w:sz w:val="24"/>
          <w:szCs w:val="24"/>
        </w:rPr>
        <w:t xml:space="preserve"> collaboratively with peers and family. This approach is multidimensional and supports reflective practice and further understanding.Adults need to know how to create enabling environments – places that are exciting, adaptable, and nurturing in various types of play. An environment that makes it easy and inviting for children to play, build, and work together offers more observations. This environment is deliberately designed to facilitate independence, curiosity, and interaction. Environments that children perceive as playful are more likely to foster engagement and well-being (Howard and McInnes, 2013, p. 739). Thus, for correct observation, the adult must take account not only of what is observed but also of where and how children play. The physical, social, and emotional setting also affects what and how the child says.</w:t>
      </w:r>
    </w:p>
    <w:p w14:paraId="00000029" w14:textId="77777777" w:rsidR="003347A9" w:rsidRDefault="003347A9">
      <w:pPr>
        <w:rPr>
          <w:rFonts w:ascii="Arial" w:eastAsia="Arial" w:hAnsi="Arial" w:cs="Arial"/>
          <w:b/>
          <w:sz w:val="24"/>
          <w:szCs w:val="24"/>
        </w:rPr>
      </w:pPr>
    </w:p>
    <w:p w14:paraId="0000002A" w14:textId="77777777" w:rsidR="003347A9" w:rsidRDefault="00000000">
      <w:pPr>
        <w:spacing w:after="0" w:line="360" w:lineRule="auto"/>
        <w:jc w:val="center"/>
        <w:rPr>
          <w:rFonts w:ascii="Arial" w:eastAsia="Arial" w:hAnsi="Arial" w:cs="Arial"/>
          <w:b/>
          <w:sz w:val="24"/>
          <w:szCs w:val="24"/>
          <w:shd w:val="clear" w:color="auto" w:fill="FF9900"/>
        </w:rPr>
      </w:pPr>
      <w:r>
        <w:rPr>
          <w:rFonts w:ascii="Arial" w:eastAsia="Arial" w:hAnsi="Arial" w:cs="Arial"/>
          <w:b/>
          <w:sz w:val="24"/>
          <w:szCs w:val="24"/>
          <w:shd w:val="clear" w:color="auto" w:fill="FF9900"/>
        </w:rPr>
        <w:t>References</w:t>
      </w:r>
    </w:p>
    <w:p w14:paraId="0000002B" w14:textId="77777777" w:rsidR="003347A9" w:rsidRDefault="00000000">
      <w:pPr>
        <w:spacing w:after="0" w:line="360" w:lineRule="auto"/>
        <w:ind w:left="720" w:hanging="720"/>
        <w:rPr>
          <w:rFonts w:ascii="Arial" w:eastAsia="Arial" w:hAnsi="Arial" w:cs="Arial"/>
          <w:color w:val="0000FF"/>
          <w:sz w:val="24"/>
          <w:szCs w:val="24"/>
        </w:rPr>
      </w:pPr>
      <w:proofErr w:type="spellStart"/>
      <w:r>
        <w:rPr>
          <w:rFonts w:ascii="Arial" w:eastAsia="Arial" w:hAnsi="Arial" w:cs="Arial"/>
          <w:color w:val="0000FF"/>
          <w:sz w:val="24"/>
          <w:szCs w:val="24"/>
        </w:rPr>
        <w:t>Aminpour</w:t>
      </w:r>
      <w:proofErr w:type="spellEnd"/>
      <w:r>
        <w:rPr>
          <w:rFonts w:ascii="Arial" w:eastAsia="Arial" w:hAnsi="Arial" w:cs="Arial"/>
          <w:color w:val="0000FF"/>
          <w:sz w:val="24"/>
          <w:szCs w:val="24"/>
        </w:rPr>
        <w:t xml:space="preserve">, F., Bishop, K. and </w:t>
      </w:r>
      <w:proofErr w:type="spellStart"/>
      <w:r>
        <w:rPr>
          <w:rFonts w:ascii="Arial" w:eastAsia="Arial" w:hAnsi="Arial" w:cs="Arial"/>
          <w:color w:val="0000FF"/>
          <w:sz w:val="24"/>
          <w:szCs w:val="24"/>
        </w:rPr>
        <w:t>Corkery</w:t>
      </w:r>
      <w:proofErr w:type="spellEnd"/>
      <w:r>
        <w:rPr>
          <w:rFonts w:ascii="Arial" w:eastAsia="Arial" w:hAnsi="Arial" w:cs="Arial"/>
          <w:color w:val="0000FF"/>
          <w:sz w:val="24"/>
          <w:szCs w:val="24"/>
        </w:rPr>
        <w:t>, L., 2020. The hidden value of in-between spaces for children's self-directed play within outdoor school environments. </w:t>
      </w:r>
      <w:r>
        <w:rPr>
          <w:rFonts w:ascii="Arial" w:eastAsia="Arial" w:hAnsi="Arial" w:cs="Arial"/>
          <w:i/>
          <w:color w:val="0000FF"/>
          <w:sz w:val="24"/>
          <w:szCs w:val="24"/>
        </w:rPr>
        <w:t>Landscape and urban planning</w:t>
      </w:r>
      <w:r>
        <w:rPr>
          <w:rFonts w:ascii="Arial" w:eastAsia="Arial" w:hAnsi="Arial" w:cs="Arial"/>
          <w:color w:val="0000FF"/>
          <w:sz w:val="24"/>
          <w:szCs w:val="24"/>
        </w:rPr>
        <w:t xml:space="preserve">,  </w:t>
      </w:r>
      <w:hyperlink r:id="rId7">
        <w:r>
          <w:rPr>
            <w:rFonts w:ascii="Arial" w:eastAsia="Arial" w:hAnsi="Arial" w:cs="Arial"/>
            <w:color w:val="0000FF"/>
            <w:sz w:val="24"/>
            <w:szCs w:val="24"/>
          </w:rPr>
          <w:t>https://doi.org/10.1016/j.landurbplan.2019.103683</w:t>
        </w:r>
      </w:hyperlink>
    </w:p>
    <w:p w14:paraId="0000002C" w14:textId="77777777" w:rsidR="003347A9" w:rsidRDefault="00000000">
      <w:pPr>
        <w:spacing w:after="0" w:line="360" w:lineRule="auto"/>
        <w:ind w:left="720" w:hanging="720"/>
        <w:rPr>
          <w:rFonts w:ascii="Arial" w:eastAsia="Arial" w:hAnsi="Arial" w:cs="Arial"/>
          <w:color w:val="0000FF"/>
          <w:sz w:val="24"/>
          <w:szCs w:val="24"/>
        </w:rPr>
      </w:pPr>
      <w:r>
        <w:rPr>
          <w:rFonts w:ascii="Arial" w:eastAsia="Arial" w:hAnsi="Arial" w:cs="Arial"/>
          <w:color w:val="0000FF"/>
          <w:sz w:val="24"/>
          <w:szCs w:val="24"/>
        </w:rPr>
        <w:t xml:space="preserve">Aubrey, K. and Riley, A., 2022. Understanding and using educational theories. </w:t>
      </w:r>
    </w:p>
    <w:p w14:paraId="0000002D" w14:textId="77777777" w:rsidR="003347A9" w:rsidRDefault="00000000">
      <w:pPr>
        <w:spacing w:after="0" w:line="360" w:lineRule="auto"/>
        <w:ind w:left="720" w:hanging="720"/>
        <w:rPr>
          <w:rFonts w:ascii="Arial" w:eastAsia="Arial" w:hAnsi="Arial" w:cs="Arial"/>
          <w:color w:val="0000FF"/>
          <w:sz w:val="24"/>
          <w:szCs w:val="24"/>
        </w:rPr>
      </w:pPr>
      <w:proofErr w:type="spellStart"/>
      <w:r>
        <w:rPr>
          <w:rFonts w:ascii="Arial" w:eastAsia="Arial" w:hAnsi="Arial" w:cs="Arial"/>
          <w:color w:val="0000FF"/>
          <w:sz w:val="24"/>
          <w:szCs w:val="24"/>
        </w:rPr>
        <w:t>Bottrill</w:t>
      </w:r>
      <w:proofErr w:type="spellEnd"/>
      <w:r>
        <w:rPr>
          <w:rFonts w:ascii="Arial" w:eastAsia="Arial" w:hAnsi="Arial" w:cs="Arial"/>
          <w:color w:val="0000FF"/>
          <w:sz w:val="24"/>
          <w:szCs w:val="24"/>
        </w:rPr>
        <w:t>, G., 2018. Can I Go and Play Now? Rethinking the Early Years.</w:t>
      </w:r>
    </w:p>
    <w:p w14:paraId="0000002E" w14:textId="77777777" w:rsidR="003347A9" w:rsidRDefault="00000000">
      <w:pPr>
        <w:spacing w:after="0" w:line="360" w:lineRule="auto"/>
        <w:ind w:left="720" w:hanging="720"/>
        <w:rPr>
          <w:rFonts w:ascii="Arial" w:eastAsia="Arial" w:hAnsi="Arial" w:cs="Arial"/>
          <w:color w:val="0000FF"/>
          <w:sz w:val="24"/>
          <w:szCs w:val="24"/>
        </w:rPr>
      </w:pPr>
      <w:r>
        <w:rPr>
          <w:rFonts w:ascii="Arial" w:eastAsia="Arial" w:hAnsi="Arial" w:cs="Arial"/>
          <w:color w:val="0000FF"/>
          <w:sz w:val="24"/>
          <w:szCs w:val="24"/>
        </w:rPr>
        <w:t xml:space="preserve">Brock, A., Dodds, S., Jarvis, P. and </w:t>
      </w:r>
      <w:proofErr w:type="spellStart"/>
      <w:r>
        <w:rPr>
          <w:rFonts w:ascii="Arial" w:eastAsia="Arial" w:hAnsi="Arial" w:cs="Arial"/>
          <w:color w:val="0000FF"/>
          <w:sz w:val="24"/>
          <w:szCs w:val="24"/>
        </w:rPr>
        <w:t>Olusoga</w:t>
      </w:r>
      <w:proofErr w:type="spellEnd"/>
      <w:r>
        <w:rPr>
          <w:rFonts w:ascii="Arial" w:eastAsia="Arial" w:hAnsi="Arial" w:cs="Arial"/>
          <w:color w:val="0000FF"/>
          <w:sz w:val="24"/>
          <w:szCs w:val="24"/>
        </w:rPr>
        <w:t xml:space="preserve">, Y., 2019. Perspectives on play: learning for life. </w:t>
      </w:r>
      <w:proofErr w:type="spellStart"/>
      <w:r>
        <w:rPr>
          <w:rFonts w:ascii="Arial" w:eastAsia="Arial" w:hAnsi="Arial" w:cs="Arial"/>
          <w:color w:val="0000FF"/>
          <w:sz w:val="24"/>
          <w:szCs w:val="24"/>
        </w:rPr>
        <w:t>Routledge</w:t>
      </w:r>
      <w:proofErr w:type="spellEnd"/>
      <w:r>
        <w:rPr>
          <w:rFonts w:ascii="Arial" w:eastAsia="Arial" w:hAnsi="Arial" w:cs="Arial"/>
          <w:color w:val="0000FF"/>
          <w:sz w:val="24"/>
          <w:szCs w:val="24"/>
        </w:rPr>
        <w:t xml:space="preserve">. </w:t>
      </w:r>
    </w:p>
    <w:p w14:paraId="0000002F" w14:textId="77777777" w:rsidR="003347A9" w:rsidRDefault="00000000">
      <w:pPr>
        <w:spacing w:after="0" w:line="360" w:lineRule="auto"/>
        <w:ind w:left="720" w:hanging="720"/>
        <w:rPr>
          <w:rFonts w:ascii="Arial" w:eastAsia="Arial" w:hAnsi="Arial" w:cs="Arial"/>
          <w:color w:val="0000FF"/>
          <w:sz w:val="24"/>
          <w:szCs w:val="24"/>
        </w:rPr>
      </w:pPr>
      <w:r>
        <w:rPr>
          <w:rFonts w:ascii="Arial" w:eastAsia="Arial" w:hAnsi="Arial" w:cs="Arial"/>
          <w:color w:val="0000FF"/>
          <w:sz w:val="24"/>
          <w:szCs w:val="24"/>
        </w:rPr>
        <w:t>Bruce, T., McCall, G. and Louis, S., 2015. Observing young children.</w:t>
      </w:r>
    </w:p>
    <w:p w14:paraId="00000030" w14:textId="77777777" w:rsidR="003347A9" w:rsidRDefault="00000000">
      <w:pPr>
        <w:spacing w:after="0" w:line="360" w:lineRule="auto"/>
        <w:ind w:left="720" w:hanging="720"/>
        <w:rPr>
          <w:rFonts w:ascii="Arial" w:eastAsia="Arial" w:hAnsi="Arial" w:cs="Arial"/>
          <w:color w:val="0000FF"/>
          <w:sz w:val="24"/>
          <w:szCs w:val="24"/>
        </w:rPr>
      </w:pPr>
      <w:r>
        <w:rPr>
          <w:rFonts w:ascii="Arial" w:eastAsia="Arial" w:hAnsi="Arial" w:cs="Arial"/>
          <w:color w:val="0000FF"/>
          <w:sz w:val="24"/>
          <w:szCs w:val="24"/>
        </w:rPr>
        <w:t>Else, P., 2014. EBOOK: Making Sense of Play: Supporting children in their play. McGraw-Hill Education (UK).</w:t>
      </w:r>
    </w:p>
    <w:p w14:paraId="00000031" w14:textId="77777777" w:rsidR="003347A9" w:rsidRDefault="00000000">
      <w:pPr>
        <w:spacing w:after="0" w:line="360" w:lineRule="auto"/>
        <w:ind w:left="720" w:hanging="720"/>
        <w:rPr>
          <w:rFonts w:ascii="Arial" w:eastAsia="Arial" w:hAnsi="Arial" w:cs="Arial"/>
          <w:color w:val="0000FF"/>
          <w:sz w:val="24"/>
          <w:szCs w:val="24"/>
        </w:rPr>
      </w:pPr>
      <w:proofErr w:type="spellStart"/>
      <w:r>
        <w:rPr>
          <w:rFonts w:ascii="Arial" w:eastAsia="Arial" w:hAnsi="Arial" w:cs="Arial"/>
          <w:color w:val="0000FF"/>
          <w:sz w:val="24"/>
          <w:szCs w:val="24"/>
        </w:rPr>
        <w:t>Encarnação</w:t>
      </w:r>
      <w:proofErr w:type="spellEnd"/>
      <w:r>
        <w:rPr>
          <w:rFonts w:ascii="Arial" w:eastAsia="Arial" w:hAnsi="Arial" w:cs="Arial"/>
          <w:color w:val="0000FF"/>
          <w:sz w:val="24"/>
          <w:szCs w:val="24"/>
        </w:rPr>
        <w:t xml:space="preserve">, </w:t>
      </w:r>
      <w:proofErr w:type="spellStart"/>
      <w:r>
        <w:rPr>
          <w:rFonts w:ascii="Arial" w:eastAsia="Arial" w:hAnsi="Arial" w:cs="Arial"/>
          <w:color w:val="0000FF"/>
          <w:sz w:val="24"/>
          <w:szCs w:val="24"/>
        </w:rPr>
        <w:t>P,Ray-Kaeser</w:t>
      </w:r>
      <w:proofErr w:type="spellEnd"/>
      <w:r>
        <w:rPr>
          <w:rFonts w:ascii="Arial" w:eastAsia="Arial" w:hAnsi="Arial" w:cs="Arial"/>
          <w:color w:val="0000FF"/>
          <w:sz w:val="24"/>
          <w:szCs w:val="24"/>
        </w:rPr>
        <w:t xml:space="preserve">, S. and </w:t>
      </w:r>
      <w:proofErr w:type="spellStart"/>
      <w:r>
        <w:rPr>
          <w:rFonts w:ascii="Arial" w:eastAsia="Arial" w:hAnsi="Arial" w:cs="Arial"/>
          <w:color w:val="0000FF"/>
          <w:sz w:val="24"/>
          <w:szCs w:val="24"/>
        </w:rPr>
        <w:t>Bianquin</w:t>
      </w:r>
      <w:proofErr w:type="spellEnd"/>
      <w:r>
        <w:rPr>
          <w:rFonts w:ascii="Arial" w:eastAsia="Arial" w:hAnsi="Arial" w:cs="Arial"/>
          <w:color w:val="0000FF"/>
          <w:sz w:val="24"/>
          <w:szCs w:val="24"/>
        </w:rPr>
        <w:t xml:space="preserve">, N, 2018. Guidelines for supporting children with disabilities' play: Methodologies, tools, and contexts. </w:t>
      </w:r>
      <w:proofErr w:type="spellStart"/>
      <w:r>
        <w:rPr>
          <w:rFonts w:ascii="Arial" w:eastAsia="Arial" w:hAnsi="Arial" w:cs="Arial"/>
          <w:color w:val="0000FF"/>
          <w:sz w:val="24"/>
          <w:szCs w:val="24"/>
        </w:rPr>
        <w:t>Sciendo</w:t>
      </w:r>
      <w:proofErr w:type="spellEnd"/>
      <w:r>
        <w:rPr>
          <w:rFonts w:ascii="Arial" w:eastAsia="Arial" w:hAnsi="Arial" w:cs="Arial"/>
          <w:color w:val="0000FF"/>
          <w:sz w:val="24"/>
          <w:szCs w:val="24"/>
        </w:rPr>
        <w:t>.</w:t>
      </w:r>
    </w:p>
    <w:p w14:paraId="00000032" w14:textId="77777777" w:rsidR="003347A9" w:rsidRDefault="00000000">
      <w:pPr>
        <w:spacing w:after="0" w:line="360" w:lineRule="auto"/>
        <w:ind w:left="720" w:hanging="720"/>
        <w:rPr>
          <w:rFonts w:ascii="Arial" w:eastAsia="Arial" w:hAnsi="Arial" w:cs="Arial"/>
          <w:color w:val="0000FF"/>
          <w:sz w:val="24"/>
          <w:szCs w:val="24"/>
        </w:rPr>
      </w:pPr>
      <w:r>
        <w:rPr>
          <w:rFonts w:ascii="Arial" w:eastAsia="Arial" w:hAnsi="Arial" w:cs="Arial"/>
          <w:color w:val="0000FF"/>
          <w:sz w:val="24"/>
          <w:szCs w:val="24"/>
        </w:rPr>
        <w:lastRenderedPageBreak/>
        <w:t>Fleet, A, 2017. The landscape of pedagogical documentation. </w:t>
      </w:r>
      <w:r>
        <w:rPr>
          <w:rFonts w:ascii="Arial" w:eastAsia="Arial" w:hAnsi="Arial" w:cs="Arial"/>
          <w:i/>
          <w:color w:val="0000FF"/>
          <w:sz w:val="24"/>
          <w:szCs w:val="24"/>
        </w:rPr>
        <w:t>Pedagogical documentation in early years practice: Seeing through multiple perspectives</w:t>
      </w:r>
      <w:r>
        <w:rPr>
          <w:rFonts w:ascii="Arial" w:eastAsia="Arial" w:hAnsi="Arial" w:cs="Arial"/>
          <w:color w:val="0000FF"/>
          <w:sz w:val="24"/>
          <w:szCs w:val="24"/>
        </w:rPr>
        <w:t xml:space="preserve">. </w:t>
      </w:r>
    </w:p>
    <w:p w14:paraId="00000033" w14:textId="77777777" w:rsidR="003347A9" w:rsidRDefault="00000000">
      <w:pPr>
        <w:spacing w:after="0" w:line="360" w:lineRule="auto"/>
        <w:ind w:left="720" w:hanging="720"/>
        <w:rPr>
          <w:rFonts w:ascii="Arial" w:eastAsia="Arial" w:hAnsi="Arial" w:cs="Arial"/>
          <w:color w:val="0000FF"/>
          <w:sz w:val="24"/>
          <w:szCs w:val="24"/>
        </w:rPr>
      </w:pPr>
      <w:proofErr w:type="spellStart"/>
      <w:r>
        <w:rPr>
          <w:rFonts w:ascii="Arial" w:eastAsia="Arial" w:hAnsi="Arial" w:cs="Arial"/>
          <w:color w:val="0000FF"/>
          <w:sz w:val="24"/>
          <w:szCs w:val="24"/>
        </w:rPr>
        <w:t>Gaikwad</w:t>
      </w:r>
      <w:proofErr w:type="spellEnd"/>
      <w:r>
        <w:rPr>
          <w:rFonts w:ascii="Arial" w:eastAsia="Arial" w:hAnsi="Arial" w:cs="Arial"/>
          <w:color w:val="0000FF"/>
          <w:sz w:val="24"/>
          <w:szCs w:val="24"/>
        </w:rPr>
        <w:t xml:space="preserve">, A.D., </w:t>
      </w:r>
      <w:proofErr w:type="spellStart"/>
      <w:r>
        <w:rPr>
          <w:rFonts w:ascii="Arial" w:eastAsia="Arial" w:hAnsi="Arial" w:cs="Arial"/>
          <w:color w:val="0000FF"/>
          <w:sz w:val="24"/>
          <w:szCs w:val="24"/>
        </w:rPr>
        <w:t>Lalitha</w:t>
      </w:r>
      <w:proofErr w:type="spellEnd"/>
      <w:r>
        <w:rPr>
          <w:rFonts w:ascii="Arial" w:eastAsia="Arial" w:hAnsi="Arial" w:cs="Arial"/>
          <w:color w:val="0000FF"/>
          <w:sz w:val="24"/>
          <w:szCs w:val="24"/>
        </w:rPr>
        <w:t xml:space="preserve">, K. and </w:t>
      </w:r>
      <w:proofErr w:type="spellStart"/>
      <w:r>
        <w:rPr>
          <w:rFonts w:ascii="Arial" w:eastAsia="Arial" w:hAnsi="Arial" w:cs="Arial"/>
          <w:color w:val="0000FF"/>
          <w:sz w:val="24"/>
          <w:szCs w:val="24"/>
        </w:rPr>
        <w:t>Seshadri</w:t>
      </w:r>
      <w:proofErr w:type="spellEnd"/>
      <w:r>
        <w:rPr>
          <w:rFonts w:ascii="Arial" w:eastAsia="Arial" w:hAnsi="Arial" w:cs="Arial"/>
          <w:color w:val="0000FF"/>
          <w:sz w:val="24"/>
          <w:szCs w:val="24"/>
        </w:rPr>
        <w:t>, S.P., 2015. Play Therapy: An Approach to Manage Childhood Problems. </w:t>
      </w:r>
      <w:r>
        <w:rPr>
          <w:rFonts w:ascii="Arial" w:eastAsia="Arial" w:hAnsi="Arial" w:cs="Arial"/>
          <w:i/>
          <w:color w:val="0000FF"/>
          <w:sz w:val="24"/>
          <w:szCs w:val="24"/>
        </w:rPr>
        <w:t>International Journal of Pediatric Nursing</w:t>
      </w:r>
      <w:r>
        <w:rPr>
          <w:rFonts w:ascii="Arial" w:eastAsia="Arial" w:hAnsi="Arial" w:cs="Arial"/>
          <w:color w:val="0000FF"/>
          <w:sz w:val="24"/>
          <w:szCs w:val="24"/>
        </w:rPr>
        <w:t>, </w:t>
      </w:r>
      <w:r>
        <w:rPr>
          <w:rFonts w:ascii="Arial" w:eastAsia="Arial" w:hAnsi="Arial" w:cs="Arial"/>
          <w:i/>
          <w:color w:val="0000FF"/>
          <w:sz w:val="24"/>
          <w:szCs w:val="24"/>
        </w:rPr>
        <w:t>1</w:t>
      </w:r>
      <w:r>
        <w:rPr>
          <w:rFonts w:ascii="Arial" w:eastAsia="Arial" w:hAnsi="Arial" w:cs="Arial"/>
          <w:color w:val="0000FF"/>
          <w:sz w:val="24"/>
          <w:szCs w:val="24"/>
        </w:rPr>
        <w:t xml:space="preserve">(1), pp.22-28. </w:t>
      </w:r>
    </w:p>
    <w:p w14:paraId="00000034" w14:textId="77777777" w:rsidR="003347A9" w:rsidRDefault="00000000">
      <w:pPr>
        <w:spacing w:after="0" w:line="360" w:lineRule="auto"/>
        <w:ind w:left="720" w:hanging="720"/>
        <w:rPr>
          <w:rFonts w:ascii="Arial" w:eastAsia="Arial" w:hAnsi="Arial" w:cs="Arial"/>
          <w:b/>
          <w:color w:val="0000FF"/>
          <w:sz w:val="24"/>
          <w:szCs w:val="24"/>
          <w:u w:val="single"/>
        </w:rPr>
      </w:pPr>
      <w:r>
        <w:rPr>
          <w:rFonts w:ascii="Arial" w:eastAsia="Arial" w:hAnsi="Arial" w:cs="Arial"/>
          <w:color w:val="0000FF"/>
          <w:sz w:val="24"/>
          <w:szCs w:val="24"/>
        </w:rPr>
        <w:t>Howard, J. and McInnes, K., 2013. The impact of children's perception of an activity as play rather than not play on emotional well-being. </w:t>
      </w:r>
      <w:r>
        <w:rPr>
          <w:rFonts w:ascii="Arial" w:eastAsia="Arial" w:hAnsi="Arial" w:cs="Arial"/>
          <w:i/>
          <w:color w:val="0000FF"/>
          <w:sz w:val="24"/>
          <w:szCs w:val="24"/>
        </w:rPr>
        <w:t>Child: care, health and development.</w:t>
      </w:r>
      <w:r>
        <w:rPr>
          <w:rFonts w:ascii="Arial" w:eastAsia="Arial" w:hAnsi="Arial" w:cs="Arial"/>
          <w:color w:val="0000FF"/>
          <w:sz w:val="24"/>
          <w:szCs w:val="24"/>
        </w:rPr>
        <w:t xml:space="preserve"> </w:t>
      </w:r>
      <w:hyperlink r:id="rId8">
        <w:r>
          <w:rPr>
            <w:rFonts w:ascii="Arial" w:eastAsia="Arial" w:hAnsi="Arial" w:cs="Arial"/>
            <w:b/>
            <w:color w:val="0000FF"/>
            <w:sz w:val="24"/>
            <w:szCs w:val="24"/>
            <w:u w:val="single"/>
          </w:rPr>
          <w:t>https://doi.org/10.1111/j.1365-2214.2012.01405.x</w:t>
        </w:r>
      </w:hyperlink>
    </w:p>
    <w:p w14:paraId="00000035" w14:textId="77777777" w:rsidR="003347A9" w:rsidRDefault="00000000">
      <w:pPr>
        <w:spacing w:after="0" w:line="360" w:lineRule="auto"/>
        <w:ind w:left="720" w:hanging="720"/>
        <w:rPr>
          <w:rFonts w:ascii="Arial" w:eastAsia="Arial" w:hAnsi="Arial" w:cs="Arial"/>
          <w:color w:val="0000FF"/>
          <w:sz w:val="24"/>
          <w:szCs w:val="24"/>
        </w:rPr>
      </w:pPr>
      <w:r>
        <w:rPr>
          <w:rFonts w:ascii="Arial" w:eastAsia="Arial" w:hAnsi="Arial" w:cs="Arial"/>
          <w:color w:val="0000FF"/>
          <w:sz w:val="24"/>
          <w:szCs w:val="24"/>
        </w:rPr>
        <w:t>Howard, J., 2020. The power of play. </w:t>
      </w:r>
      <w:r>
        <w:rPr>
          <w:rFonts w:ascii="Arial" w:eastAsia="Arial" w:hAnsi="Arial" w:cs="Arial"/>
          <w:i/>
          <w:color w:val="0000FF"/>
          <w:sz w:val="24"/>
          <w:szCs w:val="24"/>
        </w:rPr>
        <w:t>The Lancet</w:t>
      </w:r>
      <w:r>
        <w:rPr>
          <w:rFonts w:ascii="Arial" w:eastAsia="Arial" w:hAnsi="Arial" w:cs="Arial"/>
          <w:color w:val="0000FF"/>
          <w:sz w:val="24"/>
          <w:szCs w:val="24"/>
        </w:rPr>
        <w:t>, </w:t>
      </w:r>
      <w:r>
        <w:rPr>
          <w:rFonts w:ascii="Arial" w:eastAsia="Arial" w:hAnsi="Arial" w:cs="Arial"/>
          <w:i/>
          <w:color w:val="0000FF"/>
          <w:sz w:val="24"/>
          <w:szCs w:val="24"/>
        </w:rPr>
        <w:t>395</w:t>
      </w:r>
      <w:r>
        <w:rPr>
          <w:rFonts w:ascii="Arial" w:eastAsia="Arial" w:hAnsi="Arial" w:cs="Arial"/>
          <w:color w:val="0000FF"/>
          <w:sz w:val="24"/>
          <w:szCs w:val="24"/>
        </w:rPr>
        <w:t>(10220), pp.261-262.</w:t>
      </w:r>
    </w:p>
    <w:p w14:paraId="00000036" w14:textId="77777777" w:rsidR="003347A9" w:rsidRDefault="00000000">
      <w:pPr>
        <w:spacing w:after="0" w:line="360" w:lineRule="auto"/>
        <w:ind w:left="720" w:hanging="720"/>
        <w:rPr>
          <w:rFonts w:ascii="Arial" w:eastAsia="Arial" w:hAnsi="Arial" w:cs="Arial"/>
          <w:color w:val="0000FF"/>
          <w:sz w:val="24"/>
          <w:szCs w:val="24"/>
        </w:rPr>
      </w:pPr>
      <w:r>
        <w:rPr>
          <w:rFonts w:ascii="Arial" w:eastAsia="Arial" w:hAnsi="Arial" w:cs="Arial"/>
          <w:color w:val="0000FF"/>
          <w:sz w:val="24"/>
          <w:szCs w:val="24"/>
        </w:rPr>
        <w:t xml:space="preserve">McLean, K., Lake, G., Wild, M., </w:t>
      </w:r>
      <w:proofErr w:type="spellStart"/>
      <w:r>
        <w:rPr>
          <w:rFonts w:ascii="Arial" w:eastAsia="Arial" w:hAnsi="Arial" w:cs="Arial"/>
          <w:color w:val="0000FF"/>
          <w:sz w:val="24"/>
          <w:szCs w:val="24"/>
        </w:rPr>
        <w:t>Licandro</w:t>
      </w:r>
      <w:proofErr w:type="spellEnd"/>
      <w:r>
        <w:rPr>
          <w:rFonts w:ascii="Arial" w:eastAsia="Arial" w:hAnsi="Arial" w:cs="Arial"/>
          <w:color w:val="0000FF"/>
          <w:sz w:val="24"/>
          <w:szCs w:val="24"/>
        </w:rPr>
        <w:t>, U. and Evangelou, M., 2023. Perspectives of play and play-based learning: What do adults think play is? </w:t>
      </w:r>
      <w:r>
        <w:rPr>
          <w:rFonts w:ascii="Arial" w:eastAsia="Arial" w:hAnsi="Arial" w:cs="Arial"/>
          <w:i/>
          <w:color w:val="0000FF"/>
          <w:sz w:val="24"/>
          <w:szCs w:val="24"/>
        </w:rPr>
        <w:t>Australasian Journal of Early Childhood</w:t>
      </w:r>
      <w:r>
        <w:rPr>
          <w:rFonts w:ascii="Arial" w:eastAsia="Arial" w:hAnsi="Arial" w:cs="Arial"/>
          <w:color w:val="0000FF"/>
          <w:sz w:val="24"/>
          <w:szCs w:val="24"/>
        </w:rPr>
        <w:t>, </w:t>
      </w:r>
      <w:r>
        <w:rPr>
          <w:rFonts w:ascii="Arial" w:eastAsia="Arial" w:hAnsi="Arial" w:cs="Arial"/>
          <w:i/>
          <w:color w:val="0000FF"/>
          <w:sz w:val="24"/>
          <w:szCs w:val="24"/>
        </w:rPr>
        <w:t>48</w:t>
      </w:r>
      <w:r>
        <w:rPr>
          <w:rFonts w:ascii="Arial" w:eastAsia="Arial" w:hAnsi="Arial" w:cs="Arial"/>
          <w:color w:val="0000FF"/>
          <w:sz w:val="24"/>
          <w:szCs w:val="24"/>
        </w:rPr>
        <w:t xml:space="preserve">(1), pp.5-17. </w:t>
      </w:r>
      <w:hyperlink r:id="rId9">
        <w:r>
          <w:rPr>
            <w:rFonts w:ascii="Arial" w:eastAsia="Arial" w:hAnsi="Arial" w:cs="Arial"/>
            <w:color w:val="0000FF"/>
            <w:sz w:val="24"/>
            <w:szCs w:val="24"/>
            <w:u w:val="single"/>
          </w:rPr>
          <w:t>https://doi.org/10.1177/1836939122113079</w:t>
        </w:r>
      </w:hyperlink>
      <w:hyperlink r:id="rId10">
        <w:r>
          <w:rPr>
            <w:rFonts w:ascii="Arial" w:eastAsia="Arial" w:hAnsi="Arial" w:cs="Arial"/>
            <w:color w:val="0000FF"/>
            <w:sz w:val="24"/>
            <w:szCs w:val="24"/>
            <w:highlight w:val="white"/>
            <w:u w:val="single"/>
          </w:rPr>
          <w:t>0</w:t>
        </w:r>
      </w:hyperlink>
      <w:r>
        <w:rPr>
          <w:rFonts w:ascii="Arial" w:eastAsia="Arial" w:hAnsi="Arial" w:cs="Arial"/>
          <w:color w:val="0000FF"/>
          <w:sz w:val="24"/>
          <w:szCs w:val="24"/>
        </w:rPr>
        <w:t xml:space="preserve"> </w:t>
      </w:r>
    </w:p>
    <w:p w14:paraId="00000037" w14:textId="77777777" w:rsidR="003347A9" w:rsidRDefault="00000000">
      <w:pPr>
        <w:spacing w:after="0" w:line="360" w:lineRule="auto"/>
        <w:ind w:left="720" w:hanging="720"/>
        <w:rPr>
          <w:rFonts w:ascii="Arial" w:eastAsia="Arial" w:hAnsi="Arial" w:cs="Arial"/>
          <w:color w:val="0000FF"/>
          <w:sz w:val="24"/>
          <w:szCs w:val="24"/>
        </w:rPr>
      </w:pPr>
      <w:r>
        <w:rPr>
          <w:rFonts w:ascii="Arial" w:eastAsia="Arial" w:hAnsi="Arial" w:cs="Arial"/>
          <w:color w:val="0000FF"/>
          <w:sz w:val="24"/>
          <w:szCs w:val="24"/>
        </w:rPr>
        <w:t>McMahon, S. and Dyer, M., 2017. Work-based Practice in the Early Years. Taylor &amp; Francis. Pp. 1-35.</w:t>
      </w:r>
    </w:p>
    <w:p w14:paraId="00000038" w14:textId="77777777" w:rsidR="003347A9" w:rsidRDefault="00000000">
      <w:pPr>
        <w:spacing w:after="0" w:line="360" w:lineRule="auto"/>
        <w:ind w:left="720" w:hanging="720"/>
        <w:rPr>
          <w:rFonts w:ascii="Arial" w:eastAsia="Arial" w:hAnsi="Arial" w:cs="Arial"/>
          <w:color w:val="0000FF"/>
          <w:sz w:val="24"/>
          <w:szCs w:val="24"/>
        </w:rPr>
      </w:pPr>
      <w:r>
        <w:rPr>
          <w:rFonts w:ascii="Arial" w:eastAsia="Arial" w:hAnsi="Arial" w:cs="Arial"/>
          <w:color w:val="0000FF"/>
          <w:sz w:val="24"/>
          <w:szCs w:val="24"/>
        </w:rPr>
        <w:t>Moyles, J., 2014. The excellence of play. McGraw-Hill Education (UK).</w:t>
      </w:r>
    </w:p>
    <w:p w14:paraId="00000039" w14:textId="77777777" w:rsidR="003347A9" w:rsidRDefault="00000000">
      <w:pPr>
        <w:pBdr>
          <w:top w:val="nil"/>
          <w:left w:val="nil"/>
          <w:bottom w:val="nil"/>
          <w:right w:val="nil"/>
          <w:between w:val="nil"/>
        </w:pBdr>
        <w:spacing w:after="0" w:line="360" w:lineRule="auto"/>
        <w:ind w:left="720" w:hanging="720"/>
        <w:rPr>
          <w:rFonts w:ascii="Arial" w:eastAsia="Arial" w:hAnsi="Arial" w:cs="Arial"/>
          <w:color w:val="0000FF"/>
          <w:sz w:val="24"/>
          <w:szCs w:val="24"/>
        </w:rPr>
      </w:pPr>
      <w:r>
        <w:rPr>
          <w:rFonts w:ascii="Arial" w:eastAsia="Arial" w:hAnsi="Arial" w:cs="Arial"/>
          <w:color w:val="0000FF"/>
          <w:sz w:val="24"/>
          <w:szCs w:val="24"/>
        </w:rPr>
        <w:t xml:space="preserve">Play types (2017). </w:t>
      </w:r>
      <w:r>
        <w:rPr>
          <w:rFonts w:ascii="Arial" w:eastAsia="Arial" w:hAnsi="Arial" w:cs="Arial"/>
          <w:i/>
          <w:color w:val="0000FF"/>
          <w:sz w:val="24"/>
          <w:szCs w:val="24"/>
        </w:rPr>
        <w:t>Play Wales</w:t>
      </w:r>
      <w:r>
        <w:rPr>
          <w:rFonts w:ascii="Arial" w:eastAsia="Arial" w:hAnsi="Arial" w:cs="Arial"/>
          <w:color w:val="0000FF"/>
          <w:sz w:val="24"/>
          <w:szCs w:val="24"/>
        </w:rPr>
        <w:t xml:space="preserve"> </w:t>
      </w:r>
      <w:hyperlink r:id="rId11">
        <w:r>
          <w:rPr>
            <w:rFonts w:ascii="Arial" w:eastAsia="Arial" w:hAnsi="Arial" w:cs="Arial"/>
            <w:color w:val="0000FF"/>
            <w:sz w:val="24"/>
            <w:szCs w:val="24"/>
            <w:u w:val="single"/>
          </w:rPr>
          <w:t>https://play.wales/publications_category/play-types/</w:t>
        </w:r>
      </w:hyperlink>
      <w:r>
        <w:rPr>
          <w:rFonts w:ascii="Arial" w:eastAsia="Arial" w:hAnsi="Arial" w:cs="Arial"/>
          <w:color w:val="0000FF"/>
          <w:sz w:val="24"/>
          <w:szCs w:val="24"/>
        </w:rPr>
        <w:t xml:space="preserve"> </w:t>
      </w:r>
    </w:p>
    <w:p w14:paraId="0000003A" w14:textId="77777777" w:rsidR="003347A9" w:rsidRDefault="00000000">
      <w:pPr>
        <w:spacing w:after="0" w:line="360" w:lineRule="auto"/>
        <w:ind w:left="720" w:hanging="720"/>
        <w:rPr>
          <w:rFonts w:ascii="Arial" w:eastAsia="Arial" w:hAnsi="Arial" w:cs="Arial"/>
          <w:color w:val="0000FF"/>
          <w:sz w:val="24"/>
          <w:szCs w:val="24"/>
        </w:rPr>
      </w:pPr>
      <w:proofErr w:type="spellStart"/>
      <w:r>
        <w:rPr>
          <w:rFonts w:ascii="Arial" w:eastAsia="Arial" w:hAnsi="Arial" w:cs="Arial"/>
          <w:color w:val="0000FF"/>
          <w:sz w:val="24"/>
          <w:szCs w:val="24"/>
        </w:rPr>
        <w:t>Serenella</w:t>
      </w:r>
      <w:proofErr w:type="spellEnd"/>
      <w:r>
        <w:rPr>
          <w:rFonts w:ascii="Arial" w:eastAsia="Arial" w:hAnsi="Arial" w:cs="Arial"/>
          <w:color w:val="0000FF"/>
          <w:sz w:val="24"/>
          <w:szCs w:val="24"/>
        </w:rPr>
        <w:t xml:space="preserve">, B., </w:t>
      </w:r>
      <w:proofErr w:type="spellStart"/>
      <w:r>
        <w:rPr>
          <w:rFonts w:ascii="Arial" w:eastAsia="Arial" w:hAnsi="Arial" w:cs="Arial"/>
          <w:color w:val="0000FF"/>
          <w:sz w:val="24"/>
          <w:szCs w:val="24"/>
        </w:rPr>
        <w:t>Bulgarelli</w:t>
      </w:r>
      <w:proofErr w:type="spellEnd"/>
      <w:r>
        <w:rPr>
          <w:rFonts w:ascii="Arial" w:eastAsia="Arial" w:hAnsi="Arial" w:cs="Arial"/>
          <w:color w:val="0000FF"/>
          <w:sz w:val="24"/>
          <w:szCs w:val="24"/>
        </w:rPr>
        <w:t xml:space="preserve">, D. and </w:t>
      </w:r>
      <w:proofErr w:type="spellStart"/>
      <w:r>
        <w:rPr>
          <w:rFonts w:ascii="Arial" w:eastAsia="Arial" w:hAnsi="Arial" w:cs="Arial"/>
          <w:color w:val="0000FF"/>
          <w:sz w:val="24"/>
          <w:szCs w:val="24"/>
        </w:rPr>
        <w:t>Vaska</w:t>
      </w:r>
      <w:proofErr w:type="spellEnd"/>
      <w:r>
        <w:rPr>
          <w:rFonts w:ascii="Arial" w:eastAsia="Arial" w:hAnsi="Arial" w:cs="Arial"/>
          <w:color w:val="0000FF"/>
          <w:sz w:val="24"/>
          <w:szCs w:val="24"/>
        </w:rPr>
        <w:t>, S.P,  2018. Evaluation of children's play. Tools and methods.</w:t>
      </w:r>
    </w:p>
    <w:p w14:paraId="0000003B" w14:textId="77777777" w:rsidR="003347A9" w:rsidRDefault="00000000">
      <w:pPr>
        <w:spacing w:after="0" w:line="360" w:lineRule="auto"/>
        <w:ind w:left="720" w:hanging="720"/>
        <w:rPr>
          <w:rFonts w:ascii="Arial" w:eastAsia="Arial" w:hAnsi="Arial" w:cs="Arial"/>
          <w:color w:val="0000FF"/>
          <w:sz w:val="24"/>
          <w:szCs w:val="24"/>
        </w:rPr>
      </w:pPr>
      <w:r>
        <w:rPr>
          <w:rFonts w:ascii="Arial" w:eastAsia="Arial" w:hAnsi="Arial" w:cs="Arial"/>
          <w:color w:val="0000FF"/>
          <w:sz w:val="24"/>
          <w:szCs w:val="24"/>
        </w:rPr>
        <w:t xml:space="preserve">Sharman, C,Cross, W. and </w:t>
      </w:r>
      <w:proofErr w:type="spellStart"/>
      <w:r>
        <w:rPr>
          <w:rFonts w:ascii="Arial" w:eastAsia="Arial" w:hAnsi="Arial" w:cs="Arial"/>
          <w:color w:val="0000FF"/>
          <w:sz w:val="24"/>
          <w:szCs w:val="24"/>
        </w:rPr>
        <w:t>Vennis</w:t>
      </w:r>
      <w:proofErr w:type="spellEnd"/>
      <w:r>
        <w:rPr>
          <w:rFonts w:ascii="Arial" w:eastAsia="Arial" w:hAnsi="Arial" w:cs="Arial"/>
          <w:color w:val="0000FF"/>
          <w:sz w:val="24"/>
          <w:szCs w:val="24"/>
        </w:rPr>
        <w:t>, D, 2015. </w:t>
      </w:r>
      <w:r>
        <w:rPr>
          <w:rFonts w:ascii="Arial" w:eastAsia="Arial" w:hAnsi="Arial" w:cs="Arial"/>
          <w:i/>
          <w:color w:val="0000FF"/>
          <w:sz w:val="24"/>
          <w:szCs w:val="24"/>
        </w:rPr>
        <w:t>Summative Assessment in the Early Years</w:t>
      </w:r>
      <w:r>
        <w:rPr>
          <w:rFonts w:ascii="Arial" w:eastAsia="Arial" w:hAnsi="Arial" w:cs="Arial"/>
          <w:color w:val="0000FF"/>
          <w:sz w:val="24"/>
          <w:szCs w:val="24"/>
        </w:rPr>
        <w:t xml:space="preserve">. Bloomsbury Publishing. </w:t>
      </w:r>
    </w:p>
    <w:p w14:paraId="0000003C" w14:textId="77777777" w:rsidR="003347A9" w:rsidRDefault="00000000">
      <w:pPr>
        <w:spacing w:after="0" w:line="360" w:lineRule="auto"/>
        <w:ind w:left="720" w:hanging="720"/>
        <w:rPr>
          <w:rFonts w:ascii="Arial" w:eastAsia="Arial" w:hAnsi="Arial" w:cs="Arial"/>
          <w:color w:val="0000FF"/>
          <w:sz w:val="24"/>
          <w:szCs w:val="24"/>
        </w:rPr>
      </w:pPr>
      <w:proofErr w:type="spellStart"/>
      <w:r>
        <w:rPr>
          <w:rFonts w:ascii="Arial" w:eastAsia="Arial" w:hAnsi="Arial" w:cs="Arial"/>
          <w:color w:val="0000FF"/>
          <w:sz w:val="24"/>
          <w:szCs w:val="24"/>
        </w:rPr>
        <w:t>Smidt</w:t>
      </w:r>
      <w:proofErr w:type="spellEnd"/>
      <w:r>
        <w:rPr>
          <w:rFonts w:ascii="Arial" w:eastAsia="Arial" w:hAnsi="Arial" w:cs="Arial"/>
          <w:color w:val="0000FF"/>
          <w:sz w:val="24"/>
          <w:szCs w:val="24"/>
        </w:rPr>
        <w:t xml:space="preserve">, S, 2015. Observing Young Children: The role of observation and assessment in early childhood settings. </w:t>
      </w:r>
      <w:proofErr w:type="spellStart"/>
      <w:r>
        <w:rPr>
          <w:rFonts w:ascii="Arial" w:eastAsia="Arial" w:hAnsi="Arial" w:cs="Arial"/>
          <w:color w:val="0000FF"/>
          <w:sz w:val="24"/>
          <w:szCs w:val="24"/>
        </w:rPr>
        <w:t>Routledge</w:t>
      </w:r>
      <w:proofErr w:type="spellEnd"/>
      <w:r>
        <w:rPr>
          <w:rFonts w:ascii="Arial" w:eastAsia="Arial" w:hAnsi="Arial" w:cs="Arial"/>
          <w:color w:val="0000FF"/>
          <w:sz w:val="24"/>
          <w:szCs w:val="24"/>
        </w:rPr>
        <w:t xml:space="preserve">. </w:t>
      </w:r>
    </w:p>
    <w:p w14:paraId="0000003D" w14:textId="77777777" w:rsidR="003347A9" w:rsidRDefault="00000000">
      <w:pPr>
        <w:spacing w:after="0" w:line="360" w:lineRule="auto"/>
        <w:ind w:left="720" w:hanging="720"/>
        <w:rPr>
          <w:rFonts w:ascii="Arial" w:eastAsia="Arial" w:hAnsi="Arial" w:cs="Arial"/>
          <w:color w:val="0000FF"/>
          <w:sz w:val="24"/>
          <w:szCs w:val="24"/>
        </w:rPr>
      </w:pPr>
      <w:r>
        <w:rPr>
          <w:rFonts w:ascii="Arial" w:eastAsia="Arial" w:hAnsi="Arial" w:cs="Arial"/>
          <w:color w:val="0000FF"/>
          <w:sz w:val="24"/>
          <w:szCs w:val="24"/>
        </w:rPr>
        <w:t>Waters-Davies, J., 2022. Introduction to play.</w:t>
      </w:r>
    </w:p>
    <w:p w14:paraId="0000003E" w14:textId="77777777" w:rsidR="003347A9" w:rsidRDefault="003347A9">
      <w:pPr>
        <w:spacing w:after="0" w:line="360" w:lineRule="auto"/>
        <w:rPr>
          <w:rFonts w:ascii="Arial" w:eastAsia="Arial" w:hAnsi="Arial" w:cs="Arial"/>
          <w:color w:val="0000FF"/>
          <w:sz w:val="24"/>
          <w:szCs w:val="24"/>
        </w:rPr>
      </w:pPr>
    </w:p>
    <w:p w14:paraId="0000003F" w14:textId="77777777" w:rsidR="003347A9" w:rsidRDefault="003347A9">
      <w:pPr>
        <w:spacing w:after="0" w:line="360" w:lineRule="auto"/>
        <w:rPr>
          <w:rFonts w:ascii="Arial" w:eastAsia="Arial" w:hAnsi="Arial" w:cs="Arial"/>
          <w:sz w:val="24"/>
          <w:szCs w:val="24"/>
        </w:rPr>
      </w:pPr>
    </w:p>
    <w:p w14:paraId="00000040" w14:textId="77777777" w:rsidR="003347A9" w:rsidRDefault="003347A9">
      <w:pPr>
        <w:spacing w:after="0" w:line="360" w:lineRule="auto"/>
        <w:rPr>
          <w:rFonts w:ascii="Arial" w:eastAsia="Arial" w:hAnsi="Arial" w:cs="Arial"/>
          <w:sz w:val="24"/>
          <w:szCs w:val="24"/>
        </w:rPr>
      </w:pPr>
    </w:p>
    <w:p w14:paraId="00000041" w14:textId="77777777" w:rsidR="003347A9" w:rsidRDefault="003347A9">
      <w:pPr>
        <w:spacing w:after="0" w:line="360" w:lineRule="auto"/>
        <w:rPr>
          <w:rFonts w:ascii="Arial" w:eastAsia="Arial" w:hAnsi="Arial" w:cs="Arial"/>
          <w:sz w:val="24"/>
          <w:szCs w:val="24"/>
        </w:rPr>
      </w:pPr>
    </w:p>
    <w:p w14:paraId="00000042" w14:textId="77777777" w:rsidR="003347A9" w:rsidRDefault="003347A9">
      <w:pPr>
        <w:spacing w:after="0" w:line="360" w:lineRule="auto"/>
        <w:rPr>
          <w:rFonts w:ascii="Arial" w:eastAsia="Arial" w:hAnsi="Arial" w:cs="Arial"/>
          <w:sz w:val="24"/>
          <w:szCs w:val="24"/>
        </w:rPr>
      </w:pPr>
    </w:p>
    <w:sectPr w:rsidR="003347A9">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A5524" w14:textId="77777777" w:rsidR="00D46A40" w:rsidRDefault="00D46A40">
      <w:pPr>
        <w:spacing w:after="0" w:line="240" w:lineRule="auto"/>
      </w:pPr>
      <w:r>
        <w:separator/>
      </w:r>
    </w:p>
  </w:endnote>
  <w:endnote w:type="continuationSeparator" w:id="0">
    <w:p w14:paraId="647F3A82" w14:textId="77777777" w:rsidR="00D46A40" w:rsidRDefault="00D46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Georgia">
    <w:panose1 w:val="02040502050405020303"/>
    <w:charset w:val="00"/>
    <w:family w:val="auto"/>
    <w:pitch w:val="default"/>
  </w:font>
  <w:font w:name="Helvetica Neue">
    <w:panose1 w:val="02000503000000020004"/>
    <w:charset w:val="00"/>
    <w:family w:val="auto"/>
    <w:pitch w:val="variable"/>
    <w:sig w:usb0="E50002FF" w:usb1="500079DB" w:usb2="00000010" w:usb3="00000000" w:csb0="00000001" w:csb1="00000000"/>
    <w:embedRegular r:id="rId1" w:fontKey="{00000000-0000-0000-0000-000000000000}"/>
    <w:embedBold r:id="rId2" w:fontKey="{00000000-0000-0000-0000-000000000000}"/>
    <w:embedItalic r:id="rId3" w:fontKey="{00000000-0000-0000-0000-000000000000}"/>
    <w:embedBoldItalic r:id="rId4" w:fontKey="{00000000-0000-0000-0000-0000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6" w14:textId="77777777" w:rsidR="003347A9" w:rsidRDefault="003347A9">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7" w14:textId="77777777" w:rsidR="003347A9" w:rsidRDefault="003347A9">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8" w14:textId="77777777" w:rsidR="003347A9" w:rsidRDefault="003347A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9B9C4" w14:textId="77777777" w:rsidR="00D46A40" w:rsidRDefault="00D46A40">
      <w:pPr>
        <w:spacing w:after="0" w:line="240" w:lineRule="auto"/>
      </w:pPr>
      <w:r>
        <w:separator/>
      </w:r>
    </w:p>
  </w:footnote>
  <w:footnote w:type="continuationSeparator" w:id="0">
    <w:p w14:paraId="2179A29F" w14:textId="77777777" w:rsidR="00D46A40" w:rsidRDefault="00D46A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3" w14:textId="77777777" w:rsidR="003347A9" w:rsidRDefault="003347A9">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4" w14:textId="77777777" w:rsidR="003347A9" w:rsidRDefault="003347A9">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5" w14:textId="77777777" w:rsidR="003347A9" w:rsidRDefault="003347A9">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7A9"/>
    <w:rsid w:val="003347A9"/>
    <w:rsid w:val="00C12707"/>
    <w:rsid w:val="00CC11B4"/>
    <w:rsid w:val="00CD7DA6"/>
    <w:rsid w:val="00D46A40"/>
    <w:rsid w:val="00DD6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FDB4D"/>
  <w15:docId w15:val="{F7651980-C3D1-EF4E-B220-10B922F7D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sid w:val="00C30071"/>
    <w:rPr>
      <w:b/>
      <w:bCs/>
    </w:rPr>
  </w:style>
  <w:style w:type="character" w:styleId="Emphasis">
    <w:name w:val="Emphasis"/>
    <w:basedOn w:val="DefaultParagraphFont"/>
    <w:uiPriority w:val="20"/>
    <w:qFormat/>
    <w:rsid w:val="00AF1820"/>
    <w:rPr>
      <w:i/>
      <w:iCs/>
    </w:rPr>
  </w:style>
  <w:style w:type="paragraph" w:styleId="NormalWeb">
    <w:name w:val="Normal (Web)"/>
    <w:basedOn w:val="Normal"/>
    <w:uiPriority w:val="99"/>
    <w:unhideWhenUsed/>
    <w:rsid w:val="00033C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033C06"/>
  </w:style>
  <w:style w:type="character" w:styleId="Hyperlink">
    <w:name w:val="Hyperlink"/>
    <w:basedOn w:val="DefaultParagraphFont"/>
    <w:uiPriority w:val="99"/>
    <w:unhideWhenUsed/>
    <w:rsid w:val="00033C06"/>
    <w:rPr>
      <w:color w:val="0563C1" w:themeColor="hyperlink"/>
      <w:u w:val="single"/>
    </w:rPr>
  </w:style>
  <w:style w:type="character" w:customStyle="1" w:styleId="UnresolvedMention1">
    <w:name w:val="Unresolved Mention1"/>
    <w:basedOn w:val="DefaultParagraphFont"/>
    <w:uiPriority w:val="99"/>
    <w:semiHidden/>
    <w:unhideWhenUsed/>
    <w:rsid w:val="00033C06"/>
    <w:rPr>
      <w:color w:val="605E5C"/>
      <w:shd w:val="clear" w:color="auto" w:fill="E1DFDD"/>
    </w:rPr>
  </w:style>
  <w:style w:type="character" w:customStyle="1" w:styleId="anchor-text">
    <w:name w:val="anchor-text"/>
    <w:basedOn w:val="DefaultParagraphFont"/>
    <w:rsid w:val="00E3350F"/>
  </w:style>
  <w:style w:type="paragraph" w:styleId="Header">
    <w:name w:val="header"/>
    <w:basedOn w:val="Normal"/>
    <w:link w:val="HeaderChar"/>
    <w:uiPriority w:val="99"/>
    <w:unhideWhenUsed/>
    <w:rsid w:val="00454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49E6"/>
  </w:style>
  <w:style w:type="paragraph" w:styleId="Footer">
    <w:name w:val="footer"/>
    <w:basedOn w:val="Normal"/>
    <w:link w:val="FooterChar"/>
    <w:uiPriority w:val="99"/>
    <w:unhideWhenUsed/>
    <w:rsid w:val="00454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49E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11/j.1365-2214.2012.01405.x"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landurbplan.2019.103683"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lay.wales/publications_category/play-type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i.org/10.1177/1836939122113079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77/18369391221130790"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HelveticaNeue-italic.ttf"/><Relationship Id="rId2" Type="http://schemas.openxmlformats.org/officeDocument/2006/relationships/font" Target="fonts/HelveticaNeue-bold.ttf"/><Relationship Id="rId1" Type="http://schemas.openxmlformats.org/officeDocument/2006/relationships/font" Target="fonts/HelveticaNeue-regular.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FNGIJ9P5P4tLP8rfrsV+Od2ZsA==">CgMxLjAyDmguN2VlNm5yeWRzdDh2Mg5oLmFhMndwa2V0d205YjIOaC41Ym45OTI3aDRndGQyDmgubXFyOWJoNjJ4NG03Mg5oLnZqaHZyYXF1bHI5MDgAaicKFHN1Z2dlc3QuY25uMzJtdWU3Zzc5Eg9Ob29yaGFuIEFsYnVxYWlyITFJdDRpQ0dwRDZ5ODlyendWdlVOUzh6cHBuR185aHFiSA==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3806</Words>
  <Characters>21696</Characters>
  <Application>Microsoft Office Word</Application>
  <DocSecurity>0</DocSecurity>
  <Lines>180</Lines>
  <Paragraphs>50</Paragraphs>
  <ScaleCrop>false</ScaleCrop>
  <Company/>
  <LinksUpToDate>false</LinksUpToDate>
  <CharactersWithSpaces>25452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Noorhan Albuqai (2408623)</cp:lastModifiedBy>
  <cp:revision>3</cp:revision>
  <dcterms:created xsi:type="dcterms:W3CDTF">2025-05-09T00:25:00Z</dcterms:created>
  <dcterms:modified xsi:type="dcterms:W3CDTF">2025-05-09T00:28:00Z</dcterms:modified>
</cp:coreProperties>
</file>