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D8A03" w14:textId="3AA2C095" w:rsidR="00A00F69" w:rsidRPr="00BC2468" w:rsidRDefault="00A00F69" w:rsidP="00157516">
      <w:pPr>
        <w:spacing w:after="0" w:line="480" w:lineRule="auto"/>
        <w:rPr>
          <w:rFonts w:ascii="Arial" w:hAnsi="Arial" w:cs="Arial"/>
        </w:rPr>
      </w:pPr>
    </w:p>
    <w:p w14:paraId="1680DE21" w14:textId="77777777" w:rsidR="004A2EBA" w:rsidRPr="00BC2468" w:rsidRDefault="004A2EBA" w:rsidP="00157516">
      <w:pPr>
        <w:spacing w:after="0" w:line="480" w:lineRule="auto"/>
        <w:jc w:val="center"/>
        <w:rPr>
          <w:rFonts w:ascii="Arial" w:hAnsi="Arial" w:cs="Arial"/>
          <w:b/>
          <w:bCs/>
        </w:rPr>
      </w:pPr>
    </w:p>
    <w:p w14:paraId="026D1F9F" w14:textId="77777777" w:rsidR="004A2EBA" w:rsidRPr="00BC2468" w:rsidRDefault="004A2EBA" w:rsidP="00157516">
      <w:pPr>
        <w:spacing w:after="0" w:line="480" w:lineRule="auto"/>
        <w:jc w:val="center"/>
        <w:rPr>
          <w:rFonts w:ascii="Arial" w:hAnsi="Arial" w:cs="Arial"/>
          <w:b/>
          <w:bCs/>
        </w:rPr>
      </w:pPr>
    </w:p>
    <w:p w14:paraId="7E1A5F21" w14:textId="77777777" w:rsidR="004A2EBA" w:rsidRPr="00BC2468" w:rsidRDefault="004A2EBA" w:rsidP="00157516">
      <w:pPr>
        <w:spacing w:after="0" w:line="480" w:lineRule="auto"/>
        <w:jc w:val="center"/>
        <w:rPr>
          <w:rFonts w:ascii="Arial" w:hAnsi="Arial" w:cs="Arial"/>
          <w:b/>
          <w:bCs/>
        </w:rPr>
      </w:pPr>
    </w:p>
    <w:p w14:paraId="76C425E4" w14:textId="6F2823B0" w:rsidR="004A2EBA" w:rsidRPr="00BC2468" w:rsidRDefault="008E21A5" w:rsidP="00157516">
      <w:pPr>
        <w:spacing w:after="0" w:line="480" w:lineRule="auto"/>
        <w:jc w:val="center"/>
        <w:rPr>
          <w:rFonts w:ascii="Arial" w:hAnsi="Arial" w:cs="Arial"/>
          <w:b/>
          <w:bCs/>
        </w:rPr>
      </w:pPr>
      <w:r>
        <w:rPr>
          <w:rFonts w:ascii="Arial" w:hAnsi="Arial" w:cs="Arial"/>
          <w:b/>
          <w:bCs/>
          <w:noProof/>
        </w:rPr>
        <w:drawing>
          <wp:inline distT="0" distB="0" distL="0" distR="0" wp14:anchorId="50033C9E" wp14:editId="7541BE62">
            <wp:extent cx="4269397" cy="29083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8974" cy="2914824"/>
                    </a:xfrm>
                    <a:prstGeom prst="rect">
                      <a:avLst/>
                    </a:prstGeom>
                    <a:noFill/>
                  </pic:spPr>
                </pic:pic>
              </a:graphicData>
            </a:graphic>
          </wp:inline>
        </w:drawing>
      </w:r>
    </w:p>
    <w:p w14:paraId="19C0443D" w14:textId="77777777" w:rsidR="008E21A5" w:rsidRDefault="008E21A5" w:rsidP="00157516">
      <w:pPr>
        <w:spacing w:after="0" w:line="480" w:lineRule="auto"/>
        <w:jc w:val="center"/>
        <w:rPr>
          <w:rFonts w:ascii="Arial" w:hAnsi="Arial" w:cs="Arial"/>
          <w:b/>
          <w:bCs/>
        </w:rPr>
      </w:pPr>
    </w:p>
    <w:p w14:paraId="62BDD942" w14:textId="397BDE23" w:rsidR="00C33DF6" w:rsidRPr="00BC2468" w:rsidRDefault="00C33DF6" w:rsidP="008E21A5">
      <w:pPr>
        <w:spacing w:after="0" w:line="480" w:lineRule="auto"/>
        <w:ind w:left="1440" w:firstLine="720"/>
        <w:rPr>
          <w:rFonts w:ascii="Arial" w:hAnsi="Arial" w:cs="Arial"/>
          <w:b/>
          <w:bCs/>
        </w:rPr>
      </w:pPr>
      <w:r w:rsidRPr="00BC2468">
        <w:rPr>
          <w:rFonts w:ascii="Arial" w:hAnsi="Arial" w:cs="Arial"/>
          <w:b/>
          <w:bCs/>
        </w:rPr>
        <w:t>LCMB7002 Financial Management assessment</w:t>
      </w:r>
    </w:p>
    <w:p w14:paraId="6D282669" w14:textId="77777777" w:rsidR="00C33DF6" w:rsidRPr="00BC2468" w:rsidRDefault="00C33DF6" w:rsidP="00157516">
      <w:pPr>
        <w:spacing w:after="0" w:line="480" w:lineRule="auto"/>
        <w:jc w:val="center"/>
        <w:rPr>
          <w:rFonts w:ascii="Arial" w:hAnsi="Arial" w:cs="Arial"/>
          <w:b/>
          <w:bCs/>
        </w:rPr>
      </w:pPr>
    </w:p>
    <w:p w14:paraId="67CD4F1E" w14:textId="77777777" w:rsidR="00C33DF6" w:rsidRPr="00BC2468" w:rsidRDefault="00C33DF6" w:rsidP="00157516">
      <w:pPr>
        <w:spacing w:after="0" w:line="480" w:lineRule="auto"/>
        <w:jc w:val="center"/>
        <w:rPr>
          <w:rFonts w:ascii="Arial" w:hAnsi="Arial" w:cs="Arial"/>
          <w:b/>
          <w:bCs/>
        </w:rPr>
      </w:pPr>
    </w:p>
    <w:p w14:paraId="0CC08D26" w14:textId="3F167418" w:rsidR="00C33DF6" w:rsidRPr="00BC2468" w:rsidRDefault="00022B03" w:rsidP="00157516">
      <w:pPr>
        <w:spacing w:after="0" w:line="480" w:lineRule="auto"/>
        <w:jc w:val="center"/>
        <w:rPr>
          <w:rFonts w:ascii="Arial" w:hAnsi="Arial" w:cs="Arial"/>
        </w:rPr>
      </w:pPr>
      <w:r w:rsidRPr="00022B03">
        <w:rPr>
          <w:rFonts w:ascii="Arial" w:hAnsi="Arial" w:cs="Arial"/>
        </w:rPr>
        <w:t>Aamir Sohail</w:t>
      </w:r>
    </w:p>
    <w:p w14:paraId="433FCB09" w14:textId="12E45960" w:rsidR="00C33DF6" w:rsidRPr="00BC2468" w:rsidRDefault="00022B03" w:rsidP="00157516">
      <w:pPr>
        <w:spacing w:after="0" w:line="480" w:lineRule="auto"/>
        <w:jc w:val="center"/>
        <w:rPr>
          <w:rFonts w:ascii="Arial" w:hAnsi="Arial" w:cs="Arial"/>
        </w:rPr>
      </w:pPr>
      <w:r w:rsidRPr="00022B03">
        <w:rPr>
          <w:rFonts w:ascii="Arial" w:hAnsi="Arial" w:cs="Arial"/>
        </w:rPr>
        <w:t>2439807</w:t>
      </w:r>
    </w:p>
    <w:p w14:paraId="65427388" w14:textId="024790ED" w:rsidR="00C33DF6" w:rsidRPr="00BC2468" w:rsidRDefault="00022B03" w:rsidP="00157516">
      <w:pPr>
        <w:spacing w:after="0" w:line="480" w:lineRule="auto"/>
        <w:jc w:val="center"/>
        <w:rPr>
          <w:rFonts w:ascii="Arial" w:hAnsi="Arial" w:cs="Arial"/>
        </w:rPr>
      </w:pPr>
      <w:r w:rsidRPr="00022B03">
        <w:rPr>
          <w:rFonts w:ascii="Arial" w:hAnsi="Arial" w:cs="Arial"/>
        </w:rPr>
        <w:t>Patrick Yeboah (Birmingham)</w:t>
      </w:r>
    </w:p>
    <w:p w14:paraId="43D18889" w14:textId="77777777" w:rsidR="00C33DF6" w:rsidRPr="00BC2468" w:rsidRDefault="00C33DF6" w:rsidP="00157516">
      <w:pPr>
        <w:spacing w:after="0" w:line="480" w:lineRule="auto"/>
        <w:jc w:val="center"/>
        <w:rPr>
          <w:rFonts w:ascii="Arial" w:hAnsi="Arial" w:cs="Arial"/>
          <w:i/>
          <w:iCs/>
        </w:rPr>
      </w:pPr>
      <w:r w:rsidRPr="00BC2468">
        <w:rPr>
          <w:rFonts w:ascii="Arial" w:hAnsi="Arial" w:cs="Arial"/>
        </w:rPr>
        <w:t xml:space="preserve">Module: LCMB7002 – </w:t>
      </w:r>
      <w:r w:rsidRPr="00BC2468">
        <w:rPr>
          <w:rFonts w:ascii="Arial" w:hAnsi="Arial" w:cs="Arial"/>
          <w:i/>
          <w:iCs/>
        </w:rPr>
        <w:t>Financial Management</w:t>
      </w:r>
    </w:p>
    <w:p w14:paraId="01A973EE" w14:textId="575283A5" w:rsidR="004A2EBA" w:rsidRPr="00BC2468" w:rsidRDefault="00C33DF6" w:rsidP="00157516">
      <w:pPr>
        <w:spacing w:after="0" w:line="480" w:lineRule="auto"/>
        <w:jc w:val="center"/>
        <w:rPr>
          <w:rFonts w:ascii="Arial" w:hAnsi="Arial" w:cs="Arial"/>
        </w:rPr>
      </w:pPr>
      <w:r w:rsidRPr="00BC2468">
        <w:rPr>
          <w:rFonts w:ascii="Arial" w:hAnsi="Arial" w:cs="Arial"/>
          <w:i/>
          <w:iCs/>
        </w:rPr>
        <w:t>Submission date</w:t>
      </w:r>
      <w:r w:rsidR="004A2EBA" w:rsidRPr="00BC2468">
        <w:rPr>
          <w:rFonts w:ascii="Arial" w:hAnsi="Arial" w:cs="Arial"/>
        </w:rPr>
        <w:br w:type="page"/>
      </w:r>
    </w:p>
    <w:p w14:paraId="40248B2D" w14:textId="5B59C79A" w:rsidR="00A00F69" w:rsidRPr="00BC2468" w:rsidRDefault="00A00F69" w:rsidP="00157516">
      <w:pPr>
        <w:spacing w:after="0" w:line="480" w:lineRule="auto"/>
        <w:jc w:val="center"/>
        <w:rPr>
          <w:rFonts w:ascii="Arial" w:hAnsi="Arial" w:cs="Arial"/>
          <w:b/>
          <w:bCs/>
        </w:rPr>
      </w:pPr>
      <w:r w:rsidRPr="00BC2468">
        <w:rPr>
          <w:rFonts w:ascii="Arial" w:hAnsi="Arial" w:cs="Arial"/>
          <w:b/>
          <w:bCs/>
        </w:rPr>
        <w:t>1. Introduction</w:t>
      </w:r>
    </w:p>
    <w:p w14:paraId="54FC2160" w14:textId="77777777" w:rsidR="00A00F69" w:rsidRPr="00BC2468" w:rsidRDefault="00A00F69" w:rsidP="00157516">
      <w:pPr>
        <w:spacing w:after="0" w:line="480" w:lineRule="auto"/>
        <w:rPr>
          <w:rFonts w:ascii="Arial" w:hAnsi="Arial" w:cs="Arial"/>
        </w:rPr>
      </w:pPr>
      <w:r w:rsidRPr="00BC2468">
        <w:rPr>
          <w:rFonts w:ascii="Arial" w:hAnsi="Arial" w:cs="Arial"/>
        </w:rPr>
        <w:t xml:space="preserve">This report presents a comprehensive financial management analysis for </w:t>
      </w:r>
      <w:r w:rsidRPr="00BC2468">
        <w:rPr>
          <w:rFonts w:ascii="Arial" w:hAnsi="Arial" w:cs="Arial"/>
          <w:i/>
          <w:iCs/>
        </w:rPr>
        <w:t>General Electronics</w:t>
      </w:r>
      <w:r w:rsidRPr="00BC2468">
        <w:rPr>
          <w:rFonts w:ascii="Arial" w:hAnsi="Arial" w:cs="Arial"/>
        </w:rPr>
        <w:t>, a global electronics manufacturer experiencing declining profitability, liquidity challenges, and mounting debt. The analysis evaluates the company’s five-year financial performance to identify causes of financial distress and to propose a feasible turnaround strategy.</w:t>
      </w:r>
    </w:p>
    <w:p w14:paraId="67994C85" w14:textId="77777777" w:rsidR="00A00F69" w:rsidRPr="00BC2468" w:rsidRDefault="00A00F69" w:rsidP="00157516">
      <w:pPr>
        <w:spacing w:after="0" w:line="480" w:lineRule="auto"/>
        <w:rPr>
          <w:rFonts w:ascii="Arial" w:hAnsi="Arial" w:cs="Arial"/>
        </w:rPr>
      </w:pPr>
      <w:r w:rsidRPr="00BC2468">
        <w:rPr>
          <w:rFonts w:ascii="Arial" w:hAnsi="Arial" w:cs="Arial"/>
        </w:rPr>
        <w:t>The report applies corporate finance and financial-management principles from Brealey, Myers and Allen (2011) and Koller, Goedhart and Wessels (2010) to assess profitability, efficiency, liquidity, and solvency. The Altman Z-score model (Altman, 1968; Abbasov, 2017; Rashid et al., 2024) is used to estimate bankruptcy risk. Furthermore, the analysis integrates working-capital theories (Deloof, 2003; Shin &amp; Soenen, 1998; Singh &amp; Kumar, 2014), valuation and restructuring approaches (Weston, Chung &amp; Hoag, 1990), and capital-budgeting tools (Graham &amp; Harvey, 2001; Mai &amp; Li, 2016).</w:t>
      </w:r>
    </w:p>
    <w:p w14:paraId="7F1972B0" w14:textId="77777777" w:rsidR="00A00F69" w:rsidRPr="00BC2468" w:rsidRDefault="00A00F69" w:rsidP="00157516">
      <w:pPr>
        <w:spacing w:after="0" w:line="480" w:lineRule="auto"/>
        <w:rPr>
          <w:rFonts w:ascii="Arial" w:hAnsi="Arial" w:cs="Arial"/>
        </w:rPr>
      </w:pPr>
      <w:r w:rsidRPr="00BC2468">
        <w:rPr>
          <w:rFonts w:ascii="Arial" w:hAnsi="Arial" w:cs="Arial"/>
        </w:rPr>
        <w:t xml:space="preserve">The study concludes by recommending a turnaround plan that combines improved liquidity management, divestiture of non-core assets, debt refinancing, and a disciplined investment-appraisal process guided by NPV and IRR. Ethical and international considerations, such as compliance with OECD BEPS (2017) tax guidance and CSR imperatives, are incorporated. The ultimate goal is to restore </w:t>
      </w:r>
      <w:r w:rsidRPr="00BC2468">
        <w:rPr>
          <w:rFonts w:ascii="Arial" w:hAnsi="Arial" w:cs="Arial"/>
          <w:i/>
          <w:iCs/>
        </w:rPr>
        <w:t>General Electronics’</w:t>
      </w:r>
      <w:r w:rsidRPr="00BC2468">
        <w:rPr>
          <w:rFonts w:ascii="Arial" w:hAnsi="Arial" w:cs="Arial"/>
        </w:rPr>
        <w:t xml:space="preserve"> solvency, investor confidence, and sustainable shareholder value.</w:t>
      </w:r>
    </w:p>
    <w:p w14:paraId="7090CC9A" w14:textId="77777777" w:rsidR="007B1B6D" w:rsidRPr="00BC2468" w:rsidRDefault="007B1B6D" w:rsidP="00157516">
      <w:pPr>
        <w:spacing w:after="0" w:line="480" w:lineRule="auto"/>
        <w:jc w:val="center"/>
        <w:outlineLvl w:val="1"/>
        <w:rPr>
          <w:rFonts w:ascii="Arial" w:eastAsia="Times New Roman" w:hAnsi="Arial" w:cs="Arial"/>
          <w:b/>
          <w:bCs/>
          <w:kern w:val="0"/>
          <w14:ligatures w14:val="none"/>
        </w:rPr>
      </w:pPr>
      <w:r w:rsidRPr="00BC2468">
        <w:rPr>
          <w:rFonts w:ascii="Arial" w:eastAsia="Times New Roman" w:hAnsi="Arial" w:cs="Arial"/>
          <w:b/>
          <w:bCs/>
          <w:kern w:val="0"/>
          <w14:ligatures w14:val="none"/>
        </w:rPr>
        <w:t>2. Financial Health Check</w:t>
      </w:r>
    </w:p>
    <w:p w14:paraId="7E06182B" w14:textId="77777777"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2.1 Overview of Financial Performance</w:t>
      </w:r>
    </w:p>
    <w:p w14:paraId="4ADA1CEF" w14:textId="67ECDA3F"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A five-year review of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consolidated financial statements (see Appendix A: Summary Income Statement and Statement of Financial Position, 2020–2024) reveals persistent revenue stagnation, rising cost pressures, and a notable deterioration in profitability. Over the review period, total revenue expanded only marginally</w:t>
      </w:r>
      <w:r w:rsidR="00022B03">
        <w:rPr>
          <w:rFonts w:ascii="Arial" w:eastAsia="Times New Roman" w:hAnsi="Arial" w:cs="Arial"/>
          <w:kern w:val="0"/>
          <w14:ligatures w14:val="none"/>
        </w:rPr>
        <w:t xml:space="preserve"> </w:t>
      </w:r>
      <w:r w:rsidRPr="00BC2468">
        <w:rPr>
          <w:rFonts w:ascii="Arial" w:eastAsia="Times New Roman" w:hAnsi="Arial" w:cs="Arial"/>
          <w:kern w:val="0"/>
          <w14:ligatures w14:val="none"/>
        </w:rPr>
        <w:t>from £3.8 billion in Year 1 to £4.2 billion in Year 5</w:t>
      </w:r>
      <w:r w:rsidR="00022B03">
        <w:rPr>
          <w:rFonts w:ascii="Arial" w:eastAsia="Times New Roman" w:hAnsi="Arial" w:cs="Arial"/>
          <w:kern w:val="0"/>
          <w14:ligatures w14:val="none"/>
        </w:rPr>
        <w:t xml:space="preserve"> </w:t>
      </w:r>
      <w:r w:rsidRPr="00BC2468">
        <w:rPr>
          <w:rFonts w:ascii="Arial" w:eastAsia="Times New Roman" w:hAnsi="Arial" w:cs="Arial"/>
          <w:kern w:val="0"/>
          <w14:ligatures w14:val="none"/>
        </w:rPr>
        <w:t>equating to a compound annual growth rate (CAGR) of roughly 2.0%. However, operating costs outpaced sales growth, increasing at approximately 3.5% annually. This disproportionate escalation in costs has compressed gross and operating margins, signalling declining cost efficiency and weakening competitive positioning in the electronics manufacturing sector (Brealey, Myers &amp; Allen, 2011).</w:t>
      </w:r>
    </w:p>
    <w:p w14:paraId="2C94EBA5" w14:textId="13A4B6BB"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The company’s net income trajectory further underscores the deteriorating profitability trend. Profits declined from £380 million in Year 1 to £210 million in Year 5, representing a 45% contraction over five years. Contributing factors include higher financing costs due to increased leverage, elevated production overheads, and limited pricing flexibility in key international markets. Additionally, shifts in consumer demand towards lower-margin product lines</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particularly in the household-appliance division</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exacerbated the erosion of overall profitability.</w:t>
      </w:r>
    </w:p>
    <w:p w14:paraId="6820E537"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From a strategic standpoint, these results suggest that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is caught in a cost–revenue imbalance typical of maturing manufacturing firms that fail to integrate innovation-driven efficiency improvements (Koller, Goedhart &amp; Wessels, 2010). The declining profitability combined with constrained liquidity (explored in Section 2.3) implies that the company’s operational model may no longer be optimally aligned with prevailing market dynamics.</w:t>
      </w:r>
    </w:p>
    <w:p w14:paraId="7E5FF5B1" w14:textId="77777777"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2.2 Profitability Ratios</w:t>
      </w:r>
    </w:p>
    <w:p w14:paraId="426184CE"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Profitability ratios provide key insight into how effectively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has utilized its resources to generate returns for shareholders and investors. The main ratios analysed include Return on Capital Employed (ROCE), Gross Profit Margin, and Net Profit Margin. These are summarised in Appendix B, Table B1.</w:t>
      </w:r>
    </w:p>
    <w:p w14:paraId="3230B644"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Return on Capital Employed (ROCE)</w:t>
      </w:r>
    </w:p>
    <w:p w14:paraId="11CD29F8"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ROCE assesses how efficiently a company converts capital into profit and is calculated as:</w:t>
      </w:r>
      <w:r w:rsidRPr="00BC2468">
        <w:rPr>
          <w:rFonts w:ascii="Arial" w:eastAsia="Times New Roman" w:hAnsi="Arial" w:cs="Arial"/>
          <w:kern w:val="0"/>
          <w14:ligatures w14:val="none"/>
        </w:rPr>
        <w:br/>
      </w:r>
      <w:r w:rsidRPr="00BC2468">
        <w:rPr>
          <w:rFonts w:ascii="Arial" w:eastAsia="Times New Roman" w:hAnsi="Arial" w:cs="Arial"/>
          <w:b/>
          <w:bCs/>
          <w:kern w:val="0"/>
          <w14:ligatures w14:val="none"/>
        </w:rPr>
        <w:t>ROCE = (Operating Profit / Capital Employed) × 100</w:t>
      </w:r>
    </w:p>
    <w:p w14:paraId="06CFCBB7"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 Year 5, the company recorded an operating profit of £280 million and total capital employed of £2.0 billion, yielding a ROCE of 14%:</w:t>
      </w:r>
      <w:r w:rsidRPr="00BC2468">
        <w:rPr>
          <w:rFonts w:ascii="Arial" w:eastAsia="Times New Roman" w:hAnsi="Arial" w:cs="Arial"/>
          <w:kern w:val="0"/>
          <w14:ligatures w14:val="none"/>
        </w:rPr>
        <w:br/>
        <w:t>ROCE = (280 / 2,000) × 100 = 14%</w:t>
      </w:r>
    </w:p>
    <w:p w14:paraId="6CC6DCEE"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This figure marks a steady decline from 21% in Year 1, demonstrating reduced efficiency in capital utilization. As Brealey et al. (2011) note, a declining ROCE often signals excessive asset investment relative to profit generation or inadequate operational leverage. The ratio’s downward trajectory implies that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is earning progressively less for every pound invested in its capital base, a trend that warrants urgent performance improvement initiatives.</w:t>
      </w:r>
    </w:p>
    <w:p w14:paraId="2416922B"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Gross Profit Margin</w:t>
      </w:r>
    </w:p>
    <w:p w14:paraId="10F25144"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Gross Profit Margin = (Gross Profit / Sales) × 100</w:t>
      </w:r>
    </w:p>
    <w:p w14:paraId="3B2468C8"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Gross profit fell from £1,425 million (Year 1) to £1,360 million (Year 5).</w:t>
      </w:r>
      <w:r w:rsidRPr="00BC2468">
        <w:rPr>
          <w:rFonts w:ascii="Arial" w:eastAsia="Times New Roman" w:hAnsi="Arial" w:cs="Arial"/>
          <w:kern w:val="0"/>
          <w14:ligatures w14:val="none"/>
        </w:rPr>
        <w:br/>
        <w:t>Year 1: (1,425 / 3,800) × 100 = 37.5%</w:t>
      </w:r>
      <w:r w:rsidRPr="00BC2468">
        <w:rPr>
          <w:rFonts w:ascii="Arial" w:eastAsia="Times New Roman" w:hAnsi="Arial" w:cs="Arial"/>
          <w:kern w:val="0"/>
          <w14:ligatures w14:val="none"/>
        </w:rPr>
        <w:br/>
        <w:t>Year 5: (1,360 / 4,200) × 100 = 32.4%</w:t>
      </w:r>
    </w:p>
    <w:p w14:paraId="7ED49AA4"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The five-percentage-point decline reveals margin compression due to increased input and logistics costs, alongside competitive price reductions to maintain market share. This trend aligns with Singh and Kumar’s (2014) finding that inefficient production cost management directly diminishes gross margins, especially in asset-heavy industries like electronics.</w:t>
      </w:r>
    </w:p>
    <w:p w14:paraId="3D3D8B8D"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Net Profit Margin</w:t>
      </w:r>
    </w:p>
    <w:p w14:paraId="7D1F715E"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Net Profit Margin = (Net Income / Sales) × 100</w:t>
      </w:r>
    </w:p>
    <w:p w14:paraId="3A4D187D"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Year 1: (380 / 3,800) × 100 = 10.0%</w:t>
      </w:r>
      <w:r w:rsidRPr="00BC2468">
        <w:rPr>
          <w:rFonts w:ascii="Arial" w:eastAsia="Times New Roman" w:hAnsi="Arial" w:cs="Arial"/>
          <w:kern w:val="0"/>
          <w14:ligatures w14:val="none"/>
        </w:rPr>
        <w:br/>
        <w:t>Year 5: (210 / 4,200) × 100 = 5.0%</w:t>
      </w:r>
    </w:p>
    <w:p w14:paraId="3AB13845"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 halving of the net margin illustrates severe bottom-line erosion, reflecting higher finance expenses, administrative inefficiencies, and suboptimal cost-to-sales alignment. Such decline in net margin typically discourages investors and constrains retained earnings, thus limiting reinvestment capacity (Koller et al., 2010).</w:t>
      </w:r>
    </w:p>
    <w:p w14:paraId="3BC88622" w14:textId="77777777" w:rsidR="007B1B6D"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Overall,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profitability analysis (Appendix B) highlights systemic inefficiencies across production and cost management that have reduced return potential and shareholder value.</w:t>
      </w:r>
    </w:p>
    <w:p w14:paraId="46668C2E" w14:textId="77777777" w:rsidR="006E5334" w:rsidRPr="006E5334" w:rsidRDefault="006E5334" w:rsidP="000D5807">
      <w:pPr>
        <w:spacing w:after="0" w:line="480" w:lineRule="auto"/>
        <w:outlineLvl w:val="2"/>
        <w:rPr>
          <w:rFonts w:ascii="Arial" w:eastAsia="Times New Roman" w:hAnsi="Arial" w:cs="Arial"/>
          <w:b/>
          <w:bCs/>
          <w:kern w:val="0"/>
          <w14:ligatures w14:val="none"/>
        </w:rPr>
      </w:pPr>
      <w:r w:rsidRPr="006E5334">
        <w:rPr>
          <w:rFonts w:ascii="Arial" w:eastAsia="Times New Roman" w:hAnsi="Arial" w:cs="Arial"/>
          <w:b/>
          <w:bCs/>
          <w:kern w:val="0"/>
          <w14:ligatures w14:val="none"/>
        </w:rPr>
        <w:t>Table 2.1: Profitability Ratios (Years 1–5)</w:t>
      </w:r>
    </w:p>
    <w:tbl>
      <w:tblPr>
        <w:tblStyle w:val="TableGridLight"/>
        <w:tblW w:w="0" w:type="auto"/>
        <w:tblLook w:val="04A0" w:firstRow="1" w:lastRow="0" w:firstColumn="1" w:lastColumn="0" w:noHBand="0" w:noVBand="1"/>
      </w:tblPr>
      <w:tblGrid>
        <w:gridCol w:w="1854"/>
        <w:gridCol w:w="2967"/>
        <w:gridCol w:w="839"/>
        <w:gridCol w:w="839"/>
        <w:gridCol w:w="839"/>
        <w:gridCol w:w="839"/>
        <w:gridCol w:w="839"/>
      </w:tblGrid>
      <w:tr w:rsidR="006E5334" w:rsidRPr="006E5334" w14:paraId="7105496C" w14:textId="77777777" w:rsidTr="006E5334">
        <w:tc>
          <w:tcPr>
            <w:tcW w:w="0" w:type="auto"/>
            <w:hideMark/>
          </w:tcPr>
          <w:p w14:paraId="4DB2B84B" w14:textId="77777777" w:rsidR="006E5334" w:rsidRPr="006E5334" w:rsidRDefault="006E5334" w:rsidP="000D5807">
            <w:pPr>
              <w:spacing w:line="360" w:lineRule="auto"/>
              <w:jc w:val="center"/>
              <w:rPr>
                <w:rFonts w:ascii="Arial" w:eastAsia="Times New Roman" w:hAnsi="Arial" w:cs="Arial"/>
                <w:b/>
                <w:bCs/>
                <w:kern w:val="0"/>
                <w14:ligatures w14:val="none"/>
              </w:rPr>
            </w:pPr>
            <w:r w:rsidRPr="006E5334">
              <w:rPr>
                <w:rFonts w:ascii="Arial" w:eastAsia="Times New Roman" w:hAnsi="Arial" w:cs="Arial"/>
                <w:b/>
                <w:bCs/>
                <w:kern w:val="0"/>
                <w14:ligatures w14:val="none"/>
              </w:rPr>
              <w:t>Ratio</w:t>
            </w:r>
          </w:p>
        </w:tc>
        <w:tc>
          <w:tcPr>
            <w:tcW w:w="0" w:type="auto"/>
            <w:hideMark/>
          </w:tcPr>
          <w:p w14:paraId="5C54F2FB" w14:textId="77777777" w:rsidR="006E5334" w:rsidRPr="006E5334" w:rsidRDefault="006E5334" w:rsidP="000D5807">
            <w:pPr>
              <w:spacing w:line="360" w:lineRule="auto"/>
              <w:jc w:val="center"/>
              <w:rPr>
                <w:rFonts w:ascii="Arial" w:eastAsia="Times New Roman" w:hAnsi="Arial" w:cs="Arial"/>
                <w:b/>
                <w:bCs/>
                <w:kern w:val="0"/>
                <w14:ligatures w14:val="none"/>
              </w:rPr>
            </w:pPr>
            <w:r w:rsidRPr="006E5334">
              <w:rPr>
                <w:rFonts w:ascii="Arial" w:eastAsia="Times New Roman" w:hAnsi="Arial" w:cs="Arial"/>
                <w:b/>
                <w:bCs/>
                <w:kern w:val="0"/>
                <w14:ligatures w14:val="none"/>
              </w:rPr>
              <w:t>Formula</w:t>
            </w:r>
          </w:p>
        </w:tc>
        <w:tc>
          <w:tcPr>
            <w:tcW w:w="0" w:type="auto"/>
            <w:hideMark/>
          </w:tcPr>
          <w:p w14:paraId="41FA69F0" w14:textId="77777777" w:rsidR="006E5334" w:rsidRPr="006E5334" w:rsidRDefault="006E5334" w:rsidP="000D5807">
            <w:pPr>
              <w:spacing w:line="360" w:lineRule="auto"/>
              <w:jc w:val="center"/>
              <w:rPr>
                <w:rFonts w:ascii="Arial" w:eastAsia="Times New Roman" w:hAnsi="Arial" w:cs="Arial"/>
                <w:b/>
                <w:bCs/>
                <w:kern w:val="0"/>
                <w14:ligatures w14:val="none"/>
              </w:rPr>
            </w:pPr>
            <w:r w:rsidRPr="006E5334">
              <w:rPr>
                <w:rFonts w:ascii="Arial" w:eastAsia="Times New Roman" w:hAnsi="Arial" w:cs="Arial"/>
                <w:b/>
                <w:bCs/>
                <w:kern w:val="0"/>
                <w14:ligatures w14:val="none"/>
              </w:rPr>
              <w:t>Year 1</w:t>
            </w:r>
          </w:p>
        </w:tc>
        <w:tc>
          <w:tcPr>
            <w:tcW w:w="0" w:type="auto"/>
            <w:hideMark/>
          </w:tcPr>
          <w:p w14:paraId="3EBF0576" w14:textId="77777777" w:rsidR="006E5334" w:rsidRPr="006E5334" w:rsidRDefault="006E5334" w:rsidP="000D5807">
            <w:pPr>
              <w:spacing w:line="360" w:lineRule="auto"/>
              <w:jc w:val="center"/>
              <w:rPr>
                <w:rFonts w:ascii="Arial" w:eastAsia="Times New Roman" w:hAnsi="Arial" w:cs="Arial"/>
                <w:b/>
                <w:bCs/>
                <w:kern w:val="0"/>
                <w14:ligatures w14:val="none"/>
              </w:rPr>
            </w:pPr>
            <w:r w:rsidRPr="006E5334">
              <w:rPr>
                <w:rFonts w:ascii="Arial" w:eastAsia="Times New Roman" w:hAnsi="Arial" w:cs="Arial"/>
                <w:b/>
                <w:bCs/>
                <w:kern w:val="0"/>
                <w14:ligatures w14:val="none"/>
              </w:rPr>
              <w:t>Year 2</w:t>
            </w:r>
          </w:p>
        </w:tc>
        <w:tc>
          <w:tcPr>
            <w:tcW w:w="0" w:type="auto"/>
            <w:hideMark/>
          </w:tcPr>
          <w:p w14:paraId="41416193" w14:textId="77777777" w:rsidR="006E5334" w:rsidRPr="006E5334" w:rsidRDefault="006E5334" w:rsidP="000D5807">
            <w:pPr>
              <w:spacing w:line="360" w:lineRule="auto"/>
              <w:jc w:val="center"/>
              <w:rPr>
                <w:rFonts w:ascii="Arial" w:eastAsia="Times New Roman" w:hAnsi="Arial" w:cs="Arial"/>
                <w:b/>
                <w:bCs/>
                <w:kern w:val="0"/>
                <w14:ligatures w14:val="none"/>
              </w:rPr>
            </w:pPr>
            <w:r w:rsidRPr="006E5334">
              <w:rPr>
                <w:rFonts w:ascii="Arial" w:eastAsia="Times New Roman" w:hAnsi="Arial" w:cs="Arial"/>
                <w:b/>
                <w:bCs/>
                <w:kern w:val="0"/>
                <w14:ligatures w14:val="none"/>
              </w:rPr>
              <w:t>Year 3</w:t>
            </w:r>
          </w:p>
        </w:tc>
        <w:tc>
          <w:tcPr>
            <w:tcW w:w="0" w:type="auto"/>
            <w:hideMark/>
          </w:tcPr>
          <w:p w14:paraId="044918DA" w14:textId="77777777" w:rsidR="006E5334" w:rsidRPr="006E5334" w:rsidRDefault="006E5334" w:rsidP="000D5807">
            <w:pPr>
              <w:spacing w:line="360" w:lineRule="auto"/>
              <w:jc w:val="center"/>
              <w:rPr>
                <w:rFonts w:ascii="Arial" w:eastAsia="Times New Roman" w:hAnsi="Arial" w:cs="Arial"/>
                <w:b/>
                <w:bCs/>
                <w:kern w:val="0"/>
                <w14:ligatures w14:val="none"/>
              </w:rPr>
            </w:pPr>
            <w:r w:rsidRPr="006E5334">
              <w:rPr>
                <w:rFonts w:ascii="Arial" w:eastAsia="Times New Roman" w:hAnsi="Arial" w:cs="Arial"/>
                <w:b/>
                <w:bCs/>
                <w:kern w:val="0"/>
                <w14:ligatures w14:val="none"/>
              </w:rPr>
              <w:t>Year 4</w:t>
            </w:r>
          </w:p>
        </w:tc>
        <w:tc>
          <w:tcPr>
            <w:tcW w:w="0" w:type="auto"/>
            <w:hideMark/>
          </w:tcPr>
          <w:p w14:paraId="034B0B83" w14:textId="77777777" w:rsidR="006E5334" w:rsidRPr="006E5334" w:rsidRDefault="006E5334" w:rsidP="000D5807">
            <w:pPr>
              <w:spacing w:line="360" w:lineRule="auto"/>
              <w:jc w:val="center"/>
              <w:rPr>
                <w:rFonts w:ascii="Arial" w:eastAsia="Times New Roman" w:hAnsi="Arial" w:cs="Arial"/>
                <w:b/>
                <w:bCs/>
                <w:kern w:val="0"/>
                <w14:ligatures w14:val="none"/>
              </w:rPr>
            </w:pPr>
            <w:r w:rsidRPr="006E5334">
              <w:rPr>
                <w:rFonts w:ascii="Arial" w:eastAsia="Times New Roman" w:hAnsi="Arial" w:cs="Arial"/>
                <w:b/>
                <w:bCs/>
                <w:kern w:val="0"/>
                <w14:ligatures w14:val="none"/>
              </w:rPr>
              <w:t>Year 5</w:t>
            </w:r>
          </w:p>
        </w:tc>
      </w:tr>
      <w:tr w:rsidR="006E5334" w:rsidRPr="006E5334" w14:paraId="2AAA96C9" w14:textId="77777777" w:rsidTr="006E5334">
        <w:tc>
          <w:tcPr>
            <w:tcW w:w="0" w:type="auto"/>
            <w:hideMark/>
          </w:tcPr>
          <w:p w14:paraId="72DEB436"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ROCE (%)</w:t>
            </w:r>
          </w:p>
        </w:tc>
        <w:tc>
          <w:tcPr>
            <w:tcW w:w="0" w:type="auto"/>
            <w:hideMark/>
          </w:tcPr>
          <w:p w14:paraId="64B475D3"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Operating Profit / Capital Employed ×100</w:t>
            </w:r>
          </w:p>
        </w:tc>
        <w:tc>
          <w:tcPr>
            <w:tcW w:w="0" w:type="auto"/>
            <w:hideMark/>
          </w:tcPr>
          <w:p w14:paraId="7A190361"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21.0</w:t>
            </w:r>
          </w:p>
        </w:tc>
        <w:tc>
          <w:tcPr>
            <w:tcW w:w="0" w:type="auto"/>
            <w:hideMark/>
          </w:tcPr>
          <w:p w14:paraId="2CA39760"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19.7</w:t>
            </w:r>
          </w:p>
        </w:tc>
        <w:tc>
          <w:tcPr>
            <w:tcW w:w="0" w:type="auto"/>
            <w:hideMark/>
          </w:tcPr>
          <w:p w14:paraId="1AF31086"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17.2</w:t>
            </w:r>
          </w:p>
        </w:tc>
        <w:tc>
          <w:tcPr>
            <w:tcW w:w="0" w:type="auto"/>
            <w:hideMark/>
          </w:tcPr>
          <w:p w14:paraId="79CDA590"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15.6</w:t>
            </w:r>
          </w:p>
        </w:tc>
        <w:tc>
          <w:tcPr>
            <w:tcW w:w="0" w:type="auto"/>
            <w:hideMark/>
          </w:tcPr>
          <w:p w14:paraId="6155910D"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14.0</w:t>
            </w:r>
          </w:p>
        </w:tc>
      </w:tr>
      <w:tr w:rsidR="006E5334" w:rsidRPr="006E5334" w14:paraId="32CF100C" w14:textId="77777777" w:rsidTr="006E5334">
        <w:tc>
          <w:tcPr>
            <w:tcW w:w="0" w:type="auto"/>
            <w:hideMark/>
          </w:tcPr>
          <w:p w14:paraId="6D67688B"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Gross Profit Margin (%)</w:t>
            </w:r>
          </w:p>
        </w:tc>
        <w:tc>
          <w:tcPr>
            <w:tcW w:w="0" w:type="auto"/>
            <w:hideMark/>
          </w:tcPr>
          <w:p w14:paraId="3322A04C"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Gross Profit / Sales ×100</w:t>
            </w:r>
          </w:p>
        </w:tc>
        <w:tc>
          <w:tcPr>
            <w:tcW w:w="0" w:type="auto"/>
            <w:hideMark/>
          </w:tcPr>
          <w:p w14:paraId="526C4A91"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37.5</w:t>
            </w:r>
          </w:p>
        </w:tc>
        <w:tc>
          <w:tcPr>
            <w:tcW w:w="0" w:type="auto"/>
            <w:hideMark/>
          </w:tcPr>
          <w:p w14:paraId="1F75770B"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36.2</w:t>
            </w:r>
          </w:p>
        </w:tc>
        <w:tc>
          <w:tcPr>
            <w:tcW w:w="0" w:type="auto"/>
            <w:hideMark/>
          </w:tcPr>
          <w:p w14:paraId="786496B7"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34.0</w:t>
            </w:r>
          </w:p>
        </w:tc>
        <w:tc>
          <w:tcPr>
            <w:tcW w:w="0" w:type="auto"/>
            <w:hideMark/>
          </w:tcPr>
          <w:p w14:paraId="45F6F3C0"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33.1</w:t>
            </w:r>
          </w:p>
        </w:tc>
        <w:tc>
          <w:tcPr>
            <w:tcW w:w="0" w:type="auto"/>
            <w:hideMark/>
          </w:tcPr>
          <w:p w14:paraId="2DF1DD99"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32.4</w:t>
            </w:r>
          </w:p>
        </w:tc>
      </w:tr>
      <w:tr w:rsidR="006E5334" w:rsidRPr="006E5334" w14:paraId="67DABB5B" w14:textId="77777777" w:rsidTr="006E5334">
        <w:tc>
          <w:tcPr>
            <w:tcW w:w="0" w:type="auto"/>
            <w:hideMark/>
          </w:tcPr>
          <w:p w14:paraId="4CA7718D"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Net Profit Margin (%)</w:t>
            </w:r>
          </w:p>
        </w:tc>
        <w:tc>
          <w:tcPr>
            <w:tcW w:w="0" w:type="auto"/>
            <w:hideMark/>
          </w:tcPr>
          <w:p w14:paraId="4EBC1C38"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Net Income / Sales ×100</w:t>
            </w:r>
          </w:p>
        </w:tc>
        <w:tc>
          <w:tcPr>
            <w:tcW w:w="0" w:type="auto"/>
            <w:hideMark/>
          </w:tcPr>
          <w:p w14:paraId="21935CB3"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10.0</w:t>
            </w:r>
          </w:p>
        </w:tc>
        <w:tc>
          <w:tcPr>
            <w:tcW w:w="0" w:type="auto"/>
            <w:hideMark/>
          </w:tcPr>
          <w:p w14:paraId="2D57F607"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8.6</w:t>
            </w:r>
          </w:p>
        </w:tc>
        <w:tc>
          <w:tcPr>
            <w:tcW w:w="0" w:type="auto"/>
            <w:hideMark/>
          </w:tcPr>
          <w:p w14:paraId="22862A75"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7.3</w:t>
            </w:r>
          </w:p>
        </w:tc>
        <w:tc>
          <w:tcPr>
            <w:tcW w:w="0" w:type="auto"/>
            <w:hideMark/>
          </w:tcPr>
          <w:p w14:paraId="1017A206"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6.1</w:t>
            </w:r>
          </w:p>
        </w:tc>
        <w:tc>
          <w:tcPr>
            <w:tcW w:w="0" w:type="auto"/>
            <w:hideMark/>
          </w:tcPr>
          <w:p w14:paraId="75AF79A6" w14:textId="77777777" w:rsidR="006E5334" w:rsidRPr="006E5334" w:rsidRDefault="006E5334" w:rsidP="000D5807">
            <w:pPr>
              <w:spacing w:line="360" w:lineRule="auto"/>
              <w:rPr>
                <w:rFonts w:ascii="Arial" w:eastAsia="Times New Roman" w:hAnsi="Arial" w:cs="Arial"/>
                <w:kern w:val="0"/>
                <w14:ligatures w14:val="none"/>
              </w:rPr>
            </w:pPr>
            <w:r w:rsidRPr="006E5334">
              <w:rPr>
                <w:rFonts w:ascii="Arial" w:eastAsia="Times New Roman" w:hAnsi="Arial" w:cs="Arial"/>
                <w:kern w:val="0"/>
                <w14:ligatures w14:val="none"/>
              </w:rPr>
              <w:t>5.0</w:t>
            </w:r>
          </w:p>
        </w:tc>
      </w:tr>
    </w:tbl>
    <w:p w14:paraId="4C042186" w14:textId="3FCB6E78" w:rsidR="00CF2B45" w:rsidRDefault="00CF2B45" w:rsidP="00157516">
      <w:pPr>
        <w:spacing w:after="0" w:line="480" w:lineRule="auto"/>
        <w:outlineLvl w:val="2"/>
        <w:rPr>
          <w:rFonts w:ascii="Arial" w:eastAsia="Times New Roman" w:hAnsi="Arial" w:cs="Arial"/>
          <w:b/>
          <w:bCs/>
          <w:kern w:val="0"/>
          <w14:ligatures w14:val="none"/>
        </w:rPr>
      </w:pPr>
      <w:r w:rsidRPr="00CF2B45">
        <w:rPr>
          <w:rFonts w:ascii="Arial" w:eastAsia="Times New Roman" w:hAnsi="Arial" w:cs="Arial"/>
          <w:b/>
          <w:bCs/>
          <w:kern w:val="0"/>
          <w14:ligatures w14:val="none"/>
        </w:rPr>
        <w:t>Chart: Profitability Trends</w:t>
      </w:r>
      <w:r>
        <w:rPr>
          <w:rFonts w:ascii="Arial" w:eastAsia="Times New Roman" w:hAnsi="Arial" w:cs="Arial"/>
          <w:b/>
          <w:bCs/>
          <w:noProof/>
          <w:kern w:val="0"/>
        </w:rPr>
        <mc:AlternateContent>
          <mc:Choice Requires="wps">
            <w:drawing>
              <wp:anchor distT="0" distB="0" distL="114300" distR="114300" simplePos="0" relativeHeight="251661312" behindDoc="0" locked="0" layoutInCell="1" allowOverlap="1" wp14:anchorId="51FF3E4A" wp14:editId="3F60ACE8">
                <wp:simplePos x="0" y="0"/>
                <wp:positionH relativeFrom="column">
                  <wp:posOffset>19050</wp:posOffset>
                </wp:positionH>
                <wp:positionV relativeFrom="paragraph">
                  <wp:posOffset>198755</wp:posOffset>
                </wp:positionV>
                <wp:extent cx="4170680" cy="2686050"/>
                <wp:effectExtent l="0" t="0" r="20320" b="19050"/>
                <wp:wrapNone/>
                <wp:docPr id="428814601" name="Text Box 3"/>
                <wp:cNvGraphicFramePr/>
                <a:graphic xmlns:a="http://schemas.openxmlformats.org/drawingml/2006/main">
                  <a:graphicData uri="http://schemas.microsoft.com/office/word/2010/wordprocessingShape">
                    <wps:wsp>
                      <wps:cNvSpPr txBox="1"/>
                      <wps:spPr>
                        <a:xfrm>
                          <a:off x="0" y="0"/>
                          <a:ext cx="4170680" cy="2686050"/>
                        </a:xfrm>
                        <a:prstGeom prst="rect">
                          <a:avLst/>
                        </a:prstGeom>
                        <a:solidFill>
                          <a:schemeClr val="lt1"/>
                        </a:solidFill>
                        <a:ln w="6350">
                          <a:solidFill>
                            <a:prstClr val="black"/>
                          </a:solidFill>
                        </a:ln>
                      </wps:spPr>
                      <wps:txbx>
                        <w:txbxContent>
                          <w:p w14:paraId="1FB93E5D" w14:textId="56976C1A" w:rsidR="00CF2B45" w:rsidRDefault="00CF2B45" w:rsidP="00CF2B45">
                            <w:pPr>
                              <w:jc w:val="center"/>
                            </w:pPr>
                            <w:r>
                              <w:rPr>
                                <w:noProof/>
                              </w:rPr>
                              <w:drawing>
                                <wp:inline distT="0" distB="0" distL="0" distR="0" wp14:anchorId="0A1AFDC3" wp14:editId="4885CCEC">
                                  <wp:extent cx="4075430" cy="2445385"/>
                                  <wp:effectExtent l="0" t="0" r="1270" b="12065"/>
                                  <wp:docPr id="656507401" name="Chart 1">
                                    <a:extLst xmlns:a="http://schemas.openxmlformats.org/drawingml/2006/main">
                                      <a:ext uri="{FF2B5EF4-FFF2-40B4-BE49-F238E27FC236}">
                                        <a16:creationId xmlns:a16="http://schemas.microsoft.com/office/drawing/2014/main" id="{C4AE6A7D-A7DB-6D4D-D351-168048EDB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FF3E4A" id="_x0000_t202" coordsize="21600,21600" o:spt="202" path="m,l,21600r21600,l21600,xe">
                <v:stroke joinstyle="miter"/>
                <v:path gradientshapeok="t" o:connecttype="rect"/>
              </v:shapetype>
              <v:shape id="Text Box 3" o:spid="_x0000_s1026" type="#_x0000_t202" style="position:absolute;margin-left:1.5pt;margin-top:15.65pt;width:328.4pt;height:21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" fillcolor="white [3201]" strokeweight=".5pt">
                <v:textbox>
                  <w:txbxContent>
                    <w:p w14:paraId="1FB93E5D" w14:textId="56976C1A" w:rsidR="00CF2B45" w:rsidRDefault="00CF2B45" w:rsidP="00CF2B45">
                      <w:pPr>
                        <w:jc w:val="center"/>
                      </w:pPr>
                      <w:r>
                        <w:rPr>
                          <w:noProof/>
                        </w:rPr>
                        <w:drawing>
                          <wp:inline distT="0" distB="0" distL="0" distR="0" wp14:anchorId="0A1AFDC3" wp14:editId="4885CCEC">
                            <wp:extent cx="4075430" cy="2445385"/>
                            <wp:effectExtent l="0" t="0" r="1270" b="12065"/>
                            <wp:docPr id="656507401" name="Chart 1">
                              <a:extLst xmlns:a="http://schemas.openxmlformats.org/drawingml/2006/main">
                                <a:ext uri="{FF2B5EF4-FFF2-40B4-BE49-F238E27FC236}">
                                  <a16:creationId xmlns:a16="http://schemas.microsoft.com/office/drawing/2014/main" id="{C4AE6A7D-A7DB-6D4D-D351-168048EDB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xbxContent>
                </v:textbox>
              </v:shape>
            </w:pict>
          </mc:Fallback>
        </mc:AlternateContent>
      </w:r>
    </w:p>
    <w:p w14:paraId="5A8EB194" w14:textId="77777777" w:rsidR="00CF2B45" w:rsidRDefault="00CF2B45" w:rsidP="00157516">
      <w:pPr>
        <w:spacing w:after="0" w:line="480" w:lineRule="auto"/>
        <w:outlineLvl w:val="2"/>
        <w:rPr>
          <w:rFonts w:ascii="Arial" w:eastAsia="Times New Roman" w:hAnsi="Arial" w:cs="Arial"/>
          <w:b/>
          <w:bCs/>
          <w:kern w:val="0"/>
          <w14:ligatures w14:val="none"/>
        </w:rPr>
      </w:pPr>
    </w:p>
    <w:p w14:paraId="2D7D9A62" w14:textId="77777777" w:rsidR="00CF2B45" w:rsidRDefault="00CF2B45" w:rsidP="00157516">
      <w:pPr>
        <w:spacing w:after="0" w:line="480" w:lineRule="auto"/>
        <w:outlineLvl w:val="2"/>
        <w:rPr>
          <w:rFonts w:ascii="Arial" w:eastAsia="Times New Roman" w:hAnsi="Arial" w:cs="Arial"/>
          <w:b/>
          <w:bCs/>
          <w:kern w:val="0"/>
          <w14:ligatures w14:val="none"/>
        </w:rPr>
      </w:pPr>
    </w:p>
    <w:p w14:paraId="630C4C7D" w14:textId="77777777" w:rsidR="00CF2B45" w:rsidRDefault="00CF2B45" w:rsidP="00157516">
      <w:pPr>
        <w:spacing w:after="0" w:line="480" w:lineRule="auto"/>
        <w:outlineLvl w:val="2"/>
        <w:rPr>
          <w:rFonts w:ascii="Arial" w:eastAsia="Times New Roman" w:hAnsi="Arial" w:cs="Arial"/>
          <w:b/>
          <w:bCs/>
          <w:kern w:val="0"/>
          <w14:ligatures w14:val="none"/>
        </w:rPr>
      </w:pPr>
    </w:p>
    <w:p w14:paraId="342EC1E1" w14:textId="77777777" w:rsidR="00CF2B45" w:rsidRDefault="00CF2B45" w:rsidP="00157516">
      <w:pPr>
        <w:spacing w:after="0" w:line="480" w:lineRule="auto"/>
        <w:outlineLvl w:val="2"/>
        <w:rPr>
          <w:rFonts w:ascii="Arial" w:eastAsia="Times New Roman" w:hAnsi="Arial" w:cs="Arial"/>
          <w:b/>
          <w:bCs/>
          <w:kern w:val="0"/>
          <w14:ligatures w14:val="none"/>
        </w:rPr>
      </w:pPr>
    </w:p>
    <w:p w14:paraId="5CF7C147" w14:textId="77777777" w:rsidR="00CF2B45" w:rsidRDefault="00CF2B45" w:rsidP="00157516">
      <w:pPr>
        <w:spacing w:after="0" w:line="480" w:lineRule="auto"/>
        <w:outlineLvl w:val="2"/>
        <w:rPr>
          <w:rFonts w:ascii="Arial" w:eastAsia="Times New Roman" w:hAnsi="Arial" w:cs="Arial"/>
          <w:b/>
          <w:bCs/>
          <w:kern w:val="0"/>
          <w14:ligatures w14:val="none"/>
        </w:rPr>
      </w:pPr>
    </w:p>
    <w:p w14:paraId="58921B37" w14:textId="77777777" w:rsidR="00CF2B45" w:rsidRDefault="00CF2B45" w:rsidP="00157516">
      <w:pPr>
        <w:spacing w:after="0" w:line="480" w:lineRule="auto"/>
        <w:outlineLvl w:val="2"/>
        <w:rPr>
          <w:rFonts w:ascii="Arial" w:eastAsia="Times New Roman" w:hAnsi="Arial" w:cs="Arial"/>
          <w:b/>
          <w:bCs/>
          <w:kern w:val="0"/>
          <w14:ligatures w14:val="none"/>
        </w:rPr>
      </w:pPr>
    </w:p>
    <w:p w14:paraId="2404F403" w14:textId="77777777" w:rsidR="00CF2B45" w:rsidRDefault="00CF2B45" w:rsidP="00157516">
      <w:pPr>
        <w:spacing w:after="0" w:line="480" w:lineRule="auto"/>
        <w:outlineLvl w:val="2"/>
        <w:rPr>
          <w:rFonts w:ascii="Arial" w:eastAsia="Times New Roman" w:hAnsi="Arial" w:cs="Arial"/>
          <w:b/>
          <w:bCs/>
          <w:kern w:val="0"/>
          <w14:ligatures w14:val="none"/>
        </w:rPr>
      </w:pPr>
    </w:p>
    <w:p w14:paraId="71C4176A" w14:textId="77777777" w:rsidR="00C75926" w:rsidRPr="00C75926" w:rsidRDefault="00C75926" w:rsidP="00C75926">
      <w:pPr>
        <w:spacing w:after="0" w:line="480" w:lineRule="auto"/>
        <w:outlineLvl w:val="2"/>
        <w:rPr>
          <w:rFonts w:ascii="Arial" w:eastAsia="Times New Roman" w:hAnsi="Arial" w:cs="Arial"/>
          <w:kern w:val="0"/>
          <w:lang/>
          <w14:ligatures w14:val="none"/>
        </w:rPr>
      </w:pPr>
      <w:r w:rsidRPr="00C75926">
        <w:rPr>
          <w:rFonts w:ascii="Arial" w:eastAsia="Times New Roman" w:hAnsi="Arial" w:cs="Arial"/>
          <w:kern w:val="0"/>
          <w:lang/>
          <w14:ligatures w14:val="none"/>
        </w:rPr>
        <w:t>The profitability indicators reveal a systemic and sustained deterioration, suggesting structural weaknesses rather than short-term fluctuations. The decline in ROCE from 21% to 14% reflects a significant erosion in the firm’s ability to convert capital into operating profit, implying that additional assets and capital employed are generating progressively lower returns. This trend indicates inefficient utilisation of resources and weakening operational leverage.</w:t>
      </w:r>
    </w:p>
    <w:p w14:paraId="0AC328BC" w14:textId="77777777" w:rsidR="00C75926" w:rsidRPr="00C75926" w:rsidRDefault="00C75926" w:rsidP="00C75926">
      <w:pPr>
        <w:spacing w:after="0" w:line="480" w:lineRule="auto"/>
        <w:outlineLvl w:val="2"/>
        <w:rPr>
          <w:rFonts w:ascii="Arial" w:eastAsia="Times New Roman" w:hAnsi="Arial" w:cs="Arial"/>
          <w:kern w:val="0"/>
          <w:lang/>
          <w14:ligatures w14:val="none"/>
        </w:rPr>
      </w:pPr>
      <w:r w:rsidRPr="00C75926">
        <w:rPr>
          <w:rFonts w:ascii="Arial" w:eastAsia="Times New Roman" w:hAnsi="Arial" w:cs="Arial"/>
          <w:kern w:val="0"/>
          <w:lang/>
          <w14:ligatures w14:val="none"/>
        </w:rPr>
        <w:t>Moreover, the simultaneous reduction in gross and net margins signals worsening cost competitiveness. As Brealey, Myers and Allen (2011) argue, margin compression typically arises from rising production costs, inadequate pricing power, or an unfavourable product mix. All three possibilities align with General Electronics’ financial trajectory, where operating costs have outpaced revenue growth. The downward trend across all profitability measures therefore suggests fundamental strategic and operational shortcomings, rather than merely cyclical cost pressure.</w:t>
      </w:r>
    </w:p>
    <w:p w14:paraId="10460514" w14:textId="5432FD1E"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2.3 Liquidity Ratios</w:t>
      </w:r>
    </w:p>
    <w:p w14:paraId="693D90A0" w14:textId="206D2209"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Liquidity ratios assess a firm’s short-term financial resilience and its ability to meet current obligations using available assets. The two key metrics</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Current Ratio and Quick Ratio</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are presented in Appendix C (Table C1).</w:t>
      </w:r>
    </w:p>
    <w:p w14:paraId="79E24B73"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Current Ratio</w:t>
      </w:r>
    </w:p>
    <w:p w14:paraId="7975683F"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Current Ratio = (Current Assets / Current Liabilities)</w:t>
      </w:r>
    </w:p>
    <w:p w14:paraId="282D2143"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Year 1: (1,050 / 680) = 1.54</w:t>
      </w:r>
      <w:r w:rsidRPr="00BC2468">
        <w:rPr>
          <w:rFonts w:ascii="Arial" w:eastAsia="Times New Roman" w:hAnsi="Arial" w:cs="Arial"/>
          <w:kern w:val="0"/>
          <w14:ligatures w14:val="none"/>
        </w:rPr>
        <w:br/>
        <w:t>Year 5: (980 / 920) = 1.07</w:t>
      </w:r>
    </w:p>
    <w:p w14:paraId="6661E23A"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 current ratio of 1.07 in Year 5 approaches the critical threshold of 1:1, meaning the firm barely covers its short-term obligations with current assets. According to Brealey et al. (2011), a current ratio below 1.2 signals potential liquidity strain, particularly when coupled with slow inventory turnover.</w:t>
      </w:r>
    </w:p>
    <w:p w14:paraId="5430B192"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Quick Ratio</w:t>
      </w:r>
    </w:p>
    <w:p w14:paraId="6B191A75"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Quick Ratio = (Current Assets – Inventory) / Current Liabilities</w:t>
      </w:r>
    </w:p>
    <w:p w14:paraId="3D18F456"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Year 1: (1,050 – 400) / 680 = 0.96</w:t>
      </w:r>
      <w:r w:rsidRPr="00BC2468">
        <w:rPr>
          <w:rFonts w:ascii="Arial" w:eastAsia="Times New Roman" w:hAnsi="Arial" w:cs="Arial"/>
          <w:kern w:val="0"/>
          <w14:ligatures w14:val="none"/>
        </w:rPr>
        <w:br/>
        <w:t>Year 5: (980 – 450) / 920 = 0.58</w:t>
      </w:r>
    </w:p>
    <w:p w14:paraId="01626E93" w14:textId="6E9873BB"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The sharp fall in quick ratio from 0.96 to 0.58 reveals that a substantial portion of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current assets is tied up in inventory. This liquidity weakness underscores dependency on stock sales to meet obligations</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a risky position if demand softens (IAS 7, 2011).</w:t>
      </w:r>
    </w:p>
    <w:p w14:paraId="38389D06" w14:textId="77777777" w:rsidR="007B1B6D"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Collectively, the ratios point to deteriorating liquidity management, a recurring sign of operational inflexibility and excessive working-capital absorption.</w:t>
      </w:r>
    </w:p>
    <w:p w14:paraId="0E7FE861" w14:textId="77777777" w:rsidR="000D5807" w:rsidRPr="000D5807" w:rsidRDefault="000D5807" w:rsidP="000D5807">
      <w:pPr>
        <w:spacing w:after="0" w:line="480" w:lineRule="auto"/>
        <w:outlineLvl w:val="2"/>
        <w:rPr>
          <w:rFonts w:ascii="Arial" w:eastAsia="Times New Roman" w:hAnsi="Arial" w:cs="Arial"/>
          <w:b/>
          <w:bCs/>
          <w:kern w:val="0"/>
          <w14:ligatures w14:val="none"/>
        </w:rPr>
      </w:pPr>
      <w:r w:rsidRPr="000D5807">
        <w:rPr>
          <w:rFonts w:ascii="Arial" w:eastAsia="Times New Roman" w:hAnsi="Arial" w:cs="Arial"/>
          <w:b/>
          <w:bCs/>
          <w:kern w:val="0"/>
          <w14:ligatures w14:val="none"/>
        </w:rPr>
        <w:t>Table 2.2: Liquidity Ratios (Years 1–5)</w:t>
      </w:r>
    </w:p>
    <w:tbl>
      <w:tblPr>
        <w:tblStyle w:val="TableGridLight"/>
        <w:tblW w:w="0" w:type="auto"/>
        <w:tblLook w:val="04A0" w:firstRow="1" w:lastRow="0" w:firstColumn="1" w:lastColumn="0" w:noHBand="0" w:noVBand="1"/>
      </w:tblPr>
      <w:tblGrid>
        <w:gridCol w:w="1470"/>
        <w:gridCol w:w="3141"/>
        <w:gridCol w:w="881"/>
        <w:gridCol w:w="881"/>
        <w:gridCol w:w="881"/>
        <w:gridCol w:w="881"/>
        <w:gridCol w:w="881"/>
      </w:tblGrid>
      <w:tr w:rsidR="000D5807" w:rsidRPr="000D5807" w14:paraId="0854CAD8" w14:textId="77777777" w:rsidTr="000D5807">
        <w:tc>
          <w:tcPr>
            <w:tcW w:w="0" w:type="auto"/>
            <w:hideMark/>
          </w:tcPr>
          <w:p w14:paraId="67795459" w14:textId="77777777" w:rsidR="000D5807" w:rsidRPr="000D5807" w:rsidRDefault="000D5807" w:rsidP="000D5807">
            <w:pPr>
              <w:spacing w:line="480" w:lineRule="auto"/>
              <w:jc w:val="center"/>
              <w:rPr>
                <w:rFonts w:ascii="Arial" w:eastAsia="Times New Roman" w:hAnsi="Arial" w:cs="Arial"/>
                <w:b/>
                <w:bCs/>
                <w:kern w:val="0"/>
                <w14:ligatures w14:val="none"/>
              </w:rPr>
            </w:pPr>
            <w:r w:rsidRPr="000D5807">
              <w:rPr>
                <w:rFonts w:ascii="Arial" w:eastAsia="Times New Roman" w:hAnsi="Arial" w:cs="Arial"/>
                <w:b/>
                <w:bCs/>
                <w:kern w:val="0"/>
                <w14:ligatures w14:val="none"/>
              </w:rPr>
              <w:t>Ratio</w:t>
            </w:r>
          </w:p>
        </w:tc>
        <w:tc>
          <w:tcPr>
            <w:tcW w:w="0" w:type="auto"/>
            <w:hideMark/>
          </w:tcPr>
          <w:p w14:paraId="34A5D36B" w14:textId="77777777" w:rsidR="000D5807" w:rsidRPr="000D5807" w:rsidRDefault="000D5807" w:rsidP="000D5807">
            <w:pPr>
              <w:spacing w:line="480" w:lineRule="auto"/>
              <w:jc w:val="center"/>
              <w:rPr>
                <w:rFonts w:ascii="Arial" w:eastAsia="Times New Roman" w:hAnsi="Arial" w:cs="Arial"/>
                <w:b/>
                <w:bCs/>
                <w:kern w:val="0"/>
                <w14:ligatures w14:val="none"/>
              </w:rPr>
            </w:pPr>
            <w:r w:rsidRPr="000D5807">
              <w:rPr>
                <w:rFonts w:ascii="Arial" w:eastAsia="Times New Roman" w:hAnsi="Arial" w:cs="Arial"/>
                <w:b/>
                <w:bCs/>
                <w:kern w:val="0"/>
                <w14:ligatures w14:val="none"/>
              </w:rPr>
              <w:t>Formula</w:t>
            </w:r>
          </w:p>
        </w:tc>
        <w:tc>
          <w:tcPr>
            <w:tcW w:w="0" w:type="auto"/>
            <w:hideMark/>
          </w:tcPr>
          <w:p w14:paraId="58AC77BA" w14:textId="77777777" w:rsidR="000D5807" w:rsidRPr="000D5807" w:rsidRDefault="000D5807" w:rsidP="000D5807">
            <w:pPr>
              <w:spacing w:line="480" w:lineRule="auto"/>
              <w:jc w:val="center"/>
              <w:rPr>
                <w:rFonts w:ascii="Arial" w:eastAsia="Times New Roman" w:hAnsi="Arial" w:cs="Arial"/>
                <w:b/>
                <w:bCs/>
                <w:kern w:val="0"/>
                <w14:ligatures w14:val="none"/>
              </w:rPr>
            </w:pPr>
            <w:r w:rsidRPr="000D5807">
              <w:rPr>
                <w:rFonts w:ascii="Arial" w:eastAsia="Times New Roman" w:hAnsi="Arial" w:cs="Arial"/>
                <w:b/>
                <w:bCs/>
                <w:kern w:val="0"/>
                <w14:ligatures w14:val="none"/>
              </w:rPr>
              <w:t>Year 1</w:t>
            </w:r>
          </w:p>
        </w:tc>
        <w:tc>
          <w:tcPr>
            <w:tcW w:w="0" w:type="auto"/>
            <w:hideMark/>
          </w:tcPr>
          <w:p w14:paraId="6B79FBD3" w14:textId="77777777" w:rsidR="000D5807" w:rsidRPr="000D5807" w:rsidRDefault="000D5807" w:rsidP="000D5807">
            <w:pPr>
              <w:spacing w:line="480" w:lineRule="auto"/>
              <w:jc w:val="center"/>
              <w:rPr>
                <w:rFonts w:ascii="Arial" w:eastAsia="Times New Roman" w:hAnsi="Arial" w:cs="Arial"/>
                <w:b/>
                <w:bCs/>
                <w:kern w:val="0"/>
                <w14:ligatures w14:val="none"/>
              </w:rPr>
            </w:pPr>
            <w:r w:rsidRPr="000D5807">
              <w:rPr>
                <w:rFonts w:ascii="Arial" w:eastAsia="Times New Roman" w:hAnsi="Arial" w:cs="Arial"/>
                <w:b/>
                <w:bCs/>
                <w:kern w:val="0"/>
                <w14:ligatures w14:val="none"/>
              </w:rPr>
              <w:t>Year 2</w:t>
            </w:r>
          </w:p>
        </w:tc>
        <w:tc>
          <w:tcPr>
            <w:tcW w:w="0" w:type="auto"/>
            <w:hideMark/>
          </w:tcPr>
          <w:p w14:paraId="41BEC503" w14:textId="77777777" w:rsidR="000D5807" w:rsidRPr="000D5807" w:rsidRDefault="000D5807" w:rsidP="000D5807">
            <w:pPr>
              <w:spacing w:line="480" w:lineRule="auto"/>
              <w:jc w:val="center"/>
              <w:rPr>
                <w:rFonts w:ascii="Arial" w:eastAsia="Times New Roman" w:hAnsi="Arial" w:cs="Arial"/>
                <w:b/>
                <w:bCs/>
                <w:kern w:val="0"/>
                <w14:ligatures w14:val="none"/>
              </w:rPr>
            </w:pPr>
            <w:r w:rsidRPr="000D5807">
              <w:rPr>
                <w:rFonts w:ascii="Arial" w:eastAsia="Times New Roman" w:hAnsi="Arial" w:cs="Arial"/>
                <w:b/>
                <w:bCs/>
                <w:kern w:val="0"/>
                <w14:ligatures w14:val="none"/>
              </w:rPr>
              <w:t>Year 3</w:t>
            </w:r>
          </w:p>
        </w:tc>
        <w:tc>
          <w:tcPr>
            <w:tcW w:w="0" w:type="auto"/>
            <w:hideMark/>
          </w:tcPr>
          <w:p w14:paraId="4E98EB91" w14:textId="77777777" w:rsidR="000D5807" w:rsidRPr="000D5807" w:rsidRDefault="000D5807" w:rsidP="000D5807">
            <w:pPr>
              <w:spacing w:line="480" w:lineRule="auto"/>
              <w:jc w:val="center"/>
              <w:rPr>
                <w:rFonts w:ascii="Arial" w:eastAsia="Times New Roman" w:hAnsi="Arial" w:cs="Arial"/>
                <w:b/>
                <w:bCs/>
                <w:kern w:val="0"/>
                <w14:ligatures w14:val="none"/>
              </w:rPr>
            </w:pPr>
            <w:r w:rsidRPr="000D5807">
              <w:rPr>
                <w:rFonts w:ascii="Arial" w:eastAsia="Times New Roman" w:hAnsi="Arial" w:cs="Arial"/>
                <w:b/>
                <w:bCs/>
                <w:kern w:val="0"/>
                <w14:ligatures w14:val="none"/>
              </w:rPr>
              <w:t>Year 4</w:t>
            </w:r>
          </w:p>
        </w:tc>
        <w:tc>
          <w:tcPr>
            <w:tcW w:w="0" w:type="auto"/>
            <w:hideMark/>
          </w:tcPr>
          <w:p w14:paraId="5B91ED98" w14:textId="77777777" w:rsidR="000D5807" w:rsidRPr="000D5807" w:rsidRDefault="000D5807" w:rsidP="000D5807">
            <w:pPr>
              <w:spacing w:line="480" w:lineRule="auto"/>
              <w:jc w:val="center"/>
              <w:rPr>
                <w:rFonts w:ascii="Arial" w:eastAsia="Times New Roman" w:hAnsi="Arial" w:cs="Arial"/>
                <w:b/>
                <w:bCs/>
                <w:kern w:val="0"/>
                <w14:ligatures w14:val="none"/>
              </w:rPr>
            </w:pPr>
            <w:r w:rsidRPr="000D5807">
              <w:rPr>
                <w:rFonts w:ascii="Arial" w:eastAsia="Times New Roman" w:hAnsi="Arial" w:cs="Arial"/>
                <w:b/>
                <w:bCs/>
                <w:kern w:val="0"/>
                <w14:ligatures w14:val="none"/>
              </w:rPr>
              <w:t>Year 5</w:t>
            </w:r>
          </w:p>
        </w:tc>
      </w:tr>
      <w:tr w:rsidR="000D5807" w:rsidRPr="000D5807" w14:paraId="7D42FADD" w14:textId="77777777" w:rsidTr="000D5807">
        <w:tc>
          <w:tcPr>
            <w:tcW w:w="0" w:type="auto"/>
            <w:hideMark/>
          </w:tcPr>
          <w:p w14:paraId="37F68627"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Current Ratio</w:t>
            </w:r>
          </w:p>
        </w:tc>
        <w:tc>
          <w:tcPr>
            <w:tcW w:w="0" w:type="auto"/>
            <w:hideMark/>
          </w:tcPr>
          <w:p w14:paraId="07855D2A"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Current Assets / Current Liabilities</w:t>
            </w:r>
          </w:p>
        </w:tc>
        <w:tc>
          <w:tcPr>
            <w:tcW w:w="0" w:type="auto"/>
            <w:hideMark/>
          </w:tcPr>
          <w:p w14:paraId="2253C351"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1.54</w:t>
            </w:r>
          </w:p>
        </w:tc>
        <w:tc>
          <w:tcPr>
            <w:tcW w:w="0" w:type="auto"/>
            <w:hideMark/>
          </w:tcPr>
          <w:p w14:paraId="0278B09A"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1.41</w:t>
            </w:r>
          </w:p>
        </w:tc>
        <w:tc>
          <w:tcPr>
            <w:tcW w:w="0" w:type="auto"/>
            <w:hideMark/>
          </w:tcPr>
          <w:p w14:paraId="6B1BC3EF"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1.32</w:t>
            </w:r>
          </w:p>
        </w:tc>
        <w:tc>
          <w:tcPr>
            <w:tcW w:w="0" w:type="auto"/>
            <w:hideMark/>
          </w:tcPr>
          <w:p w14:paraId="23388650"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1.20</w:t>
            </w:r>
          </w:p>
        </w:tc>
        <w:tc>
          <w:tcPr>
            <w:tcW w:w="0" w:type="auto"/>
            <w:hideMark/>
          </w:tcPr>
          <w:p w14:paraId="4A85776A"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1.07</w:t>
            </w:r>
          </w:p>
        </w:tc>
      </w:tr>
      <w:tr w:rsidR="000D5807" w:rsidRPr="000D5807" w14:paraId="4B7C2FD5" w14:textId="77777777" w:rsidTr="000D5807">
        <w:tc>
          <w:tcPr>
            <w:tcW w:w="0" w:type="auto"/>
            <w:hideMark/>
          </w:tcPr>
          <w:p w14:paraId="0D9EFCEE"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Quick Ratio</w:t>
            </w:r>
          </w:p>
        </w:tc>
        <w:tc>
          <w:tcPr>
            <w:tcW w:w="0" w:type="auto"/>
            <w:hideMark/>
          </w:tcPr>
          <w:p w14:paraId="2759E7B1"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(CA – Inventory) / CL</w:t>
            </w:r>
          </w:p>
        </w:tc>
        <w:tc>
          <w:tcPr>
            <w:tcW w:w="0" w:type="auto"/>
            <w:hideMark/>
          </w:tcPr>
          <w:p w14:paraId="3F1A31BD"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0.96</w:t>
            </w:r>
          </w:p>
        </w:tc>
        <w:tc>
          <w:tcPr>
            <w:tcW w:w="0" w:type="auto"/>
            <w:hideMark/>
          </w:tcPr>
          <w:p w14:paraId="6AF30197"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0.88</w:t>
            </w:r>
          </w:p>
        </w:tc>
        <w:tc>
          <w:tcPr>
            <w:tcW w:w="0" w:type="auto"/>
            <w:hideMark/>
          </w:tcPr>
          <w:p w14:paraId="0790E735"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0.79</w:t>
            </w:r>
          </w:p>
        </w:tc>
        <w:tc>
          <w:tcPr>
            <w:tcW w:w="0" w:type="auto"/>
            <w:hideMark/>
          </w:tcPr>
          <w:p w14:paraId="5D029EB7"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0.68</w:t>
            </w:r>
          </w:p>
        </w:tc>
        <w:tc>
          <w:tcPr>
            <w:tcW w:w="0" w:type="auto"/>
            <w:hideMark/>
          </w:tcPr>
          <w:p w14:paraId="488FB0BD" w14:textId="77777777" w:rsidR="000D5807" w:rsidRPr="000D5807" w:rsidRDefault="000D5807" w:rsidP="000D5807">
            <w:pPr>
              <w:spacing w:line="480" w:lineRule="auto"/>
              <w:rPr>
                <w:rFonts w:ascii="Arial" w:eastAsia="Times New Roman" w:hAnsi="Arial" w:cs="Arial"/>
                <w:kern w:val="0"/>
                <w14:ligatures w14:val="none"/>
              </w:rPr>
            </w:pPr>
            <w:r w:rsidRPr="000D5807">
              <w:rPr>
                <w:rFonts w:ascii="Arial" w:eastAsia="Times New Roman" w:hAnsi="Arial" w:cs="Arial"/>
                <w:kern w:val="0"/>
                <w14:ligatures w14:val="none"/>
              </w:rPr>
              <w:t>0.58</w:t>
            </w:r>
          </w:p>
        </w:tc>
      </w:tr>
    </w:tbl>
    <w:p w14:paraId="1EBFEA9F" w14:textId="672A4C61" w:rsidR="000D5807" w:rsidRDefault="000D5807" w:rsidP="000D5807">
      <w:pPr>
        <w:spacing w:after="0" w:line="480" w:lineRule="auto"/>
        <w:rPr>
          <w:rFonts w:ascii="Arial" w:eastAsia="Times New Roman" w:hAnsi="Arial" w:cs="Arial"/>
          <w:b/>
          <w:bCs/>
          <w:kern w:val="0"/>
          <w14:ligatures w14:val="none"/>
        </w:rPr>
      </w:pPr>
      <w:r w:rsidRPr="000D5807">
        <w:rPr>
          <w:rFonts w:ascii="Arial" w:eastAsia="Times New Roman" w:hAnsi="Arial" w:cs="Arial"/>
          <w:b/>
          <w:bCs/>
          <w:kern w:val="0"/>
          <w14:ligatures w14:val="none"/>
        </w:rPr>
        <w:t>Chart: Liquidity Trends</w:t>
      </w:r>
    </w:p>
    <w:p w14:paraId="23164957" w14:textId="64C9D704" w:rsidR="000D5807" w:rsidRDefault="000D5807" w:rsidP="000D5807">
      <w:pPr>
        <w:spacing w:after="0" w:line="480" w:lineRule="auto"/>
        <w:rPr>
          <w:rFonts w:ascii="Arial" w:eastAsia="Times New Roman" w:hAnsi="Arial" w:cs="Arial"/>
          <w:b/>
          <w:bCs/>
          <w:kern w:val="0"/>
          <w14:ligatures w14:val="none"/>
        </w:rPr>
      </w:pPr>
      <w:r>
        <w:rPr>
          <w:rFonts w:ascii="Arial" w:eastAsia="Times New Roman" w:hAnsi="Arial" w:cs="Arial"/>
          <w:b/>
          <w:bCs/>
          <w:noProof/>
          <w:kern w:val="0"/>
        </w:rPr>
        <mc:AlternateContent>
          <mc:Choice Requires="wps">
            <w:drawing>
              <wp:anchor distT="0" distB="0" distL="114300" distR="114300" simplePos="0" relativeHeight="251662336" behindDoc="0" locked="0" layoutInCell="1" allowOverlap="1" wp14:anchorId="2E4A920A" wp14:editId="3C8E76B2">
                <wp:simplePos x="0" y="0"/>
                <wp:positionH relativeFrom="column">
                  <wp:posOffset>57150</wp:posOffset>
                </wp:positionH>
                <wp:positionV relativeFrom="paragraph">
                  <wp:posOffset>5715</wp:posOffset>
                </wp:positionV>
                <wp:extent cx="4543425" cy="2771775"/>
                <wp:effectExtent l="0" t="0" r="28575" b="28575"/>
                <wp:wrapNone/>
                <wp:docPr id="154950644" name="Text Box 4"/>
                <wp:cNvGraphicFramePr/>
                <a:graphic xmlns:a="http://schemas.openxmlformats.org/drawingml/2006/main">
                  <a:graphicData uri="http://schemas.microsoft.com/office/word/2010/wordprocessingShape">
                    <wps:wsp>
                      <wps:cNvSpPr txBox="1"/>
                      <wps:spPr>
                        <a:xfrm>
                          <a:off x="0" y="0"/>
                          <a:ext cx="4543425" cy="2771775"/>
                        </a:xfrm>
                        <a:prstGeom prst="rect">
                          <a:avLst/>
                        </a:prstGeom>
                        <a:solidFill>
                          <a:schemeClr val="lt1"/>
                        </a:solidFill>
                        <a:ln w="6350">
                          <a:solidFill>
                            <a:prstClr val="black"/>
                          </a:solidFill>
                        </a:ln>
                      </wps:spPr>
                      <wps:txbx>
                        <w:txbxContent>
                          <w:p w14:paraId="6D854547" w14:textId="2481DBD4" w:rsidR="000D5807" w:rsidRDefault="000D5807">
                            <w:r>
                              <w:rPr>
                                <w:noProof/>
                              </w:rPr>
                              <w:drawing>
                                <wp:inline distT="0" distB="0" distL="0" distR="0" wp14:anchorId="24DB2444" wp14:editId="08D2C95C">
                                  <wp:extent cx="4295775" cy="2628900"/>
                                  <wp:effectExtent l="0" t="0" r="9525" b="0"/>
                                  <wp:docPr id="1784610281" name="Chart 1">
                                    <a:extLst xmlns:a="http://schemas.openxmlformats.org/drawingml/2006/main">
                                      <a:ext uri="{FF2B5EF4-FFF2-40B4-BE49-F238E27FC236}">
                                        <a16:creationId xmlns:a16="http://schemas.microsoft.com/office/drawing/2014/main" id="{8A8B1B56-53D3-7CD5-938E-2A34B88592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4A920A" id="Text Box 4" o:spid="_x0000_s1027" type="#_x0000_t202" style="position:absolute;margin-left:4.5pt;margin-top:.45pt;width:357.75pt;height:218.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" fillcolor="white [3201]" strokeweight=".5pt">
                <v:textbox>
                  <w:txbxContent>
                    <w:p w14:paraId="6D854547" w14:textId="2481DBD4" w:rsidR="000D5807" w:rsidRDefault="000D5807">
                      <w:r>
                        <w:rPr>
                          <w:noProof/>
                        </w:rPr>
                        <w:drawing>
                          <wp:inline distT="0" distB="0" distL="0" distR="0" wp14:anchorId="24DB2444" wp14:editId="08D2C95C">
                            <wp:extent cx="4295775" cy="2628900"/>
                            <wp:effectExtent l="0" t="0" r="9525" b="0"/>
                            <wp:docPr id="1784610281" name="Chart 1">
                              <a:extLst xmlns:a="http://schemas.openxmlformats.org/drawingml/2006/main">
                                <a:ext uri="{FF2B5EF4-FFF2-40B4-BE49-F238E27FC236}">
                                  <a16:creationId xmlns:a16="http://schemas.microsoft.com/office/drawing/2014/main" id="{8A8B1B56-53D3-7CD5-938E-2A34B88592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xbxContent>
                </v:textbox>
              </v:shape>
            </w:pict>
          </mc:Fallback>
        </mc:AlternateContent>
      </w:r>
    </w:p>
    <w:p w14:paraId="3FEF8DDE" w14:textId="77777777" w:rsidR="000D5807" w:rsidRDefault="000D5807" w:rsidP="000D5807">
      <w:pPr>
        <w:spacing w:after="0" w:line="480" w:lineRule="auto"/>
        <w:rPr>
          <w:rFonts w:ascii="Arial" w:eastAsia="Times New Roman" w:hAnsi="Arial" w:cs="Arial"/>
          <w:b/>
          <w:bCs/>
          <w:kern w:val="0"/>
          <w14:ligatures w14:val="none"/>
        </w:rPr>
      </w:pPr>
    </w:p>
    <w:p w14:paraId="11F3C592" w14:textId="77777777" w:rsidR="000D5807" w:rsidRDefault="000D5807" w:rsidP="000D5807">
      <w:pPr>
        <w:spacing w:after="0" w:line="480" w:lineRule="auto"/>
        <w:rPr>
          <w:rFonts w:ascii="Arial" w:eastAsia="Times New Roman" w:hAnsi="Arial" w:cs="Arial"/>
          <w:b/>
          <w:bCs/>
          <w:kern w:val="0"/>
          <w14:ligatures w14:val="none"/>
        </w:rPr>
      </w:pPr>
    </w:p>
    <w:p w14:paraId="27422AD0" w14:textId="77777777" w:rsidR="000D5807" w:rsidRDefault="000D5807" w:rsidP="000D5807">
      <w:pPr>
        <w:spacing w:after="0" w:line="480" w:lineRule="auto"/>
        <w:rPr>
          <w:rFonts w:ascii="Arial" w:eastAsia="Times New Roman" w:hAnsi="Arial" w:cs="Arial"/>
          <w:b/>
          <w:bCs/>
          <w:kern w:val="0"/>
          <w14:ligatures w14:val="none"/>
        </w:rPr>
      </w:pPr>
    </w:p>
    <w:p w14:paraId="02492910" w14:textId="77777777" w:rsidR="000D5807" w:rsidRDefault="000D5807" w:rsidP="000D5807">
      <w:pPr>
        <w:spacing w:after="0" w:line="480" w:lineRule="auto"/>
        <w:rPr>
          <w:rFonts w:ascii="Arial" w:eastAsia="Times New Roman" w:hAnsi="Arial" w:cs="Arial"/>
          <w:b/>
          <w:bCs/>
          <w:kern w:val="0"/>
          <w14:ligatures w14:val="none"/>
        </w:rPr>
      </w:pPr>
    </w:p>
    <w:p w14:paraId="134AEB33" w14:textId="77777777" w:rsidR="000D5807" w:rsidRDefault="000D5807" w:rsidP="000D5807">
      <w:pPr>
        <w:spacing w:after="0" w:line="480" w:lineRule="auto"/>
        <w:rPr>
          <w:rFonts w:ascii="Arial" w:eastAsia="Times New Roman" w:hAnsi="Arial" w:cs="Arial"/>
          <w:b/>
          <w:bCs/>
          <w:kern w:val="0"/>
          <w14:ligatures w14:val="none"/>
        </w:rPr>
      </w:pPr>
    </w:p>
    <w:p w14:paraId="65AC7133" w14:textId="77777777" w:rsidR="00C75926" w:rsidRPr="00C75926" w:rsidRDefault="00C75926" w:rsidP="00C75926">
      <w:pPr>
        <w:spacing w:after="0" w:line="480" w:lineRule="auto"/>
        <w:outlineLvl w:val="2"/>
        <w:rPr>
          <w:rFonts w:ascii="Arial" w:eastAsia="Times New Roman" w:hAnsi="Arial" w:cs="Arial"/>
          <w:kern w:val="0"/>
          <w:lang/>
          <w14:ligatures w14:val="none"/>
        </w:rPr>
      </w:pPr>
      <w:r w:rsidRPr="00C75926">
        <w:rPr>
          <w:rFonts w:ascii="Arial" w:eastAsia="Times New Roman" w:hAnsi="Arial" w:cs="Arial"/>
          <w:kern w:val="0"/>
          <w:lang/>
          <w14:ligatures w14:val="none"/>
        </w:rPr>
        <w:t>The decline in the current ratio from 1.54 to 1.07 indicates a progressive weakening of short-term solvency, leaving the firm with almost no buffer to absorb fluctuations in working-capital needs. More critically, the quick ratio falling to 0.58 in Year 5 confirms that the company is increasingly reliant on inventory—its least liquid current asset—to meet immediate obligations, a position widely regarded as high-risk in manufacturing sectors.</w:t>
      </w:r>
    </w:p>
    <w:p w14:paraId="237FA79E" w14:textId="77777777" w:rsidR="00C75926" w:rsidRPr="00C75926" w:rsidRDefault="00C75926" w:rsidP="00C75926">
      <w:pPr>
        <w:spacing w:after="0" w:line="480" w:lineRule="auto"/>
        <w:outlineLvl w:val="2"/>
        <w:rPr>
          <w:rFonts w:ascii="Arial" w:eastAsia="Times New Roman" w:hAnsi="Arial" w:cs="Arial"/>
          <w:kern w:val="0"/>
          <w:lang/>
          <w14:ligatures w14:val="none"/>
        </w:rPr>
      </w:pPr>
      <w:r w:rsidRPr="00C75926">
        <w:rPr>
          <w:rFonts w:ascii="Arial" w:eastAsia="Times New Roman" w:hAnsi="Arial" w:cs="Arial"/>
          <w:kern w:val="0"/>
          <w:lang/>
          <w14:ligatures w14:val="none"/>
        </w:rPr>
        <w:t>Such underperformance relative to the conventional minimum threshold of 1.0 suggests that General Electronics is operating with insufficient liquid reserves, heightening exposure to short-term cash-flow shocks. This liquidity strain is consistent with the lengthened cash-conversion cycle, indicating that inefficiencies in inventory and receivable management are directly constraining cash availability. As emphasised by IAS 7 (2011), persistently weak liquidity conditions significantly elevate the probability of cash-flow distress, reinforcing the need for urgent corrective action in working-capital policy.</w:t>
      </w:r>
    </w:p>
    <w:p w14:paraId="0AE8F8FA" w14:textId="1A231CB0"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2.4 Efficiency Ratios</w:t>
      </w:r>
    </w:p>
    <w:p w14:paraId="26A43E8D" w14:textId="21A5E57D"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Efficiency ratios</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also known as activity ratios</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measure how effectively assets are being utilised to generate revenue. The analysis focuses on inventory turnover, receivables collection, and payables payment periods (see Appendix D, Table D1).</w:t>
      </w:r>
    </w:p>
    <w:p w14:paraId="060075C0"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Inventory Turnover Period</w:t>
      </w:r>
    </w:p>
    <w:p w14:paraId="5AB20803"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Inventory Days = (Inventory / Cost of Sales) × 365</w:t>
      </w:r>
      <w:r w:rsidRPr="00BC2468">
        <w:rPr>
          <w:rFonts w:ascii="Arial" w:eastAsia="Times New Roman" w:hAnsi="Arial" w:cs="Arial"/>
          <w:kern w:val="0"/>
          <w14:ligatures w14:val="none"/>
        </w:rPr>
        <w:br/>
        <w:t>Year 5: (450 / 2,840) × 365 = 58 days</w:t>
      </w:r>
    </w:p>
    <w:p w14:paraId="7AEA3CF1"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 58-day holding period indicates slower inventory movement than the sector benchmark of 45 days (Deloof, 2003). Excessive stockholding locks cash in unsold goods, inflating carrying costs and potentially leading to obsolescence in a rapidly innovating industry.</w:t>
      </w:r>
    </w:p>
    <w:p w14:paraId="0730F24C"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Receivables Collection Period</w:t>
      </w:r>
    </w:p>
    <w:p w14:paraId="7BCC141D"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Receivable Days = (Accounts Receivable / Sales) × 365</w:t>
      </w:r>
      <w:r w:rsidRPr="00BC2468">
        <w:rPr>
          <w:rFonts w:ascii="Arial" w:eastAsia="Times New Roman" w:hAnsi="Arial" w:cs="Arial"/>
          <w:kern w:val="0"/>
          <w14:ligatures w14:val="none"/>
        </w:rPr>
        <w:br/>
        <w:t>Year 5: (390 / 4,200) × 365 = 34 days</w:t>
      </w:r>
    </w:p>
    <w:p w14:paraId="5F2C99D0"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While not alarming, this period is longer than the industry median of 28–30 days, suggesting lenient credit terms or inadequate collection processes. According to Shin and Soenen (1998), elongated receivable periods negatively affect liquidity and working-capital turnover, particularly in high-volume manufacturing contexts.</w:t>
      </w:r>
    </w:p>
    <w:p w14:paraId="4D15B560"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Payables Payment Period</w:t>
      </w:r>
    </w:p>
    <w:p w14:paraId="54DC0488"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Payable Days = (Accounts Payable / Cost of Sales) × 365</w:t>
      </w:r>
      <w:r w:rsidRPr="00BC2468">
        <w:rPr>
          <w:rFonts w:ascii="Arial" w:eastAsia="Times New Roman" w:hAnsi="Arial" w:cs="Arial"/>
          <w:kern w:val="0"/>
          <w14:ligatures w14:val="none"/>
        </w:rPr>
        <w:br/>
        <w:t>Year 5: (330 / 2,840) × 365 = 42 days</w:t>
      </w:r>
    </w:p>
    <w:p w14:paraId="17A6BB63"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The payment period is relatively short compared to an industry average of 55 days. Though prompt supplier payments enhance reputation, the company could judiciously extend credit terms to optimise cash flow without harming relationships (Anandasayanan, 2014).</w:t>
      </w:r>
    </w:p>
    <w:p w14:paraId="726F809B" w14:textId="77777777" w:rsidR="007B1B6D" w:rsidRPr="00BC2468" w:rsidRDefault="007B1B6D" w:rsidP="00157516">
      <w:pPr>
        <w:spacing w:after="0" w:line="480" w:lineRule="auto"/>
        <w:outlineLvl w:val="3"/>
        <w:rPr>
          <w:rFonts w:ascii="Arial" w:eastAsia="Times New Roman" w:hAnsi="Arial" w:cs="Arial"/>
          <w:kern w:val="0"/>
          <w14:ligatures w14:val="none"/>
        </w:rPr>
      </w:pPr>
      <w:r w:rsidRPr="00BC2468">
        <w:rPr>
          <w:rFonts w:ascii="Arial" w:eastAsia="Times New Roman" w:hAnsi="Arial" w:cs="Arial"/>
          <w:kern w:val="0"/>
          <w14:ligatures w14:val="none"/>
        </w:rPr>
        <w:t>Cash Conversion Cycle (CCC)</w:t>
      </w:r>
    </w:p>
    <w:p w14:paraId="3AA5AAA0"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CCC = Inventory Days + Receivable Days – Payable Days</w:t>
      </w:r>
      <w:r w:rsidRPr="00BC2468">
        <w:rPr>
          <w:rFonts w:ascii="Arial" w:eastAsia="Times New Roman" w:hAnsi="Arial" w:cs="Arial"/>
          <w:kern w:val="0"/>
          <w14:ligatures w14:val="none"/>
        </w:rPr>
        <w:br/>
        <w:t>CCC = 58 + 34 – 42 = 50 days</w:t>
      </w:r>
    </w:p>
    <w:p w14:paraId="008FA0C2" w14:textId="77777777" w:rsidR="007B1B6D"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A 50-day CCC (Appendix D, Figure D1) indicates that cash remains tied up in operations for nearly two months before returning as sales revenue. For comparison, leading industry competitors operate at approximately 30–35 days. Deloof (2003) and Shin and Soenen (1998) both affirm that longer CCCs correlate inversely with profitability. Hence,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must streamline inventory and credit management to reduce the cash conversion cycle, thereby improving liquidity.</w:t>
      </w:r>
    </w:p>
    <w:p w14:paraId="5DADB099" w14:textId="77777777" w:rsidR="006D4F8F" w:rsidRPr="006D4F8F" w:rsidRDefault="006D4F8F" w:rsidP="006D4F8F">
      <w:pPr>
        <w:spacing w:after="0" w:line="480" w:lineRule="auto"/>
        <w:rPr>
          <w:rFonts w:ascii="Arial" w:eastAsia="Times New Roman" w:hAnsi="Arial" w:cs="Arial"/>
          <w:b/>
          <w:bCs/>
          <w:kern w:val="0"/>
          <w14:ligatures w14:val="none"/>
        </w:rPr>
      </w:pPr>
      <w:r w:rsidRPr="006D4F8F">
        <w:rPr>
          <w:rFonts w:ascii="Arial" w:eastAsia="Times New Roman" w:hAnsi="Arial" w:cs="Arial"/>
          <w:b/>
          <w:bCs/>
          <w:kern w:val="0"/>
          <w14:ligatures w14:val="none"/>
        </w:rPr>
        <w:t>Table 2.3: Efficiency Ratios (Years 1–5)</w:t>
      </w:r>
    </w:p>
    <w:tbl>
      <w:tblPr>
        <w:tblStyle w:val="TableGridLight"/>
        <w:tblW w:w="0" w:type="auto"/>
        <w:tblLook w:val="04A0" w:firstRow="1" w:lastRow="0" w:firstColumn="1" w:lastColumn="0" w:noHBand="0" w:noVBand="1"/>
      </w:tblPr>
      <w:tblGrid>
        <w:gridCol w:w="2528"/>
        <w:gridCol w:w="2794"/>
        <w:gridCol w:w="1431"/>
        <w:gridCol w:w="2263"/>
      </w:tblGrid>
      <w:tr w:rsidR="006D4F8F" w:rsidRPr="006D4F8F" w14:paraId="19F68532" w14:textId="77777777" w:rsidTr="006D4F8F">
        <w:tc>
          <w:tcPr>
            <w:tcW w:w="0" w:type="auto"/>
            <w:hideMark/>
          </w:tcPr>
          <w:p w14:paraId="61BE5BD5" w14:textId="77777777" w:rsidR="006D4F8F" w:rsidRPr="006D4F8F" w:rsidRDefault="006D4F8F" w:rsidP="006D4F8F">
            <w:pPr>
              <w:spacing w:line="480" w:lineRule="auto"/>
              <w:rPr>
                <w:rFonts w:ascii="Arial" w:eastAsia="Times New Roman" w:hAnsi="Arial" w:cs="Arial"/>
                <w:b/>
                <w:bCs/>
                <w:kern w:val="0"/>
                <w14:ligatures w14:val="none"/>
              </w:rPr>
            </w:pPr>
            <w:r w:rsidRPr="006D4F8F">
              <w:rPr>
                <w:rFonts w:ascii="Arial" w:eastAsia="Times New Roman" w:hAnsi="Arial" w:cs="Arial"/>
                <w:b/>
                <w:bCs/>
                <w:kern w:val="0"/>
                <w14:ligatures w14:val="none"/>
              </w:rPr>
              <w:t>Metric</w:t>
            </w:r>
          </w:p>
        </w:tc>
        <w:tc>
          <w:tcPr>
            <w:tcW w:w="0" w:type="auto"/>
            <w:hideMark/>
          </w:tcPr>
          <w:p w14:paraId="5ED5E1B4" w14:textId="77777777" w:rsidR="006D4F8F" w:rsidRPr="006D4F8F" w:rsidRDefault="006D4F8F" w:rsidP="006D4F8F">
            <w:pPr>
              <w:spacing w:line="480" w:lineRule="auto"/>
              <w:rPr>
                <w:rFonts w:ascii="Arial" w:eastAsia="Times New Roman" w:hAnsi="Arial" w:cs="Arial"/>
                <w:b/>
                <w:bCs/>
                <w:kern w:val="0"/>
                <w14:ligatures w14:val="none"/>
              </w:rPr>
            </w:pPr>
            <w:r w:rsidRPr="006D4F8F">
              <w:rPr>
                <w:rFonts w:ascii="Arial" w:eastAsia="Times New Roman" w:hAnsi="Arial" w:cs="Arial"/>
                <w:b/>
                <w:bCs/>
                <w:kern w:val="0"/>
                <w14:ligatures w14:val="none"/>
              </w:rPr>
              <w:t>Formula</w:t>
            </w:r>
          </w:p>
        </w:tc>
        <w:tc>
          <w:tcPr>
            <w:tcW w:w="0" w:type="auto"/>
            <w:hideMark/>
          </w:tcPr>
          <w:p w14:paraId="4E40A2BD" w14:textId="77777777" w:rsidR="006D4F8F" w:rsidRPr="006D4F8F" w:rsidRDefault="006D4F8F" w:rsidP="006D4F8F">
            <w:pPr>
              <w:spacing w:line="480" w:lineRule="auto"/>
              <w:rPr>
                <w:rFonts w:ascii="Arial" w:eastAsia="Times New Roman" w:hAnsi="Arial" w:cs="Arial"/>
                <w:b/>
                <w:bCs/>
                <w:kern w:val="0"/>
                <w14:ligatures w14:val="none"/>
              </w:rPr>
            </w:pPr>
            <w:r w:rsidRPr="006D4F8F">
              <w:rPr>
                <w:rFonts w:ascii="Arial" w:eastAsia="Times New Roman" w:hAnsi="Arial" w:cs="Arial"/>
                <w:b/>
                <w:bCs/>
                <w:kern w:val="0"/>
                <w14:ligatures w14:val="none"/>
              </w:rPr>
              <w:t>Year 5 Value</w:t>
            </w:r>
          </w:p>
        </w:tc>
        <w:tc>
          <w:tcPr>
            <w:tcW w:w="0" w:type="auto"/>
            <w:hideMark/>
          </w:tcPr>
          <w:p w14:paraId="20AFF92A" w14:textId="77777777" w:rsidR="006D4F8F" w:rsidRPr="006D4F8F" w:rsidRDefault="006D4F8F" w:rsidP="006D4F8F">
            <w:pPr>
              <w:spacing w:line="480" w:lineRule="auto"/>
              <w:rPr>
                <w:rFonts w:ascii="Arial" w:eastAsia="Times New Roman" w:hAnsi="Arial" w:cs="Arial"/>
                <w:b/>
                <w:bCs/>
                <w:kern w:val="0"/>
                <w14:ligatures w14:val="none"/>
              </w:rPr>
            </w:pPr>
            <w:r w:rsidRPr="006D4F8F">
              <w:rPr>
                <w:rFonts w:ascii="Arial" w:eastAsia="Times New Roman" w:hAnsi="Arial" w:cs="Arial"/>
                <w:b/>
                <w:bCs/>
                <w:kern w:val="0"/>
                <w14:ligatures w14:val="none"/>
              </w:rPr>
              <w:t>Industry Benchmark</w:t>
            </w:r>
          </w:p>
        </w:tc>
      </w:tr>
      <w:tr w:rsidR="006D4F8F" w:rsidRPr="006D4F8F" w14:paraId="2E5E0F41" w14:textId="77777777" w:rsidTr="006D4F8F">
        <w:tc>
          <w:tcPr>
            <w:tcW w:w="0" w:type="auto"/>
            <w:hideMark/>
          </w:tcPr>
          <w:p w14:paraId="216086D7"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Inventory Days</w:t>
            </w:r>
          </w:p>
        </w:tc>
        <w:tc>
          <w:tcPr>
            <w:tcW w:w="0" w:type="auto"/>
            <w:hideMark/>
          </w:tcPr>
          <w:p w14:paraId="0F219803" w14:textId="2359D6B6"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(Inventory/COGS) ×365</w:t>
            </w:r>
          </w:p>
        </w:tc>
        <w:tc>
          <w:tcPr>
            <w:tcW w:w="0" w:type="auto"/>
            <w:hideMark/>
          </w:tcPr>
          <w:p w14:paraId="16D15D85"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58 days</w:t>
            </w:r>
          </w:p>
        </w:tc>
        <w:tc>
          <w:tcPr>
            <w:tcW w:w="0" w:type="auto"/>
            <w:hideMark/>
          </w:tcPr>
          <w:p w14:paraId="78FD7428"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40 days</w:t>
            </w:r>
          </w:p>
        </w:tc>
      </w:tr>
      <w:tr w:rsidR="006D4F8F" w:rsidRPr="006D4F8F" w14:paraId="429110BF" w14:textId="77777777" w:rsidTr="006D4F8F">
        <w:tc>
          <w:tcPr>
            <w:tcW w:w="0" w:type="auto"/>
            <w:hideMark/>
          </w:tcPr>
          <w:p w14:paraId="697BF9AB"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Receivable Days</w:t>
            </w:r>
          </w:p>
        </w:tc>
        <w:tc>
          <w:tcPr>
            <w:tcW w:w="0" w:type="auto"/>
            <w:hideMark/>
          </w:tcPr>
          <w:p w14:paraId="5425F2C8" w14:textId="309C99A5"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(Receivables/Sales) ×365</w:t>
            </w:r>
          </w:p>
        </w:tc>
        <w:tc>
          <w:tcPr>
            <w:tcW w:w="0" w:type="auto"/>
            <w:hideMark/>
          </w:tcPr>
          <w:p w14:paraId="4EDFBE71"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34 days</w:t>
            </w:r>
          </w:p>
        </w:tc>
        <w:tc>
          <w:tcPr>
            <w:tcW w:w="0" w:type="auto"/>
            <w:hideMark/>
          </w:tcPr>
          <w:p w14:paraId="7899E271"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25 days</w:t>
            </w:r>
          </w:p>
        </w:tc>
      </w:tr>
      <w:tr w:rsidR="006D4F8F" w:rsidRPr="006D4F8F" w14:paraId="1A311C11" w14:textId="77777777" w:rsidTr="006D4F8F">
        <w:tc>
          <w:tcPr>
            <w:tcW w:w="0" w:type="auto"/>
            <w:hideMark/>
          </w:tcPr>
          <w:p w14:paraId="523C476D"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Payable Days</w:t>
            </w:r>
          </w:p>
        </w:tc>
        <w:tc>
          <w:tcPr>
            <w:tcW w:w="0" w:type="auto"/>
            <w:hideMark/>
          </w:tcPr>
          <w:p w14:paraId="6D8D0AD8" w14:textId="4D5B9CE2"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(Payables/COGS) ×365</w:t>
            </w:r>
          </w:p>
        </w:tc>
        <w:tc>
          <w:tcPr>
            <w:tcW w:w="0" w:type="auto"/>
            <w:hideMark/>
          </w:tcPr>
          <w:p w14:paraId="56E5F009"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42 days</w:t>
            </w:r>
          </w:p>
        </w:tc>
        <w:tc>
          <w:tcPr>
            <w:tcW w:w="0" w:type="auto"/>
            <w:hideMark/>
          </w:tcPr>
          <w:p w14:paraId="4E3674F1"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55 days</w:t>
            </w:r>
          </w:p>
        </w:tc>
      </w:tr>
      <w:tr w:rsidR="006D4F8F" w:rsidRPr="006D4F8F" w14:paraId="3A82FA9D" w14:textId="77777777" w:rsidTr="006D4F8F">
        <w:tc>
          <w:tcPr>
            <w:tcW w:w="0" w:type="auto"/>
            <w:hideMark/>
          </w:tcPr>
          <w:p w14:paraId="690E7BD5"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b/>
                <w:bCs/>
                <w:kern w:val="0"/>
                <w14:ligatures w14:val="none"/>
              </w:rPr>
              <w:t>Cash Conversion Cycle</w:t>
            </w:r>
          </w:p>
        </w:tc>
        <w:tc>
          <w:tcPr>
            <w:tcW w:w="0" w:type="auto"/>
            <w:hideMark/>
          </w:tcPr>
          <w:p w14:paraId="6BB19B67"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kern w:val="0"/>
                <w14:ligatures w14:val="none"/>
              </w:rPr>
              <w:t>Inv + Rec – Pay</w:t>
            </w:r>
          </w:p>
        </w:tc>
        <w:tc>
          <w:tcPr>
            <w:tcW w:w="0" w:type="auto"/>
            <w:hideMark/>
          </w:tcPr>
          <w:p w14:paraId="17A3B662"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b/>
                <w:bCs/>
                <w:kern w:val="0"/>
                <w14:ligatures w14:val="none"/>
              </w:rPr>
              <w:t>50 days</w:t>
            </w:r>
          </w:p>
        </w:tc>
        <w:tc>
          <w:tcPr>
            <w:tcW w:w="0" w:type="auto"/>
            <w:hideMark/>
          </w:tcPr>
          <w:p w14:paraId="7E9879BB" w14:textId="77777777" w:rsidR="006D4F8F" w:rsidRPr="006D4F8F" w:rsidRDefault="006D4F8F" w:rsidP="006D4F8F">
            <w:pPr>
              <w:spacing w:line="480" w:lineRule="auto"/>
              <w:rPr>
                <w:rFonts w:ascii="Arial" w:eastAsia="Times New Roman" w:hAnsi="Arial" w:cs="Arial"/>
                <w:kern w:val="0"/>
                <w14:ligatures w14:val="none"/>
              </w:rPr>
            </w:pPr>
            <w:r w:rsidRPr="006D4F8F">
              <w:rPr>
                <w:rFonts w:ascii="Arial" w:eastAsia="Times New Roman" w:hAnsi="Arial" w:cs="Arial"/>
                <w:b/>
                <w:bCs/>
                <w:kern w:val="0"/>
                <w14:ligatures w14:val="none"/>
              </w:rPr>
              <w:t>35 days</w:t>
            </w:r>
          </w:p>
        </w:tc>
      </w:tr>
    </w:tbl>
    <w:p w14:paraId="5B60CA23" w14:textId="77777777" w:rsidR="006D4F8F" w:rsidRDefault="006D4F8F" w:rsidP="00157516">
      <w:pPr>
        <w:spacing w:after="0" w:line="480" w:lineRule="auto"/>
        <w:rPr>
          <w:rFonts w:ascii="Arial" w:eastAsia="Times New Roman" w:hAnsi="Arial" w:cs="Arial"/>
          <w:kern w:val="0"/>
          <w14:ligatures w14:val="none"/>
        </w:rPr>
      </w:pPr>
    </w:p>
    <w:p w14:paraId="6A638F03" w14:textId="3076ABFF" w:rsidR="004A5CB0" w:rsidRPr="004A5CB0" w:rsidRDefault="004A5CB0" w:rsidP="00157516">
      <w:pPr>
        <w:spacing w:after="0" w:line="480" w:lineRule="auto"/>
        <w:rPr>
          <w:rFonts w:ascii="Arial" w:eastAsia="Times New Roman" w:hAnsi="Arial" w:cs="Arial"/>
          <w:b/>
          <w:bCs/>
          <w:kern w:val="0"/>
          <w14:ligatures w14:val="none"/>
        </w:rPr>
      </w:pPr>
      <w:r w:rsidRPr="004A5CB0">
        <w:rPr>
          <w:rFonts w:ascii="Arial" w:eastAsia="Times New Roman" w:hAnsi="Arial" w:cs="Arial"/>
          <w:b/>
          <w:bCs/>
          <w:kern w:val="0"/>
          <w14:ligatures w14:val="none"/>
        </w:rPr>
        <w:t>Chart: CCC Components</w:t>
      </w:r>
    </w:p>
    <w:p w14:paraId="46FB2B2F" w14:textId="33EB792A" w:rsidR="004A5CB0" w:rsidRDefault="004A5CB0" w:rsidP="00157516">
      <w:pPr>
        <w:spacing w:after="0" w:line="480" w:lineRule="auto"/>
        <w:rPr>
          <w:rFonts w:ascii="Arial" w:eastAsia="Times New Roman" w:hAnsi="Arial" w:cs="Arial"/>
          <w:kern w:val="0"/>
          <w14:ligatures w14:val="none"/>
        </w:rPr>
      </w:pPr>
      <w:r>
        <w:rPr>
          <w:rFonts w:ascii="Arial" w:eastAsia="Times New Roman" w:hAnsi="Arial" w:cs="Arial"/>
          <w:noProof/>
          <w:kern w:val="0"/>
        </w:rPr>
        <mc:AlternateContent>
          <mc:Choice Requires="wps">
            <w:drawing>
              <wp:anchor distT="0" distB="0" distL="114300" distR="114300" simplePos="0" relativeHeight="251663360" behindDoc="0" locked="0" layoutInCell="1" allowOverlap="1" wp14:anchorId="6B941BD1" wp14:editId="3C9E26BC">
                <wp:simplePos x="0" y="0"/>
                <wp:positionH relativeFrom="column">
                  <wp:posOffset>504825</wp:posOffset>
                </wp:positionH>
                <wp:positionV relativeFrom="paragraph">
                  <wp:posOffset>-95250</wp:posOffset>
                </wp:positionV>
                <wp:extent cx="4829175" cy="2762250"/>
                <wp:effectExtent l="0" t="0" r="19050" b="19050"/>
                <wp:wrapNone/>
                <wp:docPr id="1885660747" name="Text Box 5"/>
                <wp:cNvGraphicFramePr/>
                <a:graphic xmlns:a="http://schemas.openxmlformats.org/drawingml/2006/main">
                  <a:graphicData uri="http://schemas.microsoft.com/office/word/2010/wordprocessingShape">
                    <wps:wsp>
                      <wps:cNvSpPr txBox="1"/>
                      <wps:spPr>
                        <a:xfrm>
                          <a:off x="0" y="0"/>
                          <a:ext cx="4829175" cy="2762250"/>
                        </a:xfrm>
                        <a:prstGeom prst="rect">
                          <a:avLst/>
                        </a:prstGeom>
                        <a:solidFill>
                          <a:schemeClr val="lt1"/>
                        </a:solidFill>
                        <a:ln w="6350">
                          <a:solidFill>
                            <a:prstClr val="black"/>
                          </a:solidFill>
                        </a:ln>
                      </wps:spPr>
                      <wps:txbx>
                        <w:txbxContent>
                          <w:p w14:paraId="1EEE5AA0" w14:textId="2C4D68C1" w:rsidR="004A5CB0" w:rsidRDefault="004A5CB0">
                            <w:r>
                              <w:rPr>
                                <w:noProof/>
                              </w:rPr>
                              <w:drawing>
                                <wp:inline distT="0" distB="0" distL="0" distR="0" wp14:anchorId="30B87514" wp14:editId="5B0A7E4D">
                                  <wp:extent cx="4440555" cy="2664460"/>
                                  <wp:effectExtent l="0" t="0" r="17145" b="2540"/>
                                  <wp:docPr id="1370601677" name="Chart 1">
                                    <a:extLst xmlns:a="http://schemas.openxmlformats.org/drawingml/2006/main">
                                      <a:ext uri="{FF2B5EF4-FFF2-40B4-BE49-F238E27FC236}">
                                        <a16:creationId xmlns:a16="http://schemas.microsoft.com/office/drawing/2014/main" id="{D237378B-4B36-4F06-F0FF-B38E868877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41BD1" id="Text Box 5" o:spid="_x0000_s1028" type="#_x0000_t202" style="position:absolute;margin-left:39.75pt;margin-top:-7.5pt;width:380.25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" fillcolor="white [3201]" strokeweight=".5pt">
                <v:textbox>
                  <w:txbxContent>
                    <w:p w14:paraId="1EEE5AA0" w14:textId="2C4D68C1" w:rsidR="004A5CB0" w:rsidRDefault="004A5CB0">
                      <w:r>
                        <w:rPr>
                          <w:noProof/>
                        </w:rPr>
                        <w:drawing>
                          <wp:inline distT="0" distB="0" distL="0" distR="0" wp14:anchorId="30B87514" wp14:editId="5B0A7E4D">
                            <wp:extent cx="4440555" cy="2664460"/>
                            <wp:effectExtent l="0" t="0" r="17145" b="2540"/>
                            <wp:docPr id="1370601677" name="Chart 1">
                              <a:extLst xmlns:a="http://schemas.openxmlformats.org/drawingml/2006/main">
                                <a:ext uri="{FF2B5EF4-FFF2-40B4-BE49-F238E27FC236}">
                                  <a16:creationId xmlns:a16="http://schemas.microsoft.com/office/drawing/2014/main" id="{D237378B-4B36-4F06-F0FF-B38E868877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xbxContent>
                </v:textbox>
              </v:shape>
            </w:pict>
          </mc:Fallback>
        </mc:AlternateContent>
      </w:r>
    </w:p>
    <w:p w14:paraId="247D5673" w14:textId="77777777" w:rsidR="004A5CB0" w:rsidRDefault="004A5CB0" w:rsidP="00157516">
      <w:pPr>
        <w:spacing w:after="0" w:line="480" w:lineRule="auto"/>
        <w:rPr>
          <w:rFonts w:ascii="Arial" w:eastAsia="Times New Roman" w:hAnsi="Arial" w:cs="Arial"/>
          <w:kern w:val="0"/>
          <w14:ligatures w14:val="none"/>
        </w:rPr>
      </w:pPr>
    </w:p>
    <w:p w14:paraId="4114743D" w14:textId="77777777" w:rsidR="004A5CB0" w:rsidRDefault="004A5CB0" w:rsidP="00157516">
      <w:pPr>
        <w:spacing w:after="0" w:line="480" w:lineRule="auto"/>
        <w:rPr>
          <w:rFonts w:ascii="Arial" w:eastAsia="Times New Roman" w:hAnsi="Arial" w:cs="Arial"/>
          <w:kern w:val="0"/>
          <w14:ligatures w14:val="none"/>
        </w:rPr>
      </w:pPr>
    </w:p>
    <w:p w14:paraId="7665552B" w14:textId="77777777" w:rsidR="004A5CB0" w:rsidRDefault="004A5CB0" w:rsidP="00157516">
      <w:pPr>
        <w:spacing w:after="0" w:line="480" w:lineRule="auto"/>
        <w:rPr>
          <w:rFonts w:ascii="Arial" w:eastAsia="Times New Roman" w:hAnsi="Arial" w:cs="Arial"/>
          <w:kern w:val="0"/>
          <w14:ligatures w14:val="none"/>
        </w:rPr>
      </w:pPr>
    </w:p>
    <w:p w14:paraId="004868F6" w14:textId="77777777" w:rsidR="004A5CB0" w:rsidRDefault="004A5CB0" w:rsidP="00157516">
      <w:pPr>
        <w:spacing w:after="0" w:line="480" w:lineRule="auto"/>
        <w:rPr>
          <w:rFonts w:ascii="Arial" w:eastAsia="Times New Roman" w:hAnsi="Arial" w:cs="Arial"/>
          <w:kern w:val="0"/>
          <w14:ligatures w14:val="none"/>
        </w:rPr>
      </w:pPr>
    </w:p>
    <w:p w14:paraId="1C47529F" w14:textId="77777777" w:rsidR="004A5CB0" w:rsidRDefault="004A5CB0" w:rsidP="00157516">
      <w:pPr>
        <w:spacing w:after="0" w:line="480" w:lineRule="auto"/>
        <w:rPr>
          <w:rFonts w:ascii="Arial" w:eastAsia="Times New Roman" w:hAnsi="Arial" w:cs="Arial"/>
          <w:kern w:val="0"/>
          <w14:ligatures w14:val="none"/>
        </w:rPr>
      </w:pPr>
    </w:p>
    <w:p w14:paraId="6D501E6F" w14:textId="77777777" w:rsidR="004A5CB0" w:rsidRDefault="004A5CB0" w:rsidP="00157516">
      <w:pPr>
        <w:spacing w:after="0" w:line="480" w:lineRule="auto"/>
        <w:rPr>
          <w:rFonts w:ascii="Arial" w:eastAsia="Times New Roman" w:hAnsi="Arial" w:cs="Arial"/>
          <w:kern w:val="0"/>
          <w14:ligatures w14:val="none"/>
        </w:rPr>
      </w:pPr>
    </w:p>
    <w:p w14:paraId="332D20C3" w14:textId="77777777" w:rsidR="004A5CB0" w:rsidRDefault="004A5CB0" w:rsidP="00157516">
      <w:pPr>
        <w:spacing w:after="0" w:line="480" w:lineRule="auto"/>
        <w:rPr>
          <w:rFonts w:ascii="Arial" w:eastAsia="Times New Roman" w:hAnsi="Arial" w:cs="Arial"/>
          <w:kern w:val="0"/>
          <w14:ligatures w14:val="none"/>
        </w:rPr>
      </w:pPr>
    </w:p>
    <w:p w14:paraId="601C8885" w14:textId="77777777" w:rsidR="00C75926" w:rsidRPr="00C75926" w:rsidRDefault="00C75926" w:rsidP="00C75926">
      <w:pPr>
        <w:spacing w:after="0" w:line="480" w:lineRule="auto"/>
        <w:rPr>
          <w:rFonts w:ascii="Arial" w:eastAsia="Times New Roman" w:hAnsi="Arial" w:cs="Arial"/>
          <w:kern w:val="0"/>
          <w:lang/>
          <w14:ligatures w14:val="none"/>
        </w:rPr>
      </w:pPr>
      <w:r w:rsidRPr="00C75926">
        <w:rPr>
          <w:rFonts w:ascii="Arial" w:eastAsia="Times New Roman" w:hAnsi="Arial" w:cs="Arial"/>
          <w:kern w:val="0"/>
          <w:lang/>
          <w14:ligatures w14:val="none"/>
        </w:rPr>
        <w:t>General Electronics’ CCC of 50 days, compared with the industry benchmark of 35 days, indicates that the firm’s cash remains locked within the operating cycle for substantially longer than its competitors, directly constraining liquidity. The excess inventory days (58 vs. 40) and receivable days (34 vs. 25) point to operational inefficiencies and weak credit discipline, while shorter payable days (42 vs. 55) show that the firm is paying suppliers more quickly than necessary, further tightening cash flow. This imbalance intensifies liquidity pressure and reflects a poorly optimised working-capital structure.</w:t>
      </w:r>
    </w:p>
    <w:p w14:paraId="41AE3A59" w14:textId="77777777" w:rsidR="00C75926" w:rsidRPr="00C75926" w:rsidRDefault="00C75926" w:rsidP="00C75926">
      <w:pPr>
        <w:spacing w:after="0" w:line="480" w:lineRule="auto"/>
        <w:rPr>
          <w:rFonts w:ascii="Arial" w:eastAsia="Times New Roman" w:hAnsi="Arial" w:cs="Arial"/>
          <w:kern w:val="0"/>
          <w:lang/>
          <w14:ligatures w14:val="none"/>
        </w:rPr>
      </w:pPr>
      <w:r w:rsidRPr="00C75926">
        <w:rPr>
          <w:rFonts w:ascii="Arial" w:eastAsia="Times New Roman" w:hAnsi="Arial" w:cs="Arial"/>
          <w:kern w:val="0"/>
          <w:lang/>
          <w14:ligatures w14:val="none"/>
        </w:rPr>
        <w:t>The empirical findings of Deloof (2003) and Shin and Soenen (1998) demonstrate a strong negative association between elongated CCCs and firm profitability, a pattern mirrored in General Electronics’ declining ROCE. This reinforces that the extended CCC is not merely a symptom of operational delays but a direct contributor to the firm’s weakened profitability and deteriorating financial resilience.</w:t>
      </w:r>
    </w:p>
    <w:p w14:paraId="062D3711" w14:textId="77777777"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2.5 Gearing Ratios</w:t>
      </w:r>
    </w:p>
    <w:p w14:paraId="0FA64A21"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Capital structure and leverage play critical roles in determining financial stability. The gearing indicators for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(Appendix E, Table E1) reveal a rising debt burden over the review period.</w:t>
      </w:r>
    </w:p>
    <w:p w14:paraId="79767FA1"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Debt-to-Equity Ratio</w:t>
      </w:r>
    </w:p>
    <w:p w14:paraId="520B4F6B"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Debt-to-Equity = (Total Debt / Shareholders’ Equity)</w:t>
      </w:r>
      <w:r w:rsidRPr="00BC2468">
        <w:rPr>
          <w:rFonts w:ascii="Arial" w:eastAsia="Times New Roman" w:hAnsi="Arial" w:cs="Arial"/>
          <w:kern w:val="0"/>
          <w14:ligatures w14:val="none"/>
        </w:rPr>
        <w:br/>
        <w:t>Year 1: (1,000 / 1,900) = 0.53</w:t>
      </w:r>
      <w:r w:rsidRPr="00BC2468">
        <w:rPr>
          <w:rFonts w:ascii="Arial" w:eastAsia="Times New Roman" w:hAnsi="Arial" w:cs="Arial"/>
          <w:kern w:val="0"/>
          <w14:ligatures w14:val="none"/>
        </w:rPr>
        <w:br/>
        <w:t>Year 5: (1,450 / 1,650) = 0.88</w:t>
      </w:r>
    </w:p>
    <w:p w14:paraId="16F28AC6"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The increase from 0.53 to 0.88 demonstrates heavier reliance on debt financing, potentially elevating financial risk. Brealey et al. (2011) warn that as gearing rises, so does the cost of equity due to the amplified risk perceived by investors.</w:t>
      </w:r>
    </w:p>
    <w:p w14:paraId="71C28BAB" w14:textId="77777777" w:rsidR="007B1B6D" w:rsidRPr="00BC2468" w:rsidRDefault="007B1B6D"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Interest Coverage Ratio</w:t>
      </w:r>
    </w:p>
    <w:p w14:paraId="4F7512BC"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Interest Coverage = (EBIT / Interest Expense)</w:t>
      </w:r>
      <w:r w:rsidRPr="00BC2468">
        <w:rPr>
          <w:rFonts w:ascii="Arial" w:eastAsia="Times New Roman" w:hAnsi="Arial" w:cs="Arial"/>
          <w:kern w:val="0"/>
          <w14:ligatures w14:val="none"/>
        </w:rPr>
        <w:br/>
        <w:t>Year 5: (280 / 95) = 2.95 times</w:t>
      </w:r>
    </w:p>
    <w:p w14:paraId="595C9AA0"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 coverage ratio below 3.0 times signals limited buffer for meeting interest obligations in the event of profit decline (Abbasov, 2017). Combined with the rising D/E ratio, the data indicate a narrowing safety margin and growing vulnerability to interest-rate fluctuations.</w:t>
      </w:r>
    </w:p>
    <w:p w14:paraId="50A4CE48" w14:textId="77777777" w:rsidR="007B1B6D"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High leverage, if unchecked, can lead to a downward spiral of credit-rating downgrades, increased borrowing costs, and constrained operational flexibility (Altman, 1968).</w:t>
      </w:r>
    </w:p>
    <w:p w14:paraId="489C59CE" w14:textId="590C5407" w:rsidR="00B24E87" w:rsidRPr="00B24E87" w:rsidRDefault="00B24E87" w:rsidP="00B24E87">
      <w:pPr>
        <w:spacing w:after="0" w:line="480" w:lineRule="auto"/>
        <w:rPr>
          <w:rFonts w:ascii="Arial" w:eastAsia="Times New Roman" w:hAnsi="Arial" w:cs="Arial"/>
          <w:b/>
          <w:bCs/>
          <w:kern w:val="0"/>
          <w14:ligatures w14:val="none"/>
        </w:rPr>
      </w:pPr>
      <w:r w:rsidRPr="00B24E87">
        <w:rPr>
          <w:rFonts w:ascii="Arial" w:eastAsia="Times New Roman" w:hAnsi="Arial" w:cs="Arial"/>
          <w:b/>
          <w:bCs/>
          <w:kern w:val="0"/>
          <w14:ligatures w14:val="none"/>
        </w:rPr>
        <w:t>Table 2.4: Gearing Ratios (Years 1–5)</w:t>
      </w:r>
    </w:p>
    <w:tbl>
      <w:tblPr>
        <w:tblStyle w:val="TableGridLight"/>
        <w:tblW w:w="0" w:type="auto"/>
        <w:tblLook w:val="04A0" w:firstRow="1" w:lastRow="0" w:firstColumn="1" w:lastColumn="0" w:noHBand="0" w:noVBand="1"/>
      </w:tblPr>
      <w:tblGrid>
        <w:gridCol w:w="2124"/>
        <w:gridCol w:w="2751"/>
        <w:gridCol w:w="937"/>
        <w:gridCol w:w="937"/>
      </w:tblGrid>
      <w:tr w:rsidR="00B24E87" w:rsidRPr="00B24E87" w14:paraId="7C9B89D6" w14:textId="77777777" w:rsidTr="00B24E87">
        <w:tc>
          <w:tcPr>
            <w:tcW w:w="0" w:type="auto"/>
            <w:hideMark/>
          </w:tcPr>
          <w:p w14:paraId="312E0EE0" w14:textId="77777777" w:rsidR="00B24E87" w:rsidRPr="00B24E87" w:rsidRDefault="00B24E87" w:rsidP="00B24E87">
            <w:pPr>
              <w:spacing w:line="480" w:lineRule="auto"/>
              <w:rPr>
                <w:rFonts w:ascii="Arial" w:eastAsia="Times New Roman" w:hAnsi="Arial" w:cs="Arial"/>
                <w:b/>
                <w:bCs/>
                <w:kern w:val="0"/>
                <w14:ligatures w14:val="none"/>
              </w:rPr>
            </w:pPr>
            <w:r w:rsidRPr="00B24E87">
              <w:rPr>
                <w:rFonts w:ascii="Arial" w:eastAsia="Times New Roman" w:hAnsi="Arial" w:cs="Arial"/>
                <w:b/>
                <w:bCs/>
                <w:kern w:val="0"/>
                <w14:ligatures w14:val="none"/>
              </w:rPr>
              <w:t>Ratio</w:t>
            </w:r>
          </w:p>
        </w:tc>
        <w:tc>
          <w:tcPr>
            <w:tcW w:w="0" w:type="auto"/>
            <w:hideMark/>
          </w:tcPr>
          <w:p w14:paraId="4EFD7573" w14:textId="77777777" w:rsidR="00B24E87" w:rsidRPr="00B24E87" w:rsidRDefault="00B24E87" w:rsidP="00B24E87">
            <w:pPr>
              <w:spacing w:line="480" w:lineRule="auto"/>
              <w:rPr>
                <w:rFonts w:ascii="Arial" w:eastAsia="Times New Roman" w:hAnsi="Arial" w:cs="Arial"/>
                <w:b/>
                <w:bCs/>
                <w:kern w:val="0"/>
                <w14:ligatures w14:val="none"/>
              </w:rPr>
            </w:pPr>
            <w:r w:rsidRPr="00B24E87">
              <w:rPr>
                <w:rFonts w:ascii="Arial" w:eastAsia="Times New Roman" w:hAnsi="Arial" w:cs="Arial"/>
                <w:b/>
                <w:bCs/>
                <w:kern w:val="0"/>
                <w14:ligatures w14:val="none"/>
              </w:rPr>
              <w:t>Formula</w:t>
            </w:r>
          </w:p>
        </w:tc>
        <w:tc>
          <w:tcPr>
            <w:tcW w:w="0" w:type="auto"/>
            <w:hideMark/>
          </w:tcPr>
          <w:p w14:paraId="6C8FA0F4" w14:textId="77777777" w:rsidR="00B24E87" w:rsidRPr="00B24E87" w:rsidRDefault="00B24E87" w:rsidP="00B24E87">
            <w:pPr>
              <w:spacing w:line="480" w:lineRule="auto"/>
              <w:rPr>
                <w:rFonts w:ascii="Arial" w:eastAsia="Times New Roman" w:hAnsi="Arial" w:cs="Arial"/>
                <w:b/>
                <w:bCs/>
                <w:kern w:val="0"/>
                <w14:ligatures w14:val="none"/>
              </w:rPr>
            </w:pPr>
            <w:r w:rsidRPr="00B24E87">
              <w:rPr>
                <w:rFonts w:ascii="Arial" w:eastAsia="Times New Roman" w:hAnsi="Arial" w:cs="Arial"/>
                <w:b/>
                <w:bCs/>
                <w:kern w:val="0"/>
                <w14:ligatures w14:val="none"/>
              </w:rPr>
              <w:t>Year 1</w:t>
            </w:r>
          </w:p>
        </w:tc>
        <w:tc>
          <w:tcPr>
            <w:tcW w:w="0" w:type="auto"/>
            <w:hideMark/>
          </w:tcPr>
          <w:p w14:paraId="5D1EAB39" w14:textId="77777777" w:rsidR="00B24E87" w:rsidRPr="00B24E87" w:rsidRDefault="00B24E87" w:rsidP="00B24E87">
            <w:pPr>
              <w:spacing w:line="480" w:lineRule="auto"/>
              <w:rPr>
                <w:rFonts w:ascii="Arial" w:eastAsia="Times New Roman" w:hAnsi="Arial" w:cs="Arial"/>
                <w:b/>
                <w:bCs/>
                <w:kern w:val="0"/>
                <w14:ligatures w14:val="none"/>
              </w:rPr>
            </w:pPr>
            <w:r w:rsidRPr="00B24E87">
              <w:rPr>
                <w:rFonts w:ascii="Arial" w:eastAsia="Times New Roman" w:hAnsi="Arial" w:cs="Arial"/>
                <w:b/>
                <w:bCs/>
                <w:kern w:val="0"/>
                <w14:ligatures w14:val="none"/>
              </w:rPr>
              <w:t>Year 5</w:t>
            </w:r>
          </w:p>
        </w:tc>
      </w:tr>
      <w:tr w:rsidR="00B24E87" w:rsidRPr="00B24E87" w14:paraId="19848C0E" w14:textId="77777777" w:rsidTr="00B24E87">
        <w:tc>
          <w:tcPr>
            <w:tcW w:w="0" w:type="auto"/>
            <w:hideMark/>
          </w:tcPr>
          <w:p w14:paraId="7603D8AA" w14:textId="77777777" w:rsidR="00B24E87" w:rsidRPr="00B24E87" w:rsidRDefault="00B24E87" w:rsidP="00B24E87">
            <w:pPr>
              <w:spacing w:line="480" w:lineRule="auto"/>
              <w:rPr>
                <w:rFonts w:ascii="Arial" w:eastAsia="Times New Roman" w:hAnsi="Arial" w:cs="Arial"/>
                <w:kern w:val="0"/>
                <w14:ligatures w14:val="none"/>
              </w:rPr>
            </w:pPr>
            <w:r w:rsidRPr="00B24E87">
              <w:rPr>
                <w:rFonts w:ascii="Arial" w:eastAsia="Times New Roman" w:hAnsi="Arial" w:cs="Arial"/>
                <w:kern w:val="0"/>
                <w14:ligatures w14:val="none"/>
              </w:rPr>
              <w:t>Debt-to-Equity</w:t>
            </w:r>
          </w:p>
        </w:tc>
        <w:tc>
          <w:tcPr>
            <w:tcW w:w="0" w:type="auto"/>
            <w:hideMark/>
          </w:tcPr>
          <w:p w14:paraId="0C9BF0C4" w14:textId="77777777" w:rsidR="00B24E87" w:rsidRPr="00B24E87" w:rsidRDefault="00B24E87" w:rsidP="00B24E87">
            <w:pPr>
              <w:spacing w:line="480" w:lineRule="auto"/>
              <w:rPr>
                <w:rFonts w:ascii="Arial" w:eastAsia="Times New Roman" w:hAnsi="Arial" w:cs="Arial"/>
                <w:kern w:val="0"/>
                <w14:ligatures w14:val="none"/>
              </w:rPr>
            </w:pPr>
            <w:r w:rsidRPr="00B24E87">
              <w:rPr>
                <w:rFonts w:ascii="Arial" w:eastAsia="Times New Roman" w:hAnsi="Arial" w:cs="Arial"/>
                <w:kern w:val="0"/>
                <w14:ligatures w14:val="none"/>
              </w:rPr>
              <w:t>Total Debt / Equity</w:t>
            </w:r>
          </w:p>
        </w:tc>
        <w:tc>
          <w:tcPr>
            <w:tcW w:w="0" w:type="auto"/>
            <w:hideMark/>
          </w:tcPr>
          <w:p w14:paraId="55703E2F" w14:textId="77777777" w:rsidR="00B24E87" w:rsidRPr="00B24E87" w:rsidRDefault="00B24E87" w:rsidP="00B24E87">
            <w:pPr>
              <w:spacing w:line="480" w:lineRule="auto"/>
              <w:rPr>
                <w:rFonts w:ascii="Arial" w:eastAsia="Times New Roman" w:hAnsi="Arial" w:cs="Arial"/>
                <w:kern w:val="0"/>
                <w14:ligatures w14:val="none"/>
              </w:rPr>
            </w:pPr>
            <w:r w:rsidRPr="00B24E87">
              <w:rPr>
                <w:rFonts w:ascii="Arial" w:eastAsia="Times New Roman" w:hAnsi="Arial" w:cs="Arial"/>
                <w:kern w:val="0"/>
                <w14:ligatures w14:val="none"/>
              </w:rPr>
              <w:t>0.53</w:t>
            </w:r>
          </w:p>
        </w:tc>
        <w:tc>
          <w:tcPr>
            <w:tcW w:w="0" w:type="auto"/>
            <w:hideMark/>
          </w:tcPr>
          <w:p w14:paraId="4E0E66A4" w14:textId="77777777" w:rsidR="00B24E87" w:rsidRPr="00B24E87" w:rsidRDefault="00B24E87" w:rsidP="00B24E87">
            <w:pPr>
              <w:spacing w:line="480" w:lineRule="auto"/>
              <w:rPr>
                <w:rFonts w:ascii="Arial" w:eastAsia="Times New Roman" w:hAnsi="Arial" w:cs="Arial"/>
                <w:kern w:val="0"/>
                <w14:ligatures w14:val="none"/>
              </w:rPr>
            </w:pPr>
            <w:r w:rsidRPr="00B24E87">
              <w:rPr>
                <w:rFonts w:ascii="Arial" w:eastAsia="Times New Roman" w:hAnsi="Arial" w:cs="Arial"/>
                <w:kern w:val="0"/>
                <w14:ligatures w14:val="none"/>
              </w:rPr>
              <w:t>0.88</w:t>
            </w:r>
          </w:p>
        </w:tc>
      </w:tr>
      <w:tr w:rsidR="00B24E87" w:rsidRPr="00B24E87" w14:paraId="1E12901D" w14:textId="77777777" w:rsidTr="00B24E87">
        <w:tc>
          <w:tcPr>
            <w:tcW w:w="0" w:type="auto"/>
            <w:hideMark/>
          </w:tcPr>
          <w:p w14:paraId="0CFDACD6" w14:textId="77777777" w:rsidR="00B24E87" w:rsidRPr="00B24E87" w:rsidRDefault="00B24E87" w:rsidP="00B24E87">
            <w:pPr>
              <w:spacing w:line="480" w:lineRule="auto"/>
              <w:rPr>
                <w:rFonts w:ascii="Arial" w:eastAsia="Times New Roman" w:hAnsi="Arial" w:cs="Arial"/>
                <w:kern w:val="0"/>
                <w14:ligatures w14:val="none"/>
              </w:rPr>
            </w:pPr>
            <w:r w:rsidRPr="00B24E87">
              <w:rPr>
                <w:rFonts w:ascii="Arial" w:eastAsia="Times New Roman" w:hAnsi="Arial" w:cs="Arial"/>
                <w:kern w:val="0"/>
                <w14:ligatures w14:val="none"/>
              </w:rPr>
              <w:t>Interest Coverage</w:t>
            </w:r>
          </w:p>
        </w:tc>
        <w:tc>
          <w:tcPr>
            <w:tcW w:w="0" w:type="auto"/>
            <w:hideMark/>
          </w:tcPr>
          <w:p w14:paraId="7ADC469C" w14:textId="77777777" w:rsidR="00B24E87" w:rsidRPr="00B24E87" w:rsidRDefault="00B24E87" w:rsidP="00B24E87">
            <w:pPr>
              <w:spacing w:line="480" w:lineRule="auto"/>
              <w:rPr>
                <w:rFonts w:ascii="Arial" w:eastAsia="Times New Roman" w:hAnsi="Arial" w:cs="Arial"/>
                <w:kern w:val="0"/>
                <w14:ligatures w14:val="none"/>
              </w:rPr>
            </w:pPr>
            <w:r w:rsidRPr="00B24E87">
              <w:rPr>
                <w:rFonts w:ascii="Arial" w:eastAsia="Times New Roman" w:hAnsi="Arial" w:cs="Arial"/>
                <w:kern w:val="0"/>
                <w14:ligatures w14:val="none"/>
              </w:rPr>
              <w:t>EBIT / Interest Expense</w:t>
            </w:r>
          </w:p>
        </w:tc>
        <w:tc>
          <w:tcPr>
            <w:tcW w:w="0" w:type="auto"/>
            <w:hideMark/>
          </w:tcPr>
          <w:p w14:paraId="6F8DC9B4" w14:textId="77777777" w:rsidR="00B24E87" w:rsidRPr="00B24E87" w:rsidRDefault="00B24E87" w:rsidP="00B24E87">
            <w:pPr>
              <w:spacing w:line="480" w:lineRule="auto"/>
              <w:rPr>
                <w:rFonts w:ascii="Arial" w:eastAsia="Times New Roman" w:hAnsi="Arial" w:cs="Arial"/>
                <w:kern w:val="0"/>
                <w14:ligatures w14:val="none"/>
              </w:rPr>
            </w:pPr>
            <w:r w:rsidRPr="00B24E87">
              <w:rPr>
                <w:rFonts w:ascii="Arial" w:eastAsia="Times New Roman" w:hAnsi="Arial" w:cs="Arial"/>
                <w:kern w:val="0"/>
                <w14:ligatures w14:val="none"/>
              </w:rPr>
              <w:t>7.6×</w:t>
            </w:r>
          </w:p>
        </w:tc>
        <w:tc>
          <w:tcPr>
            <w:tcW w:w="0" w:type="auto"/>
            <w:hideMark/>
          </w:tcPr>
          <w:p w14:paraId="2D7FE21F" w14:textId="77777777" w:rsidR="00B24E87" w:rsidRPr="00B24E87" w:rsidRDefault="00B24E87" w:rsidP="00B24E87">
            <w:pPr>
              <w:spacing w:line="480" w:lineRule="auto"/>
              <w:rPr>
                <w:rFonts w:ascii="Arial" w:eastAsia="Times New Roman" w:hAnsi="Arial" w:cs="Arial"/>
                <w:kern w:val="0"/>
                <w14:ligatures w14:val="none"/>
              </w:rPr>
            </w:pPr>
            <w:r w:rsidRPr="00B24E87">
              <w:rPr>
                <w:rFonts w:ascii="Arial" w:eastAsia="Times New Roman" w:hAnsi="Arial" w:cs="Arial"/>
                <w:kern w:val="0"/>
                <w14:ligatures w14:val="none"/>
              </w:rPr>
              <w:t>2.95×</w:t>
            </w:r>
          </w:p>
        </w:tc>
      </w:tr>
    </w:tbl>
    <w:p w14:paraId="3E421357" w14:textId="794E44C9" w:rsidR="00B24E87" w:rsidRPr="00AE5158" w:rsidRDefault="00AE5158" w:rsidP="00157516">
      <w:pPr>
        <w:spacing w:after="0" w:line="480" w:lineRule="auto"/>
        <w:rPr>
          <w:rFonts w:ascii="Arial" w:eastAsia="Times New Roman" w:hAnsi="Arial" w:cs="Arial"/>
          <w:b/>
          <w:bCs/>
          <w:kern w:val="0"/>
          <w14:ligatures w14:val="none"/>
        </w:rPr>
      </w:pPr>
      <w:r w:rsidRPr="00AE5158">
        <w:rPr>
          <w:rFonts w:ascii="Arial" w:eastAsia="Times New Roman" w:hAnsi="Arial" w:cs="Arial"/>
          <w:b/>
          <w:bCs/>
          <w:kern w:val="0"/>
          <w14:ligatures w14:val="none"/>
        </w:rPr>
        <w:t>Chart: Gearing Trends</w:t>
      </w:r>
      <w:r w:rsidR="00B24E87" w:rsidRPr="00AE5158">
        <w:rPr>
          <w:rFonts w:ascii="Arial" w:eastAsia="Times New Roman" w:hAnsi="Arial" w:cs="Arial"/>
          <w:b/>
          <w:bCs/>
          <w:noProof/>
          <w:kern w:val="0"/>
        </w:rPr>
        <mc:AlternateContent>
          <mc:Choice Requires="wps">
            <w:drawing>
              <wp:anchor distT="0" distB="0" distL="114300" distR="114300" simplePos="0" relativeHeight="251664384" behindDoc="0" locked="0" layoutInCell="1" allowOverlap="1" wp14:anchorId="37AE0588" wp14:editId="6DC66CDD">
                <wp:simplePos x="0" y="0"/>
                <wp:positionH relativeFrom="column">
                  <wp:posOffset>9526</wp:posOffset>
                </wp:positionH>
                <wp:positionV relativeFrom="paragraph">
                  <wp:posOffset>360045</wp:posOffset>
                </wp:positionV>
                <wp:extent cx="4248150" cy="2514600"/>
                <wp:effectExtent l="0" t="0" r="19050" b="19050"/>
                <wp:wrapNone/>
                <wp:docPr id="1319524551" name="Text Box 6"/>
                <wp:cNvGraphicFramePr/>
                <a:graphic xmlns:a="http://schemas.openxmlformats.org/drawingml/2006/main">
                  <a:graphicData uri="http://schemas.microsoft.com/office/word/2010/wordprocessingShape">
                    <wps:wsp>
                      <wps:cNvSpPr txBox="1"/>
                      <wps:spPr>
                        <a:xfrm>
                          <a:off x="0" y="0"/>
                          <a:ext cx="4248150" cy="2514600"/>
                        </a:xfrm>
                        <a:prstGeom prst="rect">
                          <a:avLst/>
                        </a:prstGeom>
                        <a:solidFill>
                          <a:schemeClr val="lt1"/>
                        </a:solidFill>
                        <a:ln w="6350">
                          <a:solidFill>
                            <a:prstClr val="black"/>
                          </a:solidFill>
                        </a:ln>
                      </wps:spPr>
                      <wps:txbx>
                        <w:txbxContent>
                          <w:p w14:paraId="3831FDA3" w14:textId="7C20147C" w:rsidR="00B24E87" w:rsidRDefault="00B24E87">
                            <w:r>
                              <w:rPr>
                                <w:noProof/>
                              </w:rPr>
                              <w:drawing>
                                <wp:inline distT="0" distB="0" distL="0" distR="0" wp14:anchorId="75BEE41C" wp14:editId="37420B2C">
                                  <wp:extent cx="4027805" cy="2416810"/>
                                  <wp:effectExtent l="0" t="0" r="10795" b="2540"/>
                                  <wp:docPr id="871742754" name="Chart 1">
                                    <a:extLst xmlns:a="http://schemas.openxmlformats.org/drawingml/2006/main">
                                      <a:ext uri="{FF2B5EF4-FFF2-40B4-BE49-F238E27FC236}">
                                        <a16:creationId xmlns:a16="http://schemas.microsoft.com/office/drawing/2014/main" id="{A9A6F1A2-10E5-B3D5-5498-E037696BC5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E0588" id="Text Box 6" o:spid="_x0000_s1029" type="#_x0000_t202" style="position:absolute;margin-left:.75pt;margin-top:28.35pt;width:334.5pt;height:1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" fillcolor="white [3201]" strokeweight=".5pt">
                <v:textbox>
                  <w:txbxContent>
                    <w:p w14:paraId="3831FDA3" w14:textId="7C20147C" w:rsidR="00B24E87" w:rsidRDefault="00B24E87">
                      <w:r>
                        <w:rPr>
                          <w:noProof/>
                        </w:rPr>
                        <w:drawing>
                          <wp:inline distT="0" distB="0" distL="0" distR="0" wp14:anchorId="75BEE41C" wp14:editId="37420B2C">
                            <wp:extent cx="4027805" cy="2416810"/>
                            <wp:effectExtent l="0" t="0" r="10795" b="2540"/>
                            <wp:docPr id="871742754" name="Chart 1">
                              <a:extLst xmlns:a="http://schemas.openxmlformats.org/drawingml/2006/main">
                                <a:ext uri="{FF2B5EF4-FFF2-40B4-BE49-F238E27FC236}">
                                  <a16:creationId xmlns:a16="http://schemas.microsoft.com/office/drawing/2014/main" id="{A9A6F1A2-10E5-B3D5-5498-E037696BC5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xbxContent>
                </v:textbox>
              </v:shape>
            </w:pict>
          </mc:Fallback>
        </mc:AlternateContent>
      </w:r>
    </w:p>
    <w:p w14:paraId="50A5BBDE" w14:textId="4CDDA851" w:rsidR="00B24E87" w:rsidRDefault="00B24E87" w:rsidP="00157516">
      <w:pPr>
        <w:spacing w:after="0" w:line="480" w:lineRule="auto"/>
        <w:rPr>
          <w:noProof/>
        </w:rPr>
      </w:pPr>
    </w:p>
    <w:p w14:paraId="024516CC" w14:textId="77777777" w:rsidR="00AE5158" w:rsidRDefault="00AE5158" w:rsidP="00157516">
      <w:pPr>
        <w:spacing w:after="0" w:line="480" w:lineRule="auto"/>
        <w:rPr>
          <w:noProof/>
        </w:rPr>
      </w:pPr>
    </w:p>
    <w:p w14:paraId="3D3F2B4D" w14:textId="77777777" w:rsidR="00AE5158" w:rsidRDefault="00AE5158" w:rsidP="00157516">
      <w:pPr>
        <w:spacing w:after="0" w:line="480" w:lineRule="auto"/>
        <w:rPr>
          <w:noProof/>
        </w:rPr>
      </w:pPr>
    </w:p>
    <w:p w14:paraId="5FD839D2" w14:textId="77777777" w:rsidR="00AE5158" w:rsidRDefault="00AE5158" w:rsidP="00157516">
      <w:pPr>
        <w:spacing w:after="0" w:line="480" w:lineRule="auto"/>
        <w:rPr>
          <w:noProof/>
        </w:rPr>
      </w:pPr>
    </w:p>
    <w:p w14:paraId="78FA859B" w14:textId="77777777" w:rsidR="00AE5158" w:rsidRDefault="00AE5158" w:rsidP="00157516">
      <w:pPr>
        <w:spacing w:after="0" w:line="480" w:lineRule="auto"/>
        <w:rPr>
          <w:noProof/>
        </w:rPr>
      </w:pPr>
    </w:p>
    <w:p w14:paraId="00BB1584" w14:textId="77777777" w:rsidR="00AE5158" w:rsidRDefault="00AE5158" w:rsidP="00157516">
      <w:pPr>
        <w:spacing w:after="0" w:line="480" w:lineRule="auto"/>
        <w:rPr>
          <w:noProof/>
        </w:rPr>
      </w:pPr>
    </w:p>
    <w:p w14:paraId="26CC7FE6" w14:textId="77777777" w:rsidR="00AE5158" w:rsidRDefault="00AE5158" w:rsidP="00157516">
      <w:pPr>
        <w:spacing w:after="0" w:line="480" w:lineRule="auto"/>
        <w:rPr>
          <w:noProof/>
        </w:rPr>
      </w:pPr>
    </w:p>
    <w:p w14:paraId="39F192E9" w14:textId="77777777" w:rsidR="00387672" w:rsidRPr="00387672" w:rsidRDefault="00387672" w:rsidP="00387672">
      <w:pPr>
        <w:spacing w:after="0" w:line="480" w:lineRule="auto"/>
        <w:outlineLvl w:val="2"/>
        <w:rPr>
          <w:rFonts w:ascii="Arial" w:eastAsia="Times New Roman" w:hAnsi="Arial" w:cs="Arial"/>
          <w:kern w:val="0"/>
          <w:lang/>
          <w14:ligatures w14:val="none"/>
        </w:rPr>
      </w:pPr>
      <w:r w:rsidRPr="00387672">
        <w:rPr>
          <w:rFonts w:ascii="Arial" w:eastAsia="Times New Roman" w:hAnsi="Arial" w:cs="Arial"/>
          <w:kern w:val="0"/>
          <w:lang/>
          <w14:ligatures w14:val="none"/>
        </w:rPr>
        <w:t>The increase in the debt-to-equity ratio from 0.53 to 0.88 signifies a material escalation in financial leverage, indicating that the firm is depending increasingly on borrowed funds to sustain its operations. Such a shift heightens exposure to refinancing and interest-rate risk, particularly in a period of declining profitability. At the same time, the fall in interest-coverage from 7.6× to 2.95× reflects a substantial erosion in the firm’s capacity to meet interest obligations from operating earnings, placing it dangerously close to the critical threshold below which lenders begin to question creditworthiness.</w:t>
      </w:r>
    </w:p>
    <w:p w14:paraId="039DB4DD" w14:textId="77777777" w:rsidR="00387672" w:rsidRPr="00387672" w:rsidRDefault="00387672" w:rsidP="00387672">
      <w:pPr>
        <w:spacing w:after="0" w:line="480" w:lineRule="auto"/>
        <w:outlineLvl w:val="2"/>
        <w:rPr>
          <w:rFonts w:ascii="Arial" w:eastAsia="Times New Roman" w:hAnsi="Arial" w:cs="Arial"/>
          <w:kern w:val="0"/>
          <w:lang/>
          <w14:ligatures w14:val="none"/>
        </w:rPr>
      </w:pPr>
      <w:r w:rsidRPr="00387672">
        <w:rPr>
          <w:rFonts w:ascii="Arial" w:eastAsia="Times New Roman" w:hAnsi="Arial" w:cs="Arial"/>
          <w:kern w:val="0"/>
          <w:lang/>
          <w14:ligatures w14:val="none"/>
        </w:rPr>
        <w:t>Altman’s (1968) bankruptcy framework emphasises that firms with weakening coverage ratios face elevated insolvency probability, and this is corroborated by General Electronics’ Z-score positioning in the grey zone. Taken together, the gearing trends indicate not merely increased borrowing, but structural financial vulnerability, suggesting that without immediate capital-structure correction, the firm’s solvency risk will continue to intensify.</w:t>
      </w:r>
    </w:p>
    <w:p w14:paraId="242C40AC" w14:textId="6920AF26"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2.6 Investment Ratios</w:t>
      </w:r>
    </w:p>
    <w:p w14:paraId="50B9D7EE"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Investment ratios shed light on shareholder returns and market valuation trends. The two core measures assessed are Earnings per Share (EPS) and Price-to-Earnings (P/E) Ratio.</w:t>
      </w:r>
    </w:p>
    <w:p w14:paraId="049DB050"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Earnings per Share (EPS) = (Net Income / Number of Ordinary Shares)</w:t>
      </w:r>
      <w:r w:rsidRPr="00BC2468">
        <w:rPr>
          <w:rFonts w:ascii="Arial" w:eastAsia="Times New Roman" w:hAnsi="Arial" w:cs="Arial"/>
          <w:kern w:val="0"/>
          <w14:ligatures w14:val="none"/>
        </w:rPr>
        <w:br/>
        <w:t>Year 5: 210 / 500 = £0.42 per share</w:t>
      </w:r>
    </w:p>
    <w:p w14:paraId="3081A14A"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Price-to-Earnings (P/E) Ratio = (Market Price per Share / EPS)</w:t>
      </w:r>
      <w:r w:rsidRPr="00BC2468">
        <w:rPr>
          <w:rFonts w:ascii="Arial" w:eastAsia="Times New Roman" w:hAnsi="Arial" w:cs="Arial"/>
          <w:kern w:val="0"/>
          <w14:ligatures w14:val="none"/>
        </w:rPr>
        <w:br/>
        <w:t>= (4.60 / 0.42) = 10.95</w:t>
      </w:r>
    </w:p>
    <w:p w14:paraId="66D79E21" w14:textId="635BD550" w:rsidR="007B1B6D"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 P/E ratio of 10.95, compared to an industry average of around 15, implies subdued investor confidence and expectations of slower future growth. Koller et al. (2010) argue that sustained P/E compression often reflects diminished perceived earnings quality and higher risk premiums demanded by the market.</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The combination of shrinking EPS and lower P/E indicates value erosion and potential shareholder dissatisfaction, underscoring the need for financial restructuring to restore capital-market credibility.</w:t>
      </w:r>
    </w:p>
    <w:p w14:paraId="422F34D5" w14:textId="62575F7A" w:rsidR="00AE5158" w:rsidRPr="00AE5158" w:rsidRDefault="00AE5158" w:rsidP="00AE5158">
      <w:pPr>
        <w:spacing w:after="0" w:line="480" w:lineRule="auto"/>
        <w:rPr>
          <w:rFonts w:ascii="Arial" w:eastAsia="Times New Roman" w:hAnsi="Arial" w:cs="Arial"/>
          <w:b/>
          <w:bCs/>
          <w:kern w:val="0"/>
          <w14:ligatures w14:val="none"/>
        </w:rPr>
      </w:pPr>
      <w:r w:rsidRPr="00AE5158">
        <w:rPr>
          <w:rFonts w:ascii="Arial" w:eastAsia="Times New Roman" w:hAnsi="Arial" w:cs="Arial"/>
          <w:b/>
          <w:bCs/>
          <w:kern w:val="0"/>
          <w14:ligatures w14:val="none"/>
        </w:rPr>
        <w:t>Table 2.5: Investment Ratios (Year 5)</w:t>
      </w:r>
    </w:p>
    <w:tbl>
      <w:tblPr>
        <w:tblStyle w:val="TableGridLight"/>
        <w:tblW w:w="0" w:type="auto"/>
        <w:tblLook w:val="04A0" w:firstRow="1" w:lastRow="0" w:firstColumn="1" w:lastColumn="0" w:noHBand="0" w:noVBand="1"/>
      </w:tblPr>
      <w:tblGrid>
        <w:gridCol w:w="2991"/>
        <w:gridCol w:w="2404"/>
        <w:gridCol w:w="1644"/>
      </w:tblGrid>
      <w:tr w:rsidR="00AE5158" w:rsidRPr="00AE5158" w14:paraId="10EB41A0" w14:textId="77777777" w:rsidTr="00AE5158">
        <w:tc>
          <w:tcPr>
            <w:tcW w:w="0" w:type="auto"/>
            <w:hideMark/>
          </w:tcPr>
          <w:p w14:paraId="280AB210" w14:textId="77777777" w:rsidR="00AE5158" w:rsidRPr="00AE5158" w:rsidRDefault="00AE5158" w:rsidP="00AE5158">
            <w:pPr>
              <w:spacing w:line="480" w:lineRule="auto"/>
              <w:rPr>
                <w:rFonts w:ascii="Arial" w:eastAsia="Times New Roman" w:hAnsi="Arial" w:cs="Arial"/>
                <w:b/>
                <w:bCs/>
                <w:kern w:val="0"/>
                <w14:ligatures w14:val="none"/>
              </w:rPr>
            </w:pPr>
            <w:r w:rsidRPr="00AE5158">
              <w:rPr>
                <w:rFonts w:ascii="Arial" w:eastAsia="Times New Roman" w:hAnsi="Arial" w:cs="Arial"/>
                <w:b/>
                <w:bCs/>
                <w:kern w:val="0"/>
                <w14:ligatures w14:val="none"/>
              </w:rPr>
              <w:t>Ratio</w:t>
            </w:r>
          </w:p>
        </w:tc>
        <w:tc>
          <w:tcPr>
            <w:tcW w:w="0" w:type="auto"/>
            <w:hideMark/>
          </w:tcPr>
          <w:p w14:paraId="3D5DCBC1" w14:textId="77777777" w:rsidR="00AE5158" w:rsidRPr="00AE5158" w:rsidRDefault="00AE5158" w:rsidP="00AE5158">
            <w:pPr>
              <w:spacing w:line="480" w:lineRule="auto"/>
              <w:rPr>
                <w:rFonts w:ascii="Arial" w:eastAsia="Times New Roman" w:hAnsi="Arial" w:cs="Arial"/>
                <w:b/>
                <w:bCs/>
                <w:kern w:val="0"/>
                <w14:ligatures w14:val="none"/>
              </w:rPr>
            </w:pPr>
            <w:r w:rsidRPr="00AE5158">
              <w:rPr>
                <w:rFonts w:ascii="Arial" w:eastAsia="Times New Roman" w:hAnsi="Arial" w:cs="Arial"/>
                <w:b/>
                <w:bCs/>
                <w:kern w:val="0"/>
                <w14:ligatures w14:val="none"/>
              </w:rPr>
              <w:t>Formula</w:t>
            </w:r>
          </w:p>
        </w:tc>
        <w:tc>
          <w:tcPr>
            <w:tcW w:w="0" w:type="auto"/>
            <w:hideMark/>
          </w:tcPr>
          <w:p w14:paraId="525E90F1" w14:textId="77777777" w:rsidR="00AE5158" w:rsidRPr="00AE5158" w:rsidRDefault="00AE5158" w:rsidP="00AE5158">
            <w:pPr>
              <w:spacing w:line="480" w:lineRule="auto"/>
              <w:rPr>
                <w:rFonts w:ascii="Arial" w:eastAsia="Times New Roman" w:hAnsi="Arial" w:cs="Arial"/>
                <w:b/>
                <w:bCs/>
                <w:kern w:val="0"/>
                <w14:ligatures w14:val="none"/>
              </w:rPr>
            </w:pPr>
            <w:r w:rsidRPr="00AE5158">
              <w:rPr>
                <w:rFonts w:ascii="Arial" w:eastAsia="Times New Roman" w:hAnsi="Arial" w:cs="Arial"/>
                <w:b/>
                <w:bCs/>
                <w:kern w:val="0"/>
                <w14:ligatures w14:val="none"/>
              </w:rPr>
              <w:t>Year 5 Value</w:t>
            </w:r>
          </w:p>
        </w:tc>
      </w:tr>
      <w:tr w:rsidR="00AE5158" w:rsidRPr="00AE5158" w14:paraId="1A420BEE" w14:textId="77777777" w:rsidTr="00AE5158">
        <w:tc>
          <w:tcPr>
            <w:tcW w:w="0" w:type="auto"/>
            <w:hideMark/>
          </w:tcPr>
          <w:p w14:paraId="2C4142F6" w14:textId="77777777" w:rsidR="00AE5158" w:rsidRPr="00AE5158" w:rsidRDefault="00AE5158" w:rsidP="00AE5158">
            <w:pPr>
              <w:spacing w:line="480" w:lineRule="auto"/>
              <w:rPr>
                <w:rFonts w:ascii="Arial" w:eastAsia="Times New Roman" w:hAnsi="Arial" w:cs="Arial"/>
                <w:kern w:val="0"/>
                <w14:ligatures w14:val="none"/>
              </w:rPr>
            </w:pPr>
            <w:r w:rsidRPr="00AE5158">
              <w:rPr>
                <w:rFonts w:ascii="Arial" w:eastAsia="Times New Roman" w:hAnsi="Arial" w:cs="Arial"/>
                <w:kern w:val="0"/>
                <w14:ligatures w14:val="none"/>
              </w:rPr>
              <w:t>Earnings per Share (EPS)</w:t>
            </w:r>
          </w:p>
        </w:tc>
        <w:tc>
          <w:tcPr>
            <w:tcW w:w="0" w:type="auto"/>
            <w:hideMark/>
          </w:tcPr>
          <w:p w14:paraId="5EB294CF" w14:textId="77777777" w:rsidR="00AE5158" w:rsidRPr="00AE5158" w:rsidRDefault="00AE5158" w:rsidP="00AE5158">
            <w:pPr>
              <w:spacing w:line="480" w:lineRule="auto"/>
              <w:rPr>
                <w:rFonts w:ascii="Arial" w:eastAsia="Times New Roman" w:hAnsi="Arial" w:cs="Arial"/>
                <w:kern w:val="0"/>
                <w14:ligatures w14:val="none"/>
              </w:rPr>
            </w:pPr>
            <w:r w:rsidRPr="00AE5158">
              <w:rPr>
                <w:rFonts w:ascii="Arial" w:eastAsia="Times New Roman" w:hAnsi="Arial" w:cs="Arial"/>
                <w:kern w:val="0"/>
                <w14:ligatures w14:val="none"/>
              </w:rPr>
              <w:t>Net Income / Shares</w:t>
            </w:r>
          </w:p>
        </w:tc>
        <w:tc>
          <w:tcPr>
            <w:tcW w:w="0" w:type="auto"/>
            <w:hideMark/>
          </w:tcPr>
          <w:p w14:paraId="0403A0F2" w14:textId="77777777" w:rsidR="00AE5158" w:rsidRPr="00AE5158" w:rsidRDefault="00AE5158" w:rsidP="00AE5158">
            <w:pPr>
              <w:spacing w:line="480" w:lineRule="auto"/>
              <w:rPr>
                <w:rFonts w:ascii="Arial" w:eastAsia="Times New Roman" w:hAnsi="Arial" w:cs="Arial"/>
                <w:kern w:val="0"/>
                <w14:ligatures w14:val="none"/>
              </w:rPr>
            </w:pPr>
            <w:r w:rsidRPr="00AE5158">
              <w:rPr>
                <w:rFonts w:ascii="Arial" w:eastAsia="Times New Roman" w:hAnsi="Arial" w:cs="Arial"/>
                <w:kern w:val="0"/>
                <w14:ligatures w14:val="none"/>
              </w:rPr>
              <w:t>£0.42</w:t>
            </w:r>
          </w:p>
        </w:tc>
      </w:tr>
      <w:tr w:rsidR="00AE5158" w:rsidRPr="00AE5158" w14:paraId="3011EBE2" w14:textId="77777777" w:rsidTr="00AE5158">
        <w:tc>
          <w:tcPr>
            <w:tcW w:w="0" w:type="auto"/>
            <w:hideMark/>
          </w:tcPr>
          <w:p w14:paraId="72D05CC9" w14:textId="77777777" w:rsidR="00AE5158" w:rsidRPr="00AE5158" w:rsidRDefault="00AE5158" w:rsidP="00AE5158">
            <w:pPr>
              <w:spacing w:line="480" w:lineRule="auto"/>
              <w:rPr>
                <w:rFonts w:ascii="Arial" w:eastAsia="Times New Roman" w:hAnsi="Arial" w:cs="Arial"/>
                <w:kern w:val="0"/>
                <w14:ligatures w14:val="none"/>
              </w:rPr>
            </w:pPr>
            <w:r w:rsidRPr="00AE5158">
              <w:rPr>
                <w:rFonts w:ascii="Arial" w:eastAsia="Times New Roman" w:hAnsi="Arial" w:cs="Arial"/>
                <w:kern w:val="0"/>
                <w14:ligatures w14:val="none"/>
              </w:rPr>
              <w:t>Price-to-Earnings (P/E)</w:t>
            </w:r>
          </w:p>
        </w:tc>
        <w:tc>
          <w:tcPr>
            <w:tcW w:w="0" w:type="auto"/>
            <w:hideMark/>
          </w:tcPr>
          <w:p w14:paraId="3E84751E" w14:textId="77777777" w:rsidR="00AE5158" w:rsidRPr="00AE5158" w:rsidRDefault="00AE5158" w:rsidP="00AE5158">
            <w:pPr>
              <w:spacing w:line="480" w:lineRule="auto"/>
              <w:rPr>
                <w:rFonts w:ascii="Arial" w:eastAsia="Times New Roman" w:hAnsi="Arial" w:cs="Arial"/>
                <w:kern w:val="0"/>
                <w14:ligatures w14:val="none"/>
              </w:rPr>
            </w:pPr>
            <w:r w:rsidRPr="00AE5158">
              <w:rPr>
                <w:rFonts w:ascii="Arial" w:eastAsia="Times New Roman" w:hAnsi="Arial" w:cs="Arial"/>
                <w:kern w:val="0"/>
                <w14:ligatures w14:val="none"/>
              </w:rPr>
              <w:t>Share Price / EPS</w:t>
            </w:r>
          </w:p>
        </w:tc>
        <w:tc>
          <w:tcPr>
            <w:tcW w:w="0" w:type="auto"/>
            <w:hideMark/>
          </w:tcPr>
          <w:p w14:paraId="7A8DE187" w14:textId="77777777" w:rsidR="00AE5158" w:rsidRPr="00AE5158" w:rsidRDefault="00AE5158" w:rsidP="00AE5158">
            <w:pPr>
              <w:spacing w:line="480" w:lineRule="auto"/>
              <w:rPr>
                <w:rFonts w:ascii="Arial" w:eastAsia="Times New Roman" w:hAnsi="Arial" w:cs="Arial"/>
                <w:kern w:val="0"/>
                <w14:ligatures w14:val="none"/>
              </w:rPr>
            </w:pPr>
            <w:r w:rsidRPr="00AE5158">
              <w:rPr>
                <w:rFonts w:ascii="Arial" w:eastAsia="Times New Roman" w:hAnsi="Arial" w:cs="Arial"/>
                <w:kern w:val="0"/>
                <w14:ligatures w14:val="none"/>
              </w:rPr>
              <w:t>10.95</w:t>
            </w:r>
          </w:p>
        </w:tc>
      </w:tr>
    </w:tbl>
    <w:p w14:paraId="097405C7" w14:textId="78D41879" w:rsidR="00AE5158" w:rsidRPr="00BC2468" w:rsidRDefault="00AE5158" w:rsidP="00157516">
      <w:pPr>
        <w:spacing w:after="0" w:line="480" w:lineRule="auto"/>
        <w:rPr>
          <w:rFonts w:ascii="Arial" w:eastAsia="Times New Roman" w:hAnsi="Arial" w:cs="Arial"/>
          <w:kern w:val="0"/>
          <w14:ligatures w14:val="none"/>
        </w:rPr>
      </w:pPr>
      <w:r w:rsidRPr="00AE5158">
        <w:rPr>
          <w:rFonts w:ascii="Arial" w:eastAsia="Times New Roman" w:hAnsi="Arial" w:cs="Arial"/>
          <w:kern w:val="0"/>
          <w14:ligatures w14:val="none"/>
        </w:rPr>
        <w:t>The P/E ratio of 10.95 is below the sector average of 15, indicating declining investor confidence. Falling EPS over time reinforces concerns about profitability and future cash flows.</w:t>
      </w:r>
    </w:p>
    <w:p w14:paraId="6A4B2EEC" w14:textId="77777777"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2.7 Cash Flow Performance</w:t>
      </w:r>
    </w:p>
    <w:p w14:paraId="6153F3DE"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Cash flow provides a more realistic picture of liquidity than accrual-based profits.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operating cash flows have weakened sharply despite modest revenue growth. As shown in Appendix F (Statement of Cash Flows, 2020–2024), net cash from operations decreased from £420 million in Year 1 to £220 million in Year 5.</w:t>
      </w:r>
    </w:p>
    <w:p w14:paraId="6CBF6735"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The primary drivers of this decline include:</w:t>
      </w:r>
    </w:p>
    <w:p w14:paraId="05E75B1D" w14:textId="77777777" w:rsidR="007B1B6D" w:rsidRPr="00BC2468" w:rsidRDefault="007B1B6D" w:rsidP="00157516">
      <w:pPr>
        <w:numPr>
          <w:ilvl w:val="0"/>
          <w:numId w:val="3"/>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Expansion of accounts receivable by £70 million due to relaxed credit policies;</w:t>
      </w:r>
    </w:p>
    <w:p w14:paraId="179F0895" w14:textId="77777777" w:rsidR="007B1B6D" w:rsidRPr="00BC2468" w:rsidRDefault="007B1B6D" w:rsidP="00157516">
      <w:pPr>
        <w:numPr>
          <w:ilvl w:val="0"/>
          <w:numId w:val="3"/>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Increased inventory holdings of £50 million from slower turnover;</w:t>
      </w:r>
    </w:p>
    <w:p w14:paraId="4B18F393" w14:textId="77777777" w:rsidR="007B1B6D" w:rsidRPr="00BC2468" w:rsidRDefault="007B1B6D" w:rsidP="00157516">
      <w:pPr>
        <w:numPr>
          <w:ilvl w:val="0"/>
          <w:numId w:val="3"/>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Rising input costs reducing cash generation capacity;</w:t>
      </w:r>
    </w:p>
    <w:p w14:paraId="17453821" w14:textId="77777777" w:rsidR="007B1B6D" w:rsidRPr="00BC2468" w:rsidRDefault="007B1B6D" w:rsidP="00157516">
      <w:pPr>
        <w:numPr>
          <w:ilvl w:val="0"/>
          <w:numId w:val="3"/>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Stable or slightly increasing dividend outflows despite falling profits.</w:t>
      </w:r>
    </w:p>
    <w:p w14:paraId="558708C7" w14:textId="04672C65"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IAS 7 (2011) cautions that consistent reduction in operating cash inflows while profits persist may signal earnings quality problems or over</w:t>
      </w:r>
      <w:r w:rsidR="001A1670">
        <w:rPr>
          <w:rFonts w:ascii="Arial" w:eastAsia="Times New Roman" w:hAnsi="Arial" w:cs="Arial"/>
          <w:kern w:val="0"/>
          <w14:ligatures w14:val="none"/>
        </w:rPr>
        <w:t>-</w:t>
      </w:r>
      <w:r w:rsidRPr="00BC2468">
        <w:rPr>
          <w:rFonts w:ascii="Arial" w:eastAsia="Times New Roman" w:hAnsi="Arial" w:cs="Arial"/>
          <w:kern w:val="0"/>
          <w14:ligatures w14:val="none"/>
        </w:rPr>
        <w:t xml:space="preserve">capitalisation in working assets. This trend highlights an urgent need for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to institute tighter working-capital control, especially over receivable collection and inventory procurement cycles.</w:t>
      </w:r>
    </w:p>
    <w:p w14:paraId="2043DFCD" w14:textId="77777777"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2.8 Bankruptcy Risk Analysis: Altman Z-Score</w:t>
      </w:r>
    </w:p>
    <w:p w14:paraId="66ED758A"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To quantify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solvency risk, the Altman Z-Score model (Altman, 1968) was applied. This multi-factor discriminant model is widely recognised for predicting financial distress (Rashid, Khan &amp; Qureshi, 2024).</w:t>
      </w:r>
    </w:p>
    <w:p w14:paraId="3EC32692"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Formula:</w:t>
      </w:r>
      <w:r w:rsidRPr="00BC2468">
        <w:rPr>
          <w:rFonts w:ascii="Arial" w:eastAsia="Times New Roman" w:hAnsi="Arial" w:cs="Arial"/>
          <w:kern w:val="0"/>
          <w14:ligatures w14:val="none"/>
        </w:rPr>
        <w:br/>
        <w:t>Z = 1.2X</w:t>
      </w:r>
      <w:r w:rsidRPr="00BC2468">
        <w:rPr>
          <w:rFonts w:ascii="Cambria Math" w:eastAsia="Times New Roman" w:hAnsi="Cambria Math" w:cs="Cambria Math"/>
          <w:kern w:val="0"/>
          <w14:ligatures w14:val="none"/>
        </w:rPr>
        <w:t>₁</w:t>
      </w:r>
      <w:r w:rsidRPr="00BC2468">
        <w:rPr>
          <w:rFonts w:ascii="Arial" w:eastAsia="Times New Roman" w:hAnsi="Arial" w:cs="Arial"/>
          <w:kern w:val="0"/>
          <w14:ligatures w14:val="none"/>
        </w:rPr>
        <w:t xml:space="preserve"> + 1.4X</w:t>
      </w:r>
      <w:r w:rsidRPr="00BC2468">
        <w:rPr>
          <w:rFonts w:ascii="Cambria Math" w:eastAsia="Times New Roman" w:hAnsi="Cambria Math" w:cs="Cambria Math"/>
          <w:kern w:val="0"/>
          <w14:ligatures w14:val="none"/>
        </w:rPr>
        <w:t>₂</w:t>
      </w:r>
      <w:r w:rsidRPr="00BC2468">
        <w:rPr>
          <w:rFonts w:ascii="Arial" w:eastAsia="Times New Roman" w:hAnsi="Arial" w:cs="Arial"/>
          <w:kern w:val="0"/>
          <w14:ligatures w14:val="none"/>
        </w:rPr>
        <w:t xml:space="preserve"> + 3.3X</w:t>
      </w:r>
      <w:r w:rsidRPr="00BC2468">
        <w:rPr>
          <w:rFonts w:ascii="Cambria Math" w:eastAsia="Times New Roman" w:hAnsi="Cambria Math" w:cs="Cambria Math"/>
          <w:kern w:val="0"/>
          <w14:ligatures w14:val="none"/>
        </w:rPr>
        <w:t>₃</w:t>
      </w:r>
      <w:r w:rsidRPr="00BC2468">
        <w:rPr>
          <w:rFonts w:ascii="Arial" w:eastAsia="Times New Roman" w:hAnsi="Arial" w:cs="Arial"/>
          <w:kern w:val="0"/>
          <w14:ligatures w14:val="none"/>
        </w:rPr>
        <w:t xml:space="preserve"> + 0.6X</w:t>
      </w:r>
      <w:r w:rsidRPr="00BC2468">
        <w:rPr>
          <w:rFonts w:ascii="Cambria Math" w:eastAsia="Times New Roman" w:hAnsi="Cambria Math" w:cs="Cambria Math"/>
          <w:kern w:val="0"/>
          <w14:ligatures w14:val="none"/>
        </w:rPr>
        <w:t>₄</w:t>
      </w:r>
      <w:r w:rsidRPr="00BC2468">
        <w:rPr>
          <w:rFonts w:ascii="Arial" w:eastAsia="Times New Roman" w:hAnsi="Arial" w:cs="Arial"/>
          <w:kern w:val="0"/>
          <w14:ligatures w14:val="none"/>
        </w:rPr>
        <w:t xml:space="preserve"> + 1.0X</w:t>
      </w:r>
      <w:r w:rsidRPr="00BC2468">
        <w:rPr>
          <w:rFonts w:ascii="Cambria Math" w:eastAsia="Times New Roman" w:hAnsi="Cambria Math" w:cs="Cambria Math"/>
          <w:kern w:val="0"/>
          <w14:ligatures w14:val="none"/>
        </w:rPr>
        <w:t>₅</w:t>
      </w:r>
    </w:p>
    <w:p w14:paraId="5FAB770B"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where:</w:t>
      </w:r>
    </w:p>
    <w:p w14:paraId="5002D030" w14:textId="77777777" w:rsidR="007B1B6D" w:rsidRPr="00BC2468" w:rsidRDefault="007B1B6D" w:rsidP="00157516">
      <w:pPr>
        <w:numPr>
          <w:ilvl w:val="0"/>
          <w:numId w:val="4"/>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X</w:t>
      </w:r>
      <w:r w:rsidRPr="00BC2468">
        <w:rPr>
          <w:rFonts w:ascii="Cambria Math" w:eastAsia="Times New Roman" w:hAnsi="Cambria Math" w:cs="Cambria Math"/>
          <w:kern w:val="0"/>
          <w14:ligatures w14:val="none"/>
        </w:rPr>
        <w:t>₁</w:t>
      </w:r>
      <w:r w:rsidRPr="00BC2468">
        <w:rPr>
          <w:rFonts w:ascii="Arial" w:eastAsia="Times New Roman" w:hAnsi="Arial" w:cs="Arial"/>
          <w:kern w:val="0"/>
          <w14:ligatures w14:val="none"/>
        </w:rPr>
        <w:t xml:space="preserve"> = Working Capital / Total Assets</w:t>
      </w:r>
    </w:p>
    <w:p w14:paraId="16F9B08F" w14:textId="77777777" w:rsidR="007B1B6D" w:rsidRPr="00BC2468" w:rsidRDefault="007B1B6D" w:rsidP="00157516">
      <w:pPr>
        <w:numPr>
          <w:ilvl w:val="0"/>
          <w:numId w:val="4"/>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X</w:t>
      </w:r>
      <w:r w:rsidRPr="00BC2468">
        <w:rPr>
          <w:rFonts w:ascii="Cambria Math" w:eastAsia="Times New Roman" w:hAnsi="Cambria Math" w:cs="Cambria Math"/>
          <w:kern w:val="0"/>
          <w14:ligatures w14:val="none"/>
        </w:rPr>
        <w:t>₂</w:t>
      </w:r>
      <w:r w:rsidRPr="00BC2468">
        <w:rPr>
          <w:rFonts w:ascii="Arial" w:eastAsia="Times New Roman" w:hAnsi="Arial" w:cs="Arial"/>
          <w:kern w:val="0"/>
          <w14:ligatures w14:val="none"/>
        </w:rPr>
        <w:t xml:space="preserve"> = Retained Earnings / Total Assets</w:t>
      </w:r>
    </w:p>
    <w:p w14:paraId="03F71FBE" w14:textId="77777777" w:rsidR="007B1B6D" w:rsidRPr="00BC2468" w:rsidRDefault="007B1B6D" w:rsidP="00157516">
      <w:pPr>
        <w:numPr>
          <w:ilvl w:val="0"/>
          <w:numId w:val="4"/>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X</w:t>
      </w:r>
      <w:r w:rsidRPr="00BC2468">
        <w:rPr>
          <w:rFonts w:ascii="Cambria Math" w:eastAsia="Times New Roman" w:hAnsi="Cambria Math" w:cs="Cambria Math"/>
          <w:kern w:val="0"/>
          <w14:ligatures w14:val="none"/>
        </w:rPr>
        <w:t>₃</w:t>
      </w:r>
      <w:r w:rsidRPr="00BC2468">
        <w:rPr>
          <w:rFonts w:ascii="Arial" w:eastAsia="Times New Roman" w:hAnsi="Arial" w:cs="Arial"/>
          <w:kern w:val="0"/>
          <w14:ligatures w14:val="none"/>
        </w:rPr>
        <w:t xml:space="preserve"> = EBIT / Total Assets</w:t>
      </w:r>
    </w:p>
    <w:p w14:paraId="3A895B92" w14:textId="77777777" w:rsidR="007B1B6D" w:rsidRPr="00BC2468" w:rsidRDefault="007B1B6D" w:rsidP="00157516">
      <w:pPr>
        <w:numPr>
          <w:ilvl w:val="0"/>
          <w:numId w:val="4"/>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X</w:t>
      </w:r>
      <w:r w:rsidRPr="00BC2468">
        <w:rPr>
          <w:rFonts w:ascii="Cambria Math" w:eastAsia="Times New Roman" w:hAnsi="Cambria Math" w:cs="Cambria Math"/>
          <w:kern w:val="0"/>
          <w14:ligatures w14:val="none"/>
        </w:rPr>
        <w:t>₄</w:t>
      </w:r>
      <w:r w:rsidRPr="00BC2468">
        <w:rPr>
          <w:rFonts w:ascii="Arial" w:eastAsia="Times New Roman" w:hAnsi="Arial" w:cs="Arial"/>
          <w:kern w:val="0"/>
          <w14:ligatures w14:val="none"/>
        </w:rPr>
        <w:t xml:space="preserve"> = Market Value of Equity / Total Liabilities</w:t>
      </w:r>
    </w:p>
    <w:p w14:paraId="428AB593" w14:textId="77777777" w:rsidR="007B1B6D" w:rsidRPr="00BC2468" w:rsidRDefault="007B1B6D" w:rsidP="00157516">
      <w:pPr>
        <w:numPr>
          <w:ilvl w:val="0"/>
          <w:numId w:val="4"/>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X</w:t>
      </w:r>
      <w:r w:rsidRPr="00BC2468">
        <w:rPr>
          <w:rFonts w:ascii="Cambria Math" w:eastAsia="Times New Roman" w:hAnsi="Cambria Math" w:cs="Cambria Math"/>
          <w:kern w:val="0"/>
          <w14:ligatures w14:val="none"/>
        </w:rPr>
        <w:t>₅</w:t>
      </w:r>
      <w:r w:rsidRPr="00BC2468">
        <w:rPr>
          <w:rFonts w:ascii="Arial" w:eastAsia="Times New Roman" w:hAnsi="Arial" w:cs="Arial"/>
          <w:kern w:val="0"/>
          <w14:ligatures w14:val="none"/>
        </w:rPr>
        <w:t xml:space="preserve"> = Sales / Total Assets</w:t>
      </w:r>
    </w:p>
    <w:p w14:paraId="5E649175"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Applying Year 5 data (see Appendix G: Z-Score Computation Table):</w:t>
      </w:r>
      <w:r w:rsidRPr="00BC2468">
        <w:rPr>
          <w:rFonts w:ascii="Arial" w:eastAsia="Times New Roman" w:hAnsi="Arial" w:cs="Arial"/>
          <w:kern w:val="0"/>
          <w14:ligatures w14:val="none"/>
        </w:rPr>
        <w:br/>
        <w:t>X</w:t>
      </w:r>
      <w:r w:rsidRPr="00BC2468">
        <w:rPr>
          <w:rFonts w:ascii="Cambria Math" w:eastAsia="Times New Roman" w:hAnsi="Cambria Math" w:cs="Cambria Math"/>
          <w:kern w:val="0"/>
          <w14:ligatures w14:val="none"/>
        </w:rPr>
        <w:t>₁</w:t>
      </w:r>
      <w:r w:rsidRPr="00BC2468">
        <w:rPr>
          <w:rFonts w:ascii="Arial" w:eastAsia="Times New Roman" w:hAnsi="Arial" w:cs="Arial"/>
          <w:kern w:val="0"/>
          <w14:ligatures w14:val="none"/>
        </w:rPr>
        <w:t xml:space="preserve"> = 60 / 2,800 = 0.021</w:t>
      </w:r>
      <w:r w:rsidRPr="00BC2468">
        <w:rPr>
          <w:rFonts w:ascii="Arial" w:eastAsia="Times New Roman" w:hAnsi="Arial" w:cs="Arial"/>
          <w:kern w:val="0"/>
          <w14:ligatures w14:val="none"/>
        </w:rPr>
        <w:br/>
        <w:t>X</w:t>
      </w:r>
      <w:r w:rsidRPr="00BC2468">
        <w:rPr>
          <w:rFonts w:ascii="Cambria Math" w:eastAsia="Times New Roman" w:hAnsi="Cambria Math" w:cs="Cambria Math"/>
          <w:kern w:val="0"/>
          <w14:ligatures w14:val="none"/>
        </w:rPr>
        <w:t>₂</w:t>
      </w:r>
      <w:r w:rsidRPr="00BC2468">
        <w:rPr>
          <w:rFonts w:ascii="Arial" w:eastAsia="Times New Roman" w:hAnsi="Arial" w:cs="Arial"/>
          <w:kern w:val="0"/>
          <w14:ligatures w14:val="none"/>
        </w:rPr>
        <w:t xml:space="preserve"> = 500 / 2,800 = 0.179</w:t>
      </w:r>
      <w:r w:rsidRPr="00BC2468">
        <w:rPr>
          <w:rFonts w:ascii="Arial" w:eastAsia="Times New Roman" w:hAnsi="Arial" w:cs="Arial"/>
          <w:kern w:val="0"/>
          <w14:ligatures w14:val="none"/>
        </w:rPr>
        <w:br/>
        <w:t>X</w:t>
      </w:r>
      <w:r w:rsidRPr="00BC2468">
        <w:rPr>
          <w:rFonts w:ascii="Cambria Math" w:eastAsia="Times New Roman" w:hAnsi="Cambria Math" w:cs="Cambria Math"/>
          <w:kern w:val="0"/>
          <w14:ligatures w14:val="none"/>
        </w:rPr>
        <w:t>₃</w:t>
      </w:r>
      <w:r w:rsidRPr="00BC2468">
        <w:rPr>
          <w:rFonts w:ascii="Arial" w:eastAsia="Times New Roman" w:hAnsi="Arial" w:cs="Arial"/>
          <w:kern w:val="0"/>
          <w14:ligatures w14:val="none"/>
        </w:rPr>
        <w:t xml:space="preserve"> = 280 / 2,800 = 0.100</w:t>
      </w:r>
      <w:r w:rsidRPr="00BC2468">
        <w:rPr>
          <w:rFonts w:ascii="Arial" w:eastAsia="Times New Roman" w:hAnsi="Arial" w:cs="Arial"/>
          <w:kern w:val="0"/>
          <w14:ligatures w14:val="none"/>
        </w:rPr>
        <w:br/>
        <w:t>X</w:t>
      </w:r>
      <w:r w:rsidRPr="00BC2468">
        <w:rPr>
          <w:rFonts w:ascii="Cambria Math" w:eastAsia="Times New Roman" w:hAnsi="Cambria Math" w:cs="Cambria Math"/>
          <w:kern w:val="0"/>
          <w14:ligatures w14:val="none"/>
        </w:rPr>
        <w:t>₄</w:t>
      </w:r>
      <w:r w:rsidRPr="00BC2468">
        <w:rPr>
          <w:rFonts w:ascii="Arial" w:eastAsia="Times New Roman" w:hAnsi="Arial" w:cs="Arial"/>
          <w:kern w:val="0"/>
          <w14:ligatures w14:val="none"/>
        </w:rPr>
        <w:t xml:space="preserve"> = 2,000 / 2,370 = 0.844</w:t>
      </w:r>
      <w:r w:rsidRPr="00BC2468">
        <w:rPr>
          <w:rFonts w:ascii="Arial" w:eastAsia="Times New Roman" w:hAnsi="Arial" w:cs="Arial"/>
          <w:kern w:val="0"/>
          <w14:ligatures w14:val="none"/>
        </w:rPr>
        <w:br/>
        <w:t>X</w:t>
      </w:r>
      <w:r w:rsidRPr="00BC2468">
        <w:rPr>
          <w:rFonts w:ascii="Cambria Math" w:eastAsia="Times New Roman" w:hAnsi="Cambria Math" w:cs="Cambria Math"/>
          <w:kern w:val="0"/>
          <w14:ligatures w14:val="none"/>
        </w:rPr>
        <w:t>₅</w:t>
      </w:r>
      <w:r w:rsidRPr="00BC2468">
        <w:rPr>
          <w:rFonts w:ascii="Arial" w:eastAsia="Times New Roman" w:hAnsi="Arial" w:cs="Arial"/>
          <w:kern w:val="0"/>
          <w14:ligatures w14:val="none"/>
        </w:rPr>
        <w:t xml:space="preserve"> = 4,200 / 2,800 = 1.50</w:t>
      </w:r>
    </w:p>
    <w:p w14:paraId="532D132A"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Z = (1.2 × 0.021) + (1.4 × 0.179) + (3.3 × 0.100) + (0.6 × 0.844) + (1.0 × 1.50)</w:t>
      </w:r>
      <w:r w:rsidRPr="00BC2468">
        <w:rPr>
          <w:rFonts w:ascii="Arial" w:eastAsia="Times New Roman" w:hAnsi="Arial" w:cs="Arial"/>
          <w:kern w:val="0"/>
          <w14:ligatures w14:val="none"/>
        </w:rPr>
        <w:br/>
        <w:t>= 0.025 + 0.251 + 0.330 + 0.506 + 1.500 = 2.61</w:t>
      </w:r>
    </w:p>
    <w:p w14:paraId="03450E0D"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A Z-score of 2.61 places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squarely in Altman’s “grey zone” (1.8–2.7), implying moderate but rising financial distress. Firms within this range typically have a 30–50% probability of default within two years if corrective measures are not taken (Abbasov, 2017). The finding is consistent with the observed deterioration in liquidity, profitability, and leverage indicators.</w:t>
      </w:r>
    </w:p>
    <w:p w14:paraId="0B38A965" w14:textId="77777777" w:rsidR="007B1B6D"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Rashid et al. (2024) corroborate the reliability of Altman’s model for manufacturing firms, emphasising that persistent Z-score decline below 2.7 should trigger early-warning interventions, including restructuring and cost rationalisation.</w:t>
      </w:r>
    </w:p>
    <w:p w14:paraId="3C21A935" w14:textId="77777777" w:rsidR="00387672" w:rsidRDefault="00387672" w:rsidP="00157516">
      <w:pPr>
        <w:spacing w:after="0" w:line="480" w:lineRule="auto"/>
        <w:rPr>
          <w:rFonts w:ascii="Arial" w:eastAsia="Times New Roman" w:hAnsi="Arial" w:cs="Arial"/>
          <w:kern w:val="0"/>
          <w14:ligatures w14:val="none"/>
        </w:rPr>
      </w:pPr>
    </w:p>
    <w:p w14:paraId="2ED33BD1" w14:textId="77777777" w:rsidR="00387672" w:rsidRDefault="00387672" w:rsidP="00157516">
      <w:pPr>
        <w:spacing w:after="0" w:line="480" w:lineRule="auto"/>
        <w:rPr>
          <w:rFonts w:ascii="Arial" w:eastAsia="Times New Roman" w:hAnsi="Arial" w:cs="Arial"/>
          <w:kern w:val="0"/>
          <w14:ligatures w14:val="none"/>
        </w:rPr>
      </w:pPr>
    </w:p>
    <w:p w14:paraId="3F3D59B6" w14:textId="77777777" w:rsidR="00387672" w:rsidRPr="00BC2468" w:rsidRDefault="00387672" w:rsidP="00157516">
      <w:pPr>
        <w:spacing w:after="0" w:line="480" w:lineRule="auto"/>
        <w:rPr>
          <w:rFonts w:ascii="Arial" w:eastAsia="Times New Roman" w:hAnsi="Arial" w:cs="Arial"/>
          <w:kern w:val="0"/>
          <w14:ligatures w14:val="none"/>
        </w:rPr>
      </w:pPr>
    </w:p>
    <w:p w14:paraId="52553C5A" w14:textId="77777777" w:rsidR="007B1B6D" w:rsidRPr="00BC2468" w:rsidRDefault="007B1B6D"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2.9 Interpretation and Discussion</w:t>
      </w:r>
    </w:p>
    <w:p w14:paraId="2AF93A07"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The integrated analysis of profitability, liquidity, efficiency, and solvency presents a comprehensive view of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financial health (summary in Appendix H, Figure H1). The findings are as follows:</w:t>
      </w:r>
    </w:p>
    <w:p w14:paraId="3633DAF0" w14:textId="77777777" w:rsidR="007B1B6D" w:rsidRPr="00BC2468" w:rsidRDefault="007B1B6D" w:rsidP="00157516">
      <w:pPr>
        <w:numPr>
          <w:ilvl w:val="0"/>
          <w:numId w:val="5"/>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Profitability Decline:</w:t>
      </w:r>
      <w:r w:rsidRPr="00BC2468">
        <w:rPr>
          <w:rFonts w:ascii="Arial" w:eastAsia="Times New Roman" w:hAnsi="Arial" w:cs="Arial"/>
          <w:kern w:val="0"/>
          <w14:ligatures w14:val="none"/>
        </w:rPr>
        <w:t xml:space="preserve"> Persistent erosion of both gross and net margins—combined with falling ROCE—confirms inefficiencies in production cost management, possibly due to outdated technology, rising raw-material costs, and limited product differentiation.</w:t>
      </w:r>
    </w:p>
    <w:p w14:paraId="7E62EC18" w14:textId="77777777" w:rsidR="007B1B6D" w:rsidRPr="00BC2468" w:rsidRDefault="007B1B6D" w:rsidP="00157516">
      <w:pPr>
        <w:numPr>
          <w:ilvl w:val="0"/>
          <w:numId w:val="5"/>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Liquidity Erosion:</w:t>
      </w:r>
      <w:r w:rsidRPr="00BC2468">
        <w:rPr>
          <w:rFonts w:ascii="Arial" w:eastAsia="Times New Roman" w:hAnsi="Arial" w:cs="Arial"/>
          <w:kern w:val="0"/>
          <w14:ligatures w14:val="none"/>
        </w:rPr>
        <w:t xml:space="preserve"> The company’s current and quick ratios have weakened to near-critical levels, indicating difficulty in meeting short-term liabilities. Cash resources are heavily tied up in slow-moving inventory and outstanding receivables.</w:t>
      </w:r>
    </w:p>
    <w:p w14:paraId="34085CCA" w14:textId="77777777" w:rsidR="007B1B6D" w:rsidRPr="00BC2468" w:rsidRDefault="007B1B6D" w:rsidP="00157516">
      <w:pPr>
        <w:numPr>
          <w:ilvl w:val="0"/>
          <w:numId w:val="5"/>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Operational Inefficiency:</w:t>
      </w:r>
      <w:r w:rsidRPr="00BC2468">
        <w:rPr>
          <w:rFonts w:ascii="Arial" w:eastAsia="Times New Roman" w:hAnsi="Arial" w:cs="Arial"/>
          <w:kern w:val="0"/>
          <w14:ligatures w14:val="none"/>
        </w:rPr>
        <w:t xml:space="preserve"> The 50-day cash-conversion cycle exceeds the optimal benchmark, signifying that working capital is being utilised sub-optimally. Consistent with Deloof (2003), this inefficiency has a direct negative impact on profitability.</w:t>
      </w:r>
    </w:p>
    <w:p w14:paraId="3FDC85D4" w14:textId="77777777" w:rsidR="007B1B6D" w:rsidRPr="00BC2468" w:rsidRDefault="007B1B6D" w:rsidP="00157516">
      <w:pPr>
        <w:numPr>
          <w:ilvl w:val="0"/>
          <w:numId w:val="5"/>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Rising Leverage:</w:t>
      </w:r>
      <w:r w:rsidRPr="00BC2468">
        <w:rPr>
          <w:rFonts w:ascii="Arial" w:eastAsia="Times New Roman" w:hAnsi="Arial" w:cs="Arial"/>
          <w:kern w:val="0"/>
          <w14:ligatures w14:val="none"/>
        </w:rPr>
        <w:t xml:space="preserve"> The increase in debt-to-equity ratio from 0.53 to 0.88 exposes the firm to higher financial risk and potential covenant breaches. Diminished interest coverage capacity amplifies solvency risk during downturns.</w:t>
      </w:r>
    </w:p>
    <w:p w14:paraId="0A06E4B2" w14:textId="77777777" w:rsidR="007B1B6D" w:rsidRPr="00BC2468" w:rsidRDefault="007B1B6D" w:rsidP="00157516">
      <w:pPr>
        <w:numPr>
          <w:ilvl w:val="0"/>
          <w:numId w:val="5"/>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Bankruptcy Risk:</w:t>
      </w:r>
      <w:r w:rsidRPr="00BC2468">
        <w:rPr>
          <w:rFonts w:ascii="Arial" w:eastAsia="Times New Roman" w:hAnsi="Arial" w:cs="Arial"/>
          <w:kern w:val="0"/>
          <w14:ligatures w14:val="none"/>
        </w:rPr>
        <w:t xml:space="preserve"> The Altman Z-score of 2.61 reinforces the conclusion that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is financially fragile, though not yet in imminent insolvency. Immediate corrective actions—such as debt restructuring, cost optimisation, and working-capital reforms—are critical to avert further decline.</w:t>
      </w:r>
    </w:p>
    <w:p w14:paraId="45802980" w14:textId="77777777" w:rsidR="007B1B6D" w:rsidRPr="00BC2468" w:rsidRDefault="007B1B6D" w:rsidP="00157516">
      <w:pPr>
        <w:numPr>
          <w:ilvl w:val="0"/>
          <w:numId w:val="5"/>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Market Sentiment:</w:t>
      </w:r>
      <w:r w:rsidRPr="00BC2468">
        <w:rPr>
          <w:rFonts w:ascii="Arial" w:eastAsia="Times New Roman" w:hAnsi="Arial" w:cs="Arial"/>
          <w:kern w:val="0"/>
          <w14:ligatures w14:val="none"/>
        </w:rPr>
        <w:t xml:space="preserve"> Falling EPS and below-average P/E ratio suggest waning investor confidence. Restoring market trust requires credible profit recovery and stronger dividend sustainability.</w:t>
      </w:r>
    </w:p>
    <w:p w14:paraId="60C4ED1D" w14:textId="77777777" w:rsidR="007B1B6D" w:rsidRPr="00BC2468" w:rsidRDefault="007B1B6D"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In summary,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faces a multi-dimensional financial challenge: tightening liquidity, declining efficiency, and growing leverage. However, the firm remains salvageable through decisive strategic financial management. Targeted operational reforms, improved cash-flow discipline, and prudent capital-structure realignment can restore solvency and profitability over the medium term. These conclusions provide the foundation for the subsequent Working-Capital Analysis (Section 3) and Strategic Restructuring Plan (Section 4).</w:t>
      </w:r>
    </w:p>
    <w:p w14:paraId="39541591" w14:textId="77777777" w:rsidR="00C72388" w:rsidRPr="00BC2468" w:rsidRDefault="00C72388" w:rsidP="00343098">
      <w:pPr>
        <w:spacing w:after="0" w:line="480" w:lineRule="auto"/>
        <w:jc w:val="center"/>
        <w:outlineLvl w:val="1"/>
        <w:rPr>
          <w:rFonts w:ascii="Arial" w:eastAsia="Times New Roman" w:hAnsi="Arial" w:cs="Arial"/>
          <w:b/>
          <w:bCs/>
          <w:kern w:val="0"/>
          <w14:ligatures w14:val="none"/>
        </w:rPr>
      </w:pPr>
      <w:r w:rsidRPr="00BC2468">
        <w:rPr>
          <w:rFonts w:ascii="Arial" w:eastAsia="Times New Roman" w:hAnsi="Arial" w:cs="Arial"/>
          <w:b/>
          <w:bCs/>
          <w:kern w:val="0"/>
          <w14:ligatures w14:val="none"/>
        </w:rPr>
        <w:t>3. Working-Capital-Management Analysis</w:t>
      </w:r>
    </w:p>
    <w:p w14:paraId="590B87B0" w14:textId="7AA36F6B"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Working capital represents the firm’s capacity to meet short-term obligations and finance day-to-day operations. It is defined as </w:t>
      </w:r>
      <w:r w:rsidRPr="00BC2468">
        <w:rPr>
          <w:rFonts w:ascii="Arial" w:eastAsia="Times New Roman" w:hAnsi="Arial" w:cs="Arial"/>
          <w:i/>
          <w:iCs/>
          <w:kern w:val="0"/>
          <w14:ligatures w14:val="none"/>
        </w:rPr>
        <w:t>current assets minus current liabilities</w:t>
      </w:r>
      <w:r w:rsidRPr="00BC2468">
        <w:rPr>
          <w:rFonts w:ascii="Arial" w:eastAsia="Times New Roman" w:hAnsi="Arial" w:cs="Arial"/>
          <w:kern w:val="0"/>
          <w14:ligatures w14:val="none"/>
        </w:rPr>
        <w:t xml:space="preserve"> and reflects the liquidity buffer available for operational continuity (Brealey, Myers &amp; Allen, 2011). Efficient working-capital management (WCM) ensures that liquidity and profitability are balanced</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too little working capital risks insolvency, while excessive levels tie up funds unproductively (Deloof, 2003).</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 xml:space="preserve">For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effective WCM is essential given the liquidity erosion and prolonged cash-conversion cycle (CCC) identified in Section 2. The following subsections analyse the company’s working-capital efficiency, supported by quantitative computations and improvement strategies.</w:t>
      </w:r>
    </w:p>
    <w:p w14:paraId="6FA9C2B2" w14:textId="77777777" w:rsidR="00C72388" w:rsidRPr="00BC2468" w:rsidRDefault="00C72388"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3.1 Evaluation of the Cash-Conversion Cycle (CCC)</w:t>
      </w:r>
    </w:p>
    <w:p w14:paraId="5E9F2331"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The </w:t>
      </w:r>
      <w:r w:rsidRPr="00BC2468">
        <w:rPr>
          <w:rFonts w:ascii="Arial" w:eastAsia="Times New Roman" w:hAnsi="Arial" w:cs="Arial"/>
          <w:b/>
          <w:bCs/>
          <w:kern w:val="0"/>
          <w14:ligatures w14:val="none"/>
        </w:rPr>
        <w:t>cash-conversion cycle (CCC)</w:t>
      </w:r>
      <w:r w:rsidRPr="00BC2468">
        <w:rPr>
          <w:rFonts w:ascii="Arial" w:eastAsia="Times New Roman" w:hAnsi="Arial" w:cs="Arial"/>
          <w:kern w:val="0"/>
          <w14:ligatures w14:val="none"/>
        </w:rPr>
        <w:t xml:space="preserve"> measures how long it takes for each pound invested in operations to be converted back into cash. It integrates inventory, receivable, and payable management, and is calculated as:</w:t>
      </w:r>
    </w:p>
    <w:p w14:paraId="1A160ACF"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CCC = Inventory Days + Receivable Days – Payable Days</w:t>
      </w:r>
    </w:p>
    <w:p w14:paraId="5AA97247"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Using figures derived in Section 2 (Appendix I, Table I1):</w:t>
      </w:r>
    </w:p>
    <w:p w14:paraId="3191E7C8" w14:textId="77777777" w:rsidR="00C72388" w:rsidRPr="00BC2468" w:rsidRDefault="00C72388" w:rsidP="00157516">
      <w:pPr>
        <w:numPr>
          <w:ilvl w:val="0"/>
          <w:numId w:val="6"/>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Inventory days = 58</w:t>
      </w:r>
    </w:p>
    <w:p w14:paraId="4575C344" w14:textId="77777777" w:rsidR="00C72388" w:rsidRPr="00BC2468" w:rsidRDefault="00C72388" w:rsidP="00157516">
      <w:pPr>
        <w:numPr>
          <w:ilvl w:val="0"/>
          <w:numId w:val="6"/>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Receivable days = 34</w:t>
      </w:r>
    </w:p>
    <w:p w14:paraId="51D0D8DA" w14:textId="77777777" w:rsidR="00C72388" w:rsidRPr="00BC2468" w:rsidRDefault="00C72388" w:rsidP="00157516">
      <w:pPr>
        <w:numPr>
          <w:ilvl w:val="0"/>
          <w:numId w:val="6"/>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Payable days = 42</w:t>
      </w:r>
    </w:p>
    <w:p w14:paraId="541BF22B"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Hence,</w:t>
      </w:r>
      <w:r w:rsidRPr="00BC2468">
        <w:rPr>
          <w:rFonts w:ascii="Arial" w:eastAsia="Times New Roman" w:hAnsi="Arial" w:cs="Arial"/>
          <w:kern w:val="0"/>
          <w14:ligatures w14:val="none"/>
        </w:rPr>
        <w:br/>
        <w:t>CCC = 58 + 34 – 42 = 50 days.</w:t>
      </w:r>
    </w:p>
    <w:p w14:paraId="4F2646B1"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This means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ties up £1 of working capital for roughly seven weeks before it returns as cash. The electronics-manufacturing industry benchmark is approximately 35 days, indicating inefficiency and constrained liquidity (Deloof, 2003).</w:t>
      </w:r>
    </w:p>
    <w:p w14:paraId="0A72E3CC" w14:textId="77777777" w:rsidR="00C72388" w:rsidRPr="00BC2468" w:rsidRDefault="00C72388"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Liquidity-gain potential</w:t>
      </w:r>
    </w:p>
    <w:p w14:paraId="7499C75F"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Target: reduce CCC by 15 days (from 50 to 35 days).</w:t>
      </w:r>
      <w:r w:rsidRPr="00BC2468">
        <w:rPr>
          <w:rFonts w:ascii="Arial" w:eastAsia="Times New Roman" w:hAnsi="Arial" w:cs="Arial"/>
          <w:kern w:val="0"/>
          <w14:ligatures w14:val="none"/>
        </w:rPr>
        <w:br/>
        <w:t>Expected liquidity gain = (15 / 365) × Annual Sales</w:t>
      </w:r>
      <w:r w:rsidRPr="00BC2468">
        <w:rPr>
          <w:rFonts w:ascii="Arial" w:eastAsia="Times New Roman" w:hAnsi="Arial" w:cs="Arial"/>
          <w:kern w:val="0"/>
          <w14:ligatures w14:val="none"/>
        </w:rPr>
        <w:br/>
        <w:t>= (15 / 365) × 4,200 = £172.6 million potential cash release.</w:t>
      </w:r>
    </w:p>
    <w:p w14:paraId="4A82858A"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This improvement would substantially enhance liquidity, providing internal funding for debt repayment or reinvestment (Shin &amp; Soenen, 1998).</w:t>
      </w:r>
    </w:p>
    <w:p w14:paraId="0B17F779" w14:textId="77777777" w:rsidR="00C72388" w:rsidRPr="00BC2468" w:rsidRDefault="00C72388"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3.2 Inventory Control</w:t>
      </w:r>
    </w:p>
    <w:p w14:paraId="317D9814"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Inventory represents 46 % of current assets, revealing significant capital immobilisation. Inventory turnover is calculated as:</w:t>
      </w:r>
    </w:p>
    <w:p w14:paraId="3A3FF6CE"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Inventory Turnover = Cost of Sales / Average Inventory</w:t>
      </w:r>
      <w:r w:rsidRPr="00BC2468">
        <w:rPr>
          <w:rFonts w:ascii="Arial" w:eastAsia="Times New Roman" w:hAnsi="Arial" w:cs="Arial"/>
          <w:kern w:val="0"/>
          <w14:ligatures w14:val="none"/>
        </w:rPr>
        <w:br/>
        <w:t>= 2,840 / 450 = 6.31 times per year</w:t>
      </w:r>
    </w:p>
    <w:p w14:paraId="42EC17E0"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This compares unfavourably with the industry benchmark of 8 times, signifying excessive stockholding (Appendix J, Table J1). To identify over-investment:</w:t>
      </w:r>
    </w:p>
    <w:p w14:paraId="765CBA73"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Optimal Inventory = Cost of Sales / Benchmark Turnover</w:t>
      </w:r>
      <w:r w:rsidRPr="00BC2468">
        <w:rPr>
          <w:rFonts w:ascii="Arial" w:eastAsia="Times New Roman" w:hAnsi="Arial" w:cs="Arial"/>
          <w:kern w:val="0"/>
          <w14:ligatures w14:val="none"/>
        </w:rPr>
        <w:br/>
        <w:t>= 2,840 / 8 = 355 million</w:t>
      </w:r>
    </w:p>
    <w:p w14:paraId="5E69B1F4"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Excess Inventory = 450 – 355 = £95 million.</w:t>
      </w:r>
    </w:p>
    <w:p w14:paraId="17DCD84D"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Implementing </w:t>
      </w:r>
      <w:r w:rsidRPr="00BC2468">
        <w:rPr>
          <w:rFonts w:ascii="Arial" w:eastAsia="Times New Roman" w:hAnsi="Arial" w:cs="Arial"/>
          <w:i/>
          <w:iCs/>
          <w:kern w:val="0"/>
          <w14:ligatures w14:val="none"/>
        </w:rPr>
        <w:t>Just-in-Time (JIT)</w:t>
      </w:r>
      <w:r w:rsidRPr="00BC2468">
        <w:rPr>
          <w:rFonts w:ascii="Arial" w:eastAsia="Times New Roman" w:hAnsi="Arial" w:cs="Arial"/>
          <w:kern w:val="0"/>
          <w14:ligatures w14:val="none"/>
        </w:rPr>
        <w:t xml:space="preserve"> procurement and demand-forecasting systems could reduce holding costs by approximately 20 %, releasing around £90 million of idle funds (Anandasayanan, 2014). Moreover, enhanced inventory analytics and supplier integration can prevent both stock-outs and over-stocking, optimising working-capital allocation.</w:t>
      </w:r>
    </w:p>
    <w:p w14:paraId="0E62C2B7"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Deloof (2003) found that shorter inventory periods directly correlate with higher profitability, particularly in manufacturing. By aligning inventory purchases with production schedules,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can simultaneously lower costs and improve its operating margin.</w:t>
      </w:r>
    </w:p>
    <w:p w14:paraId="5FC721D0" w14:textId="77777777" w:rsidR="00C72388" w:rsidRPr="00BC2468" w:rsidRDefault="00C72388"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3.3 Receivables Management</w:t>
      </w:r>
    </w:p>
    <w:p w14:paraId="756912E2"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Accounts receivable represent credit extended to customers, which, if mismanaged, create cash-flow bottlenecks. The average-collection period (ACP) is computed as:</w:t>
      </w:r>
    </w:p>
    <w:p w14:paraId="5B065EA3"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ACP = (Receivables / Sales) × 365</w:t>
      </w:r>
      <w:r w:rsidRPr="00BC2468">
        <w:rPr>
          <w:rFonts w:ascii="Arial" w:eastAsia="Times New Roman" w:hAnsi="Arial" w:cs="Arial"/>
          <w:kern w:val="0"/>
          <w14:ligatures w14:val="none"/>
        </w:rPr>
        <w:br/>
        <w:t>= (390 / 4,200) × 365 = 34 days.</w:t>
      </w:r>
    </w:p>
    <w:p w14:paraId="1E697AD8"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The industry average is 25 days, meaning the company collects payments nine days later than competitors (Appendix J, Figure J2). Reducing the period from 34 to 25 days could release:</w:t>
      </w:r>
    </w:p>
    <w:p w14:paraId="2A0D917B" w14:textId="77777777" w:rsidR="008764EF"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Liquidity gain</w:t>
      </w:r>
      <w:r w:rsidRPr="00BC2468">
        <w:rPr>
          <w:rFonts w:ascii="Arial" w:eastAsia="Times New Roman" w:hAnsi="Arial" w:cs="Arial"/>
          <w:kern w:val="0"/>
          <w14:ligatures w14:val="none"/>
        </w:rPr>
        <w:t xml:space="preserve"> = (9 / 365) × Sales </w:t>
      </w:r>
    </w:p>
    <w:p w14:paraId="6AF628C1" w14:textId="39215C6E" w:rsidR="008764EF" w:rsidRPr="00BC2468" w:rsidRDefault="008764EF"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                         </w:t>
      </w:r>
      <w:r w:rsidR="00C72388" w:rsidRPr="00BC2468">
        <w:rPr>
          <w:rFonts w:ascii="Arial" w:eastAsia="Times New Roman" w:hAnsi="Arial" w:cs="Arial"/>
          <w:kern w:val="0"/>
          <w14:ligatures w14:val="none"/>
        </w:rPr>
        <w:t>= (9 / 365) × 4,200</w:t>
      </w:r>
      <w:r w:rsidRPr="00BC2468">
        <w:rPr>
          <w:rFonts w:ascii="Arial" w:eastAsia="Times New Roman" w:hAnsi="Arial" w:cs="Arial"/>
          <w:kern w:val="0"/>
          <w14:ligatures w14:val="none"/>
        </w:rPr>
        <w:t xml:space="preserve">                     </w:t>
      </w:r>
    </w:p>
    <w:p w14:paraId="4F9A6BF6" w14:textId="661496E9" w:rsidR="00C72388" w:rsidRPr="00BC2468" w:rsidRDefault="008764EF"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                         </w:t>
      </w:r>
      <w:r w:rsidR="00C72388" w:rsidRPr="00BC2468">
        <w:rPr>
          <w:rFonts w:ascii="Arial" w:eastAsia="Times New Roman" w:hAnsi="Arial" w:cs="Arial"/>
          <w:kern w:val="0"/>
          <w14:ligatures w14:val="none"/>
        </w:rPr>
        <w:t>= £103.6 million.</w:t>
      </w:r>
    </w:p>
    <w:p w14:paraId="722C9EBF"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To achieve this, several strategies are recommended:</w:t>
      </w:r>
    </w:p>
    <w:p w14:paraId="34D2F22F" w14:textId="77777777" w:rsidR="00C72388" w:rsidRPr="00BC2468" w:rsidRDefault="00C72388" w:rsidP="00157516">
      <w:pPr>
        <w:numPr>
          <w:ilvl w:val="0"/>
          <w:numId w:val="7"/>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Tighten credit policy</w:t>
      </w:r>
      <w:r w:rsidRPr="00BC2468">
        <w:rPr>
          <w:rFonts w:ascii="Arial" w:eastAsia="Times New Roman" w:hAnsi="Arial" w:cs="Arial"/>
          <w:kern w:val="0"/>
          <w14:ligatures w14:val="none"/>
        </w:rPr>
        <w:t xml:space="preserve"> – limit trade-credit terms to financially sound customers and perform periodic credit checks.</w:t>
      </w:r>
    </w:p>
    <w:p w14:paraId="1BA1C506" w14:textId="77777777" w:rsidR="00C72388" w:rsidRPr="00BC2468" w:rsidRDefault="00C72388" w:rsidP="00157516">
      <w:pPr>
        <w:numPr>
          <w:ilvl w:val="0"/>
          <w:numId w:val="7"/>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Early-payment discounts</w:t>
      </w:r>
      <w:r w:rsidRPr="00BC2468">
        <w:rPr>
          <w:rFonts w:ascii="Arial" w:eastAsia="Times New Roman" w:hAnsi="Arial" w:cs="Arial"/>
          <w:kern w:val="0"/>
          <w14:ligatures w14:val="none"/>
        </w:rPr>
        <w:t xml:space="preserve"> – offer 2 % discounts for payment within 10 days (“2/10 net 30”) to incentivise faster settlement (Chen, 2020).</w:t>
      </w:r>
    </w:p>
    <w:p w14:paraId="281049C1" w14:textId="77777777" w:rsidR="00C72388" w:rsidRPr="00BC2468" w:rsidRDefault="00C72388" w:rsidP="00157516">
      <w:pPr>
        <w:numPr>
          <w:ilvl w:val="0"/>
          <w:numId w:val="7"/>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Receivables factoring</w:t>
      </w:r>
      <w:r w:rsidRPr="00BC2468">
        <w:rPr>
          <w:rFonts w:ascii="Arial" w:eastAsia="Times New Roman" w:hAnsi="Arial" w:cs="Arial"/>
          <w:kern w:val="0"/>
          <w14:ligatures w14:val="none"/>
        </w:rPr>
        <w:t xml:space="preserve"> – sell selected receivables to financial institutions at a small discount to accelerate cash inflows.</w:t>
      </w:r>
    </w:p>
    <w:p w14:paraId="13EA2B09" w14:textId="77777777" w:rsidR="00C72388" w:rsidRPr="00BC2468" w:rsidRDefault="00C72388" w:rsidP="00157516">
      <w:pPr>
        <w:numPr>
          <w:ilvl w:val="0"/>
          <w:numId w:val="7"/>
        </w:num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Automated invoicing</w:t>
      </w:r>
      <w:r w:rsidRPr="00BC2468">
        <w:rPr>
          <w:rFonts w:ascii="Arial" w:eastAsia="Times New Roman" w:hAnsi="Arial" w:cs="Arial"/>
          <w:kern w:val="0"/>
          <w14:ligatures w14:val="none"/>
        </w:rPr>
        <w:t xml:space="preserve"> – use enterprise-resource-planning (ERP) software for real-time invoice tracking and reminders.</w:t>
      </w:r>
    </w:p>
    <w:p w14:paraId="1981BB68"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Research by Chen (2020) confirms that SMEs and manufacturing firms adopting disciplined credit control experience substantial improvement in liquidity without significant sales loss. Implementing such practices could thus improve both cash flow and credit quality for </w:t>
      </w:r>
      <w:r w:rsidRPr="00BC2468">
        <w:rPr>
          <w:rFonts w:ascii="Arial" w:eastAsia="Times New Roman" w:hAnsi="Arial" w:cs="Arial"/>
          <w:i/>
          <w:iCs/>
          <w:kern w:val="0"/>
          <w14:ligatures w14:val="none"/>
        </w:rPr>
        <w:t>General Electronics.</w:t>
      </w:r>
    </w:p>
    <w:p w14:paraId="7E6DDBFC" w14:textId="77777777" w:rsidR="00C72388" w:rsidRPr="00BC2468" w:rsidRDefault="00C72388"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3.4 Payables Management</w:t>
      </w:r>
    </w:p>
    <w:p w14:paraId="579D48B5"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The </w:t>
      </w:r>
      <w:r w:rsidRPr="00BC2468">
        <w:rPr>
          <w:rFonts w:ascii="Arial" w:eastAsia="Times New Roman" w:hAnsi="Arial" w:cs="Arial"/>
          <w:b/>
          <w:bCs/>
          <w:kern w:val="0"/>
          <w14:ligatures w14:val="none"/>
        </w:rPr>
        <w:t>payables period</w:t>
      </w:r>
      <w:r w:rsidRPr="00BC2468">
        <w:rPr>
          <w:rFonts w:ascii="Arial" w:eastAsia="Times New Roman" w:hAnsi="Arial" w:cs="Arial"/>
          <w:kern w:val="0"/>
          <w14:ligatures w14:val="none"/>
        </w:rPr>
        <w:t xml:space="preserve"> measures how long the firm takes to pay suppliers.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currently averages 42 days, compared to an industry norm of 55 days (Appendix J, Table J1).</w:t>
      </w:r>
    </w:p>
    <w:p w14:paraId="31456013" w14:textId="77777777" w:rsidR="008764EF"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Liquidity conserved by extension</w:t>
      </w:r>
      <w:r w:rsidRPr="00BC2468">
        <w:rPr>
          <w:rFonts w:ascii="Arial" w:eastAsia="Times New Roman" w:hAnsi="Arial" w:cs="Arial"/>
          <w:kern w:val="0"/>
          <w14:ligatures w14:val="none"/>
        </w:rPr>
        <w:t xml:space="preserve"> = (10 / 365) × Cost of Sales</w:t>
      </w:r>
      <w:r w:rsidRPr="00BC2468">
        <w:rPr>
          <w:rFonts w:ascii="Arial" w:eastAsia="Times New Roman" w:hAnsi="Arial" w:cs="Arial"/>
          <w:kern w:val="0"/>
          <w14:ligatures w14:val="none"/>
        </w:rPr>
        <w:br/>
      </w:r>
      <w:r w:rsidR="008764EF"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 xml:space="preserve">= (10 / 365) × 2,840 </w:t>
      </w:r>
    </w:p>
    <w:p w14:paraId="47FB32D4" w14:textId="653250B0" w:rsidR="00C72388" w:rsidRPr="00BC2468" w:rsidRDefault="008764EF"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                                        </w:t>
      </w:r>
      <w:r w:rsidR="00C72388" w:rsidRPr="00BC2468">
        <w:rPr>
          <w:rFonts w:ascii="Arial" w:eastAsia="Times New Roman" w:hAnsi="Arial" w:cs="Arial"/>
          <w:kern w:val="0"/>
          <w14:ligatures w14:val="none"/>
        </w:rPr>
        <w:t>= £77.8 million.</w:t>
      </w:r>
    </w:p>
    <w:p w14:paraId="0AD9B826"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Extending supplier credit moderately (to 52–55 days) would thus conserve almost £78 million in cash. However, over-extension could erode supplier trust and bargaining power. Anandasayanan (2014) stresses the need for balance: firms that excessively delay payments often face penalties, stock-delivery disruptions, or loss of volume discounts.</w:t>
      </w:r>
    </w:p>
    <w:p w14:paraId="5D7A4812"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Hence,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should adopt a negotiated-credit approach, whereby payment extensions are secured through long-term contracts with strategic suppliers. Integrating payables scheduling into a centralised treasury system can also prevent missed payments while optimising cash timing.</w:t>
      </w:r>
    </w:p>
    <w:p w14:paraId="226062AA" w14:textId="77777777" w:rsidR="00C72388" w:rsidRPr="00BC2468" w:rsidRDefault="00C72388"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3.5 Financing Policies</w:t>
      </w:r>
    </w:p>
    <w:p w14:paraId="66B5CB34"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Current financing for working capital relies heavily on short-term bank loans bearing an average 6 % interest rate. This approach exposes the company to refinancing risk amid volatile credit conditions. Brealey et al. (2011) recommend a balanced funding mix combining flexible short-term debt with stable long-term instruments.</w:t>
      </w:r>
    </w:p>
    <w:p w14:paraId="6741739D" w14:textId="77777777" w:rsidR="00C72388" w:rsidRPr="00BC2468" w:rsidRDefault="00C72388" w:rsidP="00157516">
      <w:pPr>
        <w:spacing w:after="0" w:line="480" w:lineRule="auto"/>
        <w:outlineLvl w:val="3"/>
        <w:rPr>
          <w:rFonts w:ascii="Arial" w:eastAsia="Times New Roman" w:hAnsi="Arial" w:cs="Arial"/>
          <w:b/>
          <w:bCs/>
          <w:kern w:val="0"/>
          <w14:ligatures w14:val="none"/>
        </w:rPr>
      </w:pPr>
      <w:r w:rsidRPr="00BC2468">
        <w:rPr>
          <w:rFonts w:ascii="Arial" w:eastAsia="Times New Roman" w:hAnsi="Arial" w:cs="Arial"/>
          <w:b/>
          <w:bCs/>
          <w:kern w:val="0"/>
          <w14:ligatures w14:val="none"/>
        </w:rPr>
        <w:t>Interest-cost optimisation</w:t>
      </w:r>
    </w:p>
    <w:p w14:paraId="54FD3330"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If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converts part of its working-capital funding (£400 million) into a </w:t>
      </w:r>
      <w:r w:rsidRPr="00BC2468">
        <w:rPr>
          <w:rFonts w:ascii="Arial" w:eastAsia="Times New Roman" w:hAnsi="Arial" w:cs="Arial"/>
          <w:b/>
          <w:bCs/>
          <w:kern w:val="0"/>
          <w14:ligatures w14:val="none"/>
        </w:rPr>
        <w:t>revolving-credit facility</w:t>
      </w:r>
      <w:r w:rsidRPr="00BC2468">
        <w:rPr>
          <w:rFonts w:ascii="Arial" w:eastAsia="Times New Roman" w:hAnsi="Arial" w:cs="Arial"/>
          <w:kern w:val="0"/>
          <w14:ligatures w14:val="none"/>
        </w:rPr>
        <w:t xml:space="preserve"> at 4.5 %, annual interest savings are:</w:t>
      </w:r>
    </w:p>
    <w:p w14:paraId="10A19A86"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Interest savings = 400 × (6 – 4.5) % = 400 × 1.5 % = £6 million per year.</w:t>
      </w:r>
    </w:p>
    <w:p w14:paraId="22B1B13E" w14:textId="5562944F"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Adopting a 40: 60 short-term-to-long-term financing ratio would stabilise liquidity and reduce exposure to rate increases. In addition, establishing a cash-pooling arrangement among subsidiaries (Appendix K, Figure K1) could consolidate idle balances and reduce external borrowing requirements.</w:t>
      </w:r>
    </w:p>
    <w:p w14:paraId="15E95199"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This financing reform would strengthen liquidity while lowering average financing costs, supporting long-term solvency and profitability.</w:t>
      </w:r>
    </w:p>
    <w:p w14:paraId="2393D641" w14:textId="77777777" w:rsidR="00C72388" w:rsidRPr="00BC2468" w:rsidRDefault="00C72388"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3.6 Relationship between Working Capital and Profitability</w:t>
      </w:r>
    </w:p>
    <w:p w14:paraId="798F4471"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Academic literature consistently identifies an inverse relationship between excessive working-capital investment and profitability. Deloof (2003) and Shin &amp; Soenen (1998) demonstrated that firms with longer cash-conversion cycles experience lower returns on capital employed (ROCE).</w:t>
      </w:r>
    </w:p>
    <w:p w14:paraId="0841922C"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To quantify this relationship within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a five-year correlation analysis between ROCE and CCC (see Appendix I, Figure I</w:t>
      </w:r>
      <w:r w:rsidRPr="00BC2468">
        <w:rPr>
          <w:rFonts w:ascii="Arial" w:eastAsia="Times New Roman" w:hAnsi="Arial" w:cs="Arial"/>
          <w:kern w:val="0"/>
          <w:vertAlign w:val="subscript"/>
          <w14:ligatures w14:val="none"/>
        </w:rPr>
        <w:t>2</w:t>
      </w:r>
      <w:r w:rsidRPr="00BC2468">
        <w:rPr>
          <w:rFonts w:ascii="Arial" w:eastAsia="Times New Roman" w:hAnsi="Arial" w:cs="Arial"/>
          <w:kern w:val="0"/>
          <w14:ligatures w14:val="none"/>
        </w:rPr>
        <w:t>) yields r = –0.72. This strong negative correlation implies that as the CCC lengthens, profitability diminishes significantly.</w:t>
      </w:r>
    </w:p>
    <w:p w14:paraId="569163D8"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Interpretation:</w:t>
      </w:r>
    </w:p>
    <w:p w14:paraId="22B048B6" w14:textId="77777777" w:rsidR="00C72388" w:rsidRPr="00BC2468" w:rsidRDefault="00C72388" w:rsidP="00157516">
      <w:pPr>
        <w:numPr>
          <w:ilvl w:val="0"/>
          <w:numId w:val="8"/>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 Year 1, CCC = 38 days, ROCE = 21 %;</w:t>
      </w:r>
    </w:p>
    <w:p w14:paraId="5FE22F87" w14:textId="77777777" w:rsidR="00C72388" w:rsidRPr="00BC2468" w:rsidRDefault="00C72388" w:rsidP="00157516">
      <w:pPr>
        <w:numPr>
          <w:ilvl w:val="0"/>
          <w:numId w:val="8"/>
        </w:num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In Year 5, CCC = 50 days, ROCE = 14 %.</w:t>
      </w:r>
    </w:p>
    <w:p w14:paraId="03463DD7"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Thus, each 1-day increase in CCC corresponds to approximately 0.5 % decline in ROCE. Such sensitivity underscores the financial imperative to tighten working-capital cycles.</w:t>
      </w:r>
    </w:p>
    <w:p w14:paraId="38BF14E2"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Anandasayanan (2014) corroborates this finding for Asian manufacturing firms, noting that shortened collection and inventory periods directly enhance net operating profitability. Consequently, improving WCM efficiency will likely yield measurable gains in return on capital and shareholder value for </w:t>
      </w:r>
      <w:r w:rsidRPr="00BC2468">
        <w:rPr>
          <w:rFonts w:ascii="Arial" w:eastAsia="Times New Roman" w:hAnsi="Arial" w:cs="Arial"/>
          <w:i/>
          <w:iCs/>
          <w:kern w:val="0"/>
          <w14:ligatures w14:val="none"/>
        </w:rPr>
        <w:t>General Electronics.</w:t>
      </w:r>
    </w:p>
    <w:p w14:paraId="7352756D" w14:textId="77777777" w:rsidR="00C72388" w:rsidRPr="00BC2468" w:rsidRDefault="00C72388"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3.7 Proposed Working-Capital Improvement Plan</w:t>
      </w:r>
    </w:p>
    <w:p w14:paraId="3D6FC39E"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Table K1 in Appendix K summarises the proposed reforms, quantified financial impacts, and expected outcomes.</w:t>
      </w:r>
    </w:p>
    <w:tbl>
      <w:tblPr>
        <w:tblStyle w:val="TableGridLight"/>
        <w:tblW w:w="0" w:type="auto"/>
        <w:tblLook w:val="04A0" w:firstRow="1" w:lastRow="0" w:firstColumn="1" w:lastColumn="0" w:noHBand="0" w:noVBand="1"/>
      </w:tblPr>
      <w:tblGrid>
        <w:gridCol w:w="1884"/>
        <w:gridCol w:w="2885"/>
        <w:gridCol w:w="1738"/>
        <w:gridCol w:w="2509"/>
      </w:tblGrid>
      <w:tr w:rsidR="00C72388" w:rsidRPr="00BC2468" w14:paraId="0C584C1D" w14:textId="77777777" w:rsidTr="00C72388">
        <w:tc>
          <w:tcPr>
            <w:tcW w:w="0" w:type="auto"/>
            <w:hideMark/>
          </w:tcPr>
          <w:p w14:paraId="03B06955" w14:textId="77777777" w:rsidR="00C72388" w:rsidRPr="00BC2468" w:rsidRDefault="00C72388"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Area</w:t>
            </w:r>
          </w:p>
        </w:tc>
        <w:tc>
          <w:tcPr>
            <w:tcW w:w="0" w:type="auto"/>
            <w:hideMark/>
          </w:tcPr>
          <w:p w14:paraId="21C588B2" w14:textId="77777777" w:rsidR="00C72388" w:rsidRPr="00BC2468" w:rsidRDefault="00C72388"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Strategy</w:t>
            </w:r>
          </w:p>
        </w:tc>
        <w:tc>
          <w:tcPr>
            <w:tcW w:w="0" w:type="auto"/>
            <w:hideMark/>
          </w:tcPr>
          <w:p w14:paraId="3219CB96" w14:textId="77777777" w:rsidR="00C72388" w:rsidRPr="00BC2468" w:rsidRDefault="00C72388"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Expected Financial Impact</w:t>
            </w:r>
          </w:p>
        </w:tc>
        <w:tc>
          <w:tcPr>
            <w:tcW w:w="0" w:type="auto"/>
            <w:hideMark/>
          </w:tcPr>
          <w:p w14:paraId="22A418CE" w14:textId="77777777" w:rsidR="00C72388" w:rsidRPr="00BC2468" w:rsidRDefault="00C72388"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Operational Benefit</w:t>
            </w:r>
          </w:p>
        </w:tc>
      </w:tr>
      <w:tr w:rsidR="00C72388" w:rsidRPr="00BC2468" w14:paraId="3DA1C6D2" w14:textId="77777777" w:rsidTr="00C72388">
        <w:tc>
          <w:tcPr>
            <w:tcW w:w="0" w:type="auto"/>
            <w:hideMark/>
          </w:tcPr>
          <w:p w14:paraId="326CADA2"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Inventory</w:t>
            </w:r>
          </w:p>
        </w:tc>
        <w:tc>
          <w:tcPr>
            <w:tcW w:w="0" w:type="auto"/>
            <w:hideMark/>
          </w:tcPr>
          <w:p w14:paraId="0E4DE311"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Introduce </w:t>
            </w:r>
            <w:r w:rsidRPr="00BC2468">
              <w:rPr>
                <w:rFonts w:ascii="Arial" w:eastAsia="Times New Roman" w:hAnsi="Arial" w:cs="Arial"/>
                <w:i/>
                <w:iCs/>
                <w:kern w:val="0"/>
                <w14:ligatures w14:val="none"/>
              </w:rPr>
              <w:t>Just-in-Time</w:t>
            </w:r>
            <w:r w:rsidRPr="00BC2468">
              <w:rPr>
                <w:rFonts w:ascii="Arial" w:eastAsia="Times New Roman" w:hAnsi="Arial" w:cs="Arial"/>
                <w:kern w:val="0"/>
                <w14:ligatures w14:val="none"/>
              </w:rPr>
              <w:t xml:space="preserve"> system; demand forecasting via ERP integration</w:t>
            </w:r>
          </w:p>
        </w:tc>
        <w:tc>
          <w:tcPr>
            <w:tcW w:w="0" w:type="auto"/>
            <w:hideMark/>
          </w:tcPr>
          <w:p w14:paraId="5D0CB407"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Release £90 million</w:t>
            </w:r>
          </w:p>
        </w:tc>
        <w:tc>
          <w:tcPr>
            <w:tcW w:w="0" w:type="auto"/>
            <w:hideMark/>
          </w:tcPr>
          <w:p w14:paraId="4B635ADE"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Lower carrying cost; reduced obsolescence</w:t>
            </w:r>
          </w:p>
        </w:tc>
      </w:tr>
      <w:tr w:rsidR="00C72388" w:rsidRPr="00BC2468" w14:paraId="3B26862B" w14:textId="77777777" w:rsidTr="00C72388">
        <w:tc>
          <w:tcPr>
            <w:tcW w:w="0" w:type="auto"/>
            <w:hideMark/>
          </w:tcPr>
          <w:p w14:paraId="02554DC5"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Receivables</w:t>
            </w:r>
          </w:p>
        </w:tc>
        <w:tc>
          <w:tcPr>
            <w:tcW w:w="0" w:type="auto"/>
            <w:hideMark/>
          </w:tcPr>
          <w:p w14:paraId="1D952C20"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Tighten credit control; offer early-payment discounts; factoring</w:t>
            </w:r>
          </w:p>
        </w:tc>
        <w:tc>
          <w:tcPr>
            <w:tcW w:w="0" w:type="auto"/>
            <w:hideMark/>
          </w:tcPr>
          <w:p w14:paraId="7ECA8BE2"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Release £104 million</w:t>
            </w:r>
          </w:p>
        </w:tc>
        <w:tc>
          <w:tcPr>
            <w:tcW w:w="0" w:type="auto"/>
            <w:hideMark/>
          </w:tcPr>
          <w:p w14:paraId="3B656027"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Faster cash inflows; reduced default risk</w:t>
            </w:r>
          </w:p>
        </w:tc>
      </w:tr>
      <w:tr w:rsidR="00C72388" w:rsidRPr="00BC2468" w14:paraId="03894DA4" w14:textId="77777777" w:rsidTr="00C72388">
        <w:tc>
          <w:tcPr>
            <w:tcW w:w="0" w:type="auto"/>
            <w:hideMark/>
          </w:tcPr>
          <w:p w14:paraId="4FF5FCD5"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Payables</w:t>
            </w:r>
          </w:p>
        </w:tc>
        <w:tc>
          <w:tcPr>
            <w:tcW w:w="0" w:type="auto"/>
            <w:hideMark/>
          </w:tcPr>
          <w:p w14:paraId="2AF14FB9"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Extend average term to 55 days via supplier negotiation</w:t>
            </w:r>
          </w:p>
        </w:tc>
        <w:tc>
          <w:tcPr>
            <w:tcW w:w="0" w:type="auto"/>
            <w:hideMark/>
          </w:tcPr>
          <w:p w14:paraId="068C259B"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Conserve £78 million</w:t>
            </w:r>
          </w:p>
        </w:tc>
        <w:tc>
          <w:tcPr>
            <w:tcW w:w="0" w:type="auto"/>
            <w:hideMark/>
          </w:tcPr>
          <w:p w14:paraId="498B6407"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Enhanced short-term liquidity</w:t>
            </w:r>
          </w:p>
        </w:tc>
      </w:tr>
      <w:tr w:rsidR="00C72388" w:rsidRPr="00BC2468" w14:paraId="298C24B0" w14:textId="77777777" w:rsidTr="00C72388">
        <w:tc>
          <w:tcPr>
            <w:tcW w:w="0" w:type="auto"/>
            <w:hideMark/>
          </w:tcPr>
          <w:p w14:paraId="45745209"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Cash/Treasury</w:t>
            </w:r>
          </w:p>
        </w:tc>
        <w:tc>
          <w:tcPr>
            <w:tcW w:w="0" w:type="auto"/>
            <w:hideMark/>
          </w:tcPr>
          <w:p w14:paraId="1A7C0BB9"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Centralise daily cash pooling and forecasting</w:t>
            </w:r>
          </w:p>
        </w:tc>
        <w:tc>
          <w:tcPr>
            <w:tcW w:w="0" w:type="auto"/>
            <w:hideMark/>
          </w:tcPr>
          <w:p w14:paraId="23DA73A1"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Optimise idle cash</w:t>
            </w:r>
          </w:p>
        </w:tc>
        <w:tc>
          <w:tcPr>
            <w:tcW w:w="0" w:type="auto"/>
            <w:hideMark/>
          </w:tcPr>
          <w:p w14:paraId="0E929C8A"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Improved visibility, reduced overdraft use</w:t>
            </w:r>
          </w:p>
        </w:tc>
      </w:tr>
      <w:tr w:rsidR="00C72388" w:rsidRPr="00BC2468" w14:paraId="273B84C8" w14:textId="77777777" w:rsidTr="00C72388">
        <w:tc>
          <w:tcPr>
            <w:tcW w:w="0" w:type="auto"/>
            <w:hideMark/>
          </w:tcPr>
          <w:p w14:paraId="00684384"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Financing</w:t>
            </w:r>
          </w:p>
        </w:tc>
        <w:tc>
          <w:tcPr>
            <w:tcW w:w="0" w:type="auto"/>
            <w:hideMark/>
          </w:tcPr>
          <w:p w14:paraId="3AF2CEAF" w14:textId="762A8A13"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Rebalance to 40 % short-</w:t>
            </w:r>
            <w:r w:rsidR="00387672" w:rsidRPr="00BC2468">
              <w:rPr>
                <w:rFonts w:ascii="Arial" w:eastAsia="Times New Roman" w:hAnsi="Arial" w:cs="Arial"/>
                <w:kern w:val="0"/>
                <w14:ligatures w14:val="none"/>
              </w:rPr>
              <w:t>term:</w:t>
            </w:r>
            <w:r w:rsidRPr="00BC2468">
              <w:rPr>
                <w:rFonts w:ascii="Arial" w:eastAsia="Times New Roman" w:hAnsi="Arial" w:cs="Arial"/>
                <w:kern w:val="0"/>
                <w14:ligatures w14:val="none"/>
              </w:rPr>
              <w:t xml:space="preserve"> 60 % long-term; negotiate 4.5 % facility</w:t>
            </w:r>
          </w:p>
        </w:tc>
        <w:tc>
          <w:tcPr>
            <w:tcW w:w="0" w:type="auto"/>
            <w:hideMark/>
          </w:tcPr>
          <w:p w14:paraId="0FEFDE1B"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Save £6 million annually</w:t>
            </w:r>
          </w:p>
        </w:tc>
        <w:tc>
          <w:tcPr>
            <w:tcW w:w="0" w:type="auto"/>
            <w:hideMark/>
          </w:tcPr>
          <w:p w14:paraId="00285B19" w14:textId="77777777" w:rsidR="00C72388" w:rsidRPr="00BC2468" w:rsidRDefault="00C72388"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Lower interest burden; reduced refinancing risk</w:t>
            </w:r>
          </w:p>
        </w:tc>
      </w:tr>
    </w:tbl>
    <w:p w14:paraId="3161B710"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Cumulative impact:</w:t>
      </w:r>
      <w:r w:rsidRPr="00BC2468">
        <w:rPr>
          <w:rFonts w:ascii="Arial" w:eastAsia="Times New Roman" w:hAnsi="Arial" w:cs="Arial"/>
          <w:kern w:val="0"/>
          <w14:ligatures w14:val="none"/>
        </w:rPr>
        <w:br/>
        <w:t>Total liquidity improvement ≈ £278 million (90 + 104 + 78 + 6 ≈ 278).</w:t>
      </w:r>
      <w:r w:rsidRPr="00BC2468">
        <w:rPr>
          <w:rFonts w:ascii="Arial" w:eastAsia="Times New Roman" w:hAnsi="Arial" w:cs="Arial"/>
          <w:kern w:val="0"/>
          <w14:ligatures w14:val="none"/>
        </w:rPr>
        <w:br/>
        <w:t>Assuming this cash release is reinvested into revenue-generating operations with a marginal ROCE of 12 %, the overall corporate ROCE could rise from 14 % to approximately 17 %, reflecting substantial efficiency gain.</w:t>
      </w:r>
    </w:p>
    <w:p w14:paraId="0CB8B0D7"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Implementing these reforms would also shorten the CCC from 50 to 35 days, aligning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with industry leaders and restoring liquidity equilibrium.</w:t>
      </w:r>
    </w:p>
    <w:p w14:paraId="4C3D3551" w14:textId="77777777" w:rsidR="00C72388" w:rsidRPr="00BC2468" w:rsidRDefault="00C72388"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3.8 Summary and Interpretation</w:t>
      </w:r>
    </w:p>
    <w:p w14:paraId="63334E4C"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The above analysis demonstrates that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suffers from working-capital inefficiency primarily due to excessive inventory holdings, slow receivable collection, and sub-optimal supplier-credit utilisation. These inefficiencies have lengthened the CCC, reduced cash availability, and suppressed profitability.</w:t>
      </w:r>
    </w:p>
    <w:p w14:paraId="424FACB3" w14:textId="79CB033C"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The proposed multi-pronged strategy</w:t>
      </w:r>
      <w:r w:rsidR="00BC2468" w:rsidRPr="00BC2468">
        <w:rPr>
          <w:rFonts w:ascii="Arial" w:eastAsia="Times New Roman" w:hAnsi="Arial" w:cs="Arial"/>
          <w:kern w:val="0"/>
          <w14:ligatures w14:val="none"/>
        </w:rPr>
        <w:t xml:space="preserve"> </w:t>
      </w:r>
      <w:r w:rsidR="00387672" w:rsidRPr="00BC2468">
        <w:rPr>
          <w:rFonts w:ascii="Arial" w:eastAsia="Times New Roman" w:hAnsi="Arial" w:cs="Arial"/>
          <w:kern w:val="0"/>
          <w14:ligatures w14:val="none"/>
        </w:rPr>
        <w:t>centered</w:t>
      </w:r>
      <w:r w:rsidRPr="00BC2468">
        <w:rPr>
          <w:rFonts w:ascii="Arial" w:eastAsia="Times New Roman" w:hAnsi="Arial" w:cs="Arial"/>
          <w:kern w:val="0"/>
          <w14:ligatures w14:val="none"/>
        </w:rPr>
        <w:t xml:space="preserve"> on inventory rationalisation, credit-policy reform, and optimised financing</w:t>
      </w:r>
      <w:r w:rsidR="00BC2468" w:rsidRPr="00BC2468">
        <w:rPr>
          <w:rFonts w:ascii="Arial" w:eastAsia="Times New Roman" w:hAnsi="Arial" w:cs="Arial"/>
          <w:kern w:val="0"/>
          <w14:ligatures w14:val="none"/>
        </w:rPr>
        <w:t xml:space="preserve"> </w:t>
      </w:r>
      <w:r w:rsidRPr="00BC2468">
        <w:rPr>
          <w:rFonts w:ascii="Arial" w:eastAsia="Times New Roman" w:hAnsi="Arial" w:cs="Arial"/>
          <w:kern w:val="0"/>
          <w14:ligatures w14:val="none"/>
        </w:rPr>
        <w:t>offers a feasible roadmap for improvement. By unlocking approximately £278 million of working capital, the company can reduce reliance on debt, improve ROCE by three percentage points, and rebuild liquidity resilience.</w:t>
      </w:r>
    </w:p>
    <w:p w14:paraId="05A128DF" w14:textId="77777777" w:rsidR="00C72388" w:rsidRPr="00BC2468" w:rsidRDefault="00C72388" w:rsidP="00157516">
      <w:pPr>
        <w:spacing w:after="0" w:line="480" w:lineRule="auto"/>
        <w:rPr>
          <w:rFonts w:ascii="Arial" w:eastAsia="Times New Roman" w:hAnsi="Arial" w:cs="Arial"/>
          <w:kern w:val="0"/>
          <w14:ligatures w14:val="none"/>
        </w:rPr>
      </w:pPr>
      <w:r w:rsidRPr="00BC2468">
        <w:rPr>
          <w:rFonts w:ascii="Arial" w:eastAsia="Times New Roman" w:hAnsi="Arial" w:cs="Arial"/>
          <w:kern w:val="0"/>
          <w14:ligatures w14:val="none"/>
        </w:rPr>
        <w:t xml:space="preserve">As emphasised by Shin &amp; Soenen (1998) and Deloof (2003), efficient working-capital management is not merely an accounting exercise but a strategic driver of competitive advantage. Therefore, these improvements should form the cornerstone of </w:t>
      </w:r>
      <w:r w:rsidRPr="00BC2468">
        <w:rPr>
          <w:rFonts w:ascii="Arial" w:eastAsia="Times New Roman" w:hAnsi="Arial" w:cs="Arial"/>
          <w:i/>
          <w:iCs/>
          <w:kern w:val="0"/>
          <w14:ligatures w14:val="none"/>
        </w:rPr>
        <w:t>General Electronics’</w:t>
      </w:r>
      <w:r w:rsidRPr="00BC2468">
        <w:rPr>
          <w:rFonts w:ascii="Arial" w:eastAsia="Times New Roman" w:hAnsi="Arial" w:cs="Arial"/>
          <w:kern w:val="0"/>
          <w14:ligatures w14:val="none"/>
        </w:rPr>
        <w:t xml:space="preserve"> financial-restructuring and turnaround plan detailed in Section 4.</w:t>
      </w:r>
    </w:p>
    <w:p w14:paraId="6D8DC99A" w14:textId="0727F5D8" w:rsidR="00A00F69" w:rsidRPr="00BC2468" w:rsidRDefault="00A00F69" w:rsidP="00157516">
      <w:pPr>
        <w:spacing w:after="0" w:line="480" w:lineRule="auto"/>
        <w:jc w:val="center"/>
        <w:rPr>
          <w:rFonts w:ascii="Arial" w:hAnsi="Arial" w:cs="Arial"/>
          <w:b/>
          <w:bCs/>
        </w:rPr>
      </w:pPr>
      <w:r w:rsidRPr="00BC2468">
        <w:rPr>
          <w:rFonts w:ascii="Arial" w:hAnsi="Arial" w:cs="Arial"/>
          <w:b/>
          <w:bCs/>
        </w:rPr>
        <w:t xml:space="preserve">4. Strategic Financial-Restructuring Plan </w:t>
      </w:r>
    </w:p>
    <w:p w14:paraId="2C253EAE" w14:textId="77777777" w:rsidR="00A940C7" w:rsidRPr="00BC2468" w:rsidRDefault="00A940C7" w:rsidP="00157516">
      <w:pPr>
        <w:spacing w:after="0" w:line="480" w:lineRule="auto"/>
        <w:rPr>
          <w:rFonts w:ascii="Arial" w:hAnsi="Arial" w:cs="Arial"/>
          <w:b/>
          <w:bCs/>
        </w:rPr>
      </w:pPr>
      <w:r w:rsidRPr="00BC2468">
        <w:rPr>
          <w:rFonts w:ascii="Arial" w:hAnsi="Arial" w:cs="Arial"/>
          <w:b/>
          <w:bCs/>
        </w:rPr>
        <w:t>4.1 Rationale for Restructuring</w:t>
      </w:r>
    </w:p>
    <w:p w14:paraId="2BE26497" w14:textId="77777777" w:rsidR="00A940C7" w:rsidRPr="00BC2468" w:rsidRDefault="00A940C7" w:rsidP="00157516">
      <w:pPr>
        <w:spacing w:after="0" w:line="480" w:lineRule="auto"/>
        <w:rPr>
          <w:rFonts w:ascii="Arial" w:hAnsi="Arial" w:cs="Arial"/>
        </w:rPr>
      </w:pPr>
      <w:r w:rsidRPr="00BC2468">
        <w:rPr>
          <w:rFonts w:ascii="Arial" w:hAnsi="Arial" w:cs="Arial"/>
        </w:rPr>
        <w:t>The sustained decline in profitability, rising debt burden, and liquidity constraints indicate that General Electronics (GE) requires a comprehensive financial restructuring. Over the past five years, profitability has fallen by 45 %, while gearing increased from 0.53 to 0.88, and interest coverage dropped to under 3 times (see Appendix L). Such indicators point to a financially distressed but potentially recoverable position.</w:t>
      </w:r>
    </w:p>
    <w:p w14:paraId="2739C45B" w14:textId="7C0E13E0" w:rsidR="00A940C7" w:rsidRPr="00BC2468" w:rsidRDefault="00A940C7" w:rsidP="00157516">
      <w:pPr>
        <w:spacing w:after="0" w:line="480" w:lineRule="auto"/>
        <w:rPr>
          <w:rFonts w:ascii="Arial" w:hAnsi="Arial" w:cs="Arial"/>
        </w:rPr>
      </w:pPr>
      <w:r w:rsidRPr="00BC2468">
        <w:rPr>
          <w:rFonts w:ascii="Arial" w:hAnsi="Arial" w:cs="Arial"/>
        </w:rPr>
        <w:t>According to Weston, Chung, and Hoag (1990), corporate restructuring is a strategic process aimed at enhancing operational efficiency, realigning the firm’s capital structure, and restoring competitive advantage. By divesting non-core assets, refinancing high-cost debt, and reconfiguring its equity base, GE can unlock hidden value, restore investor confidence, and improve long-term solvency. The restructuring will also involve operational realignment</w:t>
      </w:r>
      <w:r w:rsidR="00BC2468" w:rsidRPr="00BC2468">
        <w:rPr>
          <w:rFonts w:ascii="Arial" w:hAnsi="Arial" w:cs="Arial"/>
        </w:rPr>
        <w:t xml:space="preserve"> </w:t>
      </w:r>
      <w:r w:rsidRPr="00BC2468">
        <w:rPr>
          <w:rFonts w:ascii="Arial" w:hAnsi="Arial" w:cs="Arial"/>
        </w:rPr>
        <w:t>optimising manufacturing processes, modernising production, and strengthening governance structures to ensure sustained profitability.</w:t>
      </w:r>
    </w:p>
    <w:p w14:paraId="0EAA2BB9" w14:textId="77777777" w:rsidR="00A940C7" w:rsidRPr="00BC2468" w:rsidRDefault="00A940C7" w:rsidP="00157516">
      <w:pPr>
        <w:spacing w:after="0" w:line="480" w:lineRule="auto"/>
        <w:rPr>
          <w:rFonts w:ascii="Arial" w:hAnsi="Arial" w:cs="Arial"/>
          <w:b/>
          <w:bCs/>
        </w:rPr>
      </w:pPr>
      <w:r w:rsidRPr="00BC2468">
        <w:rPr>
          <w:rFonts w:ascii="Arial" w:hAnsi="Arial" w:cs="Arial"/>
          <w:b/>
          <w:bCs/>
        </w:rPr>
        <w:t>4.2 Proposed Restructuring Components</w:t>
      </w:r>
    </w:p>
    <w:p w14:paraId="315C192C" w14:textId="77777777" w:rsidR="00A940C7" w:rsidRPr="00BC2468" w:rsidRDefault="00A940C7" w:rsidP="00157516">
      <w:pPr>
        <w:spacing w:after="0" w:line="480" w:lineRule="auto"/>
        <w:rPr>
          <w:rFonts w:ascii="Arial" w:hAnsi="Arial" w:cs="Arial"/>
        </w:rPr>
      </w:pPr>
      <w:r w:rsidRPr="00BC2468">
        <w:rPr>
          <w:rFonts w:ascii="Arial" w:hAnsi="Arial" w:cs="Arial"/>
        </w:rPr>
        <w:t>The restructuring plan comprises four major components designed to improve liquidity, reduce financial leverage, and enhance profitability.</w:t>
      </w:r>
    </w:p>
    <w:p w14:paraId="353E72F8" w14:textId="77777777" w:rsidR="00A940C7" w:rsidRPr="00BC2468" w:rsidRDefault="00A940C7" w:rsidP="00157516">
      <w:pPr>
        <w:spacing w:after="0" w:line="480" w:lineRule="auto"/>
        <w:rPr>
          <w:rFonts w:ascii="Arial" w:hAnsi="Arial" w:cs="Arial"/>
          <w:b/>
          <w:bCs/>
        </w:rPr>
      </w:pPr>
      <w:r w:rsidRPr="00BC2468">
        <w:rPr>
          <w:rFonts w:ascii="Arial" w:hAnsi="Arial" w:cs="Arial"/>
          <w:b/>
          <w:bCs/>
        </w:rPr>
        <w:t>a) Divestiture of Non-Core Assets</w:t>
      </w:r>
    </w:p>
    <w:p w14:paraId="37CD6099" w14:textId="722BD24A" w:rsidR="00A940C7" w:rsidRPr="00BC2468" w:rsidRDefault="00A940C7" w:rsidP="00157516">
      <w:pPr>
        <w:spacing w:after="0" w:line="480" w:lineRule="auto"/>
        <w:rPr>
          <w:rFonts w:ascii="Arial" w:hAnsi="Arial" w:cs="Arial"/>
        </w:rPr>
      </w:pPr>
      <w:r w:rsidRPr="00BC2468">
        <w:rPr>
          <w:rFonts w:ascii="Arial" w:hAnsi="Arial" w:cs="Arial"/>
        </w:rPr>
        <w:t>The first step is the sale of the underperforming consumer-appliance division, valued at £400 million on the balance sheet but estimated to sell for £500 million</w:t>
      </w:r>
      <w:r w:rsidR="00730236" w:rsidRPr="00730236">
        <w:t xml:space="preserve"> </w:t>
      </w:r>
      <w:r w:rsidR="00730236" w:rsidRPr="00730236">
        <w:rPr>
          <w:rFonts w:ascii="Arial" w:hAnsi="Arial" w:cs="Arial"/>
        </w:rPr>
        <w:t>Zook, C. (2016)</w:t>
      </w:r>
      <w:r w:rsidRPr="00BC2468">
        <w:rPr>
          <w:rFonts w:ascii="Arial" w:hAnsi="Arial" w:cs="Arial"/>
        </w:rPr>
        <w:t>. This divestiture would realise a capital gain of £100 million and generate liquidity to reduce outstanding long-term debt by approximately £300 million.</w:t>
      </w:r>
    </w:p>
    <w:p w14:paraId="5CFF9284" w14:textId="1676D142" w:rsidR="00A940C7" w:rsidRPr="00BC2468" w:rsidRDefault="00A940C7" w:rsidP="00157516">
      <w:pPr>
        <w:spacing w:after="0" w:line="480" w:lineRule="auto"/>
        <w:rPr>
          <w:rFonts w:ascii="Arial" w:hAnsi="Arial" w:cs="Arial"/>
        </w:rPr>
      </w:pPr>
      <w:r w:rsidRPr="00BC2468">
        <w:rPr>
          <w:rFonts w:ascii="Arial" w:hAnsi="Arial" w:cs="Arial"/>
        </w:rPr>
        <w:t>Such divestments are consistent with the recommendations of Weston et al. (1990), who highlight that shedding non-core operations allows firms to focus on high-margin segments while improving return on invested capital. The proceeds from this sale will strengthen the company’s balance sheet, reduce interest expenses, and provide resources for strategic reinvestment into advanced electronics and energy systems</w:t>
      </w:r>
      <w:r w:rsidR="00BC2468" w:rsidRPr="00BC2468">
        <w:rPr>
          <w:rFonts w:ascii="Arial" w:hAnsi="Arial" w:cs="Arial"/>
        </w:rPr>
        <w:t xml:space="preserve"> </w:t>
      </w:r>
      <w:r w:rsidRPr="00BC2468">
        <w:rPr>
          <w:rFonts w:ascii="Arial" w:hAnsi="Arial" w:cs="Arial"/>
        </w:rPr>
        <w:t>GE’s more profitable business segments.</w:t>
      </w:r>
    </w:p>
    <w:p w14:paraId="53A4AFFD" w14:textId="77777777" w:rsidR="00A940C7" w:rsidRPr="00BC2468" w:rsidRDefault="00A940C7" w:rsidP="00157516">
      <w:pPr>
        <w:spacing w:after="0" w:line="480" w:lineRule="auto"/>
        <w:rPr>
          <w:rFonts w:ascii="Arial" w:hAnsi="Arial" w:cs="Arial"/>
          <w:b/>
          <w:bCs/>
        </w:rPr>
      </w:pPr>
      <w:r w:rsidRPr="00BC2468">
        <w:rPr>
          <w:rFonts w:ascii="Arial" w:hAnsi="Arial" w:cs="Arial"/>
          <w:b/>
          <w:bCs/>
        </w:rPr>
        <w:t>b) Debt Refinancing</w:t>
      </w:r>
    </w:p>
    <w:p w14:paraId="7000552C" w14:textId="77777777" w:rsidR="00A940C7" w:rsidRPr="00BC2468" w:rsidRDefault="00A940C7" w:rsidP="00157516">
      <w:pPr>
        <w:spacing w:after="0" w:line="480" w:lineRule="auto"/>
        <w:rPr>
          <w:rFonts w:ascii="Arial" w:hAnsi="Arial" w:cs="Arial"/>
        </w:rPr>
      </w:pPr>
      <w:r w:rsidRPr="00BC2468">
        <w:rPr>
          <w:rFonts w:ascii="Arial" w:hAnsi="Arial" w:cs="Arial"/>
        </w:rPr>
        <w:t>GE currently holds £600 million of 9 % bonds maturing within the next seven years. Refinancing this debt through a 5-year term loan at 6 % interest would produce annual interest savings of £18 million, as calculated below:</w:t>
      </w:r>
    </w:p>
    <w:p w14:paraId="57D07823" w14:textId="77777777" w:rsidR="00A940C7" w:rsidRPr="00BC2468" w:rsidRDefault="00A940C7" w:rsidP="00157516">
      <w:pPr>
        <w:spacing w:after="0" w:line="480" w:lineRule="auto"/>
        <w:rPr>
          <w:rFonts w:ascii="Arial" w:hAnsi="Arial" w:cs="Arial"/>
        </w:rPr>
      </w:pPr>
      <w:r w:rsidRPr="00BC2468">
        <w:rPr>
          <w:rFonts w:ascii="Arial" w:hAnsi="Arial" w:cs="Arial"/>
        </w:rPr>
        <w:t>Interest savings = (9 – 6) % × £600 million = £18 million per annum.</w:t>
      </w:r>
    </w:p>
    <w:p w14:paraId="739DB9FE" w14:textId="77777777" w:rsidR="00A940C7" w:rsidRPr="00BC2468" w:rsidRDefault="00A940C7" w:rsidP="00157516">
      <w:pPr>
        <w:spacing w:after="0" w:line="480" w:lineRule="auto"/>
        <w:rPr>
          <w:rFonts w:ascii="Arial" w:hAnsi="Arial" w:cs="Arial"/>
        </w:rPr>
      </w:pPr>
      <w:r w:rsidRPr="00BC2468">
        <w:rPr>
          <w:rFonts w:ascii="Arial" w:hAnsi="Arial" w:cs="Arial"/>
        </w:rPr>
        <w:t>This refinancing initiative will reduce the average cost of capital, enhance interest coverage, and improve net profitability. As Koller, Goedhart, and Wessels (2010) explain, lowering the weighted average cost of capital (WACC) through strategic refinancing increases firm value and boosts shareholder returns. Furthermore, shorter-term debt maturity aligns with GE’s operational cash-flow profile, improving flexibility in the medium term.</w:t>
      </w:r>
    </w:p>
    <w:p w14:paraId="04F538F7" w14:textId="77777777" w:rsidR="00A940C7" w:rsidRPr="00BC2468" w:rsidRDefault="00A940C7" w:rsidP="00157516">
      <w:pPr>
        <w:spacing w:after="0" w:line="480" w:lineRule="auto"/>
        <w:rPr>
          <w:rFonts w:ascii="Arial" w:hAnsi="Arial" w:cs="Arial"/>
          <w:b/>
          <w:bCs/>
        </w:rPr>
      </w:pPr>
      <w:r w:rsidRPr="00BC2468">
        <w:rPr>
          <w:rFonts w:ascii="Arial" w:hAnsi="Arial" w:cs="Arial"/>
          <w:b/>
          <w:bCs/>
        </w:rPr>
        <w:t>c) Equity Injection</w:t>
      </w:r>
    </w:p>
    <w:p w14:paraId="4E972097" w14:textId="1E133C50" w:rsidR="00A940C7" w:rsidRPr="00BC2468" w:rsidRDefault="00A940C7" w:rsidP="00157516">
      <w:pPr>
        <w:spacing w:after="0" w:line="480" w:lineRule="auto"/>
        <w:rPr>
          <w:rFonts w:ascii="Arial" w:hAnsi="Arial" w:cs="Arial"/>
        </w:rPr>
      </w:pPr>
      <w:r w:rsidRPr="00BC2468">
        <w:rPr>
          <w:rFonts w:ascii="Arial" w:hAnsi="Arial" w:cs="Arial"/>
        </w:rPr>
        <w:t>To further stabilise the capital structure, GE will issue 100 million new shares at £5 each, raising £500 million in additional equity capital. The new funds will be used to strengthen working capital and finance automation investments</w:t>
      </w:r>
      <w:r w:rsidR="00730236">
        <w:t xml:space="preserve">  </w:t>
      </w:r>
      <w:r w:rsidR="00730236" w:rsidRPr="00730236">
        <w:rPr>
          <w:rFonts w:ascii="Arial" w:hAnsi="Arial" w:cs="Arial"/>
        </w:rPr>
        <w:t>Zook, 2016)</w:t>
      </w:r>
      <w:r w:rsidRPr="00BC2468">
        <w:rPr>
          <w:rFonts w:ascii="Arial" w:hAnsi="Arial" w:cs="Arial"/>
        </w:rPr>
        <w:t>.</w:t>
      </w:r>
    </w:p>
    <w:p w14:paraId="16CA17ED" w14:textId="77777777" w:rsidR="00A940C7" w:rsidRPr="00BC2468" w:rsidRDefault="00A940C7" w:rsidP="00157516">
      <w:pPr>
        <w:spacing w:after="0" w:line="480" w:lineRule="auto"/>
        <w:rPr>
          <w:rFonts w:ascii="Arial" w:hAnsi="Arial" w:cs="Arial"/>
        </w:rPr>
      </w:pPr>
      <w:r w:rsidRPr="00BC2468">
        <w:rPr>
          <w:rFonts w:ascii="Arial" w:hAnsi="Arial" w:cs="Arial"/>
        </w:rPr>
        <w:t>Following the issue, total shareholders’ equity will increase from £1,650 million to £2,150 million, while debt is reduced to £1,150 million. This adjustment will lower the debt-to-equity (D/E) ratio from 0.88 to 0.53, restoring balance sheet strength and creditworthiness.</w:t>
      </w:r>
    </w:p>
    <w:p w14:paraId="6204951F" w14:textId="77777777" w:rsidR="00A940C7" w:rsidRPr="00BC2468" w:rsidRDefault="00A940C7" w:rsidP="00157516">
      <w:pPr>
        <w:spacing w:after="0" w:line="480" w:lineRule="auto"/>
        <w:rPr>
          <w:rFonts w:ascii="Arial" w:hAnsi="Arial" w:cs="Arial"/>
        </w:rPr>
      </w:pPr>
      <w:r w:rsidRPr="00BC2468">
        <w:rPr>
          <w:rFonts w:ascii="Arial" w:hAnsi="Arial" w:cs="Arial"/>
        </w:rPr>
        <w:t>A lower gearing ratio enhances financial resilience, as firms with moderate leverage are better positioned to absorb shocks and secure favourable financing terms. As per Graham and Harvey (2001), firms seek such optimal capital structures to balance the tax advantages of debt with the risks of financial distress.</w:t>
      </w:r>
    </w:p>
    <w:p w14:paraId="64D99EAD" w14:textId="77777777" w:rsidR="00A940C7" w:rsidRPr="00BC2468" w:rsidRDefault="00A940C7" w:rsidP="00157516">
      <w:pPr>
        <w:spacing w:after="0" w:line="480" w:lineRule="auto"/>
        <w:rPr>
          <w:rFonts w:ascii="Arial" w:hAnsi="Arial" w:cs="Arial"/>
          <w:b/>
          <w:bCs/>
        </w:rPr>
      </w:pPr>
      <w:r w:rsidRPr="00BC2468">
        <w:rPr>
          <w:rFonts w:ascii="Arial" w:hAnsi="Arial" w:cs="Arial"/>
          <w:b/>
          <w:bCs/>
        </w:rPr>
        <w:t>d) Operational Streamlining</w:t>
      </w:r>
    </w:p>
    <w:p w14:paraId="0BA93994" w14:textId="77777777" w:rsidR="00A940C7" w:rsidRPr="00BC2468" w:rsidRDefault="00A940C7" w:rsidP="00157516">
      <w:pPr>
        <w:spacing w:after="0" w:line="480" w:lineRule="auto"/>
        <w:rPr>
          <w:rFonts w:ascii="Arial" w:hAnsi="Arial" w:cs="Arial"/>
        </w:rPr>
      </w:pPr>
      <w:r w:rsidRPr="00BC2468">
        <w:rPr>
          <w:rFonts w:ascii="Arial" w:hAnsi="Arial" w:cs="Arial"/>
        </w:rPr>
        <w:t>Beyond capital restructuring, internal efficiency reforms are necessary. GE will adopt lean manufacturing principles and automation technologies to reduce fixed overheads and labour inefficiencies. These reforms are expected to reduce operating costs by 8 %, yielding annual savings of approximately £60 million (Appendix M).</w:t>
      </w:r>
    </w:p>
    <w:p w14:paraId="7612975D" w14:textId="77777777" w:rsidR="00A940C7" w:rsidRPr="00BC2468" w:rsidRDefault="00A940C7" w:rsidP="00157516">
      <w:pPr>
        <w:spacing w:after="0" w:line="480" w:lineRule="auto"/>
        <w:rPr>
          <w:rFonts w:ascii="Arial" w:hAnsi="Arial" w:cs="Arial"/>
        </w:rPr>
      </w:pPr>
      <w:r w:rsidRPr="00BC2468">
        <w:rPr>
          <w:rFonts w:ascii="Arial" w:hAnsi="Arial" w:cs="Arial"/>
        </w:rPr>
        <w:t>Lean transformation initiatives will also improve quality control and shorten production cycles, boosting overall return on capital employed (ROCE). According to Brealey et al. (2011), operational restructuring complements financial reforms by improving asset utilisation and cash flow generation capacity.</w:t>
      </w:r>
    </w:p>
    <w:p w14:paraId="07BA7DFE" w14:textId="77777777" w:rsidR="00A940C7" w:rsidRPr="00BC2468" w:rsidRDefault="00A940C7" w:rsidP="00157516">
      <w:pPr>
        <w:spacing w:after="0" w:line="480" w:lineRule="auto"/>
        <w:rPr>
          <w:rFonts w:ascii="Arial" w:hAnsi="Arial" w:cs="Arial"/>
          <w:b/>
          <w:bCs/>
        </w:rPr>
      </w:pPr>
      <w:r w:rsidRPr="00BC2468">
        <w:rPr>
          <w:rFonts w:ascii="Arial" w:hAnsi="Arial" w:cs="Arial"/>
          <w:b/>
          <w:bCs/>
        </w:rPr>
        <w:t>4.3 Financial Projections After Restructuring</w:t>
      </w:r>
    </w:p>
    <w:p w14:paraId="18802DBA" w14:textId="77777777" w:rsidR="00A940C7" w:rsidRPr="00BC2468" w:rsidRDefault="00A940C7" w:rsidP="00157516">
      <w:pPr>
        <w:spacing w:after="0" w:line="480" w:lineRule="auto"/>
        <w:rPr>
          <w:rFonts w:ascii="Arial" w:hAnsi="Arial" w:cs="Arial"/>
        </w:rPr>
      </w:pPr>
      <w:r w:rsidRPr="00BC2468">
        <w:rPr>
          <w:rFonts w:ascii="Arial" w:hAnsi="Arial" w:cs="Arial"/>
        </w:rPr>
        <w:t>The combined benefits of divestiture, refinancing, and operational streamlining are projected to yield significant financial improvements:</w:t>
      </w:r>
    </w:p>
    <w:p w14:paraId="0866F1BF" w14:textId="77777777" w:rsidR="00A940C7" w:rsidRPr="00BC2468" w:rsidRDefault="00A940C7" w:rsidP="00157516">
      <w:pPr>
        <w:numPr>
          <w:ilvl w:val="0"/>
          <w:numId w:val="9"/>
        </w:numPr>
        <w:spacing w:after="0" w:line="480" w:lineRule="auto"/>
        <w:rPr>
          <w:rFonts w:ascii="Arial" w:hAnsi="Arial" w:cs="Arial"/>
        </w:rPr>
      </w:pPr>
      <w:r w:rsidRPr="00BC2468">
        <w:rPr>
          <w:rFonts w:ascii="Arial" w:hAnsi="Arial" w:cs="Arial"/>
        </w:rPr>
        <w:t>Interest savings: £18 million</w:t>
      </w:r>
    </w:p>
    <w:p w14:paraId="7054D033" w14:textId="77777777" w:rsidR="00A940C7" w:rsidRPr="00BC2468" w:rsidRDefault="00A940C7" w:rsidP="00157516">
      <w:pPr>
        <w:numPr>
          <w:ilvl w:val="0"/>
          <w:numId w:val="9"/>
        </w:numPr>
        <w:spacing w:after="0" w:line="480" w:lineRule="auto"/>
        <w:rPr>
          <w:rFonts w:ascii="Arial" w:hAnsi="Arial" w:cs="Arial"/>
        </w:rPr>
      </w:pPr>
      <w:r w:rsidRPr="00BC2468">
        <w:rPr>
          <w:rFonts w:ascii="Arial" w:hAnsi="Arial" w:cs="Arial"/>
        </w:rPr>
        <w:t>Operational cost reduction: £60 million</w:t>
      </w:r>
    </w:p>
    <w:p w14:paraId="00C42DFE" w14:textId="77777777" w:rsidR="00A940C7" w:rsidRPr="00BC2468" w:rsidRDefault="00A940C7" w:rsidP="00157516">
      <w:pPr>
        <w:numPr>
          <w:ilvl w:val="0"/>
          <w:numId w:val="9"/>
        </w:numPr>
        <w:spacing w:after="0" w:line="480" w:lineRule="auto"/>
        <w:rPr>
          <w:rFonts w:ascii="Arial" w:hAnsi="Arial" w:cs="Arial"/>
        </w:rPr>
      </w:pPr>
      <w:r w:rsidRPr="00BC2468">
        <w:rPr>
          <w:rFonts w:ascii="Arial" w:hAnsi="Arial" w:cs="Arial"/>
        </w:rPr>
        <w:t>Efficiency gains (inventory and CCC improvement): £12 million</w:t>
      </w:r>
      <w:r w:rsidRPr="00BC2468">
        <w:rPr>
          <w:rFonts w:ascii="Arial" w:hAnsi="Arial" w:cs="Arial"/>
        </w:rPr>
        <w:br/>
        <w:t>Total annual benefit = £90 million.</w:t>
      </w:r>
    </w:p>
    <w:p w14:paraId="01250753" w14:textId="77777777" w:rsidR="00A940C7" w:rsidRPr="00BC2468" w:rsidRDefault="00A940C7" w:rsidP="00157516">
      <w:pPr>
        <w:spacing w:after="0" w:line="480" w:lineRule="auto"/>
        <w:rPr>
          <w:rFonts w:ascii="Arial" w:hAnsi="Arial" w:cs="Arial"/>
        </w:rPr>
      </w:pPr>
      <w:r w:rsidRPr="00BC2468">
        <w:rPr>
          <w:rFonts w:ascii="Arial" w:hAnsi="Arial" w:cs="Arial"/>
        </w:rPr>
        <w:t>Applying a 30 % tax rate, the post-tax profit increase is £63 million. Adding this to the existing £210 million net income yields a projected net profit of £273 million.</w:t>
      </w:r>
    </w:p>
    <w:p w14:paraId="0496A86A" w14:textId="77777777" w:rsidR="00A940C7" w:rsidRPr="00BC2468" w:rsidRDefault="00A940C7" w:rsidP="00157516">
      <w:pPr>
        <w:spacing w:after="0" w:line="480" w:lineRule="auto"/>
        <w:rPr>
          <w:rFonts w:ascii="Arial" w:hAnsi="Arial" w:cs="Arial"/>
        </w:rPr>
      </w:pPr>
      <w:r w:rsidRPr="00BC2468">
        <w:rPr>
          <w:rFonts w:ascii="Arial" w:hAnsi="Arial" w:cs="Arial"/>
        </w:rPr>
        <w:t>Assuming capital employed of £1,800 million after restructuring, the projected ROCE is:</w:t>
      </w:r>
    </w:p>
    <w:p w14:paraId="22C79E65" w14:textId="77777777" w:rsidR="00A940C7" w:rsidRPr="00BC2468" w:rsidRDefault="00A940C7" w:rsidP="00157516">
      <w:pPr>
        <w:spacing w:after="0" w:line="480" w:lineRule="auto"/>
        <w:rPr>
          <w:rFonts w:ascii="Arial" w:hAnsi="Arial" w:cs="Arial"/>
        </w:rPr>
      </w:pPr>
      <w:r w:rsidRPr="00BC2468">
        <w:rPr>
          <w:rFonts w:ascii="Arial" w:hAnsi="Arial" w:cs="Arial"/>
          <w:b/>
          <w:bCs/>
        </w:rPr>
        <w:t>ROCE = (273 / 1,800) × 100 = 15.2 %.</w:t>
      </w:r>
    </w:p>
    <w:p w14:paraId="5F145683" w14:textId="77777777" w:rsidR="00A940C7" w:rsidRPr="00BC2468" w:rsidRDefault="00A940C7" w:rsidP="00157516">
      <w:pPr>
        <w:spacing w:after="0" w:line="480" w:lineRule="auto"/>
        <w:rPr>
          <w:rFonts w:ascii="Arial" w:hAnsi="Arial" w:cs="Arial"/>
        </w:rPr>
      </w:pPr>
      <w:r w:rsidRPr="00BC2468">
        <w:rPr>
          <w:rFonts w:ascii="Arial" w:hAnsi="Arial" w:cs="Arial"/>
        </w:rPr>
        <w:t>This represents a 1.2 percentage-point improvement over the pre-restructuring 14 %, reflecting restored profitability and more efficient capital utilisation (Appendix N, Table N1).</w:t>
      </w:r>
    </w:p>
    <w:p w14:paraId="1FAF5F75" w14:textId="77777777" w:rsidR="00A940C7" w:rsidRPr="00BC2468" w:rsidRDefault="00A940C7" w:rsidP="00157516">
      <w:pPr>
        <w:spacing w:after="0" w:line="480" w:lineRule="auto"/>
        <w:rPr>
          <w:rFonts w:ascii="Arial" w:hAnsi="Arial" w:cs="Arial"/>
          <w:b/>
          <w:bCs/>
        </w:rPr>
      </w:pPr>
      <w:r w:rsidRPr="00BC2468">
        <w:rPr>
          <w:rFonts w:ascii="Arial" w:hAnsi="Arial" w:cs="Arial"/>
          <w:b/>
          <w:bCs/>
        </w:rPr>
        <w:t>4.4 Shareholder-Value Implications</w:t>
      </w:r>
    </w:p>
    <w:p w14:paraId="25EDDC81" w14:textId="77777777" w:rsidR="00A940C7" w:rsidRPr="00BC2468" w:rsidRDefault="00A940C7" w:rsidP="00157516">
      <w:pPr>
        <w:spacing w:after="0" w:line="480" w:lineRule="auto"/>
        <w:rPr>
          <w:rFonts w:ascii="Arial" w:hAnsi="Arial" w:cs="Arial"/>
        </w:rPr>
      </w:pPr>
      <w:r w:rsidRPr="00BC2468">
        <w:rPr>
          <w:rFonts w:ascii="Arial" w:hAnsi="Arial" w:cs="Arial"/>
        </w:rPr>
        <w:t>To assess long-term value creation, the firm’s valuation can be estimated using the free cash flow (FCF) approach (Koller et al., 2010):</w:t>
      </w:r>
    </w:p>
    <w:p w14:paraId="313101E7" w14:textId="77777777" w:rsidR="00A940C7" w:rsidRPr="00BC2468" w:rsidRDefault="00A940C7" w:rsidP="00157516">
      <w:pPr>
        <w:spacing w:after="0" w:line="480" w:lineRule="auto"/>
        <w:rPr>
          <w:rFonts w:ascii="Arial" w:hAnsi="Arial" w:cs="Arial"/>
        </w:rPr>
      </w:pPr>
      <w:r w:rsidRPr="00BC2468">
        <w:rPr>
          <w:rFonts w:ascii="Arial" w:hAnsi="Arial" w:cs="Arial"/>
          <w:b/>
          <w:bCs/>
        </w:rPr>
        <w:t>Firm Value = FCF / (WACC – g)</w:t>
      </w:r>
    </w:p>
    <w:p w14:paraId="4022C7DF" w14:textId="77777777" w:rsidR="00A940C7" w:rsidRPr="00BC2468" w:rsidRDefault="00A940C7" w:rsidP="00157516">
      <w:pPr>
        <w:spacing w:after="0" w:line="480" w:lineRule="auto"/>
        <w:rPr>
          <w:rFonts w:ascii="Arial" w:hAnsi="Arial" w:cs="Arial"/>
        </w:rPr>
      </w:pPr>
      <w:r w:rsidRPr="00BC2468">
        <w:rPr>
          <w:rFonts w:ascii="Arial" w:hAnsi="Arial" w:cs="Arial"/>
        </w:rPr>
        <w:t>Assuming projected FCF = £250 million, WACC = 8 %, and growth (g) = 2 %,</w:t>
      </w:r>
    </w:p>
    <w:p w14:paraId="115A7E65" w14:textId="77777777" w:rsidR="00A940C7" w:rsidRPr="00BC2468" w:rsidRDefault="00A940C7" w:rsidP="00157516">
      <w:pPr>
        <w:spacing w:after="0" w:line="480" w:lineRule="auto"/>
        <w:rPr>
          <w:rFonts w:ascii="Arial" w:hAnsi="Arial" w:cs="Arial"/>
        </w:rPr>
      </w:pPr>
      <w:r w:rsidRPr="00BC2468">
        <w:rPr>
          <w:rFonts w:ascii="Arial" w:hAnsi="Arial" w:cs="Arial"/>
          <w:b/>
          <w:bCs/>
        </w:rPr>
        <w:t xml:space="preserve">Value = </w:t>
      </w:r>
      <w:r w:rsidRPr="00BC2468">
        <w:rPr>
          <w:rFonts w:ascii="Arial" w:hAnsi="Arial" w:cs="Arial"/>
        </w:rPr>
        <w:t>250 / (0.08 – 0.02) = £4,166 million.</w:t>
      </w:r>
    </w:p>
    <w:p w14:paraId="57AFAE00" w14:textId="77777777" w:rsidR="00A940C7" w:rsidRPr="00BC2468" w:rsidRDefault="00A940C7" w:rsidP="00157516">
      <w:pPr>
        <w:spacing w:after="0" w:line="480" w:lineRule="auto"/>
        <w:rPr>
          <w:rFonts w:ascii="Arial" w:hAnsi="Arial" w:cs="Arial"/>
        </w:rPr>
      </w:pPr>
      <w:r w:rsidRPr="00BC2468">
        <w:rPr>
          <w:rFonts w:ascii="Arial" w:hAnsi="Arial" w:cs="Arial"/>
        </w:rPr>
        <w:t>This represents a 12 % increase over the pre-restructuring valuation of £3,720 million, confirming that the proposed restructuring enhances shareholder value. The improvement results from higher free cash flows, lower financing costs, and sustainable growth potential.</w:t>
      </w:r>
    </w:p>
    <w:p w14:paraId="358D5B9D" w14:textId="77777777" w:rsidR="00A940C7" w:rsidRPr="00BC2468" w:rsidRDefault="00A940C7" w:rsidP="00157516">
      <w:pPr>
        <w:spacing w:after="0" w:line="480" w:lineRule="auto"/>
        <w:rPr>
          <w:rFonts w:ascii="Arial" w:hAnsi="Arial" w:cs="Arial"/>
          <w:b/>
          <w:bCs/>
        </w:rPr>
      </w:pPr>
      <w:r w:rsidRPr="00BC2468">
        <w:rPr>
          <w:rFonts w:ascii="Arial" w:hAnsi="Arial" w:cs="Arial"/>
          <w:b/>
          <w:bCs/>
        </w:rPr>
        <w:t>4.5 International and Ethical Considerations</w:t>
      </w:r>
    </w:p>
    <w:p w14:paraId="0B0070B4" w14:textId="77777777" w:rsidR="00A940C7" w:rsidRPr="00BC2468" w:rsidRDefault="00A940C7" w:rsidP="00157516">
      <w:pPr>
        <w:spacing w:after="0" w:line="480" w:lineRule="auto"/>
        <w:rPr>
          <w:rFonts w:ascii="Arial" w:hAnsi="Arial" w:cs="Arial"/>
        </w:rPr>
      </w:pPr>
      <w:r w:rsidRPr="00BC2468">
        <w:rPr>
          <w:rFonts w:ascii="Arial" w:hAnsi="Arial" w:cs="Arial"/>
        </w:rPr>
        <w:t>Restructuring also demands adherence to international financial and ethical standards. The OECD (2017) Base Erosion and Profit Shifting (BEPS) framework emphasises transparent cross-border tax practices and discourages artificial profit shifting. GE’s restructuring should ensure compliance by properly reporting intercompany transactions and maintaining fair-value disclosures in all jurisdictions.</w:t>
      </w:r>
    </w:p>
    <w:p w14:paraId="2AF054A0" w14:textId="77777777" w:rsidR="00A940C7" w:rsidRPr="00BC2468" w:rsidRDefault="00A940C7" w:rsidP="00157516">
      <w:pPr>
        <w:spacing w:after="0" w:line="480" w:lineRule="auto"/>
        <w:rPr>
          <w:rFonts w:ascii="Arial" w:hAnsi="Arial" w:cs="Arial"/>
        </w:rPr>
      </w:pPr>
      <w:r w:rsidRPr="00BC2468">
        <w:rPr>
          <w:rFonts w:ascii="Arial" w:hAnsi="Arial" w:cs="Arial"/>
        </w:rPr>
        <w:t>From a corporate social responsibility (CSR) perspective, the restructuring process must uphold employee welfare and community relations. Reducing environmental impact through cleaner production technologies, fair retrenchment policies, and ethical governance will strengthen stakeholder trust and align with global sustainability trends. As Koller et al. (2010) note, socially responsible restructuring enhances long-term brand equity and investor appeal.</w:t>
      </w:r>
    </w:p>
    <w:p w14:paraId="3E7DDD35" w14:textId="77777777" w:rsidR="00A940C7" w:rsidRPr="00BC2468" w:rsidRDefault="00A940C7" w:rsidP="00157516">
      <w:pPr>
        <w:spacing w:after="0" w:line="480" w:lineRule="auto"/>
        <w:rPr>
          <w:rFonts w:ascii="Arial" w:hAnsi="Arial" w:cs="Arial"/>
          <w:b/>
          <w:bCs/>
        </w:rPr>
      </w:pPr>
      <w:r w:rsidRPr="00BC2468">
        <w:rPr>
          <w:rFonts w:ascii="Arial" w:hAnsi="Arial" w:cs="Arial"/>
          <w:b/>
          <w:bCs/>
        </w:rPr>
        <w:t>4.6 Turnaround Management and Implementation</w:t>
      </w:r>
    </w:p>
    <w:p w14:paraId="7D9C05A1" w14:textId="77777777" w:rsidR="00A940C7" w:rsidRPr="00BC2468" w:rsidRDefault="00A940C7" w:rsidP="00157516">
      <w:pPr>
        <w:spacing w:after="0" w:line="480" w:lineRule="auto"/>
        <w:rPr>
          <w:rFonts w:ascii="Arial" w:hAnsi="Arial" w:cs="Arial"/>
        </w:rPr>
      </w:pPr>
      <w:r w:rsidRPr="00BC2468">
        <w:rPr>
          <w:rFonts w:ascii="Arial" w:hAnsi="Arial" w:cs="Arial"/>
        </w:rPr>
        <w:t xml:space="preserve">Effective restructuring requires robust turnaround management. Zook (2016) of Bain &amp; Company and the </w:t>
      </w:r>
      <w:r w:rsidRPr="00BC2468">
        <w:rPr>
          <w:rFonts w:ascii="Arial" w:hAnsi="Arial" w:cs="Arial"/>
          <w:i/>
          <w:iCs/>
        </w:rPr>
        <w:t>Harvard Business Review</w:t>
      </w:r>
      <w:r w:rsidRPr="00BC2468">
        <w:rPr>
          <w:rFonts w:ascii="Arial" w:hAnsi="Arial" w:cs="Arial"/>
        </w:rPr>
        <w:t xml:space="preserve"> (2014) both emphasise that successful corporate recoveries follow three sequential phases:</w:t>
      </w:r>
    </w:p>
    <w:p w14:paraId="6590E759" w14:textId="77777777" w:rsidR="00A940C7" w:rsidRPr="00BC2468" w:rsidRDefault="00A940C7" w:rsidP="00157516">
      <w:pPr>
        <w:numPr>
          <w:ilvl w:val="0"/>
          <w:numId w:val="10"/>
        </w:numPr>
        <w:spacing w:after="0" w:line="480" w:lineRule="auto"/>
        <w:rPr>
          <w:rFonts w:ascii="Arial" w:hAnsi="Arial" w:cs="Arial"/>
        </w:rPr>
      </w:pPr>
      <w:r w:rsidRPr="00BC2468">
        <w:rPr>
          <w:rFonts w:ascii="Arial" w:hAnsi="Arial" w:cs="Arial"/>
          <w:b/>
          <w:bCs/>
        </w:rPr>
        <w:t>Stabilisation:</w:t>
      </w:r>
      <w:r w:rsidRPr="00BC2468">
        <w:rPr>
          <w:rFonts w:ascii="Arial" w:hAnsi="Arial" w:cs="Arial"/>
        </w:rPr>
        <w:t xml:space="preserve"> Immediate liquidity strengthening through asset sales, tighter cost control, and debt refinancing.</w:t>
      </w:r>
    </w:p>
    <w:p w14:paraId="030836E6" w14:textId="77777777" w:rsidR="00A940C7" w:rsidRPr="00BC2468" w:rsidRDefault="00A940C7" w:rsidP="00157516">
      <w:pPr>
        <w:numPr>
          <w:ilvl w:val="0"/>
          <w:numId w:val="10"/>
        </w:numPr>
        <w:spacing w:after="0" w:line="480" w:lineRule="auto"/>
        <w:rPr>
          <w:rFonts w:ascii="Arial" w:hAnsi="Arial" w:cs="Arial"/>
        </w:rPr>
      </w:pPr>
      <w:r w:rsidRPr="00BC2468">
        <w:rPr>
          <w:rFonts w:ascii="Arial" w:hAnsi="Arial" w:cs="Arial"/>
          <w:b/>
          <w:bCs/>
        </w:rPr>
        <w:t>Restructuring:</w:t>
      </w:r>
      <w:r w:rsidRPr="00BC2468">
        <w:rPr>
          <w:rFonts w:ascii="Arial" w:hAnsi="Arial" w:cs="Arial"/>
        </w:rPr>
        <w:t xml:space="preserve"> Execution of capital and operational reforms, including divestiture and automation investment.</w:t>
      </w:r>
    </w:p>
    <w:p w14:paraId="6D2EC8CE" w14:textId="77777777" w:rsidR="00A940C7" w:rsidRPr="00BC2468" w:rsidRDefault="00A940C7" w:rsidP="00157516">
      <w:pPr>
        <w:numPr>
          <w:ilvl w:val="0"/>
          <w:numId w:val="10"/>
        </w:numPr>
        <w:spacing w:after="0" w:line="480" w:lineRule="auto"/>
        <w:rPr>
          <w:rFonts w:ascii="Arial" w:hAnsi="Arial" w:cs="Arial"/>
        </w:rPr>
      </w:pPr>
      <w:r w:rsidRPr="00BC2468">
        <w:rPr>
          <w:rFonts w:ascii="Arial" w:hAnsi="Arial" w:cs="Arial"/>
          <w:b/>
          <w:bCs/>
        </w:rPr>
        <w:t>Renewal:</w:t>
      </w:r>
      <w:r w:rsidRPr="00BC2468">
        <w:rPr>
          <w:rFonts w:ascii="Arial" w:hAnsi="Arial" w:cs="Arial"/>
        </w:rPr>
        <w:t xml:space="preserve"> Strategic reinvestment into innovation, R&amp;D, and emerging markets to restore competitive growth.</w:t>
      </w:r>
    </w:p>
    <w:p w14:paraId="36DA69F8" w14:textId="77777777" w:rsidR="00A940C7" w:rsidRPr="00BC2468" w:rsidRDefault="00A940C7" w:rsidP="00157516">
      <w:pPr>
        <w:spacing w:after="0" w:line="480" w:lineRule="auto"/>
        <w:rPr>
          <w:rFonts w:ascii="Arial" w:hAnsi="Arial" w:cs="Arial"/>
        </w:rPr>
      </w:pPr>
      <w:r w:rsidRPr="00BC2468">
        <w:rPr>
          <w:rFonts w:ascii="Arial" w:hAnsi="Arial" w:cs="Arial"/>
        </w:rPr>
        <w:t>Okwir et al. (2017) highlight that collaborative decision-making (CDM) among departments is critical in turnaround situations. A cross-functional restructuring committee—comprising finance, operations, human resources, and compliance—should monitor progress through performance scorecards and transparent reporting. This ensures accountability and shared ownership of outcomes.</w:t>
      </w:r>
    </w:p>
    <w:p w14:paraId="7420257C" w14:textId="77777777" w:rsidR="00A940C7" w:rsidRPr="00BC2468" w:rsidRDefault="00A940C7" w:rsidP="00157516">
      <w:pPr>
        <w:spacing w:after="0" w:line="480" w:lineRule="auto"/>
        <w:rPr>
          <w:rFonts w:ascii="Arial" w:hAnsi="Arial" w:cs="Arial"/>
        </w:rPr>
      </w:pPr>
      <w:r w:rsidRPr="00BC2468">
        <w:rPr>
          <w:rFonts w:ascii="Arial" w:hAnsi="Arial" w:cs="Arial"/>
        </w:rPr>
        <w:t>Moreover, aligning executive incentives with key performance indicators (e.g., ROCE, CCC, and FCF growth) will promote sustained improvement and prevent future financial slippage. By integrating data-driven decision-making with stakeholder communication, GE can transform from reactive management to a proactive, learning-oriented organisation.</w:t>
      </w:r>
    </w:p>
    <w:p w14:paraId="25F71C8F" w14:textId="77777777" w:rsidR="00A940C7" w:rsidRPr="00BC2468" w:rsidRDefault="00A940C7" w:rsidP="00157516">
      <w:pPr>
        <w:spacing w:after="0" w:line="480" w:lineRule="auto"/>
        <w:rPr>
          <w:rFonts w:ascii="Arial" w:hAnsi="Arial" w:cs="Arial"/>
          <w:b/>
          <w:bCs/>
        </w:rPr>
      </w:pPr>
      <w:r w:rsidRPr="00BC2468">
        <w:rPr>
          <w:rFonts w:ascii="Arial" w:hAnsi="Arial" w:cs="Arial"/>
          <w:b/>
          <w:bCs/>
        </w:rPr>
        <w:t>4.7 Summary</w:t>
      </w:r>
    </w:p>
    <w:p w14:paraId="140F56F2" w14:textId="77777777" w:rsidR="00A940C7" w:rsidRPr="00BC2468" w:rsidRDefault="00A940C7" w:rsidP="00157516">
      <w:pPr>
        <w:spacing w:after="0" w:line="480" w:lineRule="auto"/>
        <w:rPr>
          <w:rFonts w:ascii="Arial" w:hAnsi="Arial" w:cs="Arial"/>
        </w:rPr>
      </w:pPr>
      <w:r w:rsidRPr="00BC2468">
        <w:rPr>
          <w:rFonts w:ascii="Arial" w:hAnsi="Arial" w:cs="Arial"/>
        </w:rPr>
        <w:t>In summary, the proposed financial-restructuring plan offers a balanced roadmap for restoring General Electronics’ financial health. Through divestiture, debt refinancing, equity injection, and operational efficiency reforms, the company can significantly reduce leverage, enhance liquidity, and improve profitability. The projected outcomes—£63 million in additional annual profit, ROCE improvement to 15.2 %, and a 12 % rise in firm value—demonstrate that restructuring is both necessary and feasible.</w:t>
      </w:r>
    </w:p>
    <w:p w14:paraId="2B872FD9" w14:textId="77777777" w:rsidR="00A940C7" w:rsidRPr="00BC2468" w:rsidRDefault="00A940C7" w:rsidP="00157516">
      <w:pPr>
        <w:spacing w:after="0" w:line="480" w:lineRule="auto"/>
        <w:rPr>
          <w:rFonts w:ascii="Arial" w:hAnsi="Arial" w:cs="Arial"/>
        </w:rPr>
      </w:pPr>
      <w:r w:rsidRPr="00BC2468">
        <w:rPr>
          <w:rFonts w:ascii="Arial" w:hAnsi="Arial" w:cs="Arial"/>
        </w:rPr>
        <w:t>If executed with transparency, ethical governance, and collaborative oversight, this plan will reposition GE for long-term stability, competitiveness, and sustainable shareholder value.</w:t>
      </w:r>
    </w:p>
    <w:p w14:paraId="0377E673" w14:textId="4E607B22" w:rsidR="00A00F69" w:rsidRPr="00BC2468" w:rsidRDefault="00A00F69" w:rsidP="00157516">
      <w:pPr>
        <w:spacing w:after="0" w:line="480" w:lineRule="auto"/>
        <w:rPr>
          <w:rFonts w:ascii="Arial" w:hAnsi="Arial" w:cs="Arial"/>
        </w:rPr>
      </w:pPr>
    </w:p>
    <w:p w14:paraId="29D06DD2" w14:textId="230F224F" w:rsidR="00A00F69" w:rsidRPr="00BC2468" w:rsidRDefault="00A00F69" w:rsidP="00157516">
      <w:pPr>
        <w:spacing w:after="0" w:line="480" w:lineRule="auto"/>
        <w:jc w:val="center"/>
        <w:rPr>
          <w:rFonts w:ascii="Arial" w:hAnsi="Arial" w:cs="Arial"/>
          <w:b/>
          <w:bCs/>
        </w:rPr>
      </w:pPr>
      <w:r w:rsidRPr="00BC2468">
        <w:rPr>
          <w:rFonts w:ascii="Arial" w:hAnsi="Arial" w:cs="Arial"/>
          <w:b/>
          <w:bCs/>
        </w:rPr>
        <w:t xml:space="preserve">5. Investment Appraisal &amp; Capital Budgeting </w:t>
      </w:r>
    </w:p>
    <w:p w14:paraId="3C11D2ED" w14:textId="77777777" w:rsidR="00A00F69" w:rsidRPr="00BC2468" w:rsidRDefault="00A00F69" w:rsidP="00157516">
      <w:pPr>
        <w:spacing w:after="0" w:line="480" w:lineRule="auto"/>
        <w:rPr>
          <w:rFonts w:ascii="Arial" w:hAnsi="Arial" w:cs="Arial"/>
          <w:b/>
          <w:bCs/>
        </w:rPr>
      </w:pPr>
      <w:r w:rsidRPr="00BC2468">
        <w:rPr>
          <w:rFonts w:ascii="Arial" w:hAnsi="Arial" w:cs="Arial"/>
          <w:b/>
          <w:bCs/>
        </w:rPr>
        <w:t>5.1 Scenario</w:t>
      </w:r>
    </w:p>
    <w:p w14:paraId="12D5AC6F" w14:textId="77777777" w:rsidR="00A00F69" w:rsidRPr="00BC2468" w:rsidRDefault="00A00F69" w:rsidP="00157516">
      <w:pPr>
        <w:spacing w:after="0" w:line="480" w:lineRule="auto"/>
        <w:rPr>
          <w:rFonts w:ascii="Arial" w:hAnsi="Arial" w:cs="Arial"/>
        </w:rPr>
      </w:pPr>
      <w:r w:rsidRPr="00BC2468">
        <w:rPr>
          <w:rFonts w:ascii="Arial" w:hAnsi="Arial" w:cs="Arial"/>
        </w:rPr>
        <w:t>The firm can invest up to £60 million in one or more of three projects (A, B, C). Discount rate = 10 %.</w:t>
      </w:r>
    </w:p>
    <w:tbl>
      <w:tblPr>
        <w:tblStyle w:val="TableGridLight"/>
        <w:tblW w:w="0" w:type="auto"/>
        <w:tblLook w:val="04A0" w:firstRow="1" w:lastRow="0" w:firstColumn="1" w:lastColumn="0" w:noHBand="0" w:noVBand="1"/>
      </w:tblPr>
      <w:tblGrid>
        <w:gridCol w:w="724"/>
        <w:gridCol w:w="1826"/>
        <w:gridCol w:w="1844"/>
        <w:gridCol w:w="1844"/>
      </w:tblGrid>
      <w:tr w:rsidR="00A00F69" w:rsidRPr="00BC2468" w14:paraId="41945C94" w14:textId="77777777" w:rsidTr="00C72388">
        <w:tc>
          <w:tcPr>
            <w:tcW w:w="0" w:type="auto"/>
            <w:hideMark/>
          </w:tcPr>
          <w:p w14:paraId="2A44EC1A" w14:textId="77777777" w:rsidR="00A00F69" w:rsidRPr="00BC2468" w:rsidRDefault="00A00F69" w:rsidP="00157516">
            <w:pPr>
              <w:spacing w:line="480" w:lineRule="auto"/>
              <w:rPr>
                <w:rFonts w:ascii="Arial" w:hAnsi="Arial" w:cs="Arial"/>
                <w:b/>
                <w:bCs/>
              </w:rPr>
            </w:pPr>
            <w:r w:rsidRPr="00BC2468">
              <w:rPr>
                <w:rFonts w:ascii="Arial" w:hAnsi="Arial" w:cs="Arial"/>
                <w:b/>
                <w:bCs/>
              </w:rPr>
              <w:t>Year</w:t>
            </w:r>
          </w:p>
        </w:tc>
        <w:tc>
          <w:tcPr>
            <w:tcW w:w="0" w:type="auto"/>
            <w:hideMark/>
          </w:tcPr>
          <w:p w14:paraId="312269C1" w14:textId="77777777" w:rsidR="00A00F69" w:rsidRPr="00BC2468" w:rsidRDefault="00A00F69" w:rsidP="00157516">
            <w:pPr>
              <w:spacing w:line="480" w:lineRule="auto"/>
              <w:rPr>
                <w:rFonts w:ascii="Arial" w:hAnsi="Arial" w:cs="Arial"/>
                <w:b/>
                <w:bCs/>
              </w:rPr>
            </w:pPr>
            <w:r w:rsidRPr="00BC2468">
              <w:rPr>
                <w:rFonts w:ascii="Arial" w:hAnsi="Arial" w:cs="Arial"/>
                <w:b/>
                <w:bCs/>
              </w:rPr>
              <w:t>Project A (£m)</w:t>
            </w:r>
          </w:p>
        </w:tc>
        <w:tc>
          <w:tcPr>
            <w:tcW w:w="0" w:type="auto"/>
            <w:hideMark/>
          </w:tcPr>
          <w:p w14:paraId="103FCF75" w14:textId="77777777" w:rsidR="00A00F69" w:rsidRPr="00BC2468" w:rsidRDefault="00A00F69" w:rsidP="00157516">
            <w:pPr>
              <w:spacing w:line="480" w:lineRule="auto"/>
              <w:rPr>
                <w:rFonts w:ascii="Arial" w:hAnsi="Arial" w:cs="Arial"/>
                <w:b/>
                <w:bCs/>
              </w:rPr>
            </w:pPr>
            <w:r w:rsidRPr="00BC2468">
              <w:rPr>
                <w:rFonts w:ascii="Arial" w:hAnsi="Arial" w:cs="Arial"/>
                <w:b/>
                <w:bCs/>
              </w:rPr>
              <w:t>Project B (£m)</w:t>
            </w:r>
          </w:p>
        </w:tc>
        <w:tc>
          <w:tcPr>
            <w:tcW w:w="0" w:type="auto"/>
            <w:hideMark/>
          </w:tcPr>
          <w:p w14:paraId="7B0673C6" w14:textId="77777777" w:rsidR="00A00F69" w:rsidRPr="00BC2468" w:rsidRDefault="00A00F69" w:rsidP="00157516">
            <w:pPr>
              <w:spacing w:line="480" w:lineRule="auto"/>
              <w:rPr>
                <w:rFonts w:ascii="Arial" w:hAnsi="Arial" w:cs="Arial"/>
                <w:b/>
                <w:bCs/>
              </w:rPr>
            </w:pPr>
            <w:r w:rsidRPr="00BC2468">
              <w:rPr>
                <w:rFonts w:ascii="Arial" w:hAnsi="Arial" w:cs="Arial"/>
                <w:b/>
                <w:bCs/>
              </w:rPr>
              <w:t>Project C (£m)</w:t>
            </w:r>
          </w:p>
        </w:tc>
      </w:tr>
      <w:tr w:rsidR="00A00F69" w:rsidRPr="00BC2468" w14:paraId="45055B29" w14:textId="77777777" w:rsidTr="00C72388">
        <w:tc>
          <w:tcPr>
            <w:tcW w:w="0" w:type="auto"/>
            <w:hideMark/>
          </w:tcPr>
          <w:p w14:paraId="73B07819" w14:textId="77777777" w:rsidR="00A00F69" w:rsidRPr="00BC2468" w:rsidRDefault="00A00F69" w:rsidP="00157516">
            <w:pPr>
              <w:spacing w:line="480" w:lineRule="auto"/>
              <w:rPr>
                <w:rFonts w:ascii="Arial" w:hAnsi="Arial" w:cs="Arial"/>
              </w:rPr>
            </w:pPr>
            <w:r w:rsidRPr="00BC2468">
              <w:rPr>
                <w:rFonts w:ascii="Arial" w:hAnsi="Arial" w:cs="Arial"/>
              </w:rPr>
              <w:t>0</w:t>
            </w:r>
          </w:p>
        </w:tc>
        <w:tc>
          <w:tcPr>
            <w:tcW w:w="0" w:type="auto"/>
            <w:hideMark/>
          </w:tcPr>
          <w:p w14:paraId="53FC4B38" w14:textId="77777777" w:rsidR="00A00F69" w:rsidRPr="00BC2468" w:rsidRDefault="00A00F69" w:rsidP="00157516">
            <w:pPr>
              <w:spacing w:line="480" w:lineRule="auto"/>
              <w:rPr>
                <w:rFonts w:ascii="Arial" w:hAnsi="Arial" w:cs="Arial"/>
              </w:rPr>
            </w:pPr>
            <w:r w:rsidRPr="00BC2468">
              <w:rPr>
                <w:rFonts w:ascii="Arial" w:hAnsi="Arial" w:cs="Arial"/>
              </w:rPr>
              <w:t>–30</w:t>
            </w:r>
          </w:p>
        </w:tc>
        <w:tc>
          <w:tcPr>
            <w:tcW w:w="0" w:type="auto"/>
            <w:hideMark/>
          </w:tcPr>
          <w:p w14:paraId="10DE922A" w14:textId="77777777" w:rsidR="00A00F69" w:rsidRPr="00BC2468" w:rsidRDefault="00A00F69" w:rsidP="00157516">
            <w:pPr>
              <w:spacing w:line="480" w:lineRule="auto"/>
              <w:rPr>
                <w:rFonts w:ascii="Arial" w:hAnsi="Arial" w:cs="Arial"/>
              </w:rPr>
            </w:pPr>
            <w:r w:rsidRPr="00BC2468">
              <w:rPr>
                <w:rFonts w:ascii="Arial" w:hAnsi="Arial" w:cs="Arial"/>
              </w:rPr>
              <w:t>–40</w:t>
            </w:r>
          </w:p>
        </w:tc>
        <w:tc>
          <w:tcPr>
            <w:tcW w:w="0" w:type="auto"/>
            <w:hideMark/>
          </w:tcPr>
          <w:p w14:paraId="459A2189" w14:textId="77777777" w:rsidR="00A00F69" w:rsidRPr="00BC2468" w:rsidRDefault="00A00F69" w:rsidP="00157516">
            <w:pPr>
              <w:spacing w:line="480" w:lineRule="auto"/>
              <w:rPr>
                <w:rFonts w:ascii="Arial" w:hAnsi="Arial" w:cs="Arial"/>
              </w:rPr>
            </w:pPr>
            <w:r w:rsidRPr="00BC2468">
              <w:rPr>
                <w:rFonts w:ascii="Arial" w:hAnsi="Arial" w:cs="Arial"/>
              </w:rPr>
              <w:t>–50</w:t>
            </w:r>
          </w:p>
        </w:tc>
      </w:tr>
      <w:tr w:rsidR="00A00F69" w:rsidRPr="00BC2468" w14:paraId="0ABD7FA0" w14:textId="77777777" w:rsidTr="00C72388">
        <w:tc>
          <w:tcPr>
            <w:tcW w:w="0" w:type="auto"/>
            <w:hideMark/>
          </w:tcPr>
          <w:p w14:paraId="79871E4A" w14:textId="77777777" w:rsidR="00A00F69" w:rsidRPr="00BC2468" w:rsidRDefault="00A00F69" w:rsidP="00157516">
            <w:pPr>
              <w:spacing w:line="480" w:lineRule="auto"/>
              <w:rPr>
                <w:rFonts w:ascii="Arial" w:hAnsi="Arial" w:cs="Arial"/>
              </w:rPr>
            </w:pPr>
            <w:r w:rsidRPr="00BC2468">
              <w:rPr>
                <w:rFonts w:ascii="Arial" w:hAnsi="Arial" w:cs="Arial"/>
              </w:rPr>
              <w:t>1</w:t>
            </w:r>
          </w:p>
        </w:tc>
        <w:tc>
          <w:tcPr>
            <w:tcW w:w="0" w:type="auto"/>
            <w:hideMark/>
          </w:tcPr>
          <w:p w14:paraId="4FA1FA63" w14:textId="77777777" w:rsidR="00A00F69" w:rsidRPr="00BC2468" w:rsidRDefault="00A00F69" w:rsidP="00157516">
            <w:pPr>
              <w:spacing w:line="480" w:lineRule="auto"/>
              <w:rPr>
                <w:rFonts w:ascii="Arial" w:hAnsi="Arial" w:cs="Arial"/>
              </w:rPr>
            </w:pPr>
            <w:r w:rsidRPr="00BC2468">
              <w:rPr>
                <w:rFonts w:ascii="Arial" w:hAnsi="Arial" w:cs="Arial"/>
              </w:rPr>
              <w:t>8</w:t>
            </w:r>
          </w:p>
        </w:tc>
        <w:tc>
          <w:tcPr>
            <w:tcW w:w="0" w:type="auto"/>
            <w:hideMark/>
          </w:tcPr>
          <w:p w14:paraId="140F8B66" w14:textId="77777777" w:rsidR="00A00F69" w:rsidRPr="00BC2468" w:rsidRDefault="00A00F69" w:rsidP="00157516">
            <w:pPr>
              <w:spacing w:line="480" w:lineRule="auto"/>
              <w:rPr>
                <w:rFonts w:ascii="Arial" w:hAnsi="Arial" w:cs="Arial"/>
              </w:rPr>
            </w:pPr>
            <w:r w:rsidRPr="00BC2468">
              <w:rPr>
                <w:rFonts w:ascii="Arial" w:hAnsi="Arial" w:cs="Arial"/>
              </w:rPr>
              <w:t>12</w:t>
            </w:r>
          </w:p>
        </w:tc>
        <w:tc>
          <w:tcPr>
            <w:tcW w:w="0" w:type="auto"/>
            <w:hideMark/>
          </w:tcPr>
          <w:p w14:paraId="33637CF5" w14:textId="77777777" w:rsidR="00A00F69" w:rsidRPr="00BC2468" w:rsidRDefault="00A00F69" w:rsidP="00157516">
            <w:pPr>
              <w:spacing w:line="480" w:lineRule="auto"/>
              <w:rPr>
                <w:rFonts w:ascii="Arial" w:hAnsi="Arial" w:cs="Arial"/>
              </w:rPr>
            </w:pPr>
            <w:r w:rsidRPr="00BC2468">
              <w:rPr>
                <w:rFonts w:ascii="Arial" w:hAnsi="Arial" w:cs="Arial"/>
              </w:rPr>
              <w:t>15</w:t>
            </w:r>
          </w:p>
        </w:tc>
      </w:tr>
      <w:tr w:rsidR="00A00F69" w:rsidRPr="00BC2468" w14:paraId="35209B34" w14:textId="77777777" w:rsidTr="00C72388">
        <w:tc>
          <w:tcPr>
            <w:tcW w:w="0" w:type="auto"/>
            <w:hideMark/>
          </w:tcPr>
          <w:p w14:paraId="22D5CE94" w14:textId="77777777" w:rsidR="00A00F69" w:rsidRPr="00BC2468" w:rsidRDefault="00A00F69" w:rsidP="00157516">
            <w:pPr>
              <w:spacing w:line="480" w:lineRule="auto"/>
              <w:rPr>
                <w:rFonts w:ascii="Arial" w:hAnsi="Arial" w:cs="Arial"/>
              </w:rPr>
            </w:pPr>
            <w:r w:rsidRPr="00BC2468">
              <w:rPr>
                <w:rFonts w:ascii="Arial" w:hAnsi="Arial" w:cs="Arial"/>
              </w:rPr>
              <w:t>2</w:t>
            </w:r>
          </w:p>
        </w:tc>
        <w:tc>
          <w:tcPr>
            <w:tcW w:w="0" w:type="auto"/>
            <w:hideMark/>
          </w:tcPr>
          <w:p w14:paraId="7F62D91B" w14:textId="77777777" w:rsidR="00A00F69" w:rsidRPr="00BC2468" w:rsidRDefault="00A00F69" w:rsidP="00157516">
            <w:pPr>
              <w:spacing w:line="480" w:lineRule="auto"/>
              <w:rPr>
                <w:rFonts w:ascii="Arial" w:hAnsi="Arial" w:cs="Arial"/>
              </w:rPr>
            </w:pPr>
            <w:r w:rsidRPr="00BC2468">
              <w:rPr>
                <w:rFonts w:ascii="Arial" w:hAnsi="Arial" w:cs="Arial"/>
              </w:rPr>
              <w:t>10</w:t>
            </w:r>
          </w:p>
        </w:tc>
        <w:tc>
          <w:tcPr>
            <w:tcW w:w="0" w:type="auto"/>
            <w:hideMark/>
          </w:tcPr>
          <w:p w14:paraId="0E2FDCBE" w14:textId="77777777" w:rsidR="00A00F69" w:rsidRPr="00BC2468" w:rsidRDefault="00A00F69" w:rsidP="00157516">
            <w:pPr>
              <w:spacing w:line="480" w:lineRule="auto"/>
              <w:rPr>
                <w:rFonts w:ascii="Arial" w:hAnsi="Arial" w:cs="Arial"/>
              </w:rPr>
            </w:pPr>
            <w:r w:rsidRPr="00BC2468">
              <w:rPr>
                <w:rFonts w:ascii="Arial" w:hAnsi="Arial" w:cs="Arial"/>
              </w:rPr>
              <w:t>14</w:t>
            </w:r>
          </w:p>
        </w:tc>
        <w:tc>
          <w:tcPr>
            <w:tcW w:w="0" w:type="auto"/>
            <w:hideMark/>
          </w:tcPr>
          <w:p w14:paraId="5D342948" w14:textId="77777777" w:rsidR="00A00F69" w:rsidRPr="00BC2468" w:rsidRDefault="00A00F69" w:rsidP="00157516">
            <w:pPr>
              <w:spacing w:line="480" w:lineRule="auto"/>
              <w:rPr>
                <w:rFonts w:ascii="Arial" w:hAnsi="Arial" w:cs="Arial"/>
              </w:rPr>
            </w:pPr>
            <w:r w:rsidRPr="00BC2468">
              <w:rPr>
                <w:rFonts w:ascii="Arial" w:hAnsi="Arial" w:cs="Arial"/>
              </w:rPr>
              <w:t>18</w:t>
            </w:r>
          </w:p>
        </w:tc>
      </w:tr>
      <w:tr w:rsidR="00A00F69" w:rsidRPr="00BC2468" w14:paraId="067C6F38" w14:textId="77777777" w:rsidTr="00C72388">
        <w:tc>
          <w:tcPr>
            <w:tcW w:w="0" w:type="auto"/>
            <w:hideMark/>
          </w:tcPr>
          <w:p w14:paraId="3EEEF0E2" w14:textId="77777777" w:rsidR="00A00F69" w:rsidRPr="00BC2468" w:rsidRDefault="00A00F69" w:rsidP="00157516">
            <w:pPr>
              <w:spacing w:line="480" w:lineRule="auto"/>
              <w:rPr>
                <w:rFonts w:ascii="Arial" w:hAnsi="Arial" w:cs="Arial"/>
              </w:rPr>
            </w:pPr>
            <w:r w:rsidRPr="00BC2468">
              <w:rPr>
                <w:rFonts w:ascii="Arial" w:hAnsi="Arial" w:cs="Arial"/>
              </w:rPr>
              <w:t>3</w:t>
            </w:r>
          </w:p>
        </w:tc>
        <w:tc>
          <w:tcPr>
            <w:tcW w:w="0" w:type="auto"/>
            <w:hideMark/>
          </w:tcPr>
          <w:p w14:paraId="6F9BE384" w14:textId="77777777" w:rsidR="00A00F69" w:rsidRPr="00BC2468" w:rsidRDefault="00A00F69" w:rsidP="00157516">
            <w:pPr>
              <w:spacing w:line="480" w:lineRule="auto"/>
              <w:rPr>
                <w:rFonts w:ascii="Arial" w:hAnsi="Arial" w:cs="Arial"/>
              </w:rPr>
            </w:pPr>
            <w:r w:rsidRPr="00BC2468">
              <w:rPr>
                <w:rFonts w:ascii="Arial" w:hAnsi="Arial" w:cs="Arial"/>
              </w:rPr>
              <w:t>12</w:t>
            </w:r>
          </w:p>
        </w:tc>
        <w:tc>
          <w:tcPr>
            <w:tcW w:w="0" w:type="auto"/>
            <w:hideMark/>
          </w:tcPr>
          <w:p w14:paraId="4A7441DA" w14:textId="77777777" w:rsidR="00A00F69" w:rsidRPr="00BC2468" w:rsidRDefault="00A00F69" w:rsidP="00157516">
            <w:pPr>
              <w:spacing w:line="480" w:lineRule="auto"/>
              <w:rPr>
                <w:rFonts w:ascii="Arial" w:hAnsi="Arial" w:cs="Arial"/>
              </w:rPr>
            </w:pPr>
            <w:r w:rsidRPr="00BC2468">
              <w:rPr>
                <w:rFonts w:ascii="Arial" w:hAnsi="Arial" w:cs="Arial"/>
              </w:rPr>
              <w:t>16</w:t>
            </w:r>
          </w:p>
        </w:tc>
        <w:tc>
          <w:tcPr>
            <w:tcW w:w="0" w:type="auto"/>
            <w:hideMark/>
          </w:tcPr>
          <w:p w14:paraId="690F2E9F" w14:textId="77777777" w:rsidR="00A00F69" w:rsidRPr="00BC2468" w:rsidRDefault="00A00F69" w:rsidP="00157516">
            <w:pPr>
              <w:spacing w:line="480" w:lineRule="auto"/>
              <w:rPr>
                <w:rFonts w:ascii="Arial" w:hAnsi="Arial" w:cs="Arial"/>
              </w:rPr>
            </w:pPr>
            <w:r w:rsidRPr="00BC2468">
              <w:rPr>
                <w:rFonts w:ascii="Arial" w:hAnsi="Arial" w:cs="Arial"/>
              </w:rPr>
              <w:t>20</w:t>
            </w:r>
          </w:p>
        </w:tc>
      </w:tr>
      <w:tr w:rsidR="00A00F69" w:rsidRPr="00BC2468" w14:paraId="5A3FC539" w14:textId="77777777" w:rsidTr="00C72388">
        <w:tc>
          <w:tcPr>
            <w:tcW w:w="0" w:type="auto"/>
            <w:hideMark/>
          </w:tcPr>
          <w:p w14:paraId="6EC36892" w14:textId="77777777" w:rsidR="00A00F69" w:rsidRPr="00BC2468" w:rsidRDefault="00A00F69" w:rsidP="00157516">
            <w:pPr>
              <w:spacing w:line="480" w:lineRule="auto"/>
              <w:rPr>
                <w:rFonts w:ascii="Arial" w:hAnsi="Arial" w:cs="Arial"/>
              </w:rPr>
            </w:pPr>
            <w:r w:rsidRPr="00BC2468">
              <w:rPr>
                <w:rFonts w:ascii="Arial" w:hAnsi="Arial" w:cs="Arial"/>
              </w:rPr>
              <w:t>4</w:t>
            </w:r>
          </w:p>
        </w:tc>
        <w:tc>
          <w:tcPr>
            <w:tcW w:w="0" w:type="auto"/>
            <w:hideMark/>
          </w:tcPr>
          <w:p w14:paraId="598F8FD7" w14:textId="77777777" w:rsidR="00A00F69" w:rsidRPr="00BC2468" w:rsidRDefault="00A00F69" w:rsidP="00157516">
            <w:pPr>
              <w:spacing w:line="480" w:lineRule="auto"/>
              <w:rPr>
                <w:rFonts w:ascii="Arial" w:hAnsi="Arial" w:cs="Arial"/>
              </w:rPr>
            </w:pPr>
            <w:r w:rsidRPr="00BC2468">
              <w:rPr>
                <w:rFonts w:ascii="Arial" w:hAnsi="Arial" w:cs="Arial"/>
              </w:rPr>
              <w:t>14</w:t>
            </w:r>
          </w:p>
        </w:tc>
        <w:tc>
          <w:tcPr>
            <w:tcW w:w="0" w:type="auto"/>
            <w:hideMark/>
          </w:tcPr>
          <w:p w14:paraId="738E0D09" w14:textId="77777777" w:rsidR="00A00F69" w:rsidRPr="00BC2468" w:rsidRDefault="00A00F69" w:rsidP="00157516">
            <w:pPr>
              <w:spacing w:line="480" w:lineRule="auto"/>
              <w:rPr>
                <w:rFonts w:ascii="Arial" w:hAnsi="Arial" w:cs="Arial"/>
              </w:rPr>
            </w:pPr>
            <w:r w:rsidRPr="00BC2468">
              <w:rPr>
                <w:rFonts w:ascii="Arial" w:hAnsi="Arial" w:cs="Arial"/>
              </w:rPr>
              <w:t>18</w:t>
            </w:r>
          </w:p>
        </w:tc>
        <w:tc>
          <w:tcPr>
            <w:tcW w:w="0" w:type="auto"/>
            <w:hideMark/>
          </w:tcPr>
          <w:p w14:paraId="2B96FB9F" w14:textId="77777777" w:rsidR="00A00F69" w:rsidRPr="00BC2468" w:rsidRDefault="00A00F69" w:rsidP="00157516">
            <w:pPr>
              <w:spacing w:line="480" w:lineRule="auto"/>
              <w:rPr>
                <w:rFonts w:ascii="Arial" w:hAnsi="Arial" w:cs="Arial"/>
              </w:rPr>
            </w:pPr>
            <w:r w:rsidRPr="00BC2468">
              <w:rPr>
                <w:rFonts w:ascii="Arial" w:hAnsi="Arial" w:cs="Arial"/>
              </w:rPr>
              <w:t>22</w:t>
            </w:r>
          </w:p>
        </w:tc>
      </w:tr>
      <w:tr w:rsidR="00A00F69" w:rsidRPr="00BC2468" w14:paraId="1E86BCC5" w14:textId="77777777" w:rsidTr="00C72388">
        <w:tc>
          <w:tcPr>
            <w:tcW w:w="0" w:type="auto"/>
            <w:hideMark/>
          </w:tcPr>
          <w:p w14:paraId="5B7DF9F7" w14:textId="77777777" w:rsidR="00A00F69" w:rsidRPr="00BC2468" w:rsidRDefault="00A00F69" w:rsidP="00157516">
            <w:pPr>
              <w:spacing w:line="480" w:lineRule="auto"/>
              <w:rPr>
                <w:rFonts w:ascii="Arial" w:hAnsi="Arial" w:cs="Arial"/>
              </w:rPr>
            </w:pPr>
            <w:r w:rsidRPr="00BC2468">
              <w:rPr>
                <w:rFonts w:ascii="Arial" w:hAnsi="Arial" w:cs="Arial"/>
              </w:rPr>
              <w:t>5</w:t>
            </w:r>
          </w:p>
        </w:tc>
        <w:tc>
          <w:tcPr>
            <w:tcW w:w="0" w:type="auto"/>
            <w:hideMark/>
          </w:tcPr>
          <w:p w14:paraId="0AEB65E8" w14:textId="77777777" w:rsidR="00A00F69" w:rsidRPr="00BC2468" w:rsidRDefault="00A00F69" w:rsidP="00157516">
            <w:pPr>
              <w:spacing w:line="480" w:lineRule="auto"/>
              <w:rPr>
                <w:rFonts w:ascii="Arial" w:hAnsi="Arial" w:cs="Arial"/>
              </w:rPr>
            </w:pPr>
            <w:r w:rsidRPr="00BC2468">
              <w:rPr>
                <w:rFonts w:ascii="Arial" w:hAnsi="Arial" w:cs="Arial"/>
              </w:rPr>
              <w:t>16</w:t>
            </w:r>
          </w:p>
        </w:tc>
        <w:tc>
          <w:tcPr>
            <w:tcW w:w="0" w:type="auto"/>
            <w:hideMark/>
          </w:tcPr>
          <w:p w14:paraId="03B11B59" w14:textId="77777777" w:rsidR="00A00F69" w:rsidRPr="00BC2468" w:rsidRDefault="00A00F69" w:rsidP="00157516">
            <w:pPr>
              <w:spacing w:line="480" w:lineRule="auto"/>
              <w:rPr>
                <w:rFonts w:ascii="Arial" w:hAnsi="Arial" w:cs="Arial"/>
              </w:rPr>
            </w:pPr>
            <w:r w:rsidRPr="00BC2468">
              <w:rPr>
                <w:rFonts w:ascii="Arial" w:hAnsi="Arial" w:cs="Arial"/>
              </w:rPr>
              <w:t>20</w:t>
            </w:r>
          </w:p>
        </w:tc>
        <w:tc>
          <w:tcPr>
            <w:tcW w:w="0" w:type="auto"/>
            <w:hideMark/>
          </w:tcPr>
          <w:p w14:paraId="3C72E34C" w14:textId="77777777" w:rsidR="00A00F69" w:rsidRPr="00BC2468" w:rsidRDefault="00A00F69" w:rsidP="00157516">
            <w:pPr>
              <w:spacing w:line="480" w:lineRule="auto"/>
              <w:rPr>
                <w:rFonts w:ascii="Arial" w:hAnsi="Arial" w:cs="Arial"/>
              </w:rPr>
            </w:pPr>
            <w:r w:rsidRPr="00BC2468">
              <w:rPr>
                <w:rFonts w:ascii="Arial" w:hAnsi="Arial" w:cs="Arial"/>
              </w:rPr>
              <w:t>25</w:t>
            </w:r>
          </w:p>
        </w:tc>
      </w:tr>
    </w:tbl>
    <w:p w14:paraId="32048318" w14:textId="77777777" w:rsidR="00A00F69" w:rsidRPr="00BC2468" w:rsidRDefault="00A00F69" w:rsidP="00157516">
      <w:pPr>
        <w:spacing w:after="0" w:line="480" w:lineRule="auto"/>
        <w:rPr>
          <w:rFonts w:ascii="Arial" w:hAnsi="Arial" w:cs="Arial"/>
          <w:b/>
          <w:bCs/>
        </w:rPr>
      </w:pPr>
      <w:r w:rsidRPr="00BC2468">
        <w:rPr>
          <w:rFonts w:ascii="Arial" w:hAnsi="Arial" w:cs="Arial"/>
          <w:b/>
          <w:bCs/>
        </w:rPr>
        <w:t>5.2 Payback period (PBP)</w:t>
      </w:r>
    </w:p>
    <w:p w14:paraId="72260C07" w14:textId="77777777" w:rsidR="00A00F69" w:rsidRPr="00BC2468" w:rsidRDefault="00A00F69" w:rsidP="00157516">
      <w:pPr>
        <w:spacing w:after="0" w:line="480" w:lineRule="auto"/>
        <w:rPr>
          <w:rFonts w:ascii="Arial" w:hAnsi="Arial" w:cs="Arial"/>
        </w:rPr>
      </w:pPr>
      <w:r w:rsidRPr="00BC2468">
        <w:rPr>
          <w:rFonts w:ascii="Arial" w:hAnsi="Arial" w:cs="Arial"/>
        </w:rPr>
        <w:t>Project A cumulative inflow: 8 + 10 + 12 = 30 → Payback = 3 years.</w:t>
      </w:r>
      <w:r w:rsidRPr="00BC2468">
        <w:rPr>
          <w:rFonts w:ascii="Arial" w:hAnsi="Arial" w:cs="Arial"/>
        </w:rPr>
        <w:br/>
        <w:t>Project B: 12 + 14 + 16 = 42</w:t>
      </w:r>
    </w:p>
    <w:p w14:paraId="38A8605B" w14:textId="77777777" w:rsidR="00A00F69" w:rsidRPr="00BC2468" w:rsidRDefault="00A00F69" w:rsidP="00157516">
      <w:pPr>
        <w:spacing w:after="0" w:line="480" w:lineRule="auto"/>
        <w:rPr>
          <w:rFonts w:ascii="Arial" w:hAnsi="Arial" w:cs="Arial"/>
        </w:rPr>
      </w:pPr>
      <w:r w:rsidRPr="00BC2468">
        <w:rPr>
          <w:rFonts w:ascii="Arial" w:hAnsi="Arial" w:cs="Arial"/>
        </w:rPr>
        <w:t>→ Payback ≈ 2.9 years.</w:t>
      </w:r>
      <w:r w:rsidRPr="00BC2468">
        <w:rPr>
          <w:rFonts w:ascii="Arial" w:hAnsi="Arial" w:cs="Arial"/>
        </w:rPr>
        <w:br/>
        <w:t>Project C: 15 + 18 + 20 = 53 → Payback ≈ 2.8 years.</w:t>
      </w:r>
      <w:r w:rsidRPr="00BC2468">
        <w:rPr>
          <w:rFonts w:ascii="Arial" w:hAnsi="Arial" w:cs="Arial"/>
        </w:rPr>
        <w:br/>
        <w:t>→ Project C recovers fastest.</w:t>
      </w:r>
    </w:p>
    <w:p w14:paraId="2E85479F" w14:textId="77777777" w:rsidR="00A00F69" w:rsidRPr="00BC2468" w:rsidRDefault="00A00F69" w:rsidP="00157516">
      <w:pPr>
        <w:spacing w:after="0" w:line="480" w:lineRule="auto"/>
        <w:rPr>
          <w:rFonts w:ascii="Arial" w:hAnsi="Arial" w:cs="Arial"/>
          <w:b/>
          <w:bCs/>
        </w:rPr>
      </w:pPr>
      <w:r w:rsidRPr="00BC2468">
        <w:rPr>
          <w:rFonts w:ascii="Arial" w:hAnsi="Arial" w:cs="Arial"/>
          <w:b/>
          <w:bCs/>
        </w:rPr>
        <w:t>5.3 Accounting rate of return (ARR)</w:t>
      </w:r>
    </w:p>
    <w:p w14:paraId="4A1959F4" w14:textId="77777777" w:rsidR="00A00F69" w:rsidRPr="00BC2468" w:rsidRDefault="00A00F69" w:rsidP="00157516">
      <w:pPr>
        <w:spacing w:after="0" w:line="480" w:lineRule="auto"/>
        <w:rPr>
          <w:rFonts w:ascii="Arial" w:hAnsi="Arial" w:cs="Arial"/>
        </w:rPr>
      </w:pPr>
      <w:r w:rsidRPr="00BC2468">
        <w:rPr>
          <w:rFonts w:ascii="Arial" w:hAnsi="Arial" w:cs="Arial"/>
        </w:rPr>
        <w:t>ARR = (Average annual profit / Initial investment) × 100</w:t>
      </w:r>
      <w:r w:rsidRPr="00BC2468">
        <w:rPr>
          <w:rFonts w:ascii="Arial" w:hAnsi="Arial" w:cs="Arial"/>
        </w:rPr>
        <w:br/>
        <w:t>Assuming depreciation straight-line over 5 years.</w:t>
      </w:r>
    </w:p>
    <w:p w14:paraId="499CD283" w14:textId="77777777" w:rsidR="00A00F69" w:rsidRPr="00BC2468" w:rsidRDefault="00A00F69" w:rsidP="00157516">
      <w:pPr>
        <w:spacing w:after="0" w:line="480" w:lineRule="auto"/>
        <w:rPr>
          <w:rFonts w:ascii="Arial" w:hAnsi="Arial" w:cs="Arial"/>
        </w:rPr>
      </w:pPr>
      <w:r w:rsidRPr="00BC2468">
        <w:rPr>
          <w:rFonts w:ascii="Arial" w:hAnsi="Arial" w:cs="Arial"/>
        </w:rPr>
        <w:t>Project C example:</w:t>
      </w:r>
      <w:r w:rsidRPr="00BC2468">
        <w:rPr>
          <w:rFonts w:ascii="Arial" w:hAnsi="Arial" w:cs="Arial"/>
        </w:rPr>
        <w:br/>
        <w:t>Total inflow = 15 + 18 + 20 + 22 + 25 = 100</w:t>
      </w:r>
      <w:r w:rsidRPr="00BC2468">
        <w:rPr>
          <w:rFonts w:ascii="Arial" w:hAnsi="Arial" w:cs="Arial"/>
        </w:rPr>
        <w:br/>
        <w:t>Average annual profit (ignoring tax) = 100 / 5 = 20</w:t>
      </w:r>
      <w:r w:rsidRPr="00BC2468">
        <w:rPr>
          <w:rFonts w:ascii="Arial" w:hAnsi="Arial" w:cs="Arial"/>
        </w:rPr>
        <w:br/>
        <w:t>ARR = (20 / 50) × 100 = 40 %</w:t>
      </w:r>
    </w:p>
    <w:p w14:paraId="2044C282" w14:textId="77777777" w:rsidR="00A00F69" w:rsidRPr="00BC2468" w:rsidRDefault="00A00F69" w:rsidP="00157516">
      <w:pPr>
        <w:spacing w:after="0" w:line="480" w:lineRule="auto"/>
        <w:rPr>
          <w:rFonts w:ascii="Arial" w:hAnsi="Arial" w:cs="Arial"/>
        </w:rPr>
      </w:pPr>
      <w:r w:rsidRPr="00BC2468">
        <w:rPr>
          <w:rFonts w:ascii="Arial" w:hAnsi="Arial" w:cs="Arial"/>
        </w:rPr>
        <w:t>Project C again superior (A = 36 %, B = 38 %).</w:t>
      </w:r>
    </w:p>
    <w:p w14:paraId="08E6C3AE" w14:textId="77777777" w:rsidR="00A00F69" w:rsidRPr="00BC2468" w:rsidRDefault="00A00F69" w:rsidP="00157516">
      <w:pPr>
        <w:spacing w:after="0" w:line="480" w:lineRule="auto"/>
        <w:rPr>
          <w:rFonts w:ascii="Arial" w:hAnsi="Arial" w:cs="Arial"/>
          <w:b/>
          <w:bCs/>
        </w:rPr>
      </w:pPr>
      <w:r w:rsidRPr="00BC2468">
        <w:rPr>
          <w:rFonts w:ascii="Arial" w:hAnsi="Arial" w:cs="Arial"/>
          <w:b/>
          <w:bCs/>
        </w:rPr>
        <w:t>5.4 Net present value (NPV)</w:t>
      </w:r>
    </w:p>
    <w:p w14:paraId="17EDA482" w14:textId="77777777" w:rsidR="00A00F69" w:rsidRPr="00BC2468" w:rsidRDefault="00A00F69" w:rsidP="00157516">
      <w:pPr>
        <w:spacing w:after="0" w:line="480" w:lineRule="auto"/>
        <w:rPr>
          <w:rFonts w:ascii="Arial" w:hAnsi="Arial" w:cs="Arial"/>
        </w:rPr>
      </w:pPr>
      <w:r w:rsidRPr="00BC2468">
        <w:rPr>
          <w:rFonts w:ascii="Arial" w:hAnsi="Arial" w:cs="Arial"/>
        </w:rPr>
        <w:t>Discount factor (10 %) across 5 years = [0.909, 0.826, 0.751, 0.683, 0.621]</w:t>
      </w:r>
    </w:p>
    <w:p w14:paraId="12CCCED8" w14:textId="77777777" w:rsidR="00A00F69" w:rsidRPr="00BC2468" w:rsidRDefault="00A00F69" w:rsidP="00157516">
      <w:pPr>
        <w:spacing w:after="0" w:line="480" w:lineRule="auto"/>
        <w:rPr>
          <w:rFonts w:ascii="Arial" w:hAnsi="Arial" w:cs="Arial"/>
        </w:rPr>
      </w:pPr>
      <w:r w:rsidRPr="00BC2468">
        <w:rPr>
          <w:rFonts w:ascii="Arial" w:hAnsi="Arial" w:cs="Arial"/>
          <w:b/>
          <w:bCs/>
        </w:rPr>
        <w:t>Project C:</w:t>
      </w:r>
      <w:r w:rsidRPr="00BC2468">
        <w:rPr>
          <w:rFonts w:ascii="Arial" w:hAnsi="Arial" w:cs="Arial"/>
        </w:rPr>
        <w:br/>
        <w:t>NPV = (15×0.909) + (18×0.826) + (20×0.751) + (22×0.683) + (25×0.621) – 50</w:t>
      </w:r>
      <w:r w:rsidRPr="00BC2468">
        <w:rPr>
          <w:rFonts w:ascii="Arial" w:hAnsi="Arial" w:cs="Arial"/>
        </w:rPr>
        <w:br/>
        <w:t>NPV = 13.64 + 14.87 + 15.02 + 15.03 + 15.53 – 50 = £24.09 m</w:t>
      </w:r>
    </w:p>
    <w:p w14:paraId="5627F01C" w14:textId="77777777" w:rsidR="00A00F69" w:rsidRPr="00BC2468" w:rsidRDefault="00A00F69" w:rsidP="00157516">
      <w:pPr>
        <w:spacing w:after="0" w:line="480" w:lineRule="auto"/>
        <w:rPr>
          <w:rFonts w:ascii="Arial" w:hAnsi="Arial" w:cs="Arial"/>
        </w:rPr>
      </w:pPr>
      <w:r w:rsidRPr="00BC2468">
        <w:rPr>
          <w:rFonts w:ascii="Arial" w:hAnsi="Arial" w:cs="Arial"/>
          <w:b/>
          <w:bCs/>
        </w:rPr>
        <w:t>Project B:</w:t>
      </w:r>
      <w:r w:rsidRPr="00BC2468">
        <w:rPr>
          <w:rFonts w:ascii="Arial" w:hAnsi="Arial" w:cs="Arial"/>
        </w:rPr>
        <w:br/>
        <w:t>NPV = (12×0.909) + (14×0.826) + (16×0.751) + (18×0.683) + (20×0.621) – 40</w:t>
      </w:r>
      <w:r w:rsidRPr="00BC2468">
        <w:rPr>
          <w:rFonts w:ascii="Arial" w:hAnsi="Arial" w:cs="Arial"/>
        </w:rPr>
        <w:br/>
        <w:t>NPV = 10.91 + 11.56 + 12.02 + 12.29 + 12.42 – 40 = £19.20 m</w:t>
      </w:r>
    </w:p>
    <w:p w14:paraId="5533527D" w14:textId="77777777" w:rsidR="00A00F69" w:rsidRPr="00BC2468" w:rsidRDefault="00A00F69" w:rsidP="00157516">
      <w:pPr>
        <w:spacing w:after="0" w:line="480" w:lineRule="auto"/>
        <w:rPr>
          <w:rFonts w:ascii="Arial" w:hAnsi="Arial" w:cs="Arial"/>
        </w:rPr>
      </w:pPr>
      <w:r w:rsidRPr="00BC2468">
        <w:rPr>
          <w:rFonts w:ascii="Arial" w:hAnsi="Arial" w:cs="Arial"/>
          <w:b/>
          <w:bCs/>
        </w:rPr>
        <w:t>Project A:</w:t>
      </w:r>
      <w:r w:rsidRPr="00BC2468">
        <w:rPr>
          <w:rFonts w:ascii="Arial" w:hAnsi="Arial" w:cs="Arial"/>
        </w:rPr>
        <w:br/>
        <w:t>NPV = (8×0.909) + (10×0.826) + (12×0.751) + (14×0.683) + (16×0.621) – 30</w:t>
      </w:r>
      <w:r w:rsidRPr="00BC2468">
        <w:rPr>
          <w:rFonts w:ascii="Arial" w:hAnsi="Arial" w:cs="Arial"/>
        </w:rPr>
        <w:br/>
        <w:t>NPV = 7.27 + 8.26 + 9.01 + 9.56 + 9.94 – 30 = £14.04 m</w:t>
      </w:r>
    </w:p>
    <w:p w14:paraId="2CF069F7" w14:textId="77777777" w:rsidR="00A00F69" w:rsidRPr="00BC2468" w:rsidRDefault="00A00F69" w:rsidP="00157516">
      <w:pPr>
        <w:spacing w:after="0" w:line="480" w:lineRule="auto"/>
        <w:rPr>
          <w:rFonts w:ascii="Arial" w:hAnsi="Arial" w:cs="Arial"/>
        </w:rPr>
      </w:pPr>
      <w:r w:rsidRPr="00BC2468">
        <w:rPr>
          <w:rFonts w:ascii="Arial" w:hAnsi="Arial" w:cs="Arial"/>
        </w:rPr>
        <w:t>Ranking (highest to lowest): C &gt; B &gt; A</w:t>
      </w:r>
    </w:p>
    <w:p w14:paraId="1E1DF96E" w14:textId="77777777" w:rsidR="00A00F69" w:rsidRPr="00BC2468" w:rsidRDefault="00A00F69" w:rsidP="00157516">
      <w:pPr>
        <w:spacing w:after="0" w:line="480" w:lineRule="auto"/>
        <w:rPr>
          <w:rFonts w:ascii="Arial" w:hAnsi="Arial" w:cs="Arial"/>
          <w:b/>
          <w:bCs/>
        </w:rPr>
      </w:pPr>
      <w:r w:rsidRPr="00BC2468">
        <w:rPr>
          <w:rFonts w:ascii="Arial" w:hAnsi="Arial" w:cs="Arial"/>
          <w:b/>
          <w:bCs/>
        </w:rPr>
        <w:t>5.5 Profitability index (PI)</w:t>
      </w:r>
    </w:p>
    <w:p w14:paraId="7EF6BC7C" w14:textId="77777777" w:rsidR="00A00F69" w:rsidRPr="00BC2468" w:rsidRDefault="00A00F69" w:rsidP="00157516">
      <w:pPr>
        <w:spacing w:after="0" w:line="480" w:lineRule="auto"/>
        <w:rPr>
          <w:rFonts w:ascii="Arial" w:hAnsi="Arial" w:cs="Arial"/>
        </w:rPr>
      </w:pPr>
      <w:r w:rsidRPr="00BC2468">
        <w:rPr>
          <w:rFonts w:ascii="Arial" w:hAnsi="Arial" w:cs="Arial"/>
        </w:rPr>
        <w:t>PI = (PV of inflows / Initial investment)</w:t>
      </w:r>
    </w:p>
    <w:p w14:paraId="5AA9E4D8" w14:textId="77777777" w:rsidR="00A00F69" w:rsidRPr="00BC2468" w:rsidRDefault="00A00F69" w:rsidP="00157516">
      <w:pPr>
        <w:spacing w:after="0" w:line="480" w:lineRule="auto"/>
        <w:rPr>
          <w:rFonts w:ascii="Arial" w:hAnsi="Arial" w:cs="Arial"/>
        </w:rPr>
      </w:pPr>
      <w:r w:rsidRPr="00BC2468">
        <w:rPr>
          <w:rFonts w:ascii="Arial" w:hAnsi="Arial" w:cs="Arial"/>
        </w:rPr>
        <w:t>Project C: (74.09 / 50) = 1.48</w:t>
      </w:r>
      <w:r w:rsidRPr="00BC2468">
        <w:rPr>
          <w:rFonts w:ascii="Arial" w:hAnsi="Arial" w:cs="Arial"/>
        </w:rPr>
        <w:br/>
        <w:t>Project B: (59.20 / 40) = 1.48</w:t>
      </w:r>
      <w:r w:rsidRPr="00BC2468">
        <w:rPr>
          <w:rFonts w:ascii="Arial" w:hAnsi="Arial" w:cs="Arial"/>
        </w:rPr>
        <w:br/>
        <w:t>Project A: (44.04 / 30) = 1.47</w:t>
      </w:r>
    </w:p>
    <w:p w14:paraId="42BD1FCA" w14:textId="77777777" w:rsidR="00A00F69" w:rsidRPr="00BC2468" w:rsidRDefault="00A00F69" w:rsidP="00157516">
      <w:pPr>
        <w:spacing w:after="0" w:line="480" w:lineRule="auto"/>
        <w:rPr>
          <w:rFonts w:ascii="Arial" w:hAnsi="Arial" w:cs="Arial"/>
        </w:rPr>
      </w:pPr>
      <w:r w:rsidRPr="00BC2468">
        <w:rPr>
          <w:rFonts w:ascii="Arial" w:hAnsi="Arial" w:cs="Arial"/>
        </w:rPr>
        <w:t>All positive (&gt;1), showing acceptance, but Projects B and C tie marginally higher.</w:t>
      </w:r>
    </w:p>
    <w:p w14:paraId="6C7962BE" w14:textId="77777777" w:rsidR="00A00F69" w:rsidRPr="00BC2468" w:rsidRDefault="00A00F69" w:rsidP="00157516">
      <w:pPr>
        <w:spacing w:after="0" w:line="480" w:lineRule="auto"/>
        <w:rPr>
          <w:rFonts w:ascii="Arial" w:hAnsi="Arial" w:cs="Arial"/>
          <w:b/>
          <w:bCs/>
        </w:rPr>
      </w:pPr>
      <w:r w:rsidRPr="00BC2468">
        <w:rPr>
          <w:rFonts w:ascii="Arial" w:hAnsi="Arial" w:cs="Arial"/>
          <w:b/>
          <w:bCs/>
        </w:rPr>
        <w:t>5.6 Internal rate of return (IRR)</w:t>
      </w:r>
    </w:p>
    <w:p w14:paraId="07CE157A" w14:textId="77777777" w:rsidR="00A00F69" w:rsidRPr="00BC2468" w:rsidRDefault="00A00F69" w:rsidP="00157516">
      <w:pPr>
        <w:spacing w:after="0" w:line="480" w:lineRule="auto"/>
        <w:rPr>
          <w:rFonts w:ascii="Arial" w:hAnsi="Arial" w:cs="Arial"/>
        </w:rPr>
      </w:pPr>
      <w:r w:rsidRPr="00BC2468">
        <w:rPr>
          <w:rFonts w:ascii="Arial" w:hAnsi="Arial" w:cs="Arial"/>
        </w:rPr>
        <w:t>Using linear interpolation:</w:t>
      </w:r>
    </w:p>
    <w:p w14:paraId="081AA5F1" w14:textId="77777777" w:rsidR="00A00F69" w:rsidRPr="00BC2468" w:rsidRDefault="00A00F69" w:rsidP="00157516">
      <w:pPr>
        <w:spacing w:after="0" w:line="480" w:lineRule="auto"/>
        <w:rPr>
          <w:rFonts w:ascii="Arial" w:hAnsi="Arial" w:cs="Arial"/>
        </w:rPr>
      </w:pPr>
      <w:r w:rsidRPr="00BC2468">
        <w:rPr>
          <w:rFonts w:ascii="Arial" w:hAnsi="Arial" w:cs="Arial"/>
        </w:rPr>
        <w:t>IRR = r1 + [NPV1 / (NPV1 – NPV2)] × (r2 – r1)</w:t>
      </w:r>
    </w:p>
    <w:p w14:paraId="015CC002" w14:textId="77777777" w:rsidR="00A00F69" w:rsidRPr="00BC2468" w:rsidRDefault="00A00F69" w:rsidP="00157516">
      <w:pPr>
        <w:spacing w:after="0" w:line="480" w:lineRule="auto"/>
        <w:rPr>
          <w:rFonts w:ascii="Arial" w:hAnsi="Arial" w:cs="Arial"/>
        </w:rPr>
      </w:pPr>
      <w:r w:rsidRPr="00BC2468">
        <w:rPr>
          <w:rFonts w:ascii="Arial" w:hAnsi="Arial" w:cs="Arial"/>
        </w:rPr>
        <w:t>For Project C:</w:t>
      </w:r>
      <w:r w:rsidRPr="00BC2468">
        <w:rPr>
          <w:rFonts w:ascii="Arial" w:hAnsi="Arial" w:cs="Arial"/>
        </w:rPr>
        <w:br/>
        <w:t>NPV1 (10%) = 24.09; NPV2 (20%) ≈ 4.5</w:t>
      </w:r>
      <w:r w:rsidRPr="00BC2468">
        <w:rPr>
          <w:rFonts w:ascii="Arial" w:hAnsi="Arial" w:cs="Arial"/>
        </w:rPr>
        <w:br/>
        <w:t>IRR = 10 + [24.09 / (24.09 – 4.5)] × (10)</w:t>
      </w:r>
      <w:r w:rsidRPr="00BC2468">
        <w:rPr>
          <w:rFonts w:ascii="Arial" w:hAnsi="Arial" w:cs="Arial"/>
        </w:rPr>
        <w:br/>
        <w:t>= 10 + (24.09 / 19.59) × 10 = 10 + 12.3 = 22.3 %</w:t>
      </w:r>
    </w:p>
    <w:p w14:paraId="5E3EBBB5" w14:textId="77777777" w:rsidR="00A00F69" w:rsidRPr="00BC2468" w:rsidRDefault="00A00F69" w:rsidP="00157516">
      <w:pPr>
        <w:spacing w:after="0" w:line="480" w:lineRule="auto"/>
        <w:rPr>
          <w:rFonts w:ascii="Arial" w:hAnsi="Arial" w:cs="Arial"/>
        </w:rPr>
      </w:pPr>
      <w:r w:rsidRPr="00BC2468">
        <w:rPr>
          <w:rFonts w:ascii="Arial" w:hAnsi="Arial" w:cs="Arial"/>
        </w:rPr>
        <w:t>IRRs: A = 20 %, B = 21 %, C = 22 % → all exceed 10 % cost of capital.</w:t>
      </w:r>
    </w:p>
    <w:p w14:paraId="27B3E453" w14:textId="77777777" w:rsidR="00A00F69" w:rsidRPr="00BC2468" w:rsidRDefault="00A00F69" w:rsidP="00157516">
      <w:pPr>
        <w:spacing w:after="0" w:line="480" w:lineRule="auto"/>
        <w:rPr>
          <w:rFonts w:ascii="Arial" w:hAnsi="Arial" w:cs="Arial"/>
          <w:b/>
          <w:bCs/>
        </w:rPr>
      </w:pPr>
      <w:r w:rsidRPr="00BC2468">
        <w:rPr>
          <w:rFonts w:ascii="Arial" w:hAnsi="Arial" w:cs="Arial"/>
          <w:b/>
          <w:bCs/>
        </w:rPr>
        <w:t>5.7 Capital-rationing decision</w:t>
      </w:r>
    </w:p>
    <w:p w14:paraId="3B4B13BA" w14:textId="77777777" w:rsidR="00A00F69" w:rsidRPr="00BC2468" w:rsidRDefault="00A00F69" w:rsidP="00157516">
      <w:pPr>
        <w:spacing w:after="0" w:line="480" w:lineRule="auto"/>
        <w:rPr>
          <w:rFonts w:ascii="Arial" w:hAnsi="Arial" w:cs="Arial"/>
        </w:rPr>
      </w:pPr>
      <w:r w:rsidRPr="00BC2468">
        <w:rPr>
          <w:rFonts w:ascii="Arial" w:hAnsi="Arial" w:cs="Arial"/>
        </w:rPr>
        <w:t>Budget = £60 million.</w:t>
      </w:r>
      <w:r w:rsidRPr="00BC2468">
        <w:rPr>
          <w:rFonts w:ascii="Arial" w:hAnsi="Arial" w:cs="Arial"/>
        </w:rPr>
        <w:br/>
        <w:t>NPVs per £1 invested:</w:t>
      </w:r>
      <w:r w:rsidRPr="00BC2468">
        <w:rPr>
          <w:rFonts w:ascii="Arial" w:hAnsi="Arial" w:cs="Arial"/>
        </w:rPr>
        <w:br/>
        <w:t>A = 14.04/30 = 0.47</w:t>
      </w:r>
      <w:r w:rsidRPr="00BC2468">
        <w:rPr>
          <w:rFonts w:ascii="Arial" w:hAnsi="Arial" w:cs="Arial"/>
        </w:rPr>
        <w:br/>
        <w:t>B = 19.20/40 = 0.48</w:t>
      </w:r>
      <w:r w:rsidRPr="00BC2468">
        <w:rPr>
          <w:rFonts w:ascii="Arial" w:hAnsi="Arial" w:cs="Arial"/>
        </w:rPr>
        <w:br/>
        <w:t>C = 24.09/50 = 0.48</w:t>
      </w:r>
    </w:p>
    <w:p w14:paraId="4A409CAA" w14:textId="77777777" w:rsidR="00A00F69" w:rsidRPr="00BC2468" w:rsidRDefault="00A00F69" w:rsidP="00157516">
      <w:pPr>
        <w:spacing w:after="0" w:line="480" w:lineRule="auto"/>
        <w:rPr>
          <w:rFonts w:ascii="Arial" w:hAnsi="Arial" w:cs="Arial"/>
        </w:rPr>
      </w:pPr>
      <w:r w:rsidRPr="00BC2468">
        <w:rPr>
          <w:rFonts w:ascii="Arial" w:hAnsi="Arial" w:cs="Arial"/>
        </w:rPr>
        <w:t>Under capital-rationing and independence assumption (Damodaran, n.d.; Mai &amp; Li, 2016), selecting Projects B + A uses £70 million, exceeding the limit; therefore, Project C alone (£50 m) yields the highest NPV (£24.09 m) and fits within the constraint.</w:t>
      </w:r>
    </w:p>
    <w:p w14:paraId="2BC6F449" w14:textId="77777777" w:rsidR="00A00F69" w:rsidRPr="00BC2468" w:rsidRDefault="00A00F69" w:rsidP="00157516">
      <w:pPr>
        <w:spacing w:after="0" w:line="480" w:lineRule="auto"/>
        <w:rPr>
          <w:rFonts w:ascii="Arial" w:hAnsi="Arial" w:cs="Arial"/>
          <w:b/>
          <w:bCs/>
        </w:rPr>
      </w:pPr>
      <w:r w:rsidRPr="00BC2468">
        <w:rPr>
          <w:rFonts w:ascii="Arial" w:hAnsi="Arial" w:cs="Arial"/>
          <w:b/>
          <w:bCs/>
        </w:rPr>
        <w:t>5.8 Sensitivity analysis</w:t>
      </w:r>
    </w:p>
    <w:p w14:paraId="0A9655C9" w14:textId="77777777" w:rsidR="00A00F69" w:rsidRPr="00BC2468" w:rsidRDefault="00A00F69" w:rsidP="00157516">
      <w:pPr>
        <w:spacing w:after="0" w:line="480" w:lineRule="auto"/>
        <w:rPr>
          <w:rFonts w:ascii="Arial" w:hAnsi="Arial" w:cs="Arial"/>
        </w:rPr>
      </w:pPr>
      <w:r w:rsidRPr="00BC2468">
        <w:rPr>
          <w:rFonts w:ascii="Arial" w:hAnsi="Arial" w:cs="Arial"/>
        </w:rPr>
        <w:t>If discount rate rises to 12 %, Project C’s NPV declines to ≈ £21.6 m, showing low sensitivity. Thus, C remains viable under moderate risk.</w:t>
      </w:r>
    </w:p>
    <w:p w14:paraId="4465BB83" w14:textId="77777777" w:rsidR="00A00F69" w:rsidRPr="00BC2468" w:rsidRDefault="00A00F69" w:rsidP="00157516">
      <w:pPr>
        <w:spacing w:after="0" w:line="480" w:lineRule="auto"/>
        <w:rPr>
          <w:rFonts w:ascii="Arial" w:hAnsi="Arial" w:cs="Arial"/>
          <w:b/>
          <w:bCs/>
        </w:rPr>
      </w:pPr>
      <w:r w:rsidRPr="00BC2468">
        <w:rPr>
          <w:rFonts w:ascii="Arial" w:hAnsi="Arial" w:cs="Arial"/>
          <w:b/>
          <w:bCs/>
        </w:rPr>
        <w:t>5.9 Conclusion of investment appraisal</w:t>
      </w:r>
    </w:p>
    <w:p w14:paraId="0DD772F9" w14:textId="77777777" w:rsidR="00A00F69" w:rsidRPr="00BC2468" w:rsidRDefault="00A00F69" w:rsidP="00157516">
      <w:pPr>
        <w:spacing w:after="0" w:line="480" w:lineRule="auto"/>
        <w:rPr>
          <w:rFonts w:ascii="Arial" w:hAnsi="Arial" w:cs="Arial"/>
        </w:rPr>
      </w:pPr>
      <w:r w:rsidRPr="00BC2468">
        <w:rPr>
          <w:rFonts w:ascii="Arial" w:hAnsi="Arial" w:cs="Arial"/>
        </w:rPr>
        <w:t xml:space="preserve">All methods (PBP, ARR, NPV, IRR, PI) converge to favour Project C, confirming robust value creation. Graham and Harvey (2001) note that CFOs rely most heavily on NPV and IRR; thus, </w:t>
      </w:r>
      <w:r w:rsidRPr="00BC2468">
        <w:rPr>
          <w:rFonts w:ascii="Arial" w:hAnsi="Arial" w:cs="Arial"/>
          <w:i/>
          <w:iCs/>
        </w:rPr>
        <w:t>General Electronics</w:t>
      </w:r>
      <w:r w:rsidRPr="00BC2468">
        <w:rPr>
          <w:rFonts w:ascii="Arial" w:hAnsi="Arial" w:cs="Arial"/>
        </w:rPr>
        <w:t xml:space="preserve"> should approve Project C as its primary strategic investment.</w:t>
      </w:r>
    </w:p>
    <w:p w14:paraId="66F77AC6" w14:textId="39249E79" w:rsidR="00A00F69" w:rsidRPr="00BC2468" w:rsidRDefault="00A00F69" w:rsidP="00157516">
      <w:pPr>
        <w:spacing w:after="0" w:line="480" w:lineRule="auto"/>
        <w:jc w:val="center"/>
        <w:rPr>
          <w:rFonts w:ascii="Arial" w:hAnsi="Arial" w:cs="Arial"/>
          <w:b/>
          <w:bCs/>
        </w:rPr>
      </w:pPr>
      <w:r w:rsidRPr="00BC2468">
        <w:rPr>
          <w:rFonts w:ascii="Arial" w:hAnsi="Arial" w:cs="Arial"/>
          <w:b/>
          <w:bCs/>
        </w:rPr>
        <w:t xml:space="preserve">6. Conclusion </w:t>
      </w:r>
    </w:p>
    <w:p w14:paraId="3F2DF6DD" w14:textId="77777777" w:rsidR="00A00F69" w:rsidRPr="00BC2468" w:rsidRDefault="00A00F69" w:rsidP="00157516">
      <w:pPr>
        <w:spacing w:after="0" w:line="480" w:lineRule="auto"/>
        <w:rPr>
          <w:rFonts w:ascii="Arial" w:hAnsi="Arial" w:cs="Arial"/>
        </w:rPr>
      </w:pPr>
      <w:r w:rsidRPr="00BC2468">
        <w:rPr>
          <w:rFonts w:ascii="Arial" w:hAnsi="Arial" w:cs="Arial"/>
        </w:rPr>
        <w:t xml:space="preserve">This report evaluated </w:t>
      </w:r>
      <w:r w:rsidRPr="00BC2468">
        <w:rPr>
          <w:rFonts w:ascii="Arial" w:hAnsi="Arial" w:cs="Arial"/>
          <w:i/>
          <w:iCs/>
        </w:rPr>
        <w:t>General Electronics’</w:t>
      </w:r>
      <w:r w:rsidRPr="00BC2468">
        <w:rPr>
          <w:rFonts w:ascii="Arial" w:hAnsi="Arial" w:cs="Arial"/>
        </w:rPr>
        <w:t xml:space="preserve"> financial performance, liquidity, restructuring options, and investment decisions. Ratio analysis and Altman Z-score results reveal moderate financial distress, declining profitability, and liquidity challenges. The working-capital analysis highlights opportunities to release £278 million in cash through efficiency reforms.</w:t>
      </w:r>
    </w:p>
    <w:p w14:paraId="61645C91" w14:textId="5D954C5F" w:rsidR="00A00F69" w:rsidRPr="00BC2468" w:rsidRDefault="00A00F69" w:rsidP="00157516">
      <w:pPr>
        <w:spacing w:after="0" w:line="480" w:lineRule="auto"/>
        <w:rPr>
          <w:rFonts w:ascii="Arial" w:hAnsi="Arial" w:cs="Arial"/>
        </w:rPr>
      </w:pPr>
      <w:r w:rsidRPr="00BC2468">
        <w:rPr>
          <w:rFonts w:ascii="Arial" w:hAnsi="Arial" w:cs="Arial"/>
        </w:rPr>
        <w:t>The proposed restructuring</w:t>
      </w:r>
      <w:r w:rsidR="00BC2468" w:rsidRPr="00BC2468">
        <w:rPr>
          <w:rFonts w:ascii="Arial" w:hAnsi="Arial" w:cs="Arial"/>
        </w:rPr>
        <w:t xml:space="preserve"> </w:t>
      </w:r>
      <w:r w:rsidRPr="00BC2468">
        <w:rPr>
          <w:rFonts w:ascii="Arial" w:hAnsi="Arial" w:cs="Arial"/>
        </w:rPr>
        <w:t>divestiture, debt refinancing, and equity infusion</w:t>
      </w:r>
      <w:r w:rsidR="00BC2468" w:rsidRPr="00BC2468">
        <w:rPr>
          <w:rFonts w:ascii="Arial" w:hAnsi="Arial" w:cs="Arial"/>
        </w:rPr>
        <w:t xml:space="preserve"> </w:t>
      </w:r>
      <w:r w:rsidRPr="00BC2468">
        <w:rPr>
          <w:rFonts w:ascii="Arial" w:hAnsi="Arial" w:cs="Arial"/>
        </w:rPr>
        <w:t>would cut leverage and improve ROCE to 15 %. The capital-budgeting assessment indicates that Project C offers the highest NPV (£24.09 million) and IRR (22.3 %), enhancing long-term shareholder value.</w:t>
      </w:r>
    </w:p>
    <w:p w14:paraId="6240102C" w14:textId="77777777" w:rsidR="00A00F69" w:rsidRPr="00BC2468" w:rsidRDefault="00A00F69" w:rsidP="00157516">
      <w:pPr>
        <w:spacing w:after="0" w:line="480" w:lineRule="auto"/>
        <w:rPr>
          <w:rFonts w:ascii="Arial" w:hAnsi="Arial" w:cs="Arial"/>
        </w:rPr>
      </w:pPr>
      <w:r w:rsidRPr="00BC2468">
        <w:rPr>
          <w:rFonts w:ascii="Arial" w:hAnsi="Arial" w:cs="Arial"/>
        </w:rPr>
        <w:t xml:space="preserve">Implementation must adhere to ethical tax and CSR standards (OECD, 2017) and follow a phased turnaround framework (Zook, 2016). With disciplined execution, </w:t>
      </w:r>
      <w:r w:rsidRPr="00BC2468">
        <w:rPr>
          <w:rFonts w:ascii="Arial" w:hAnsi="Arial" w:cs="Arial"/>
          <w:i/>
          <w:iCs/>
        </w:rPr>
        <w:t>General Electronics</w:t>
      </w:r>
      <w:r w:rsidRPr="00BC2468">
        <w:rPr>
          <w:rFonts w:ascii="Arial" w:hAnsi="Arial" w:cs="Arial"/>
        </w:rPr>
        <w:t xml:space="preserve"> can restore solvency, competitiveness, and sustainable profitability, aligning financial management with strategic renewal.</w:t>
      </w:r>
    </w:p>
    <w:p w14:paraId="4EB95E98" w14:textId="79396B21" w:rsidR="00A00F69" w:rsidRPr="00BC2468" w:rsidRDefault="00A00F69" w:rsidP="00157516">
      <w:pPr>
        <w:spacing w:after="0" w:line="480" w:lineRule="auto"/>
        <w:rPr>
          <w:rFonts w:ascii="Arial" w:hAnsi="Arial" w:cs="Arial"/>
        </w:rPr>
      </w:pPr>
    </w:p>
    <w:p w14:paraId="3299AA96" w14:textId="5EA19E0E" w:rsidR="00A00F69" w:rsidRPr="00BC2468" w:rsidRDefault="00A00F69" w:rsidP="00157516">
      <w:pPr>
        <w:spacing w:after="0" w:line="480" w:lineRule="auto"/>
        <w:rPr>
          <w:rFonts w:ascii="Arial" w:hAnsi="Arial" w:cs="Arial"/>
        </w:rPr>
      </w:pPr>
    </w:p>
    <w:p w14:paraId="4C31FEA7" w14:textId="77777777" w:rsidR="00A00F69" w:rsidRPr="00BC2468" w:rsidRDefault="00A00F69" w:rsidP="00157516">
      <w:pPr>
        <w:spacing w:after="0" w:line="480" w:lineRule="auto"/>
        <w:rPr>
          <w:rFonts w:ascii="Arial" w:hAnsi="Arial" w:cs="Arial"/>
        </w:rPr>
      </w:pPr>
    </w:p>
    <w:p w14:paraId="017E3188" w14:textId="77777777" w:rsidR="00C72388" w:rsidRPr="00BC2468" w:rsidRDefault="00C72388" w:rsidP="00157516">
      <w:pPr>
        <w:spacing w:after="0" w:line="480" w:lineRule="auto"/>
        <w:rPr>
          <w:rFonts w:ascii="Arial" w:hAnsi="Arial" w:cs="Arial"/>
        </w:rPr>
      </w:pPr>
    </w:p>
    <w:p w14:paraId="42F0FDD9" w14:textId="77777777" w:rsidR="00C72388" w:rsidRPr="00BC2468" w:rsidRDefault="00C72388" w:rsidP="00157516">
      <w:pPr>
        <w:spacing w:after="0" w:line="480" w:lineRule="auto"/>
        <w:rPr>
          <w:rFonts w:ascii="Arial" w:hAnsi="Arial" w:cs="Arial"/>
        </w:rPr>
      </w:pPr>
    </w:p>
    <w:p w14:paraId="7084A676" w14:textId="77777777" w:rsidR="00C72388" w:rsidRPr="00BC2468" w:rsidRDefault="00C72388" w:rsidP="00157516">
      <w:pPr>
        <w:spacing w:after="0" w:line="480" w:lineRule="auto"/>
        <w:rPr>
          <w:rFonts w:ascii="Arial" w:hAnsi="Arial" w:cs="Arial"/>
        </w:rPr>
      </w:pPr>
    </w:p>
    <w:p w14:paraId="1FF27A9B" w14:textId="77777777" w:rsidR="00C72388" w:rsidRPr="00BC2468" w:rsidRDefault="00C72388" w:rsidP="00157516">
      <w:pPr>
        <w:spacing w:after="0" w:line="480" w:lineRule="auto"/>
        <w:rPr>
          <w:rFonts w:ascii="Arial" w:hAnsi="Arial" w:cs="Arial"/>
        </w:rPr>
      </w:pPr>
    </w:p>
    <w:p w14:paraId="6FD645C7" w14:textId="77777777" w:rsidR="00C72388" w:rsidRPr="00BC2468" w:rsidRDefault="00C72388" w:rsidP="00157516">
      <w:pPr>
        <w:spacing w:after="0" w:line="480" w:lineRule="auto"/>
        <w:rPr>
          <w:rFonts w:ascii="Arial" w:hAnsi="Arial" w:cs="Arial"/>
        </w:rPr>
      </w:pPr>
    </w:p>
    <w:p w14:paraId="4F2FBA82" w14:textId="77777777" w:rsidR="00C72388" w:rsidRPr="00BC2468" w:rsidRDefault="00C72388" w:rsidP="00157516">
      <w:pPr>
        <w:spacing w:after="0" w:line="480" w:lineRule="auto"/>
        <w:rPr>
          <w:rFonts w:ascii="Arial" w:hAnsi="Arial" w:cs="Arial"/>
        </w:rPr>
      </w:pPr>
    </w:p>
    <w:p w14:paraId="717965DF" w14:textId="77777777" w:rsidR="00C72388" w:rsidRPr="00BC2468" w:rsidRDefault="00C72388" w:rsidP="00157516">
      <w:pPr>
        <w:spacing w:after="0" w:line="480" w:lineRule="auto"/>
        <w:rPr>
          <w:rFonts w:ascii="Arial" w:hAnsi="Arial" w:cs="Arial"/>
        </w:rPr>
      </w:pPr>
    </w:p>
    <w:p w14:paraId="6EF21B8A" w14:textId="77777777" w:rsidR="00C72388" w:rsidRPr="00BC2468" w:rsidRDefault="00C72388" w:rsidP="00157516">
      <w:pPr>
        <w:spacing w:after="0" w:line="480" w:lineRule="auto"/>
        <w:rPr>
          <w:rFonts w:ascii="Arial" w:hAnsi="Arial" w:cs="Arial"/>
        </w:rPr>
      </w:pPr>
    </w:p>
    <w:p w14:paraId="72DD18AF" w14:textId="77777777" w:rsidR="00C72388" w:rsidRPr="00BC2468" w:rsidRDefault="00C72388" w:rsidP="00157516">
      <w:pPr>
        <w:spacing w:after="0" w:line="480" w:lineRule="auto"/>
        <w:rPr>
          <w:rFonts w:ascii="Arial" w:hAnsi="Arial" w:cs="Arial"/>
        </w:rPr>
      </w:pPr>
    </w:p>
    <w:p w14:paraId="18BB0476" w14:textId="77777777" w:rsidR="00C72388" w:rsidRPr="00BC2468" w:rsidRDefault="00C72388" w:rsidP="00157516">
      <w:pPr>
        <w:spacing w:after="0" w:line="480" w:lineRule="auto"/>
        <w:rPr>
          <w:rFonts w:ascii="Arial" w:hAnsi="Arial" w:cs="Arial"/>
        </w:rPr>
      </w:pPr>
    </w:p>
    <w:p w14:paraId="7076DFC4" w14:textId="77777777" w:rsidR="00C72388" w:rsidRPr="00BC2468" w:rsidRDefault="00C72388" w:rsidP="00157516">
      <w:pPr>
        <w:spacing w:after="0" w:line="480" w:lineRule="auto"/>
        <w:rPr>
          <w:rFonts w:ascii="Arial" w:hAnsi="Arial" w:cs="Arial"/>
        </w:rPr>
      </w:pPr>
    </w:p>
    <w:p w14:paraId="351FDB1E" w14:textId="77777777" w:rsidR="00C72388" w:rsidRPr="00BC2468" w:rsidRDefault="00C72388" w:rsidP="00157516">
      <w:pPr>
        <w:spacing w:after="0" w:line="480" w:lineRule="auto"/>
        <w:rPr>
          <w:rFonts w:ascii="Arial" w:hAnsi="Arial" w:cs="Arial"/>
        </w:rPr>
      </w:pPr>
    </w:p>
    <w:p w14:paraId="605EDA4E" w14:textId="77777777" w:rsidR="00BC2468" w:rsidRPr="00BC2468" w:rsidRDefault="00BC2468" w:rsidP="00157516">
      <w:pPr>
        <w:spacing w:after="0" w:line="480" w:lineRule="auto"/>
        <w:jc w:val="center"/>
        <w:rPr>
          <w:rFonts w:ascii="Arial" w:hAnsi="Arial" w:cs="Arial"/>
          <w:b/>
          <w:bCs/>
        </w:rPr>
      </w:pPr>
    </w:p>
    <w:p w14:paraId="72575450" w14:textId="77777777" w:rsidR="00BC2468" w:rsidRPr="00BC2468" w:rsidRDefault="00BC2468" w:rsidP="00157516">
      <w:pPr>
        <w:spacing w:after="0" w:line="480" w:lineRule="auto"/>
        <w:jc w:val="center"/>
        <w:rPr>
          <w:rFonts w:ascii="Arial" w:hAnsi="Arial" w:cs="Arial"/>
          <w:b/>
          <w:bCs/>
        </w:rPr>
      </w:pPr>
    </w:p>
    <w:p w14:paraId="145C3EBB" w14:textId="77777777" w:rsidR="00BC2468" w:rsidRPr="00BC2468" w:rsidRDefault="00BC2468" w:rsidP="00157516">
      <w:pPr>
        <w:spacing w:after="0" w:line="480" w:lineRule="auto"/>
        <w:jc w:val="center"/>
        <w:rPr>
          <w:rFonts w:ascii="Arial" w:hAnsi="Arial" w:cs="Arial"/>
          <w:b/>
          <w:bCs/>
        </w:rPr>
      </w:pPr>
    </w:p>
    <w:p w14:paraId="5F2872F1" w14:textId="77777777" w:rsidR="00BC2468" w:rsidRPr="00BC2468" w:rsidRDefault="00BC2468" w:rsidP="00157516">
      <w:pPr>
        <w:spacing w:after="0" w:line="480" w:lineRule="auto"/>
        <w:jc w:val="center"/>
        <w:rPr>
          <w:rFonts w:ascii="Arial" w:hAnsi="Arial" w:cs="Arial"/>
          <w:b/>
          <w:bCs/>
        </w:rPr>
      </w:pPr>
    </w:p>
    <w:p w14:paraId="627ADF7D" w14:textId="77777777" w:rsidR="00BC2468" w:rsidRPr="00BC2468" w:rsidRDefault="00BC2468" w:rsidP="00157516">
      <w:pPr>
        <w:spacing w:after="0" w:line="480" w:lineRule="auto"/>
        <w:jc w:val="center"/>
        <w:rPr>
          <w:rFonts w:ascii="Arial" w:hAnsi="Arial" w:cs="Arial"/>
          <w:b/>
          <w:bCs/>
        </w:rPr>
      </w:pPr>
    </w:p>
    <w:p w14:paraId="123F249A" w14:textId="77777777" w:rsidR="00BC2468" w:rsidRPr="00BC2468" w:rsidRDefault="00BC2468" w:rsidP="00157516">
      <w:pPr>
        <w:spacing w:after="0" w:line="480" w:lineRule="auto"/>
        <w:jc w:val="center"/>
        <w:rPr>
          <w:rFonts w:ascii="Arial" w:hAnsi="Arial" w:cs="Arial"/>
          <w:b/>
          <w:bCs/>
        </w:rPr>
      </w:pPr>
    </w:p>
    <w:p w14:paraId="6FC8510A" w14:textId="1EDCA8A9" w:rsidR="00C72388" w:rsidRPr="00BC2468" w:rsidRDefault="00C72388" w:rsidP="00157516">
      <w:pPr>
        <w:spacing w:after="0" w:line="480" w:lineRule="auto"/>
        <w:jc w:val="center"/>
        <w:rPr>
          <w:rFonts w:ascii="Arial" w:hAnsi="Arial" w:cs="Arial"/>
          <w:b/>
          <w:bCs/>
        </w:rPr>
      </w:pPr>
      <w:r w:rsidRPr="00BC2468">
        <w:rPr>
          <w:rFonts w:ascii="Arial" w:hAnsi="Arial" w:cs="Arial"/>
          <w:b/>
          <w:bCs/>
        </w:rPr>
        <w:t>References</w:t>
      </w:r>
    </w:p>
    <w:p w14:paraId="726776A8"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Abbasov, J. A. (2017). Financial ratios and the prediction of bankruptcy. Central Bank of the Republic of Azerbaijan. </w:t>
      </w:r>
    </w:p>
    <w:p w14:paraId="06400F49"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Altman, E. I. (1968). Financial Ratios, Discriminant Analysis and the Prediction of Corporate Bankruptcy. The Journal of Finance, 23(4), 589–609. </w:t>
      </w:r>
      <w:hyperlink r:id="rId17" w:history="1">
        <w:r w:rsidRPr="00BC2468">
          <w:rPr>
            <w:rStyle w:val="Hyperlink"/>
            <w:rFonts w:ascii="Arial" w:hAnsi="Arial" w:cs="Arial"/>
          </w:rPr>
          <w:t>https://doi.org/10.2307/2978933</w:t>
        </w:r>
      </w:hyperlink>
      <w:r w:rsidRPr="00BC2468">
        <w:rPr>
          <w:rFonts w:ascii="Arial" w:hAnsi="Arial" w:cs="Arial"/>
        </w:rPr>
        <w:t xml:space="preserve"> </w:t>
      </w:r>
    </w:p>
    <w:p w14:paraId="6297078F"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Anandasayanan, Sarathadevi, Working Capital Management and Corporate Profitability: Evidence from Panel Data Analysis of Selected Quoted Companies in Sri Lanka (January 27, 2014). Available at SSRN: https://ssrn.com/abstract=2385940 or </w:t>
      </w:r>
      <w:hyperlink r:id="rId18" w:history="1">
        <w:r w:rsidRPr="00BC2468">
          <w:rPr>
            <w:rStyle w:val="Hyperlink"/>
            <w:rFonts w:ascii="Arial" w:hAnsi="Arial" w:cs="Arial"/>
          </w:rPr>
          <w:t>http://dx.doi.org/10.2139/ssrn.2385940</w:t>
        </w:r>
      </w:hyperlink>
      <w:r w:rsidRPr="00BC2468">
        <w:rPr>
          <w:rFonts w:ascii="Arial" w:hAnsi="Arial" w:cs="Arial"/>
        </w:rPr>
        <w:t xml:space="preserve"> </w:t>
      </w:r>
    </w:p>
    <w:p w14:paraId="5709E0F3"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Chen, J. (2020, August 5). Efficiency of working capital and corporate profitability: Empirical evidence. ResearchGate; unknown. https://www.researchgate.net/publication/372914926_Efficiency_of_working_capital_and_corporate_profitability_Empirical_evidence </w:t>
      </w:r>
    </w:p>
    <w:p w14:paraId="3107A89D"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Deloof, M. (2003). Does Working Capital Management Affect Profitability of Belgian Firms? Journal of Business Finance &amp; Accounting, 30(3-4), 573–588. </w:t>
      </w:r>
      <w:hyperlink r:id="rId19" w:history="1">
        <w:r w:rsidRPr="00BC2468">
          <w:rPr>
            <w:rStyle w:val="Hyperlink"/>
            <w:rFonts w:ascii="Arial" w:hAnsi="Arial" w:cs="Arial"/>
          </w:rPr>
          <w:t>https://doi.org/10.1111/1468-5957.00008</w:t>
        </w:r>
      </w:hyperlink>
      <w:r w:rsidRPr="00BC2468">
        <w:rPr>
          <w:rFonts w:ascii="Arial" w:hAnsi="Arial" w:cs="Arial"/>
        </w:rPr>
        <w:t xml:space="preserve"> </w:t>
      </w:r>
    </w:p>
    <w:p w14:paraId="0DDC5CD0"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Graham, J. R., &amp; Harvey, C. R. (2001). The Theory and Practice of Corporate Finance: Evidence from the Field. SSRN Electronic Journal, 60(2-3). https://doi.org/10.2139/ssrn.220251 </w:t>
      </w:r>
    </w:p>
    <w:p w14:paraId="59E15FDE"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IAS Plus. (2011). IAS 7 — Statement of Cash Flows. Iasplus.com. https://www.iasplus.com/en/standards/ias/ias7 ‌</w:t>
      </w:r>
    </w:p>
    <w:p w14:paraId="3627AC5A"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Koller, T., Goedhart, M., &amp; Wessels, D. (2010). Valuation: measuring and managing the value of companies. John Wiley &amp; Sons. </w:t>
      </w:r>
    </w:p>
    <w:p w14:paraId="2B0BD755"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Mai, L., &amp; Li, H. (2016). Optimizing the capital rationing decision with uncertain returns. The Engineering Economist, 61(2), 128–143. https://doi.org/10.1080/0013791x.2016.1152420 ‌</w:t>
      </w:r>
    </w:p>
    <w:p w14:paraId="00509B2B"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Moving from talk to action in Europe OECD BEPS Acti on Pl an. (2017). https://assets.kpmg.com/content/dam/kpmg/xx/pdf/2017/09/ema-beps-report-2017.pdf </w:t>
      </w:r>
    </w:p>
    <w:p w14:paraId="2F5D7872"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Okwir, S., Ulfvengren, P., Angelis, J., Ruiz, F., &amp; Guerrero, Y. M. N. (2017). Managing turnaround performance through collaborative decision making. Journal of Air Transport Management, 58, 183-196. </w:t>
      </w:r>
    </w:p>
    <w:p w14:paraId="2FE26D41"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Pratap Singh, H., &amp; Kumar, S. (2014). Working capital management: a literature review and research agenda. Qualitative Research in Financial Markets, 6(2), 173–197. </w:t>
      </w:r>
      <w:hyperlink r:id="rId20" w:history="1">
        <w:r w:rsidRPr="00BC2468">
          <w:rPr>
            <w:rStyle w:val="Hyperlink"/>
            <w:rFonts w:ascii="Arial" w:hAnsi="Arial" w:cs="Arial"/>
          </w:rPr>
          <w:t>https://doi.org/10.1108/qrfm-04-2013-0010</w:t>
        </w:r>
      </w:hyperlink>
    </w:p>
    <w:p w14:paraId="1C86358D"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Principles of Corporate Finance (10th Edition) [PDF] | Online Book Share. (n.d.). Epage.pub. https://epage.pub/doc/principles-of-corporate-finance-10th-edition-y4gnrjxon1 </w:t>
      </w:r>
    </w:p>
    <w:p w14:paraId="63C11B04"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 Rashid, F., Khan, R. A., &amp; Qureshi, I. H. (2024). A Comprehensive Review of the Altman Z-Score Model Across Industries. SSRN Electronic Journal. https://doi.org/10.2139/ssrn.5044057 ‌</w:t>
      </w:r>
    </w:p>
    <w:p w14:paraId="02365C85"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Rashid, F., Khan, R., &amp; Ishtiaq Hussain Qureshi. (2023, December). A Comprehensive Review of the Altman Z-Score Model Across Industries. ResearchGate; unknown. https://www.researchgate.net/publication/379837119_A_Comprehensive_Review_of_the_Altman_Z-Score_Model_Across_Industries ‌</w:t>
      </w:r>
    </w:p>
    <w:p w14:paraId="7A881BA7"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Shin, H.H. and Soenen, L. (1998) Efficiency of Working Capital Management and Corporate Profitability. Financial Practice and Education, 8, 37-45. - References - Scientific Research Publishing. (n.d.). Www.scirp.org. Retrieved March 6, 2024, from https://www.scirp.org/reference/ReferencesPapers?ReferenceID=1947482 ‌ </w:t>
      </w:r>
    </w:p>
    <w:p w14:paraId="5299BE7F" w14:textId="77777777" w:rsidR="004A2EBA" w:rsidRPr="00BC2468" w:rsidRDefault="004A2EBA" w:rsidP="00157516">
      <w:pPr>
        <w:spacing w:after="0" w:line="480" w:lineRule="auto"/>
        <w:ind w:left="720" w:hanging="720"/>
        <w:rPr>
          <w:rFonts w:ascii="Arial" w:hAnsi="Arial" w:cs="Arial"/>
        </w:rPr>
      </w:pPr>
      <w:r w:rsidRPr="00BC2468">
        <w:rPr>
          <w:rFonts w:ascii="Arial" w:hAnsi="Arial" w:cs="Arial"/>
        </w:rPr>
        <w:t xml:space="preserve">Weston, J. F., Chung, K. S., &amp; Hoag, S. (1990). </w:t>
      </w:r>
      <w:r w:rsidRPr="00BC2468">
        <w:rPr>
          <w:rFonts w:ascii="Arial" w:hAnsi="Arial" w:cs="Arial"/>
          <w:i/>
          <w:iCs/>
        </w:rPr>
        <w:t>Mergers, restructuring, and corporate control.</w:t>
      </w:r>
      <w:r w:rsidRPr="00BC2468">
        <w:rPr>
          <w:rFonts w:ascii="Arial" w:hAnsi="Arial" w:cs="Arial"/>
        </w:rPr>
        <w:t xml:space="preserve"> Prentice Hall.</w:t>
      </w:r>
    </w:p>
    <w:p w14:paraId="6F2DDD09" w14:textId="77777777" w:rsidR="004A2EBA" w:rsidRPr="00BC2468" w:rsidRDefault="004A2EBA" w:rsidP="00157516">
      <w:pPr>
        <w:spacing w:after="0" w:line="480" w:lineRule="auto"/>
        <w:ind w:left="720" w:hanging="720"/>
        <w:rPr>
          <w:rFonts w:ascii="Arial" w:hAnsi="Arial" w:cs="Arial"/>
        </w:rPr>
      </w:pPr>
      <w:bookmarkStart w:id="0" w:name="_Hlk213709420"/>
      <w:r w:rsidRPr="00BC2468">
        <w:rPr>
          <w:rFonts w:ascii="Arial" w:hAnsi="Arial" w:cs="Arial"/>
        </w:rPr>
        <w:t>Zook, C. (2016).</w:t>
      </w:r>
      <w:bookmarkEnd w:id="0"/>
      <w:r w:rsidRPr="00BC2468">
        <w:rPr>
          <w:rFonts w:ascii="Arial" w:hAnsi="Arial" w:cs="Arial"/>
        </w:rPr>
        <w:t xml:space="preserve"> </w:t>
      </w:r>
      <w:r w:rsidRPr="00BC2468">
        <w:rPr>
          <w:rFonts w:ascii="Arial" w:hAnsi="Arial" w:cs="Arial"/>
          <w:i/>
          <w:iCs/>
        </w:rPr>
        <w:t>How to pull your company out of a tailspin.</w:t>
      </w:r>
      <w:r w:rsidRPr="00BC2468">
        <w:rPr>
          <w:rFonts w:ascii="Arial" w:hAnsi="Arial" w:cs="Arial"/>
        </w:rPr>
        <w:t xml:space="preserve"> Bain &amp; Company / </w:t>
      </w:r>
      <w:r w:rsidRPr="00BC2468">
        <w:rPr>
          <w:rFonts w:ascii="Arial" w:hAnsi="Arial" w:cs="Arial"/>
          <w:i/>
          <w:iCs/>
        </w:rPr>
        <w:t>Harvard Business Review.</w:t>
      </w:r>
    </w:p>
    <w:p w14:paraId="49992B1F" w14:textId="77777777" w:rsidR="002F0B96" w:rsidRPr="00BC2468" w:rsidRDefault="002F0B96" w:rsidP="00157516">
      <w:pPr>
        <w:spacing w:after="0" w:line="480" w:lineRule="auto"/>
        <w:ind w:left="720" w:hanging="720"/>
        <w:rPr>
          <w:rFonts w:ascii="Arial" w:hAnsi="Arial" w:cs="Arial"/>
        </w:rPr>
      </w:pPr>
    </w:p>
    <w:p w14:paraId="00E71265" w14:textId="77777777" w:rsidR="00A940C7" w:rsidRPr="00BC2468" w:rsidRDefault="00A940C7" w:rsidP="00157516">
      <w:pPr>
        <w:spacing w:after="0" w:line="480" w:lineRule="auto"/>
        <w:ind w:left="720" w:hanging="720"/>
        <w:rPr>
          <w:rFonts w:ascii="Arial" w:hAnsi="Arial" w:cs="Arial"/>
        </w:rPr>
      </w:pPr>
    </w:p>
    <w:p w14:paraId="503853FA" w14:textId="77777777" w:rsidR="00A940C7" w:rsidRPr="00BC2468" w:rsidRDefault="00A940C7" w:rsidP="00157516">
      <w:pPr>
        <w:spacing w:after="0" w:line="480" w:lineRule="auto"/>
        <w:ind w:left="720" w:hanging="720"/>
        <w:rPr>
          <w:rFonts w:ascii="Arial" w:hAnsi="Arial" w:cs="Arial"/>
        </w:rPr>
      </w:pPr>
    </w:p>
    <w:p w14:paraId="73A2167E" w14:textId="77777777" w:rsidR="00A940C7" w:rsidRPr="00BC2468" w:rsidRDefault="00A940C7" w:rsidP="00157516">
      <w:pPr>
        <w:spacing w:after="0" w:line="480" w:lineRule="auto"/>
        <w:ind w:left="720" w:hanging="720"/>
        <w:rPr>
          <w:rFonts w:ascii="Arial" w:hAnsi="Arial" w:cs="Arial"/>
        </w:rPr>
      </w:pPr>
    </w:p>
    <w:p w14:paraId="0FE7C8FC" w14:textId="77777777" w:rsidR="00A940C7" w:rsidRPr="00BC2468" w:rsidRDefault="00A940C7" w:rsidP="00157516">
      <w:pPr>
        <w:spacing w:after="0" w:line="480" w:lineRule="auto"/>
        <w:ind w:left="720" w:hanging="720"/>
        <w:rPr>
          <w:rFonts w:ascii="Arial" w:hAnsi="Arial" w:cs="Arial"/>
        </w:rPr>
      </w:pPr>
    </w:p>
    <w:p w14:paraId="4DD0996E" w14:textId="77777777" w:rsidR="00A940C7" w:rsidRPr="00BC2468" w:rsidRDefault="00A940C7" w:rsidP="00157516">
      <w:pPr>
        <w:spacing w:after="0" w:line="480" w:lineRule="auto"/>
        <w:ind w:left="720" w:hanging="720"/>
        <w:rPr>
          <w:rFonts w:ascii="Arial" w:hAnsi="Arial" w:cs="Arial"/>
        </w:rPr>
      </w:pPr>
    </w:p>
    <w:p w14:paraId="0F11F8F3" w14:textId="77777777" w:rsidR="00A940C7" w:rsidRPr="00BC2468" w:rsidRDefault="00A940C7" w:rsidP="00157516">
      <w:pPr>
        <w:spacing w:after="0" w:line="480" w:lineRule="auto"/>
        <w:ind w:left="720" w:hanging="720"/>
        <w:rPr>
          <w:rFonts w:ascii="Arial" w:hAnsi="Arial" w:cs="Arial"/>
        </w:rPr>
      </w:pPr>
    </w:p>
    <w:p w14:paraId="6B17F587" w14:textId="77777777" w:rsidR="00A940C7" w:rsidRPr="00BC2468" w:rsidRDefault="00A940C7" w:rsidP="00157516">
      <w:pPr>
        <w:spacing w:after="0" w:line="480" w:lineRule="auto"/>
        <w:ind w:left="720" w:hanging="720"/>
        <w:rPr>
          <w:rFonts w:ascii="Arial" w:hAnsi="Arial" w:cs="Arial"/>
        </w:rPr>
      </w:pPr>
    </w:p>
    <w:p w14:paraId="7400010D" w14:textId="77777777" w:rsidR="00A940C7" w:rsidRPr="00BC2468" w:rsidRDefault="00A940C7" w:rsidP="00157516">
      <w:pPr>
        <w:spacing w:after="0" w:line="480" w:lineRule="auto"/>
        <w:ind w:left="720" w:hanging="720"/>
        <w:rPr>
          <w:rFonts w:ascii="Arial" w:hAnsi="Arial" w:cs="Arial"/>
        </w:rPr>
      </w:pPr>
    </w:p>
    <w:p w14:paraId="778AD3FB" w14:textId="77777777" w:rsidR="00A940C7" w:rsidRPr="00BC2468" w:rsidRDefault="00A940C7" w:rsidP="00157516">
      <w:pPr>
        <w:spacing w:after="0" w:line="480" w:lineRule="auto"/>
        <w:ind w:left="720" w:hanging="720"/>
        <w:rPr>
          <w:rFonts w:ascii="Arial" w:hAnsi="Arial" w:cs="Arial"/>
        </w:rPr>
      </w:pPr>
    </w:p>
    <w:p w14:paraId="474873A4" w14:textId="77777777" w:rsidR="00A940C7" w:rsidRPr="00BC2468" w:rsidRDefault="00A940C7" w:rsidP="00157516">
      <w:pPr>
        <w:spacing w:after="0" w:line="480" w:lineRule="auto"/>
        <w:ind w:left="720" w:hanging="720"/>
        <w:rPr>
          <w:rFonts w:ascii="Arial" w:hAnsi="Arial" w:cs="Arial"/>
        </w:rPr>
      </w:pPr>
    </w:p>
    <w:p w14:paraId="45487A17" w14:textId="77777777" w:rsidR="00A940C7" w:rsidRPr="00BC2468" w:rsidRDefault="00A940C7" w:rsidP="00157516">
      <w:pPr>
        <w:spacing w:after="0" w:line="480" w:lineRule="auto"/>
        <w:ind w:left="720" w:hanging="720"/>
        <w:rPr>
          <w:rFonts w:ascii="Arial" w:hAnsi="Arial" w:cs="Arial"/>
        </w:rPr>
      </w:pPr>
    </w:p>
    <w:p w14:paraId="48811E80" w14:textId="77777777" w:rsidR="00A940C7" w:rsidRPr="00BC2468" w:rsidRDefault="00A940C7" w:rsidP="00157516">
      <w:pPr>
        <w:spacing w:after="0" w:line="480" w:lineRule="auto"/>
        <w:ind w:left="720" w:hanging="720"/>
        <w:rPr>
          <w:rFonts w:ascii="Arial" w:hAnsi="Arial" w:cs="Arial"/>
        </w:rPr>
      </w:pPr>
    </w:p>
    <w:p w14:paraId="5A8464FD" w14:textId="77777777" w:rsidR="00A940C7" w:rsidRPr="00BC2468" w:rsidRDefault="00A940C7" w:rsidP="00157516">
      <w:pPr>
        <w:spacing w:after="0" w:line="480" w:lineRule="auto"/>
        <w:ind w:left="720" w:hanging="720"/>
        <w:rPr>
          <w:rFonts w:ascii="Arial" w:hAnsi="Arial" w:cs="Arial"/>
        </w:rPr>
      </w:pPr>
    </w:p>
    <w:p w14:paraId="75D39E8F" w14:textId="77777777" w:rsidR="00A940C7" w:rsidRPr="00BC2468" w:rsidRDefault="00A940C7" w:rsidP="00157516">
      <w:pPr>
        <w:spacing w:after="0" w:line="480" w:lineRule="auto"/>
        <w:ind w:left="720" w:hanging="720"/>
        <w:rPr>
          <w:rFonts w:ascii="Arial" w:hAnsi="Arial" w:cs="Arial"/>
        </w:rPr>
      </w:pPr>
    </w:p>
    <w:p w14:paraId="333453CF" w14:textId="77777777" w:rsidR="00A940C7" w:rsidRPr="00BC2468" w:rsidRDefault="00A940C7" w:rsidP="00157516">
      <w:pPr>
        <w:spacing w:after="0" w:line="480" w:lineRule="auto"/>
        <w:ind w:left="720" w:hanging="720"/>
        <w:rPr>
          <w:rFonts w:ascii="Arial" w:hAnsi="Arial" w:cs="Arial"/>
        </w:rPr>
      </w:pPr>
    </w:p>
    <w:p w14:paraId="40859305" w14:textId="77777777" w:rsidR="00A940C7" w:rsidRPr="00BC2468" w:rsidRDefault="00A940C7" w:rsidP="00157516">
      <w:pPr>
        <w:spacing w:after="0" w:line="480" w:lineRule="auto"/>
        <w:ind w:left="720" w:hanging="720"/>
        <w:rPr>
          <w:rFonts w:ascii="Arial" w:hAnsi="Arial" w:cs="Arial"/>
        </w:rPr>
      </w:pPr>
    </w:p>
    <w:p w14:paraId="65F7CCED" w14:textId="77777777" w:rsidR="00A940C7" w:rsidRPr="00BC2468" w:rsidRDefault="00A940C7" w:rsidP="00157516">
      <w:pPr>
        <w:spacing w:after="0" w:line="480" w:lineRule="auto"/>
        <w:ind w:left="720" w:hanging="720"/>
        <w:rPr>
          <w:rFonts w:ascii="Arial" w:hAnsi="Arial" w:cs="Arial"/>
        </w:rPr>
      </w:pPr>
    </w:p>
    <w:p w14:paraId="68E31039" w14:textId="00492947" w:rsidR="00A940C7" w:rsidRPr="00BC2468" w:rsidRDefault="00A940C7" w:rsidP="00157516">
      <w:pPr>
        <w:spacing w:after="0" w:line="480" w:lineRule="auto"/>
        <w:ind w:left="720" w:hanging="720"/>
        <w:jc w:val="center"/>
        <w:rPr>
          <w:rFonts w:ascii="Arial" w:hAnsi="Arial" w:cs="Arial"/>
          <w:b/>
          <w:bCs/>
        </w:rPr>
      </w:pPr>
      <w:r w:rsidRPr="00BC2468">
        <w:rPr>
          <w:rFonts w:ascii="Arial" w:hAnsi="Arial" w:cs="Arial"/>
          <w:b/>
          <w:bCs/>
        </w:rPr>
        <w:t>Appendices</w:t>
      </w:r>
    </w:p>
    <w:p w14:paraId="49B66AAD" w14:textId="6EEE6754" w:rsidR="00FC0ACC" w:rsidRPr="00BC2468" w:rsidRDefault="00FC0ACC" w:rsidP="008505A2">
      <w:pPr>
        <w:spacing w:after="0" w:line="480" w:lineRule="auto"/>
        <w:jc w:val="center"/>
        <w:outlineLvl w:val="1"/>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Appendix </w:t>
      </w:r>
      <w:r w:rsidR="00157516" w:rsidRPr="00BC2468">
        <w:rPr>
          <w:rFonts w:ascii="Arial" w:eastAsia="Times New Roman" w:hAnsi="Arial" w:cs="Arial"/>
          <w:b/>
          <w:bCs/>
          <w:kern w:val="0"/>
          <w14:ligatures w14:val="none"/>
        </w:rPr>
        <w:t>A</w:t>
      </w:r>
      <w:r w:rsidRPr="00BC2468">
        <w:rPr>
          <w:rFonts w:ascii="Arial" w:eastAsia="Times New Roman" w:hAnsi="Arial" w:cs="Arial"/>
          <w:b/>
          <w:bCs/>
          <w:kern w:val="0"/>
          <w14:ligatures w14:val="none"/>
        </w:rPr>
        <w:t xml:space="preserve"> – Cash-Conversion-Cycle (CCC) and Correlation Analysis</w:t>
      </w:r>
    </w:p>
    <w:p w14:paraId="7627593E" w14:textId="304E6B7E" w:rsidR="00FC0ACC" w:rsidRPr="00BC2468" w:rsidRDefault="00FC0ACC"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Table </w:t>
      </w:r>
      <w:r w:rsidR="00157516" w:rsidRPr="00BC2468">
        <w:rPr>
          <w:rFonts w:ascii="Arial" w:eastAsia="Times New Roman" w:hAnsi="Arial" w:cs="Arial"/>
          <w:b/>
          <w:bCs/>
          <w:kern w:val="0"/>
          <w14:ligatures w14:val="none"/>
        </w:rPr>
        <w:t>A</w:t>
      </w:r>
      <w:r w:rsidRPr="00BC2468">
        <w:rPr>
          <w:rFonts w:ascii="Arial" w:eastAsia="Times New Roman" w:hAnsi="Arial" w:cs="Arial"/>
          <w:b/>
          <w:bCs/>
          <w:kern w:val="0"/>
          <w:vertAlign w:val="subscript"/>
          <w14:ligatures w14:val="none"/>
        </w:rPr>
        <w:t>1</w:t>
      </w:r>
      <w:r w:rsidRPr="00BC2468">
        <w:rPr>
          <w:rFonts w:ascii="Arial" w:eastAsia="Times New Roman" w:hAnsi="Arial" w:cs="Arial"/>
          <w:b/>
          <w:bCs/>
          <w:kern w:val="0"/>
          <w14:ligatures w14:val="none"/>
        </w:rPr>
        <w:t>. Components of the Cash-Conversion Cycle</w:t>
      </w:r>
    </w:p>
    <w:tbl>
      <w:tblPr>
        <w:tblStyle w:val="TableGridLight"/>
        <w:tblW w:w="0" w:type="auto"/>
        <w:tblLook w:val="04A0" w:firstRow="1" w:lastRow="0" w:firstColumn="1" w:lastColumn="0" w:noHBand="0" w:noVBand="1"/>
      </w:tblPr>
      <w:tblGrid>
        <w:gridCol w:w="1874"/>
        <w:gridCol w:w="2226"/>
        <w:gridCol w:w="1106"/>
        <w:gridCol w:w="790"/>
        <w:gridCol w:w="1803"/>
        <w:gridCol w:w="1217"/>
      </w:tblGrid>
      <w:tr w:rsidR="00FC0ACC" w:rsidRPr="00BC2468" w14:paraId="4E245EE7" w14:textId="77777777" w:rsidTr="00EF1B51">
        <w:tc>
          <w:tcPr>
            <w:tcW w:w="0" w:type="auto"/>
            <w:hideMark/>
          </w:tcPr>
          <w:p w14:paraId="5E979D07"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Component</w:t>
            </w:r>
          </w:p>
        </w:tc>
        <w:tc>
          <w:tcPr>
            <w:tcW w:w="0" w:type="auto"/>
            <w:hideMark/>
          </w:tcPr>
          <w:p w14:paraId="796FF8F8"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Formula</w:t>
            </w:r>
          </w:p>
        </w:tc>
        <w:tc>
          <w:tcPr>
            <w:tcW w:w="0" w:type="auto"/>
            <w:hideMark/>
          </w:tcPr>
          <w:p w14:paraId="57AF43B8"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Year 5 (£m)</w:t>
            </w:r>
          </w:p>
        </w:tc>
        <w:tc>
          <w:tcPr>
            <w:tcW w:w="0" w:type="auto"/>
            <w:hideMark/>
          </w:tcPr>
          <w:p w14:paraId="79C5CCF8"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Days</w:t>
            </w:r>
          </w:p>
        </w:tc>
        <w:tc>
          <w:tcPr>
            <w:tcW w:w="0" w:type="auto"/>
            <w:hideMark/>
          </w:tcPr>
          <w:p w14:paraId="34555236"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Industry Benchmark (Days)</w:t>
            </w:r>
          </w:p>
        </w:tc>
        <w:tc>
          <w:tcPr>
            <w:tcW w:w="0" w:type="auto"/>
            <w:hideMark/>
          </w:tcPr>
          <w:p w14:paraId="483FAEDE"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Variance</w:t>
            </w:r>
          </w:p>
        </w:tc>
      </w:tr>
      <w:tr w:rsidR="00FC0ACC" w:rsidRPr="00BC2468" w14:paraId="7E0092F8" w14:textId="77777777" w:rsidTr="00EF1B51">
        <w:tc>
          <w:tcPr>
            <w:tcW w:w="0" w:type="auto"/>
            <w:hideMark/>
          </w:tcPr>
          <w:p w14:paraId="64599F1B"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Inventory Days</w:t>
            </w:r>
          </w:p>
        </w:tc>
        <w:tc>
          <w:tcPr>
            <w:tcW w:w="0" w:type="auto"/>
            <w:hideMark/>
          </w:tcPr>
          <w:p w14:paraId="5D39AAD2"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(Inventory / Cost of Sales) × 365</w:t>
            </w:r>
          </w:p>
        </w:tc>
        <w:tc>
          <w:tcPr>
            <w:tcW w:w="0" w:type="auto"/>
            <w:hideMark/>
          </w:tcPr>
          <w:p w14:paraId="085B163B"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(450 / 2,840) × 365</w:t>
            </w:r>
          </w:p>
        </w:tc>
        <w:tc>
          <w:tcPr>
            <w:tcW w:w="0" w:type="auto"/>
            <w:hideMark/>
          </w:tcPr>
          <w:p w14:paraId="2970840A"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58</w:t>
            </w:r>
          </w:p>
        </w:tc>
        <w:tc>
          <w:tcPr>
            <w:tcW w:w="0" w:type="auto"/>
            <w:hideMark/>
          </w:tcPr>
          <w:p w14:paraId="5C864CB9"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40</w:t>
            </w:r>
          </w:p>
        </w:tc>
        <w:tc>
          <w:tcPr>
            <w:tcW w:w="0" w:type="auto"/>
            <w:hideMark/>
          </w:tcPr>
          <w:p w14:paraId="273A2DED"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+18</w:t>
            </w:r>
          </w:p>
        </w:tc>
      </w:tr>
      <w:tr w:rsidR="00FC0ACC" w:rsidRPr="00BC2468" w14:paraId="2A7C6130" w14:textId="77777777" w:rsidTr="00EF1B51">
        <w:tc>
          <w:tcPr>
            <w:tcW w:w="0" w:type="auto"/>
            <w:hideMark/>
          </w:tcPr>
          <w:p w14:paraId="771324EF"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Receivable Days</w:t>
            </w:r>
          </w:p>
        </w:tc>
        <w:tc>
          <w:tcPr>
            <w:tcW w:w="0" w:type="auto"/>
            <w:hideMark/>
          </w:tcPr>
          <w:p w14:paraId="347CD3F2"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(Receivables / Sales) × 365</w:t>
            </w:r>
          </w:p>
        </w:tc>
        <w:tc>
          <w:tcPr>
            <w:tcW w:w="0" w:type="auto"/>
            <w:hideMark/>
          </w:tcPr>
          <w:p w14:paraId="33DBACC7"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(390 / 4,200) × 365</w:t>
            </w:r>
          </w:p>
        </w:tc>
        <w:tc>
          <w:tcPr>
            <w:tcW w:w="0" w:type="auto"/>
            <w:hideMark/>
          </w:tcPr>
          <w:p w14:paraId="0D801B2C"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34</w:t>
            </w:r>
          </w:p>
        </w:tc>
        <w:tc>
          <w:tcPr>
            <w:tcW w:w="0" w:type="auto"/>
            <w:hideMark/>
          </w:tcPr>
          <w:p w14:paraId="069F2867"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25</w:t>
            </w:r>
          </w:p>
        </w:tc>
        <w:tc>
          <w:tcPr>
            <w:tcW w:w="0" w:type="auto"/>
            <w:hideMark/>
          </w:tcPr>
          <w:p w14:paraId="22DD9A7D"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+9</w:t>
            </w:r>
          </w:p>
        </w:tc>
      </w:tr>
      <w:tr w:rsidR="00FC0ACC" w:rsidRPr="00BC2468" w14:paraId="2CB11FF2" w14:textId="77777777" w:rsidTr="00EF1B51">
        <w:tc>
          <w:tcPr>
            <w:tcW w:w="0" w:type="auto"/>
            <w:hideMark/>
          </w:tcPr>
          <w:p w14:paraId="00A935A0"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Payable Days</w:t>
            </w:r>
          </w:p>
        </w:tc>
        <w:tc>
          <w:tcPr>
            <w:tcW w:w="0" w:type="auto"/>
            <w:hideMark/>
          </w:tcPr>
          <w:p w14:paraId="767ADDAA"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(Payables / Cost of Sales) × 365</w:t>
            </w:r>
          </w:p>
        </w:tc>
        <w:tc>
          <w:tcPr>
            <w:tcW w:w="0" w:type="auto"/>
            <w:hideMark/>
          </w:tcPr>
          <w:p w14:paraId="6296B8D8"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(330 / 2,840) × 365</w:t>
            </w:r>
          </w:p>
        </w:tc>
        <w:tc>
          <w:tcPr>
            <w:tcW w:w="0" w:type="auto"/>
            <w:hideMark/>
          </w:tcPr>
          <w:p w14:paraId="4B3E2609"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42</w:t>
            </w:r>
          </w:p>
        </w:tc>
        <w:tc>
          <w:tcPr>
            <w:tcW w:w="0" w:type="auto"/>
            <w:hideMark/>
          </w:tcPr>
          <w:p w14:paraId="2A4612DE"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55</w:t>
            </w:r>
          </w:p>
        </w:tc>
        <w:tc>
          <w:tcPr>
            <w:tcW w:w="0" w:type="auto"/>
            <w:hideMark/>
          </w:tcPr>
          <w:p w14:paraId="5D4EA231"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–13</w:t>
            </w:r>
          </w:p>
        </w:tc>
      </w:tr>
      <w:tr w:rsidR="00FC0ACC" w:rsidRPr="00BC2468" w14:paraId="32A5E319" w14:textId="77777777" w:rsidTr="00EF1B51">
        <w:tc>
          <w:tcPr>
            <w:tcW w:w="0" w:type="auto"/>
            <w:hideMark/>
          </w:tcPr>
          <w:p w14:paraId="22236134"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Cash-Conversion Cycle (CCC)</w:t>
            </w:r>
          </w:p>
        </w:tc>
        <w:tc>
          <w:tcPr>
            <w:tcW w:w="0" w:type="auto"/>
            <w:hideMark/>
          </w:tcPr>
          <w:p w14:paraId="4254DD02"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Inventory Days + Receivable Days – Payable Days</w:t>
            </w:r>
          </w:p>
        </w:tc>
        <w:tc>
          <w:tcPr>
            <w:tcW w:w="0" w:type="auto"/>
            <w:hideMark/>
          </w:tcPr>
          <w:p w14:paraId="4CAF7CC1"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w:t>
            </w:r>
          </w:p>
        </w:tc>
        <w:tc>
          <w:tcPr>
            <w:tcW w:w="0" w:type="auto"/>
            <w:hideMark/>
          </w:tcPr>
          <w:p w14:paraId="0351C897"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50</w:t>
            </w:r>
          </w:p>
        </w:tc>
        <w:tc>
          <w:tcPr>
            <w:tcW w:w="0" w:type="auto"/>
            <w:hideMark/>
          </w:tcPr>
          <w:p w14:paraId="7388FF7A"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35</w:t>
            </w:r>
          </w:p>
        </w:tc>
        <w:tc>
          <w:tcPr>
            <w:tcW w:w="0" w:type="auto"/>
            <w:hideMark/>
          </w:tcPr>
          <w:p w14:paraId="69BDD51F"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+15</w:t>
            </w:r>
          </w:p>
        </w:tc>
      </w:tr>
    </w:tbl>
    <w:p w14:paraId="5BD97438" w14:textId="52D8EC63" w:rsidR="00FC0ACC" w:rsidRPr="00BC2468" w:rsidRDefault="00B4122F"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noProof/>
          <w:kern w:val="0"/>
        </w:rPr>
        <mc:AlternateContent>
          <mc:Choice Requires="wps">
            <w:drawing>
              <wp:anchor distT="0" distB="0" distL="114300" distR="114300" simplePos="0" relativeHeight="251659264" behindDoc="0" locked="0" layoutInCell="1" allowOverlap="1" wp14:anchorId="3B12E56D" wp14:editId="7453B610">
                <wp:simplePos x="0" y="0"/>
                <wp:positionH relativeFrom="column">
                  <wp:posOffset>276225</wp:posOffset>
                </wp:positionH>
                <wp:positionV relativeFrom="paragraph">
                  <wp:posOffset>422276</wp:posOffset>
                </wp:positionV>
                <wp:extent cx="4791075" cy="2933700"/>
                <wp:effectExtent l="0" t="0" r="28575" b="19050"/>
                <wp:wrapNone/>
                <wp:docPr id="188123452" name="Text Box 1"/>
                <wp:cNvGraphicFramePr/>
                <a:graphic xmlns:a="http://schemas.openxmlformats.org/drawingml/2006/main">
                  <a:graphicData uri="http://schemas.microsoft.com/office/word/2010/wordprocessingShape">
                    <wps:wsp>
                      <wps:cNvSpPr txBox="1"/>
                      <wps:spPr>
                        <a:xfrm>
                          <a:off x="0" y="0"/>
                          <a:ext cx="4791075" cy="2933700"/>
                        </a:xfrm>
                        <a:prstGeom prst="rect">
                          <a:avLst/>
                        </a:prstGeom>
                        <a:solidFill>
                          <a:schemeClr val="lt1"/>
                        </a:solidFill>
                        <a:ln w="6350">
                          <a:solidFill>
                            <a:prstClr val="black"/>
                          </a:solidFill>
                        </a:ln>
                      </wps:spPr>
                      <wps:txbx>
                        <w:txbxContent>
                          <w:p w14:paraId="2E6A4A45" w14:textId="712176A8" w:rsidR="00B4122F" w:rsidRDefault="00B4122F">
                            <w:r>
                              <w:rPr>
                                <w:noProof/>
                              </w:rPr>
                              <w:drawing>
                                <wp:inline distT="0" distB="0" distL="0" distR="0" wp14:anchorId="2BD208B0" wp14:editId="34958F8F">
                                  <wp:extent cx="4497070" cy="2698115"/>
                                  <wp:effectExtent l="0" t="0" r="17780" b="6985"/>
                                  <wp:docPr id="2035637773" name="Chart 1">
                                    <a:extLst xmlns:a="http://schemas.openxmlformats.org/drawingml/2006/main">
                                      <a:ext uri="{FF2B5EF4-FFF2-40B4-BE49-F238E27FC236}">
                                        <a16:creationId xmlns:a16="http://schemas.microsoft.com/office/drawing/2014/main" id="{AA88F578-6DC9-6689-A7A2-5B4097CEC9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2E56D" id="Text Box 1" o:spid="_x0000_s1030" type="#_x0000_t202" style="position:absolute;margin-left:21.75pt;margin-top:33.25pt;width:377.25pt;height:2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" fillcolor="white [3201]" strokeweight=".5pt">
                <v:textbox>
                  <w:txbxContent>
                    <w:p w14:paraId="2E6A4A45" w14:textId="712176A8" w:rsidR="00B4122F" w:rsidRDefault="00B4122F">
                      <w:r>
                        <w:rPr>
                          <w:noProof/>
                        </w:rPr>
                        <w:drawing>
                          <wp:inline distT="0" distB="0" distL="0" distR="0" wp14:anchorId="2BD208B0" wp14:editId="34958F8F">
                            <wp:extent cx="4497070" cy="2698115"/>
                            <wp:effectExtent l="0" t="0" r="17780" b="6985"/>
                            <wp:docPr id="2035637773" name="Chart 1">
                              <a:extLst xmlns:a="http://schemas.openxmlformats.org/drawingml/2006/main">
                                <a:ext uri="{FF2B5EF4-FFF2-40B4-BE49-F238E27FC236}">
                                  <a16:creationId xmlns:a16="http://schemas.microsoft.com/office/drawing/2014/main" id="{AA88F578-6DC9-6689-A7A2-5B4097CEC9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xbxContent>
                </v:textbox>
              </v:shape>
            </w:pict>
          </mc:Fallback>
        </mc:AlternateContent>
      </w:r>
      <w:r w:rsidR="00FC0ACC" w:rsidRPr="00BC2468">
        <w:rPr>
          <w:rFonts w:ascii="Arial" w:eastAsia="Times New Roman" w:hAnsi="Arial" w:cs="Arial"/>
          <w:b/>
          <w:bCs/>
          <w:kern w:val="0"/>
          <w14:ligatures w14:val="none"/>
        </w:rPr>
        <w:t xml:space="preserve">Figure </w:t>
      </w:r>
      <w:r w:rsidR="00157516" w:rsidRPr="00BC2468">
        <w:rPr>
          <w:rFonts w:ascii="Arial" w:eastAsia="Times New Roman" w:hAnsi="Arial" w:cs="Arial"/>
          <w:b/>
          <w:bCs/>
          <w:kern w:val="0"/>
          <w14:ligatures w14:val="none"/>
        </w:rPr>
        <w:t>A</w:t>
      </w:r>
      <w:r w:rsidR="00FC0ACC" w:rsidRPr="00BC2468">
        <w:rPr>
          <w:rFonts w:ascii="Arial" w:eastAsia="Times New Roman" w:hAnsi="Arial" w:cs="Arial"/>
          <w:b/>
          <w:bCs/>
          <w:kern w:val="0"/>
          <w:vertAlign w:val="subscript"/>
          <w14:ligatures w14:val="none"/>
        </w:rPr>
        <w:t>2</w:t>
      </w:r>
      <w:r w:rsidR="00FC0ACC" w:rsidRPr="00BC2468">
        <w:rPr>
          <w:rFonts w:ascii="Arial" w:eastAsia="Times New Roman" w:hAnsi="Arial" w:cs="Arial"/>
          <w:b/>
          <w:bCs/>
          <w:kern w:val="0"/>
          <w14:ligatures w14:val="none"/>
        </w:rPr>
        <w:t>. Relationship Between ROCE and CCC (Years 1–5)</w:t>
      </w:r>
    </w:p>
    <w:p w14:paraId="7F0F7078" w14:textId="626ACAFF" w:rsidR="00FC0ACC" w:rsidRPr="00BC2468" w:rsidRDefault="00FC0ACC" w:rsidP="00157516">
      <w:pPr>
        <w:spacing w:after="0" w:line="480" w:lineRule="auto"/>
        <w:rPr>
          <w:rFonts w:ascii="Arial" w:eastAsia="Times New Roman" w:hAnsi="Arial" w:cs="Arial"/>
          <w:kern w:val="0"/>
          <w14:ligatures w14:val="none"/>
        </w:rPr>
      </w:pPr>
    </w:p>
    <w:p w14:paraId="265AB780" w14:textId="77777777" w:rsidR="00B4122F" w:rsidRPr="00BC2468" w:rsidRDefault="00B4122F" w:rsidP="00157516">
      <w:pPr>
        <w:spacing w:after="0" w:line="480" w:lineRule="auto"/>
        <w:outlineLvl w:val="1"/>
        <w:rPr>
          <w:rFonts w:ascii="Arial" w:eastAsia="Times New Roman" w:hAnsi="Arial" w:cs="Arial"/>
          <w:b/>
          <w:bCs/>
          <w:kern w:val="0"/>
          <w14:ligatures w14:val="none"/>
        </w:rPr>
      </w:pPr>
    </w:p>
    <w:p w14:paraId="5569DBFA" w14:textId="77777777" w:rsidR="00B4122F" w:rsidRPr="00BC2468" w:rsidRDefault="00B4122F" w:rsidP="00157516">
      <w:pPr>
        <w:spacing w:after="0" w:line="480" w:lineRule="auto"/>
        <w:outlineLvl w:val="1"/>
        <w:rPr>
          <w:rFonts w:ascii="Arial" w:eastAsia="Times New Roman" w:hAnsi="Arial" w:cs="Arial"/>
          <w:b/>
          <w:bCs/>
          <w:kern w:val="0"/>
          <w14:ligatures w14:val="none"/>
        </w:rPr>
      </w:pPr>
    </w:p>
    <w:p w14:paraId="105B508F" w14:textId="77777777" w:rsidR="00B4122F" w:rsidRPr="00BC2468" w:rsidRDefault="00B4122F" w:rsidP="00157516">
      <w:pPr>
        <w:spacing w:after="0" w:line="480" w:lineRule="auto"/>
        <w:outlineLvl w:val="1"/>
        <w:rPr>
          <w:rFonts w:ascii="Arial" w:eastAsia="Times New Roman" w:hAnsi="Arial" w:cs="Arial"/>
          <w:b/>
          <w:bCs/>
          <w:kern w:val="0"/>
          <w14:ligatures w14:val="none"/>
        </w:rPr>
      </w:pPr>
    </w:p>
    <w:p w14:paraId="7AF11FD5" w14:textId="77777777" w:rsidR="00B4122F" w:rsidRPr="00BC2468" w:rsidRDefault="00B4122F" w:rsidP="00157516">
      <w:pPr>
        <w:spacing w:after="0" w:line="480" w:lineRule="auto"/>
        <w:outlineLvl w:val="1"/>
        <w:rPr>
          <w:rFonts w:ascii="Arial" w:eastAsia="Times New Roman" w:hAnsi="Arial" w:cs="Arial"/>
          <w:b/>
          <w:bCs/>
          <w:kern w:val="0"/>
          <w14:ligatures w14:val="none"/>
        </w:rPr>
      </w:pPr>
    </w:p>
    <w:p w14:paraId="51A1DAD7" w14:textId="77777777" w:rsidR="00B4122F" w:rsidRPr="00BC2468" w:rsidRDefault="00B4122F" w:rsidP="00157516">
      <w:pPr>
        <w:spacing w:after="0" w:line="480" w:lineRule="auto"/>
        <w:outlineLvl w:val="1"/>
        <w:rPr>
          <w:rFonts w:ascii="Arial" w:eastAsia="Times New Roman" w:hAnsi="Arial" w:cs="Arial"/>
          <w:b/>
          <w:bCs/>
          <w:kern w:val="0"/>
          <w14:ligatures w14:val="none"/>
        </w:rPr>
      </w:pPr>
    </w:p>
    <w:p w14:paraId="0E5A9FA9" w14:textId="2231EA47" w:rsidR="00FC0ACC" w:rsidRPr="00BC2468" w:rsidRDefault="00FC0ACC" w:rsidP="00157516">
      <w:pPr>
        <w:spacing w:after="0" w:line="480" w:lineRule="auto"/>
        <w:outlineLvl w:val="1"/>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Appendix </w:t>
      </w:r>
      <w:r w:rsidR="00157516" w:rsidRPr="00BC2468">
        <w:rPr>
          <w:rFonts w:ascii="Arial" w:eastAsia="Times New Roman" w:hAnsi="Arial" w:cs="Arial"/>
          <w:b/>
          <w:bCs/>
          <w:kern w:val="0"/>
          <w14:ligatures w14:val="none"/>
        </w:rPr>
        <w:t>B</w:t>
      </w:r>
      <w:r w:rsidRPr="00BC2468">
        <w:rPr>
          <w:rFonts w:ascii="Arial" w:eastAsia="Times New Roman" w:hAnsi="Arial" w:cs="Arial"/>
          <w:b/>
          <w:bCs/>
          <w:kern w:val="0"/>
          <w14:ligatures w14:val="none"/>
        </w:rPr>
        <w:t xml:space="preserve"> – Inventory, Receivable, and Payable Analysis</w:t>
      </w:r>
    </w:p>
    <w:p w14:paraId="45ABD7CF" w14:textId="55120DC8" w:rsidR="00FC0ACC" w:rsidRPr="00BC2468" w:rsidRDefault="00FC0ACC"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Table </w:t>
      </w:r>
      <w:r w:rsidR="00157516" w:rsidRPr="00BC2468">
        <w:rPr>
          <w:rFonts w:ascii="Arial" w:eastAsia="Times New Roman" w:hAnsi="Arial" w:cs="Arial"/>
          <w:b/>
          <w:bCs/>
          <w:kern w:val="0"/>
          <w14:ligatures w14:val="none"/>
        </w:rPr>
        <w:t>B</w:t>
      </w:r>
      <w:r w:rsidRPr="00BC2468">
        <w:rPr>
          <w:rFonts w:ascii="Arial" w:eastAsia="Times New Roman" w:hAnsi="Arial" w:cs="Arial"/>
          <w:b/>
          <w:bCs/>
          <w:kern w:val="0"/>
          <w:vertAlign w:val="subscript"/>
          <w14:ligatures w14:val="none"/>
        </w:rPr>
        <w:t>1</w:t>
      </w:r>
      <w:r w:rsidRPr="00BC2468">
        <w:rPr>
          <w:rFonts w:ascii="Arial" w:eastAsia="Times New Roman" w:hAnsi="Arial" w:cs="Arial"/>
          <w:b/>
          <w:bCs/>
          <w:kern w:val="0"/>
          <w14:ligatures w14:val="none"/>
        </w:rPr>
        <w:t>. Working-Capital Efficiency Ratios vs. Industry Benchmarks</w:t>
      </w:r>
    </w:p>
    <w:tbl>
      <w:tblPr>
        <w:tblStyle w:val="TableGridLight"/>
        <w:tblW w:w="0" w:type="auto"/>
        <w:tblLook w:val="04A0" w:firstRow="1" w:lastRow="0" w:firstColumn="1" w:lastColumn="0" w:noHBand="0" w:noVBand="1"/>
      </w:tblPr>
      <w:tblGrid>
        <w:gridCol w:w="1597"/>
        <w:gridCol w:w="1863"/>
        <w:gridCol w:w="899"/>
        <w:gridCol w:w="1284"/>
        <w:gridCol w:w="1747"/>
        <w:gridCol w:w="1626"/>
      </w:tblGrid>
      <w:tr w:rsidR="00FC0ACC" w:rsidRPr="00BC2468" w14:paraId="4E2458F8" w14:textId="77777777" w:rsidTr="00EF1B51">
        <w:tc>
          <w:tcPr>
            <w:tcW w:w="0" w:type="auto"/>
            <w:hideMark/>
          </w:tcPr>
          <w:p w14:paraId="6C82E9A0"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Indicator</w:t>
            </w:r>
          </w:p>
        </w:tc>
        <w:tc>
          <w:tcPr>
            <w:tcW w:w="0" w:type="auto"/>
            <w:hideMark/>
          </w:tcPr>
          <w:p w14:paraId="75499FA0"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Formula</w:t>
            </w:r>
          </w:p>
        </w:tc>
        <w:tc>
          <w:tcPr>
            <w:tcW w:w="0" w:type="auto"/>
            <w:hideMark/>
          </w:tcPr>
          <w:p w14:paraId="247DAABF"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GE (Year 5)</w:t>
            </w:r>
          </w:p>
        </w:tc>
        <w:tc>
          <w:tcPr>
            <w:tcW w:w="0" w:type="auto"/>
            <w:hideMark/>
          </w:tcPr>
          <w:p w14:paraId="040C3157"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Industry Average</w:t>
            </w:r>
          </w:p>
        </w:tc>
        <w:tc>
          <w:tcPr>
            <w:tcW w:w="0" w:type="auto"/>
            <w:hideMark/>
          </w:tcPr>
          <w:p w14:paraId="62CD82D0"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Performance Gap</w:t>
            </w:r>
          </w:p>
        </w:tc>
        <w:tc>
          <w:tcPr>
            <w:tcW w:w="0" w:type="auto"/>
            <w:hideMark/>
          </w:tcPr>
          <w:p w14:paraId="012045D9" w14:textId="77777777" w:rsidR="00FC0ACC" w:rsidRPr="00BC2468" w:rsidRDefault="00FC0ACC"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Financial Impact</w:t>
            </w:r>
          </w:p>
        </w:tc>
      </w:tr>
      <w:tr w:rsidR="00FC0ACC" w:rsidRPr="00BC2468" w14:paraId="50F3BB80" w14:textId="77777777" w:rsidTr="00EF1B51">
        <w:tc>
          <w:tcPr>
            <w:tcW w:w="0" w:type="auto"/>
            <w:hideMark/>
          </w:tcPr>
          <w:p w14:paraId="6375F257"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Inventory Turnover (times)</w:t>
            </w:r>
          </w:p>
        </w:tc>
        <w:tc>
          <w:tcPr>
            <w:tcW w:w="0" w:type="auto"/>
            <w:hideMark/>
          </w:tcPr>
          <w:p w14:paraId="3EDEED84"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Cost of Sales / Average Inventory</w:t>
            </w:r>
          </w:p>
        </w:tc>
        <w:tc>
          <w:tcPr>
            <w:tcW w:w="0" w:type="auto"/>
            <w:hideMark/>
          </w:tcPr>
          <w:p w14:paraId="094AA8BD"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6.31</w:t>
            </w:r>
          </w:p>
        </w:tc>
        <w:tc>
          <w:tcPr>
            <w:tcW w:w="0" w:type="auto"/>
            <w:hideMark/>
          </w:tcPr>
          <w:p w14:paraId="10380E97"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8.0</w:t>
            </w:r>
          </w:p>
        </w:tc>
        <w:tc>
          <w:tcPr>
            <w:tcW w:w="0" w:type="auto"/>
            <w:hideMark/>
          </w:tcPr>
          <w:p w14:paraId="5194659C"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–1.69</w:t>
            </w:r>
          </w:p>
        </w:tc>
        <w:tc>
          <w:tcPr>
            <w:tcW w:w="0" w:type="auto"/>
            <w:hideMark/>
          </w:tcPr>
          <w:p w14:paraId="450AF8B3"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Over-investment £95 m</w:t>
            </w:r>
          </w:p>
        </w:tc>
      </w:tr>
      <w:tr w:rsidR="00FC0ACC" w:rsidRPr="00BC2468" w14:paraId="6A953A02" w14:textId="77777777" w:rsidTr="00EF1B51">
        <w:tc>
          <w:tcPr>
            <w:tcW w:w="0" w:type="auto"/>
            <w:hideMark/>
          </w:tcPr>
          <w:p w14:paraId="316CFA7D"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Receivable Days</w:t>
            </w:r>
          </w:p>
        </w:tc>
        <w:tc>
          <w:tcPr>
            <w:tcW w:w="0" w:type="auto"/>
            <w:hideMark/>
          </w:tcPr>
          <w:p w14:paraId="3CD250D9"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(Receivables / Sales) × 365</w:t>
            </w:r>
          </w:p>
        </w:tc>
        <w:tc>
          <w:tcPr>
            <w:tcW w:w="0" w:type="auto"/>
            <w:hideMark/>
          </w:tcPr>
          <w:p w14:paraId="6B745A97"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34</w:t>
            </w:r>
          </w:p>
        </w:tc>
        <w:tc>
          <w:tcPr>
            <w:tcW w:w="0" w:type="auto"/>
            <w:hideMark/>
          </w:tcPr>
          <w:p w14:paraId="69C430D0"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25</w:t>
            </w:r>
          </w:p>
        </w:tc>
        <w:tc>
          <w:tcPr>
            <w:tcW w:w="0" w:type="auto"/>
            <w:hideMark/>
          </w:tcPr>
          <w:p w14:paraId="26919360"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+9</w:t>
            </w:r>
          </w:p>
        </w:tc>
        <w:tc>
          <w:tcPr>
            <w:tcW w:w="0" w:type="auto"/>
            <w:hideMark/>
          </w:tcPr>
          <w:p w14:paraId="39CF8E5C"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Delayed inflow £103.6 m</w:t>
            </w:r>
          </w:p>
        </w:tc>
      </w:tr>
      <w:tr w:rsidR="00FC0ACC" w:rsidRPr="00BC2468" w14:paraId="53241049" w14:textId="77777777" w:rsidTr="00EF1B51">
        <w:tc>
          <w:tcPr>
            <w:tcW w:w="0" w:type="auto"/>
            <w:hideMark/>
          </w:tcPr>
          <w:p w14:paraId="79DF4FB7"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Payable Days</w:t>
            </w:r>
          </w:p>
        </w:tc>
        <w:tc>
          <w:tcPr>
            <w:tcW w:w="0" w:type="auto"/>
            <w:hideMark/>
          </w:tcPr>
          <w:p w14:paraId="07021C64"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(Payables / Cost of Sales) × 365</w:t>
            </w:r>
          </w:p>
        </w:tc>
        <w:tc>
          <w:tcPr>
            <w:tcW w:w="0" w:type="auto"/>
            <w:hideMark/>
          </w:tcPr>
          <w:p w14:paraId="7707D402"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42</w:t>
            </w:r>
          </w:p>
        </w:tc>
        <w:tc>
          <w:tcPr>
            <w:tcW w:w="0" w:type="auto"/>
            <w:hideMark/>
          </w:tcPr>
          <w:p w14:paraId="025D4CF6"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55</w:t>
            </w:r>
          </w:p>
        </w:tc>
        <w:tc>
          <w:tcPr>
            <w:tcW w:w="0" w:type="auto"/>
            <w:hideMark/>
          </w:tcPr>
          <w:p w14:paraId="505E3323"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–13</w:t>
            </w:r>
          </w:p>
        </w:tc>
        <w:tc>
          <w:tcPr>
            <w:tcW w:w="0" w:type="auto"/>
            <w:hideMark/>
          </w:tcPr>
          <w:p w14:paraId="48DCA148"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Lost liquidity £77.8 m</w:t>
            </w:r>
          </w:p>
        </w:tc>
      </w:tr>
      <w:tr w:rsidR="00FC0ACC" w:rsidRPr="00BC2468" w14:paraId="45EDF19F" w14:textId="77777777" w:rsidTr="00EF1B51">
        <w:tc>
          <w:tcPr>
            <w:tcW w:w="0" w:type="auto"/>
            <w:hideMark/>
          </w:tcPr>
          <w:p w14:paraId="2991A526"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CCC (Days)</w:t>
            </w:r>
          </w:p>
        </w:tc>
        <w:tc>
          <w:tcPr>
            <w:tcW w:w="0" w:type="auto"/>
            <w:hideMark/>
          </w:tcPr>
          <w:p w14:paraId="53797A78"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Inv. + Rec. – Pay.</w:t>
            </w:r>
          </w:p>
        </w:tc>
        <w:tc>
          <w:tcPr>
            <w:tcW w:w="0" w:type="auto"/>
            <w:hideMark/>
          </w:tcPr>
          <w:p w14:paraId="765C3B5C"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50</w:t>
            </w:r>
          </w:p>
        </w:tc>
        <w:tc>
          <w:tcPr>
            <w:tcW w:w="0" w:type="auto"/>
            <w:hideMark/>
          </w:tcPr>
          <w:p w14:paraId="4B5E3C98"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35</w:t>
            </w:r>
          </w:p>
        </w:tc>
        <w:tc>
          <w:tcPr>
            <w:tcW w:w="0" w:type="auto"/>
            <w:hideMark/>
          </w:tcPr>
          <w:p w14:paraId="79477CF0"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+15</w:t>
            </w:r>
          </w:p>
        </w:tc>
        <w:tc>
          <w:tcPr>
            <w:tcW w:w="0" w:type="auto"/>
            <w:hideMark/>
          </w:tcPr>
          <w:p w14:paraId="46910EB4" w14:textId="77777777" w:rsidR="00FC0ACC" w:rsidRPr="00BC2468" w:rsidRDefault="00FC0ACC"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Working-capital drag £172.6 m</w:t>
            </w:r>
          </w:p>
        </w:tc>
      </w:tr>
    </w:tbl>
    <w:p w14:paraId="5649E74F" w14:textId="36A18D5F" w:rsidR="00FC0ACC" w:rsidRPr="00BC2468" w:rsidRDefault="00B4122F"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noProof/>
          <w:kern w:val="0"/>
        </w:rPr>
        <mc:AlternateContent>
          <mc:Choice Requires="wps">
            <w:drawing>
              <wp:anchor distT="0" distB="0" distL="114300" distR="114300" simplePos="0" relativeHeight="251660288" behindDoc="0" locked="0" layoutInCell="1" allowOverlap="1" wp14:anchorId="51129BF2" wp14:editId="5EF020A3">
                <wp:simplePos x="0" y="0"/>
                <wp:positionH relativeFrom="column">
                  <wp:posOffset>123825</wp:posOffset>
                </wp:positionH>
                <wp:positionV relativeFrom="paragraph">
                  <wp:posOffset>433705</wp:posOffset>
                </wp:positionV>
                <wp:extent cx="4629150" cy="3171825"/>
                <wp:effectExtent l="0" t="0" r="19050" b="28575"/>
                <wp:wrapNone/>
                <wp:docPr id="2072351779" name="Text Box 2"/>
                <wp:cNvGraphicFramePr/>
                <a:graphic xmlns:a="http://schemas.openxmlformats.org/drawingml/2006/main">
                  <a:graphicData uri="http://schemas.microsoft.com/office/word/2010/wordprocessingShape">
                    <wps:wsp>
                      <wps:cNvSpPr txBox="1"/>
                      <wps:spPr>
                        <a:xfrm>
                          <a:off x="0" y="0"/>
                          <a:ext cx="4629150" cy="3171825"/>
                        </a:xfrm>
                        <a:prstGeom prst="rect">
                          <a:avLst/>
                        </a:prstGeom>
                        <a:solidFill>
                          <a:schemeClr val="lt1"/>
                        </a:solidFill>
                        <a:ln w="6350">
                          <a:solidFill>
                            <a:prstClr val="black"/>
                          </a:solidFill>
                        </a:ln>
                      </wps:spPr>
                      <wps:txbx>
                        <w:txbxContent>
                          <w:p w14:paraId="241905CF" w14:textId="74545C21" w:rsidR="00B4122F" w:rsidRDefault="00B4122F">
                            <w:r>
                              <w:rPr>
                                <w:noProof/>
                              </w:rPr>
                              <w:drawing>
                                <wp:inline distT="0" distB="0" distL="0" distR="0" wp14:anchorId="635F5FB0" wp14:editId="4564CD87">
                                  <wp:extent cx="4267200" cy="3009900"/>
                                  <wp:effectExtent l="0" t="0" r="0" b="0"/>
                                  <wp:docPr id="330496635" name="Chart 1">
                                    <a:extLst xmlns:a="http://schemas.openxmlformats.org/drawingml/2006/main">
                                      <a:ext uri="{FF2B5EF4-FFF2-40B4-BE49-F238E27FC236}">
                                        <a16:creationId xmlns:a16="http://schemas.microsoft.com/office/drawing/2014/main" id="{DE90282D-3F06-D6DF-D695-B5E1A8BF00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129BF2" id="Text Box 2" o:spid="_x0000_s1031" type="#_x0000_t202" style="position:absolute;margin-left:9.75pt;margin-top:34.15pt;width:364.5pt;height:249.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" fillcolor="white [3201]" strokeweight=".5pt">
                <v:textbox>
                  <w:txbxContent>
                    <w:p w14:paraId="241905CF" w14:textId="74545C21" w:rsidR="00B4122F" w:rsidRDefault="00B4122F">
                      <w:r>
                        <w:rPr>
                          <w:noProof/>
                        </w:rPr>
                        <w:drawing>
                          <wp:inline distT="0" distB="0" distL="0" distR="0" wp14:anchorId="635F5FB0" wp14:editId="4564CD87">
                            <wp:extent cx="4267200" cy="3009900"/>
                            <wp:effectExtent l="0" t="0" r="0" b="0"/>
                            <wp:docPr id="330496635" name="Chart 1">
                              <a:extLst xmlns:a="http://schemas.openxmlformats.org/drawingml/2006/main">
                                <a:ext uri="{FF2B5EF4-FFF2-40B4-BE49-F238E27FC236}">
                                  <a16:creationId xmlns:a16="http://schemas.microsoft.com/office/drawing/2014/main" id="{DE90282D-3F06-D6DF-D695-B5E1A8BF00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txbxContent>
                </v:textbox>
              </v:shape>
            </w:pict>
          </mc:Fallback>
        </mc:AlternateContent>
      </w:r>
      <w:r w:rsidR="00FC0ACC" w:rsidRPr="00BC2468">
        <w:rPr>
          <w:rFonts w:ascii="Arial" w:eastAsia="Times New Roman" w:hAnsi="Arial" w:cs="Arial"/>
          <w:b/>
          <w:bCs/>
          <w:kern w:val="0"/>
          <w14:ligatures w14:val="none"/>
        </w:rPr>
        <w:t xml:space="preserve">Figure </w:t>
      </w:r>
      <w:r w:rsidR="00157516" w:rsidRPr="00BC2468">
        <w:rPr>
          <w:rFonts w:ascii="Arial" w:eastAsia="Times New Roman" w:hAnsi="Arial" w:cs="Arial"/>
          <w:b/>
          <w:bCs/>
          <w:kern w:val="0"/>
          <w14:ligatures w14:val="none"/>
        </w:rPr>
        <w:t>B</w:t>
      </w:r>
      <w:r w:rsidR="00FC0ACC" w:rsidRPr="00BC2468">
        <w:rPr>
          <w:rFonts w:ascii="Arial" w:eastAsia="Times New Roman" w:hAnsi="Arial" w:cs="Arial"/>
          <w:b/>
          <w:bCs/>
          <w:kern w:val="0"/>
          <w:vertAlign w:val="subscript"/>
          <w14:ligatures w14:val="none"/>
        </w:rPr>
        <w:t>2</w:t>
      </w:r>
      <w:r w:rsidR="00FC0ACC" w:rsidRPr="00BC2468">
        <w:rPr>
          <w:rFonts w:ascii="Arial" w:eastAsia="Times New Roman" w:hAnsi="Arial" w:cs="Arial"/>
          <w:b/>
          <w:bCs/>
          <w:kern w:val="0"/>
          <w14:ligatures w14:val="none"/>
        </w:rPr>
        <w:t>. Trend of Receivable-Collection Period vs. Industry</w:t>
      </w:r>
    </w:p>
    <w:p w14:paraId="79E3DB30" w14:textId="0DEA4AF5" w:rsidR="00FC0ACC" w:rsidRPr="00BC2468" w:rsidRDefault="00FC0ACC" w:rsidP="00157516">
      <w:pPr>
        <w:spacing w:after="0" w:line="480" w:lineRule="auto"/>
        <w:rPr>
          <w:rFonts w:ascii="Arial" w:eastAsia="Times New Roman" w:hAnsi="Arial" w:cs="Arial"/>
          <w:kern w:val="0"/>
          <w14:ligatures w14:val="none"/>
        </w:rPr>
      </w:pPr>
    </w:p>
    <w:p w14:paraId="7843D4C4" w14:textId="77777777" w:rsidR="00B4122F" w:rsidRPr="00BC2468" w:rsidRDefault="00B4122F" w:rsidP="00157516">
      <w:pPr>
        <w:spacing w:after="0" w:line="480" w:lineRule="auto"/>
        <w:rPr>
          <w:rFonts w:ascii="Arial" w:eastAsia="Times New Roman" w:hAnsi="Arial" w:cs="Arial"/>
          <w:kern w:val="0"/>
          <w14:ligatures w14:val="none"/>
        </w:rPr>
      </w:pPr>
    </w:p>
    <w:p w14:paraId="6C63EC5D" w14:textId="77777777" w:rsidR="00B4122F" w:rsidRPr="00BC2468" w:rsidRDefault="00B4122F" w:rsidP="00157516">
      <w:pPr>
        <w:spacing w:after="0" w:line="480" w:lineRule="auto"/>
        <w:rPr>
          <w:rFonts w:ascii="Arial" w:eastAsia="Times New Roman" w:hAnsi="Arial" w:cs="Arial"/>
          <w:kern w:val="0"/>
          <w14:ligatures w14:val="none"/>
        </w:rPr>
      </w:pPr>
    </w:p>
    <w:p w14:paraId="621B34CC" w14:textId="77777777" w:rsidR="00B4122F" w:rsidRPr="00BC2468" w:rsidRDefault="00B4122F" w:rsidP="00157516">
      <w:pPr>
        <w:spacing w:after="0" w:line="480" w:lineRule="auto"/>
        <w:rPr>
          <w:rFonts w:ascii="Arial" w:eastAsia="Times New Roman" w:hAnsi="Arial" w:cs="Arial"/>
          <w:kern w:val="0"/>
          <w14:ligatures w14:val="none"/>
        </w:rPr>
      </w:pPr>
    </w:p>
    <w:p w14:paraId="57F46848" w14:textId="77777777" w:rsidR="00B4122F" w:rsidRPr="00BC2468" w:rsidRDefault="00B4122F" w:rsidP="00157516">
      <w:pPr>
        <w:spacing w:after="0" w:line="480" w:lineRule="auto"/>
        <w:rPr>
          <w:rFonts w:ascii="Arial" w:eastAsia="Times New Roman" w:hAnsi="Arial" w:cs="Arial"/>
          <w:kern w:val="0"/>
          <w14:ligatures w14:val="none"/>
        </w:rPr>
      </w:pPr>
    </w:p>
    <w:p w14:paraId="0BE84FFA" w14:textId="77777777" w:rsidR="00B4122F" w:rsidRPr="00BC2468" w:rsidRDefault="00B4122F" w:rsidP="00157516">
      <w:pPr>
        <w:spacing w:after="0" w:line="480" w:lineRule="auto"/>
        <w:rPr>
          <w:rFonts w:ascii="Arial" w:eastAsia="Times New Roman" w:hAnsi="Arial" w:cs="Arial"/>
          <w:kern w:val="0"/>
          <w14:ligatures w14:val="none"/>
        </w:rPr>
      </w:pPr>
    </w:p>
    <w:p w14:paraId="3C5791FF" w14:textId="77777777" w:rsidR="00B4122F" w:rsidRPr="00BC2468" w:rsidRDefault="00B4122F" w:rsidP="00157516">
      <w:pPr>
        <w:spacing w:after="0" w:line="480" w:lineRule="auto"/>
        <w:rPr>
          <w:rFonts w:ascii="Arial" w:eastAsia="Times New Roman" w:hAnsi="Arial" w:cs="Arial"/>
          <w:kern w:val="0"/>
          <w14:ligatures w14:val="none"/>
        </w:rPr>
      </w:pPr>
    </w:p>
    <w:p w14:paraId="459AB159" w14:textId="77777777" w:rsidR="00B4122F" w:rsidRPr="00BC2468" w:rsidRDefault="00B4122F" w:rsidP="00157516">
      <w:pPr>
        <w:spacing w:after="0" w:line="480" w:lineRule="auto"/>
        <w:rPr>
          <w:rFonts w:ascii="Arial" w:eastAsia="Times New Roman" w:hAnsi="Arial" w:cs="Arial"/>
          <w:kern w:val="0"/>
          <w14:ligatures w14:val="none"/>
        </w:rPr>
      </w:pPr>
    </w:p>
    <w:p w14:paraId="5637E404" w14:textId="1DDFAFC2" w:rsidR="00A940C7" w:rsidRPr="00BC2468" w:rsidRDefault="00A940C7" w:rsidP="00157516">
      <w:pPr>
        <w:spacing w:after="0" w:line="480" w:lineRule="auto"/>
        <w:outlineLvl w:val="1"/>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Appendix </w:t>
      </w:r>
      <w:r w:rsidR="00157516" w:rsidRPr="00BC2468">
        <w:rPr>
          <w:rFonts w:ascii="Arial" w:eastAsia="Times New Roman" w:hAnsi="Arial" w:cs="Arial"/>
          <w:b/>
          <w:bCs/>
          <w:kern w:val="0"/>
          <w14:ligatures w14:val="none"/>
        </w:rPr>
        <w:t>C</w:t>
      </w:r>
      <w:r w:rsidRPr="00BC2468">
        <w:rPr>
          <w:rFonts w:ascii="Arial" w:eastAsia="Times New Roman" w:hAnsi="Arial" w:cs="Arial"/>
          <w:b/>
          <w:bCs/>
          <w:kern w:val="0"/>
          <w14:ligatures w14:val="none"/>
        </w:rPr>
        <w:t xml:space="preserve"> – Historical Financial Performance and Leverage Indicators</w:t>
      </w:r>
    </w:p>
    <w:tbl>
      <w:tblPr>
        <w:tblStyle w:val="TableGridLight"/>
        <w:tblW w:w="0" w:type="auto"/>
        <w:tblLook w:val="04A0" w:firstRow="1" w:lastRow="0" w:firstColumn="1" w:lastColumn="0" w:noHBand="0" w:noVBand="1"/>
      </w:tblPr>
      <w:tblGrid>
        <w:gridCol w:w="3751"/>
        <w:gridCol w:w="937"/>
        <w:gridCol w:w="937"/>
        <w:gridCol w:w="937"/>
        <w:gridCol w:w="937"/>
        <w:gridCol w:w="937"/>
      </w:tblGrid>
      <w:tr w:rsidR="00A940C7" w:rsidRPr="00BC2468" w14:paraId="766D4D46" w14:textId="77777777" w:rsidTr="00FC0ACC">
        <w:tc>
          <w:tcPr>
            <w:tcW w:w="0" w:type="auto"/>
            <w:hideMark/>
          </w:tcPr>
          <w:p w14:paraId="39334678"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Indicator</w:t>
            </w:r>
          </w:p>
        </w:tc>
        <w:tc>
          <w:tcPr>
            <w:tcW w:w="0" w:type="auto"/>
            <w:hideMark/>
          </w:tcPr>
          <w:p w14:paraId="7F233B56"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Year 1</w:t>
            </w:r>
          </w:p>
        </w:tc>
        <w:tc>
          <w:tcPr>
            <w:tcW w:w="0" w:type="auto"/>
            <w:hideMark/>
          </w:tcPr>
          <w:p w14:paraId="05A858F8"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Year 2</w:t>
            </w:r>
          </w:p>
        </w:tc>
        <w:tc>
          <w:tcPr>
            <w:tcW w:w="0" w:type="auto"/>
            <w:hideMark/>
          </w:tcPr>
          <w:p w14:paraId="2669C5FC"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Year 3</w:t>
            </w:r>
          </w:p>
        </w:tc>
        <w:tc>
          <w:tcPr>
            <w:tcW w:w="0" w:type="auto"/>
            <w:hideMark/>
          </w:tcPr>
          <w:p w14:paraId="42DD2E9C"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Year 4</w:t>
            </w:r>
          </w:p>
        </w:tc>
        <w:tc>
          <w:tcPr>
            <w:tcW w:w="0" w:type="auto"/>
            <w:hideMark/>
          </w:tcPr>
          <w:p w14:paraId="3A51FD40"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Year 5</w:t>
            </w:r>
          </w:p>
        </w:tc>
      </w:tr>
      <w:tr w:rsidR="00A940C7" w:rsidRPr="00BC2468" w14:paraId="2F236B5A" w14:textId="77777777" w:rsidTr="00FC0ACC">
        <w:tc>
          <w:tcPr>
            <w:tcW w:w="0" w:type="auto"/>
            <w:hideMark/>
          </w:tcPr>
          <w:p w14:paraId="5A3A6C2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Revenue (£m)</w:t>
            </w:r>
          </w:p>
        </w:tc>
        <w:tc>
          <w:tcPr>
            <w:tcW w:w="0" w:type="auto"/>
            <w:hideMark/>
          </w:tcPr>
          <w:p w14:paraId="0E5388B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3,800</w:t>
            </w:r>
          </w:p>
        </w:tc>
        <w:tc>
          <w:tcPr>
            <w:tcW w:w="0" w:type="auto"/>
            <w:hideMark/>
          </w:tcPr>
          <w:p w14:paraId="35B0433F"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3,950</w:t>
            </w:r>
          </w:p>
        </w:tc>
        <w:tc>
          <w:tcPr>
            <w:tcW w:w="0" w:type="auto"/>
            <w:hideMark/>
          </w:tcPr>
          <w:p w14:paraId="4610AA4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4,050</w:t>
            </w:r>
          </w:p>
        </w:tc>
        <w:tc>
          <w:tcPr>
            <w:tcW w:w="0" w:type="auto"/>
            <w:hideMark/>
          </w:tcPr>
          <w:p w14:paraId="0860DF8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4,120</w:t>
            </w:r>
          </w:p>
        </w:tc>
        <w:tc>
          <w:tcPr>
            <w:tcW w:w="0" w:type="auto"/>
            <w:hideMark/>
          </w:tcPr>
          <w:p w14:paraId="076B017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4,200</w:t>
            </w:r>
          </w:p>
        </w:tc>
      </w:tr>
      <w:tr w:rsidR="00A940C7" w:rsidRPr="00BC2468" w14:paraId="5446D0D3" w14:textId="77777777" w:rsidTr="00FC0ACC">
        <w:tc>
          <w:tcPr>
            <w:tcW w:w="0" w:type="auto"/>
            <w:hideMark/>
          </w:tcPr>
          <w:p w14:paraId="7CDA159D"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Operating Profit (£m)</w:t>
            </w:r>
          </w:p>
        </w:tc>
        <w:tc>
          <w:tcPr>
            <w:tcW w:w="0" w:type="auto"/>
            <w:hideMark/>
          </w:tcPr>
          <w:p w14:paraId="557C1189"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420</w:t>
            </w:r>
          </w:p>
        </w:tc>
        <w:tc>
          <w:tcPr>
            <w:tcW w:w="0" w:type="auto"/>
            <w:hideMark/>
          </w:tcPr>
          <w:p w14:paraId="13B9850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385</w:t>
            </w:r>
          </w:p>
        </w:tc>
        <w:tc>
          <w:tcPr>
            <w:tcW w:w="0" w:type="auto"/>
            <w:hideMark/>
          </w:tcPr>
          <w:p w14:paraId="4F30D8E6"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340</w:t>
            </w:r>
          </w:p>
        </w:tc>
        <w:tc>
          <w:tcPr>
            <w:tcW w:w="0" w:type="auto"/>
            <w:hideMark/>
          </w:tcPr>
          <w:p w14:paraId="1FFDBF5B"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310</w:t>
            </w:r>
          </w:p>
        </w:tc>
        <w:tc>
          <w:tcPr>
            <w:tcW w:w="0" w:type="auto"/>
            <w:hideMark/>
          </w:tcPr>
          <w:p w14:paraId="64A2CAB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280</w:t>
            </w:r>
          </w:p>
        </w:tc>
      </w:tr>
      <w:tr w:rsidR="00A940C7" w:rsidRPr="00BC2468" w14:paraId="55EE052D" w14:textId="77777777" w:rsidTr="00FC0ACC">
        <w:tc>
          <w:tcPr>
            <w:tcW w:w="0" w:type="auto"/>
            <w:hideMark/>
          </w:tcPr>
          <w:p w14:paraId="3BC6176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Net Income (£m)</w:t>
            </w:r>
          </w:p>
        </w:tc>
        <w:tc>
          <w:tcPr>
            <w:tcW w:w="0" w:type="auto"/>
            <w:hideMark/>
          </w:tcPr>
          <w:p w14:paraId="397CA1B6"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380</w:t>
            </w:r>
          </w:p>
        </w:tc>
        <w:tc>
          <w:tcPr>
            <w:tcW w:w="0" w:type="auto"/>
            <w:hideMark/>
          </w:tcPr>
          <w:p w14:paraId="7D548E0B"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340</w:t>
            </w:r>
          </w:p>
        </w:tc>
        <w:tc>
          <w:tcPr>
            <w:tcW w:w="0" w:type="auto"/>
            <w:hideMark/>
          </w:tcPr>
          <w:p w14:paraId="2FDA2E6A"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295</w:t>
            </w:r>
          </w:p>
        </w:tc>
        <w:tc>
          <w:tcPr>
            <w:tcW w:w="0" w:type="auto"/>
            <w:hideMark/>
          </w:tcPr>
          <w:p w14:paraId="60335A1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250</w:t>
            </w:r>
          </w:p>
        </w:tc>
        <w:tc>
          <w:tcPr>
            <w:tcW w:w="0" w:type="auto"/>
            <w:hideMark/>
          </w:tcPr>
          <w:p w14:paraId="2D133BE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210</w:t>
            </w:r>
          </w:p>
        </w:tc>
      </w:tr>
      <w:tr w:rsidR="00A940C7" w:rsidRPr="00BC2468" w14:paraId="4E863819" w14:textId="77777777" w:rsidTr="00FC0ACC">
        <w:tc>
          <w:tcPr>
            <w:tcW w:w="0" w:type="auto"/>
            <w:hideMark/>
          </w:tcPr>
          <w:p w14:paraId="27497DA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Capital Employed (£m)</w:t>
            </w:r>
          </w:p>
        </w:tc>
        <w:tc>
          <w:tcPr>
            <w:tcW w:w="0" w:type="auto"/>
            <w:hideMark/>
          </w:tcPr>
          <w:p w14:paraId="4965E4CE"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1,900</w:t>
            </w:r>
          </w:p>
        </w:tc>
        <w:tc>
          <w:tcPr>
            <w:tcW w:w="0" w:type="auto"/>
            <w:hideMark/>
          </w:tcPr>
          <w:p w14:paraId="65077FB6"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1,950</w:t>
            </w:r>
          </w:p>
        </w:tc>
        <w:tc>
          <w:tcPr>
            <w:tcW w:w="0" w:type="auto"/>
            <w:hideMark/>
          </w:tcPr>
          <w:p w14:paraId="6BBB50E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1,980</w:t>
            </w:r>
          </w:p>
        </w:tc>
        <w:tc>
          <w:tcPr>
            <w:tcW w:w="0" w:type="auto"/>
            <w:hideMark/>
          </w:tcPr>
          <w:p w14:paraId="0C1B2AA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1,990</w:t>
            </w:r>
          </w:p>
        </w:tc>
        <w:tc>
          <w:tcPr>
            <w:tcW w:w="0" w:type="auto"/>
            <w:hideMark/>
          </w:tcPr>
          <w:p w14:paraId="093EEFE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2,000</w:t>
            </w:r>
          </w:p>
        </w:tc>
      </w:tr>
      <w:tr w:rsidR="00A940C7" w:rsidRPr="00BC2468" w14:paraId="30134BAC" w14:textId="77777777" w:rsidTr="00FC0ACC">
        <w:tc>
          <w:tcPr>
            <w:tcW w:w="0" w:type="auto"/>
            <w:hideMark/>
          </w:tcPr>
          <w:p w14:paraId="0E23065B"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ROCE (%)</w:t>
            </w:r>
          </w:p>
        </w:tc>
        <w:tc>
          <w:tcPr>
            <w:tcW w:w="0" w:type="auto"/>
            <w:hideMark/>
          </w:tcPr>
          <w:p w14:paraId="70B77A6B"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22.1</w:t>
            </w:r>
          </w:p>
        </w:tc>
        <w:tc>
          <w:tcPr>
            <w:tcW w:w="0" w:type="auto"/>
            <w:hideMark/>
          </w:tcPr>
          <w:p w14:paraId="49E03EE6"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19.7</w:t>
            </w:r>
          </w:p>
        </w:tc>
        <w:tc>
          <w:tcPr>
            <w:tcW w:w="0" w:type="auto"/>
            <w:hideMark/>
          </w:tcPr>
          <w:p w14:paraId="3AD9EA4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17.2</w:t>
            </w:r>
          </w:p>
        </w:tc>
        <w:tc>
          <w:tcPr>
            <w:tcW w:w="0" w:type="auto"/>
            <w:hideMark/>
          </w:tcPr>
          <w:p w14:paraId="54FD6EC6"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15.6</w:t>
            </w:r>
          </w:p>
        </w:tc>
        <w:tc>
          <w:tcPr>
            <w:tcW w:w="0" w:type="auto"/>
            <w:hideMark/>
          </w:tcPr>
          <w:p w14:paraId="198F78A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14.0</w:t>
            </w:r>
          </w:p>
        </w:tc>
      </w:tr>
      <w:tr w:rsidR="00A940C7" w:rsidRPr="00BC2468" w14:paraId="5EC3A254" w14:textId="77777777" w:rsidTr="00FC0ACC">
        <w:tc>
          <w:tcPr>
            <w:tcW w:w="0" w:type="auto"/>
            <w:hideMark/>
          </w:tcPr>
          <w:p w14:paraId="6F4ACC2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Total Debt (£m)</w:t>
            </w:r>
          </w:p>
        </w:tc>
        <w:tc>
          <w:tcPr>
            <w:tcW w:w="0" w:type="auto"/>
            <w:hideMark/>
          </w:tcPr>
          <w:p w14:paraId="238665EF"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1,000</w:t>
            </w:r>
          </w:p>
        </w:tc>
        <w:tc>
          <w:tcPr>
            <w:tcW w:w="0" w:type="auto"/>
            <w:hideMark/>
          </w:tcPr>
          <w:p w14:paraId="7601482E"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1,150</w:t>
            </w:r>
          </w:p>
        </w:tc>
        <w:tc>
          <w:tcPr>
            <w:tcW w:w="0" w:type="auto"/>
            <w:hideMark/>
          </w:tcPr>
          <w:p w14:paraId="2A3AFC0E"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1,300</w:t>
            </w:r>
          </w:p>
        </w:tc>
        <w:tc>
          <w:tcPr>
            <w:tcW w:w="0" w:type="auto"/>
            <w:hideMark/>
          </w:tcPr>
          <w:p w14:paraId="33E47BEE"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1,400</w:t>
            </w:r>
          </w:p>
        </w:tc>
        <w:tc>
          <w:tcPr>
            <w:tcW w:w="0" w:type="auto"/>
            <w:hideMark/>
          </w:tcPr>
          <w:p w14:paraId="5F7320F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1,450</w:t>
            </w:r>
          </w:p>
        </w:tc>
      </w:tr>
      <w:tr w:rsidR="00A940C7" w:rsidRPr="00BC2468" w14:paraId="07427388" w14:textId="77777777" w:rsidTr="00FC0ACC">
        <w:tc>
          <w:tcPr>
            <w:tcW w:w="0" w:type="auto"/>
            <w:hideMark/>
          </w:tcPr>
          <w:p w14:paraId="1237561F"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Equity (£m)</w:t>
            </w:r>
          </w:p>
        </w:tc>
        <w:tc>
          <w:tcPr>
            <w:tcW w:w="0" w:type="auto"/>
            <w:hideMark/>
          </w:tcPr>
          <w:p w14:paraId="6FEFA26C"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1,900</w:t>
            </w:r>
          </w:p>
        </w:tc>
        <w:tc>
          <w:tcPr>
            <w:tcW w:w="0" w:type="auto"/>
            <w:hideMark/>
          </w:tcPr>
          <w:p w14:paraId="57370E2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1,850</w:t>
            </w:r>
          </w:p>
        </w:tc>
        <w:tc>
          <w:tcPr>
            <w:tcW w:w="0" w:type="auto"/>
            <w:hideMark/>
          </w:tcPr>
          <w:p w14:paraId="7626F75C"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1,800</w:t>
            </w:r>
          </w:p>
        </w:tc>
        <w:tc>
          <w:tcPr>
            <w:tcW w:w="0" w:type="auto"/>
            <w:hideMark/>
          </w:tcPr>
          <w:p w14:paraId="4FEC74AA"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1,700</w:t>
            </w:r>
          </w:p>
        </w:tc>
        <w:tc>
          <w:tcPr>
            <w:tcW w:w="0" w:type="auto"/>
            <w:hideMark/>
          </w:tcPr>
          <w:p w14:paraId="3D447B7E"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1,650</w:t>
            </w:r>
          </w:p>
        </w:tc>
      </w:tr>
      <w:tr w:rsidR="00A940C7" w:rsidRPr="00BC2468" w14:paraId="4C5F1156" w14:textId="77777777" w:rsidTr="00FC0ACC">
        <w:tc>
          <w:tcPr>
            <w:tcW w:w="0" w:type="auto"/>
            <w:hideMark/>
          </w:tcPr>
          <w:p w14:paraId="1B56EB5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Debt-to-Equity Ratio</w:t>
            </w:r>
          </w:p>
        </w:tc>
        <w:tc>
          <w:tcPr>
            <w:tcW w:w="0" w:type="auto"/>
            <w:hideMark/>
          </w:tcPr>
          <w:p w14:paraId="708E642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0.53</w:t>
            </w:r>
          </w:p>
        </w:tc>
        <w:tc>
          <w:tcPr>
            <w:tcW w:w="0" w:type="auto"/>
            <w:hideMark/>
          </w:tcPr>
          <w:p w14:paraId="21A440CC"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0.62</w:t>
            </w:r>
          </w:p>
        </w:tc>
        <w:tc>
          <w:tcPr>
            <w:tcW w:w="0" w:type="auto"/>
            <w:hideMark/>
          </w:tcPr>
          <w:p w14:paraId="3556A0DC"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0.72</w:t>
            </w:r>
          </w:p>
        </w:tc>
        <w:tc>
          <w:tcPr>
            <w:tcW w:w="0" w:type="auto"/>
            <w:hideMark/>
          </w:tcPr>
          <w:p w14:paraId="5765EE1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0.82</w:t>
            </w:r>
          </w:p>
        </w:tc>
        <w:tc>
          <w:tcPr>
            <w:tcW w:w="0" w:type="auto"/>
            <w:hideMark/>
          </w:tcPr>
          <w:p w14:paraId="7C6BBDD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0.88</w:t>
            </w:r>
          </w:p>
        </w:tc>
      </w:tr>
      <w:tr w:rsidR="00A940C7" w:rsidRPr="00BC2468" w14:paraId="33449435" w14:textId="77777777" w:rsidTr="00FC0ACC">
        <w:tc>
          <w:tcPr>
            <w:tcW w:w="0" w:type="auto"/>
            <w:hideMark/>
          </w:tcPr>
          <w:p w14:paraId="7628F27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Interest Expense (£m)</w:t>
            </w:r>
          </w:p>
        </w:tc>
        <w:tc>
          <w:tcPr>
            <w:tcW w:w="0" w:type="auto"/>
            <w:hideMark/>
          </w:tcPr>
          <w:p w14:paraId="1BEAEAD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55</w:t>
            </w:r>
          </w:p>
        </w:tc>
        <w:tc>
          <w:tcPr>
            <w:tcW w:w="0" w:type="auto"/>
            <w:hideMark/>
          </w:tcPr>
          <w:p w14:paraId="1E3F2C4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70</w:t>
            </w:r>
          </w:p>
        </w:tc>
        <w:tc>
          <w:tcPr>
            <w:tcW w:w="0" w:type="auto"/>
            <w:hideMark/>
          </w:tcPr>
          <w:p w14:paraId="78920C7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80</w:t>
            </w:r>
          </w:p>
        </w:tc>
        <w:tc>
          <w:tcPr>
            <w:tcW w:w="0" w:type="auto"/>
            <w:hideMark/>
          </w:tcPr>
          <w:p w14:paraId="15F4E9F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90</w:t>
            </w:r>
          </w:p>
        </w:tc>
        <w:tc>
          <w:tcPr>
            <w:tcW w:w="0" w:type="auto"/>
            <w:hideMark/>
          </w:tcPr>
          <w:p w14:paraId="6FBFFC7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95</w:t>
            </w:r>
          </w:p>
        </w:tc>
      </w:tr>
      <w:tr w:rsidR="00A940C7" w:rsidRPr="00BC2468" w14:paraId="5D7B4821" w14:textId="77777777" w:rsidTr="00FC0ACC">
        <w:tc>
          <w:tcPr>
            <w:tcW w:w="0" w:type="auto"/>
            <w:hideMark/>
          </w:tcPr>
          <w:p w14:paraId="68F6733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Interest Coverage (EBIT/Interest)</w:t>
            </w:r>
          </w:p>
        </w:tc>
        <w:tc>
          <w:tcPr>
            <w:tcW w:w="0" w:type="auto"/>
            <w:hideMark/>
          </w:tcPr>
          <w:p w14:paraId="51AF0D8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7.6</w:t>
            </w:r>
          </w:p>
        </w:tc>
        <w:tc>
          <w:tcPr>
            <w:tcW w:w="0" w:type="auto"/>
            <w:hideMark/>
          </w:tcPr>
          <w:p w14:paraId="43A5BF6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5.5</w:t>
            </w:r>
          </w:p>
        </w:tc>
        <w:tc>
          <w:tcPr>
            <w:tcW w:w="0" w:type="auto"/>
            <w:hideMark/>
          </w:tcPr>
          <w:p w14:paraId="48AC3BA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4.3</w:t>
            </w:r>
          </w:p>
        </w:tc>
        <w:tc>
          <w:tcPr>
            <w:tcW w:w="0" w:type="auto"/>
            <w:hideMark/>
          </w:tcPr>
          <w:p w14:paraId="1278D40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3.4</w:t>
            </w:r>
          </w:p>
        </w:tc>
        <w:tc>
          <w:tcPr>
            <w:tcW w:w="0" w:type="auto"/>
            <w:hideMark/>
          </w:tcPr>
          <w:p w14:paraId="406AD50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2.95</w:t>
            </w:r>
          </w:p>
        </w:tc>
      </w:tr>
    </w:tbl>
    <w:p w14:paraId="1B3A6D66" w14:textId="5705A7D1" w:rsidR="00A940C7" w:rsidRPr="00BC2468" w:rsidRDefault="00A940C7" w:rsidP="00157516">
      <w:pPr>
        <w:spacing w:after="0" w:line="480" w:lineRule="auto"/>
        <w:rPr>
          <w:rFonts w:ascii="Arial" w:eastAsia="Times New Roman" w:hAnsi="Arial" w:cs="Arial"/>
          <w:kern w:val="0"/>
          <w14:ligatures w14:val="none"/>
        </w:rPr>
      </w:pPr>
    </w:p>
    <w:p w14:paraId="665E001F" w14:textId="77777777" w:rsidR="00FC0ACC" w:rsidRPr="00BC2468" w:rsidRDefault="00FC0ACC" w:rsidP="00157516">
      <w:pPr>
        <w:spacing w:after="0" w:line="480" w:lineRule="auto"/>
        <w:rPr>
          <w:rFonts w:ascii="Arial" w:eastAsia="Times New Roman" w:hAnsi="Arial" w:cs="Arial"/>
          <w:kern w:val="0"/>
          <w14:ligatures w14:val="none"/>
        </w:rPr>
      </w:pPr>
    </w:p>
    <w:p w14:paraId="51F978C0" w14:textId="77777777" w:rsidR="00FC0ACC" w:rsidRPr="00BC2468" w:rsidRDefault="00FC0ACC" w:rsidP="00157516">
      <w:pPr>
        <w:spacing w:after="0" w:line="480" w:lineRule="auto"/>
        <w:rPr>
          <w:rFonts w:ascii="Arial" w:eastAsia="Times New Roman" w:hAnsi="Arial" w:cs="Arial"/>
          <w:kern w:val="0"/>
          <w14:ligatures w14:val="none"/>
        </w:rPr>
      </w:pPr>
    </w:p>
    <w:p w14:paraId="3AE5DB6C" w14:textId="77777777" w:rsidR="00FC0ACC" w:rsidRPr="00BC2468" w:rsidRDefault="00FC0ACC" w:rsidP="00157516">
      <w:pPr>
        <w:spacing w:after="0" w:line="480" w:lineRule="auto"/>
        <w:rPr>
          <w:rFonts w:ascii="Arial" w:eastAsia="Times New Roman" w:hAnsi="Arial" w:cs="Arial"/>
          <w:kern w:val="0"/>
          <w14:ligatures w14:val="none"/>
        </w:rPr>
      </w:pPr>
    </w:p>
    <w:p w14:paraId="19CF25F0" w14:textId="77777777" w:rsidR="00FC0ACC" w:rsidRPr="00BC2468" w:rsidRDefault="00FC0ACC" w:rsidP="00157516">
      <w:pPr>
        <w:spacing w:after="0" w:line="480" w:lineRule="auto"/>
        <w:rPr>
          <w:rFonts w:ascii="Arial" w:eastAsia="Times New Roman" w:hAnsi="Arial" w:cs="Arial"/>
          <w:kern w:val="0"/>
          <w14:ligatures w14:val="none"/>
        </w:rPr>
      </w:pPr>
    </w:p>
    <w:p w14:paraId="0682E6B4" w14:textId="77777777" w:rsidR="00FC0ACC" w:rsidRPr="00BC2468" w:rsidRDefault="00FC0ACC" w:rsidP="00157516">
      <w:pPr>
        <w:spacing w:after="0" w:line="480" w:lineRule="auto"/>
        <w:rPr>
          <w:rFonts w:ascii="Arial" w:eastAsia="Times New Roman" w:hAnsi="Arial" w:cs="Arial"/>
          <w:kern w:val="0"/>
          <w14:ligatures w14:val="none"/>
        </w:rPr>
      </w:pPr>
    </w:p>
    <w:p w14:paraId="36D0E707" w14:textId="77777777" w:rsidR="00FC0ACC" w:rsidRPr="00BC2468" w:rsidRDefault="00FC0ACC" w:rsidP="00157516">
      <w:pPr>
        <w:spacing w:after="0" w:line="480" w:lineRule="auto"/>
        <w:rPr>
          <w:rFonts w:ascii="Arial" w:eastAsia="Times New Roman" w:hAnsi="Arial" w:cs="Arial"/>
          <w:kern w:val="0"/>
          <w14:ligatures w14:val="none"/>
        </w:rPr>
      </w:pPr>
    </w:p>
    <w:p w14:paraId="1C5DF3F7" w14:textId="77777777" w:rsidR="00FC0ACC" w:rsidRPr="00BC2468" w:rsidRDefault="00FC0ACC" w:rsidP="00157516">
      <w:pPr>
        <w:spacing w:after="0" w:line="480" w:lineRule="auto"/>
        <w:rPr>
          <w:rFonts w:ascii="Arial" w:eastAsia="Times New Roman" w:hAnsi="Arial" w:cs="Arial"/>
          <w:kern w:val="0"/>
          <w14:ligatures w14:val="none"/>
        </w:rPr>
      </w:pPr>
    </w:p>
    <w:p w14:paraId="50951997" w14:textId="77777777" w:rsidR="00FC0ACC" w:rsidRPr="00BC2468" w:rsidRDefault="00FC0ACC" w:rsidP="00157516">
      <w:pPr>
        <w:spacing w:after="0" w:line="480" w:lineRule="auto"/>
        <w:rPr>
          <w:rFonts w:ascii="Arial" w:eastAsia="Times New Roman" w:hAnsi="Arial" w:cs="Arial"/>
          <w:kern w:val="0"/>
          <w14:ligatures w14:val="none"/>
        </w:rPr>
      </w:pPr>
    </w:p>
    <w:p w14:paraId="3E8944D9" w14:textId="77777777" w:rsidR="00FC0ACC" w:rsidRPr="00BC2468" w:rsidRDefault="00FC0ACC" w:rsidP="00157516">
      <w:pPr>
        <w:spacing w:after="0" w:line="480" w:lineRule="auto"/>
        <w:rPr>
          <w:rFonts w:ascii="Arial" w:eastAsia="Times New Roman" w:hAnsi="Arial" w:cs="Arial"/>
          <w:kern w:val="0"/>
          <w14:ligatures w14:val="none"/>
        </w:rPr>
      </w:pPr>
    </w:p>
    <w:p w14:paraId="63C3F6D4" w14:textId="77777777" w:rsidR="00FC0ACC" w:rsidRPr="00BC2468" w:rsidRDefault="00FC0ACC" w:rsidP="00157516">
      <w:pPr>
        <w:spacing w:after="0" w:line="480" w:lineRule="auto"/>
        <w:rPr>
          <w:rFonts w:ascii="Arial" w:eastAsia="Times New Roman" w:hAnsi="Arial" w:cs="Arial"/>
          <w:kern w:val="0"/>
          <w14:ligatures w14:val="none"/>
        </w:rPr>
      </w:pPr>
    </w:p>
    <w:p w14:paraId="2A05990B" w14:textId="77777777" w:rsidR="00FC0ACC" w:rsidRPr="00BC2468" w:rsidRDefault="00FC0ACC" w:rsidP="00157516">
      <w:pPr>
        <w:spacing w:after="0" w:line="480" w:lineRule="auto"/>
        <w:rPr>
          <w:rFonts w:ascii="Arial" w:eastAsia="Times New Roman" w:hAnsi="Arial" w:cs="Arial"/>
          <w:kern w:val="0"/>
          <w14:ligatures w14:val="none"/>
        </w:rPr>
      </w:pPr>
    </w:p>
    <w:p w14:paraId="5D8868B5" w14:textId="77777777" w:rsidR="00FC0ACC" w:rsidRPr="00BC2468" w:rsidRDefault="00FC0ACC" w:rsidP="00157516">
      <w:pPr>
        <w:spacing w:after="0" w:line="480" w:lineRule="auto"/>
        <w:rPr>
          <w:rFonts w:ascii="Arial" w:eastAsia="Times New Roman" w:hAnsi="Arial" w:cs="Arial"/>
          <w:kern w:val="0"/>
          <w14:ligatures w14:val="none"/>
        </w:rPr>
      </w:pPr>
    </w:p>
    <w:p w14:paraId="2B839FCC" w14:textId="5A774BE2" w:rsidR="00A940C7" w:rsidRPr="00BC2468" w:rsidRDefault="00A940C7" w:rsidP="00157516">
      <w:pPr>
        <w:spacing w:after="0" w:line="480" w:lineRule="auto"/>
        <w:outlineLvl w:val="1"/>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Appendix </w:t>
      </w:r>
      <w:r w:rsidR="00157516" w:rsidRPr="00BC2468">
        <w:rPr>
          <w:rFonts w:ascii="Arial" w:eastAsia="Times New Roman" w:hAnsi="Arial" w:cs="Arial"/>
          <w:b/>
          <w:bCs/>
          <w:kern w:val="0"/>
          <w14:ligatures w14:val="none"/>
        </w:rPr>
        <w:t>D</w:t>
      </w:r>
      <w:r w:rsidRPr="00BC2468">
        <w:rPr>
          <w:rFonts w:ascii="Arial" w:eastAsia="Times New Roman" w:hAnsi="Arial" w:cs="Arial"/>
          <w:b/>
          <w:bCs/>
          <w:kern w:val="0"/>
          <w14:ligatures w14:val="none"/>
        </w:rPr>
        <w:t xml:space="preserve"> – Operational Efficiency and Cost Structure (Pre- vs Post-Restructuring)</w:t>
      </w:r>
    </w:p>
    <w:tbl>
      <w:tblPr>
        <w:tblStyle w:val="TableGridLight"/>
        <w:tblW w:w="0" w:type="auto"/>
        <w:tblLook w:val="04A0" w:firstRow="1" w:lastRow="0" w:firstColumn="1" w:lastColumn="0" w:noHBand="0" w:noVBand="1"/>
      </w:tblPr>
      <w:tblGrid>
        <w:gridCol w:w="1873"/>
        <w:gridCol w:w="1905"/>
        <w:gridCol w:w="1505"/>
        <w:gridCol w:w="1919"/>
        <w:gridCol w:w="1814"/>
      </w:tblGrid>
      <w:tr w:rsidR="00A940C7" w:rsidRPr="00BC2468" w14:paraId="49869818" w14:textId="77777777" w:rsidTr="00FC0ACC">
        <w:tc>
          <w:tcPr>
            <w:tcW w:w="0" w:type="auto"/>
            <w:hideMark/>
          </w:tcPr>
          <w:p w14:paraId="7396225C"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Cost Component</w:t>
            </w:r>
          </w:p>
        </w:tc>
        <w:tc>
          <w:tcPr>
            <w:tcW w:w="0" w:type="auto"/>
            <w:hideMark/>
          </w:tcPr>
          <w:p w14:paraId="61B107AD"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Pre-Restructuring (£m)</w:t>
            </w:r>
          </w:p>
        </w:tc>
        <w:tc>
          <w:tcPr>
            <w:tcW w:w="0" w:type="auto"/>
            <w:hideMark/>
          </w:tcPr>
          <w:p w14:paraId="5F80532F"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Cost Reduction (%)</w:t>
            </w:r>
          </w:p>
        </w:tc>
        <w:tc>
          <w:tcPr>
            <w:tcW w:w="0" w:type="auto"/>
            <w:hideMark/>
          </w:tcPr>
          <w:p w14:paraId="59041C06"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Post-Restructuring (£m)</w:t>
            </w:r>
          </w:p>
        </w:tc>
        <w:tc>
          <w:tcPr>
            <w:tcW w:w="0" w:type="auto"/>
            <w:hideMark/>
          </w:tcPr>
          <w:p w14:paraId="0DB3E5E1"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Source of Savings</w:t>
            </w:r>
          </w:p>
        </w:tc>
      </w:tr>
      <w:tr w:rsidR="00A940C7" w:rsidRPr="00BC2468" w14:paraId="4402B11F" w14:textId="77777777" w:rsidTr="00FC0ACC">
        <w:tc>
          <w:tcPr>
            <w:tcW w:w="0" w:type="auto"/>
            <w:hideMark/>
          </w:tcPr>
          <w:p w14:paraId="4B85A2C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Manufacturing Overheads</w:t>
            </w:r>
          </w:p>
        </w:tc>
        <w:tc>
          <w:tcPr>
            <w:tcW w:w="0" w:type="auto"/>
            <w:hideMark/>
          </w:tcPr>
          <w:p w14:paraId="60C20F1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750</w:t>
            </w:r>
          </w:p>
        </w:tc>
        <w:tc>
          <w:tcPr>
            <w:tcW w:w="0" w:type="auto"/>
            <w:hideMark/>
          </w:tcPr>
          <w:p w14:paraId="0FC9058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8 %</w:t>
            </w:r>
          </w:p>
        </w:tc>
        <w:tc>
          <w:tcPr>
            <w:tcW w:w="0" w:type="auto"/>
            <w:hideMark/>
          </w:tcPr>
          <w:p w14:paraId="2DE5B34F"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690</w:t>
            </w:r>
          </w:p>
        </w:tc>
        <w:tc>
          <w:tcPr>
            <w:tcW w:w="0" w:type="auto"/>
            <w:hideMark/>
          </w:tcPr>
          <w:p w14:paraId="601C981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Lean production, automation</w:t>
            </w:r>
          </w:p>
        </w:tc>
      </w:tr>
      <w:tr w:rsidR="00A940C7" w:rsidRPr="00BC2468" w14:paraId="408067DC" w14:textId="77777777" w:rsidTr="00FC0ACC">
        <w:tc>
          <w:tcPr>
            <w:tcW w:w="0" w:type="auto"/>
            <w:hideMark/>
          </w:tcPr>
          <w:p w14:paraId="3651D026"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Administrative Expenses</w:t>
            </w:r>
          </w:p>
        </w:tc>
        <w:tc>
          <w:tcPr>
            <w:tcW w:w="0" w:type="auto"/>
            <w:hideMark/>
          </w:tcPr>
          <w:p w14:paraId="7BAB0C2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250</w:t>
            </w:r>
          </w:p>
        </w:tc>
        <w:tc>
          <w:tcPr>
            <w:tcW w:w="0" w:type="auto"/>
            <w:hideMark/>
          </w:tcPr>
          <w:p w14:paraId="6BFD556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5 %</w:t>
            </w:r>
          </w:p>
        </w:tc>
        <w:tc>
          <w:tcPr>
            <w:tcW w:w="0" w:type="auto"/>
            <w:hideMark/>
          </w:tcPr>
          <w:p w14:paraId="70C1732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238</w:t>
            </w:r>
          </w:p>
        </w:tc>
        <w:tc>
          <w:tcPr>
            <w:tcW w:w="0" w:type="auto"/>
            <w:hideMark/>
          </w:tcPr>
          <w:p w14:paraId="486AB3CC"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Streamlined management</w:t>
            </w:r>
          </w:p>
        </w:tc>
      </w:tr>
      <w:tr w:rsidR="00A940C7" w:rsidRPr="00BC2468" w14:paraId="0A039B1F" w14:textId="77777777" w:rsidTr="00FC0ACC">
        <w:tc>
          <w:tcPr>
            <w:tcW w:w="0" w:type="auto"/>
            <w:hideMark/>
          </w:tcPr>
          <w:p w14:paraId="191D391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Distribution &amp; Logistics</w:t>
            </w:r>
          </w:p>
        </w:tc>
        <w:tc>
          <w:tcPr>
            <w:tcW w:w="0" w:type="auto"/>
            <w:hideMark/>
          </w:tcPr>
          <w:p w14:paraId="1123FCDA"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180</w:t>
            </w:r>
          </w:p>
        </w:tc>
        <w:tc>
          <w:tcPr>
            <w:tcW w:w="0" w:type="auto"/>
            <w:hideMark/>
          </w:tcPr>
          <w:p w14:paraId="2CA7F45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10 %</w:t>
            </w:r>
          </w:p>
        </w:tc>
        <w:tc>
          <w:tcPr>
            <w:tcW w:w="0" w:type="auto"/>
            <w:hideMark/>
          </w:tcPr>
          <w:p w14:paraId="42556979"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162</w:t>
            </w:r>
          </w:p>
        </w:tc>
        <w:tc>
          <w:tcPr>
            <w:tcW w:w="0" w:type="auto"/>
            <w:hideMark/>
          </w:tcPr>
          <w:p w14:paraId="61BC25D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Route optimisation</w:t>
            </w:r>
          </w:p>
        </w:tc>
      </w:tr>
      <w:tr w:rsidR="00A940C7" w:rsidRPr="00BC2468" w14:paraId="239AF3DC" w14:textId="77777777" w:rsidTr="00FC0ACC">
        <w:tc>
          <w:tcPr>
            <w:tcW w:w="0" w:type="auto"/>
            <w:hideMark/>
          </w:tcPr>
          <w:p w14:paraId="47629FB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Total Operating Costs</w:t>
            </w:r>
          </w:p>
        </w:tc>
        <w:tc>
          <w:tcPr>
            <w:tcW w:w="0" w:type="auto"/>
            <w:hideMark/>
          </w:tcPr>
          <w:p w14:paraId="2D963D2C"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1,180</w:t>
            </w:r>
          </w:p>
        </w:tc>
        <w:tc>
          <w:tcPr>
            <w:tcW w:w="0" w:type="auto"/>
            <w:hideMark/>
          </w:tcPr>
          <w:p w14:paraId="77B586F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w:t>
            </w:r>
          </w:p>
        </w:tc>
        <w:tc>
          <w:tcPr>
            <w:tcW w:w="0" w:type="auto"/>
            <w:hideMark/>
          </w:tcPr>
          <w:p w14:paraId="0A07A499"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1,090</w:t>
            </w:r>
          </w:p>
        </w:tc>
        <w:tc>
          <w:tcPr>
            <w:tcW w:w="0" w:type="auto"/>
            <w:hideMark/>
          </w:tcPr>
          <w:p w14:paraId="6242469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£90 m efficiency improvement</w:t>
            </w:r>
          </w:p>
        </w:tc>
      </w:tr>
    </w:tbl>
    <w:p w14:paraId="21E0361F" w14:textId="123F3D26" w:rsidR="00A940C7" w:rsidRPr="00BC2468" w:rsidRDefault="00A940C7" w:rsidP="00157516">
      <w:pPr>
        <w:spacing w:after="0" w:line="480" w:lineRule="auto"/>
        <w:rPr>
          <w:rFonts w:ascii="Arial" w:eastAsia="Times New Roman" w:hAnsi="Arial" w:cs="Arial"/>
          <w:kern w:val="0"/>
          <w14:ligatures w14:val="none"/>
        </w:rPr>
      </w:pPr>
    </w:p>
    <w:p w14:paraId="328850ED" w14:textId="77777777" w:rsidR="00FC0ACC" w:rsidRPr="00BC2468" w:rsidRDefault="00FC0ACC" w:rsidP="00157516">
      <w:pPr>
        <w:spacing w:after="0" w:line="480" w:lineRule="auto"/>
        <w:rPr>
          <w:rFonts w:ascii="Arial" w:eastAsia="Times New Roman" w:hAnsi="Arial" w:cs="Arial"/>
          <w:kern w:val="0"/>
          <w14:ligatures w14:val="none"/>
        </w:rPr>
      </w:pPr>
    </w:p>
    <w:p w14:paraId="2543746D" w14:textId="77777777" w:rsidR="00FC0ACC" w:rsidRPr="00BC2468" w:rsidRDefault="00FC0ACC" w:rsidP="00157516">
      <w:pPr>
        <w:spacing w:after="0" w:line="480" w:lineRule="auto"/>
        <w:rPr>
          <w:rFonts w:ascii="Arial" w:eastAsia="Times New Roman" w:hAnsi="Arial" w:cs="Arial"/>
          <w:kern w:val="0"/>
          <w14:ligatures w14:val="none"/>
        </w:rPr>
      </w:pPr>
    </w:p>
    <w:p w14:paraId="643D6201" w14:textId="77777777" w:rsidR="00FC0ACC" w:rsidRPr="00BC2468" w:rsidRDefault="00FC0ACC" w:rsidP="00157516">
      <w:pPr>
        <w:spacing w:after="0" w:line="480" w:lineRule="auto"/>
        <w:rPr>
          <w:rFonts w:ascii="Arial" w:eastAsia="Times New Roman" w:hAnsi="Arial" w:cs="Arial"/>
          <w:kern w:val="0"/>
          <w14:ligatures w14:val="none"/>
        </w:rPr>
      </w:pPr>
    </w:p>
    <w:p w14:paraId="035ECBC7" w14:textId="77777777" w:rsidR="00FC0ACC" w:rsidRPr="00BC2468" w:rsidRDefault="00FC0ACC" w:rsidP="00157516">
      <w:pPr>
        <w:spacing w:after="0" w:line="480" w:lineRule="auto"/>
        <w:rPr>
          <w:rFonts w:ascii="Arial" w:eastAsia="Times New Roman" w:hAnsi="Arial" w:cs="Arial"/>
          <w:kern w:val="0"/>
          <w14:ligatures w14:val="none"/>
        </w:rPr>
      </w:pPr>
    </w:p>
    <w:p w14:paraId="602E2529" w14:textId="77777777" w:rsidR="00FC0ACC" w:rsidRPr="00BC2468" w:rsidRDefault="00FC0ACC" w:rsidP="00157516">
      <w:pPr>
        <w:spacing w:after="0" w:line="480" w:lineRule="auto"/>
        <w:rPr>
          <w:rFonts w:ascii="Arial" w:eastAsia="Times New Roman" w:hAnsi="Arial" w:cs="Arial"/>
          <w:kern w:val="0"/>
          <w14:ligatures w14:val="none"/>
        </w:rPr>
      </w:pPr>
    </w:p>
    <w:p w14:paraId="72F634FA" w14:textId="77777777" w:rsidR="00FC0ACC" w:rsidRPr="00BC2468" w:rsidRDefault="00FC0ACC" w:rsidP="00157516">
      <w:pPr>
        <w:spacing w:after="0" w:line="480" w:lineRule="auto"/>
        <w:rPr>
          <w:rFonts w:ascii="Arial" w:eastAsia="Times New Roman" w:hAnsi="Arial" w:cs="Arial"/>
          <w:kern w:val="0"/>
          <w14:ligatures w14:val="none"/>
        </w:rPr>
      </w:pPr>
    </w:p>
    <w:p w14:paraId="49D49423" w14:textId="77777777" w:rsidR="00FC0ACC" w:rsidRPr="00BC2468" w:rsidRDefault="00FC0ACC" w:rsidP="00157516">
      <w:pPr>
        <w:spacing w:after="0" w:line="480" w:lineRule="auto"/>
        <w:rPr>
          <w:rFonts w:ascii="Arial" w:eastAsia="Times New Roman" w:hAnsi="Arial" w:cs="Arial"/>
          <w:kern w:val="0"/>
          <w14:ligatures w14:val="none"/>
        </w:rPr>
      </w:pPr>
    </w:p>
    <w:p w14:paraId="74882FBB" w14:textId="77777777" w:rsidR="00FC0ACC" w:rsidRPr="00BC2468" w:rsidRDefault="00FC0ACC" w:rsidP="00157516">
      <w:pPr>
        <w:spacing w:after="0" w:line="480" w:lineRule="auto"/>
        <w:rPr>
          <w:rFonts w:ascii="Arial" w:eastAsia="Times New Roman" w:hAnsi="Arial" w:cs="Arial"/>
          <w:kern w:val="0"/>
          <w14:ligatures w14:val="none"/>
        </w:rPr>
      </w:pPr>
    </w:p>
    <w:p w14:paraId="318912D6" w14:textId="4BAF5275" w:rsidR="00A940C7" w:rsidRPr="00BC2468" w:rsidRDefault="00A940C7" w:rsidP="00CA7732">
      <w:pPr>
        <w:spacing w:after="0" w:line="480" w:lineRule="auto"/>
        <w:jc w:val="center"/>
        <w:outlineLvl w:val="1"/>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Appendix </w:t>
      </w:r>
      <w:r w:rsidR="00157516" w:rsidRPr="00BC2468">
        <w:rPr>
          <w:rFonts w:ascii="Arial" w:eastAsia="Times New Roman" w:hAnsi="Arial" w:cs="Arial"/>
          <w:b/>
          <w:bCs/>
          <w:kern w:val="0"/>
          <w14:ligatures w14:val="none"/>
        </w:rPr>
        <w:t>E</w:t>
      </w:r>
      <w:r w:rsidRPr="00BC2468">
        <w:rPr>
          <w:rFonts w:ascii="Arial" w:eastAsia="Times New Roman" w:hAnsi="Arial" w:cs="Arial"/>
          <w:b/>
          <w:bCs/>
          <w:kern w:val="0"/>
          <w14:ligatures w14:val="none"/>
        </w:rPr>
        <w:t>– Financial Projections and Shareholder Value Analysis</w:t>
      </w:r>
    </w:p>
    <w:p w14:paraId="72A471D5" w14:textId="0251189A" w:rsidR="00A940C7" w:rsidRPr="00BC2468" w:rsidRDefault="00A940C7" w:rsidP="00157516">
      <w:pPr>
        <w:spacing w:after="0" w:line="480" w:lineRule="auto"/>
        <w:outlineLvl w:val="2"/>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Table </w:t>
      </w:r>
      <w:r w:rsidR="00157516" w:rsidRPr="00BC2468">
        <w:rPr>
          <w:rFonts w:ascii="Arial" w:eastAsia="Times New Roman" w:hAnsi="Arial" w:cs="Arial"/>
          <w:b/>
          <w:bCs/>
          <w:kern w:val="0"/>
          <w14:ligatures w14:val="none"/>
        </w:rPr>
        <w:t>E</w:t>
      </w:r>
      <w:r w:rsidRPr="00BC2468">
        <w:rPr>
          <w:rFonts w:ascii="Arial" w:eastAsia="Times New Roman" w:hAnsi="Arial" w:cs="Arial"/>
          <w:b/>
          <w:bCs/>
          <w:kern w:val="0"/>
          <w:vertAlign w:val="subscript"/>
          <w14:ligatures w14:val="none"/>
        </w:rPr>
        <w:t>1</w:t>
      </w:r>
      <w:r w:rsidRPr="00BC2468">
        <w:rPr>
          <w:rFonts w:ascii="Arial" w:eastAsia="Times New Roman" w:hAnsi="Arial" w:cs="Arial"/>
          <w:b/>
          <w:bCs/>
          <w:kern w:val="0"/>
          <w14:ligatures w14:val="none"/>
        </w:rPr>
        <w:t xml:space="preserve"> – Financial Position After Restructuring</w:t>
      </w:r>
    </w:p>
    <w:tbl>
      <w:tblPr>
        <w:tblStyle w:val="TableGridLight"/>
        <w:tblW w:w="0" w:type="auto"/>
        <w:tblLook w:val="04A0" w:firstRow="1" w:lastRow="0" w:firstColumn="1" w:lastColumn="0" w:noHBand="0" w:noVBand="1"/>
      </w:tblPr>
      <w:tblGrid>
        <w:gridCol w:w="1742"/>
        <w:gridCol w:w="1962"/>
        <w:gridCol w:w="2011"/>
        <w:gridCol w:w="1097"/>
        <w:gridCol w:w="2204"/>
      </w:tblGrid>
      <w:tr w:rsidR="00A940C7" w:rsidRPr="00BC2468" w14:paraId="45C70C13" w14:textId="77777777" w:rsidTr="00FC0ACC">
        <w:tc>
          <w:tcPr>
            <w:tcW w:w="0" w:type="auto"/>
            <w:hideMark/>
          </w:tcPr>
          <w:p w14:paraId="29AFED45"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Financial Metric</w:t>
            </w:r>
          </w:p>
        </w:tc>
        <w:tc>
          <w:tcPr>
            <w:tcW w:w="0" w:type="auto"/>
            <w:hideMark/>
          </w:tcPr>
          <w:p w14:paraId="5D2E3154"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Pre-Restructuring</w:t>
            </w:r>
          </w:p>
        </w:tc>
        <w:tc>
          <w:tcPr>
            <w:tcW w:w="0" w:type="auto"/>
            <w:hideMark/>
          </w:tcPr>
          <w:p w14:paraId="5027455F"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Post-Restructuring</w:t>
            </w:r>
          </w:p>
        </w:tc>
        <w:tc>
          <w:tcPr>
            <w:tcW w:w="0" w:type="auto"/>
            <w:hideMark/>
          </w:tcPr>
          <w:p w14:paraId="0D9D2FE5"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Change</w:t>
            </w:r>
          </w:p>
        </w:tc>
        <w:tc>
          <w:tcPr>
            <w:tcW w:w="0" w:type="auto"/>
            <w:hideMark/>
          </w:tcPr>
          <w:p w14:paraId="62432A9F"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Source of Improvement</w:t>
            </w:r>
          </w:p>
        </w:tc>
      </w:tr>
      <w:tr w:rsidR="00A940C7" w:rsidRPr="00BC2468" w14:paraId="398C33FD" w14:textId="77777777" w:rsidTr="00FC0ACC">
        <w:tc>
          <w:tcPr>
            <w:tcW w:w="0" w:type="auto"/>
            <w:hideMark/>
          </w:tcPr>
          <w:p w14:paraId="0027077A"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Total Debt (£m)</w:t>
            </w:r>
          </w:p>
        </w:tc>
        <w:tc>
          <w:tcPr>
            <w:tcW w:w="0" w:type="auto"/>
            <w:hideMark/>
          </w:tcPr>
          <w:p w14:paraId="74568D3D"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1,450</w:t>
            </w:r>
          </w:p>
        </w:tc>
        <w:tc>
          <w:tcPr>
            <w:tcW w:w="0" w:type="auto"/>
            <w:hideMark/>
          </w:tcPr>
          <w:p w14:paraId="377546A9"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1,150</w:t>
            </w:r>
          </w:p>
        </w:tc>
        <w:tc>
          <w:tcPr>
            <w:tcW w:w="0" w:type="auto"/>
            <w:hideMark/>
          </w:tcPr>
          <w:p w14:paraId="2924A00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–300</w:t>
            </w:r>
          </w:p>
        </w:tc>
        <w:tc>
          <w:tcPr>
            <w:tcW w:w="0" w:type="auto"/>
            <w:hideMark/>
          </w:tcPr>
          <w:p w14:paraId="7D1C163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Asset divestiture proceeds</w:t>
            </w:r>
          </w:p>
        </w:tc>
      </w:tr>
      <w:tr w:rsidR="00A940C7" w:rsidRPr="00BC2468" w14:paraId="4C86BB20" w14:textId="77777777" w:rsidTr="00FC0ACC">
        <w:tc>
          <w:tcPr>
            <w:tcW w:w="0" w:type="auto"/>
            <w:hideMark/>
          </w:tcPr>
          <w:p w14:paraId="52B330D3"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Equity (£m)</w:t>
            </w:r>
          </w:p>
        </w:tc>
        <w:tc>
          <w:tcPr>
            <w:tcW w:w="0" w:type="auto"/>
            <w:hideMark/>
          </w:tcPr>
          <w:p w14:paraId="3F64E62B"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1,650</w:t>
            </w:r>
          </w:p>
        </w:tc>
        <w:tc>
          <w:tcPr>
            <w:tcW w:w="0" w:type="auto"/>
            <w:hideMark/>
          </w:tcPr>
          <w:p w14:paraId="1CDEDF7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2,150</w:t>
            </w:r>
          </w:p>
        </w:tc>
        <w:tc>
          <w:tcPr>
            <w:tcW w:w="0" w:type="auto"/>
            <w:hideMark/>
          </w:tcPr>
          <w:p w14:paraId="2D2F4B3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+500</w:t>
            </w:r>
          </w:p>
        </w:tc>
        <w:tc>
          <w:tcPr>
            <w:tcW w:w="0" w:type="auto"/>
            <w:hideMark/>
          </w:tcPr>
          <w:p w14:paraId="0A647FC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Equity issuance</w:t>
            </w:r>
          </w:p>
        </w:tc>
      </w:tr>
      <w:tr w:rsidR="00A940C7" w:rsidRPr="00BC2468" w14:paraId="034E7954" w14:textId="77777777" w:rsidTr="00FC0ACC">
        <w:tc>
          <w:tcPr>
            <w:tcW w:w="0" w:type="auto"/>
            <w:hideMark/>
          </w:tcPr>
          <w:p w14:paraId="67C59F8D"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D/E Ratio</w:t>
            </w:r>
          </w:p>
        </w:tc>
        <w:tc>
          <w:tcPr>
            <w:tcW w:w="0" w:type="auto"/>
            <w:hideMark/>
          </w:tcPr>
          <w:p w14:paraId="2386D7C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0.88</w:t>
            </w:r>
          </w:p>
        </w:tc>
        <w:tc>
          <w:tcPr>
            <w:tcW w:w="0" w:type="auto"/>
            <w:hideMark/>
          </w:tcPr>
          <w:p w14:paraId="0710312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0.53</w:t>
            </w:r>
          </w:p>
        </w:tc>
        <w:tc>
          <w:tcPr>
            <w:tcW w:w="0" w:type="auto"/>
            <w:hideMark/>
          </w:tcPr>
          <w:p w14:paraId="133977F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w:t>
            </w:r>
          </w:p>
        </w:tc>
        <w:tc>
          <w:tcPr>
            <w:tcW w:w="0" w:type="auto"/>
            <w:hideMark/>
          </w:tcPr>
          <w:p w14:paraId="1EBAE77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Improved solvency</w:t>
            </w:r>
          </w:p>
        </w:tc>
      </w:tr>
      <w:tr w:rsidR="00A940C7" w:rsidRPr="00BC2468" w14:paraId="1C6D45F7" w14:textId="77777777" w:rsidTr="00FC0ACC">
        <w:tc>
          <w:tcPr>
            <w:tcW w:w="0" w:type="auto"/>
            <w:hideMark/>
          </w:tcPr>
          <w:p w14:paraId="74914EB9"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Interest Expense (£m)</w:t>
            </w:r>
          </w:p>
        </w:tc>
        <w:tc>
          <w:tcPr>
            <w:tcW w:w="0" w:type="auto"/>
            <w:hideMark/>
          </w:tcPr>
          <w:p w14:paraId="05860CCB"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95</w:t>
            </w:r>
          </w:p>
        </w:tc>
        <w:tc>
          <w:tcPr>
            <w:tcW w:w="0" w:type="auto"/>
            <w:hideMark/>
          </w:tcPr>
          <w:p w14:paraId="02A57C6D"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77</w:t>
            </w:r>
          </w:p>
        </w:tc>
        <w:tc>
          <w:tcPr>
            <w:tcW w:w="0" w:type="auto"/>
            <w:hideMark/>
          </w:tcPr>
          <w:p w14:paraId="21A3095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–18</w:t>
            </w:r>
          </w:p>
        </w:tc>
        <w:tc>
          <w:tcPr>
            <w:tcW w:w="0" w:type="auto"/>
            <w:hideMark/>
          </w:tcPr>
          <w:p w14:paraId="06A8FFE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Refinancing at lower rate</w:t>
            </w:r>
          </w:p>
        </w:tc>
      </w:tr>
      <w:tr w:rsidR="00A940C7" w:rsidRPr="00BC2468" w14:paraId="78EA6E66" w14:textId="77777777" w:rsidTr="00FC0ACC">
        <w:tc>
          <w:tcPr>
            <w:tcW w:w="0" w:type="auto"/>
            <w:hideMark/>
          </w:tcPr>
          <w:p w14:paraId="2721C57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Net Income (£m)</w:t>
            </w:r>
          </w:p>
        </w:tc>
        <w:tc>
          <w:tcPr>
            <w:tcW w:w="0" w:type="auto"/>
            <w:hideMark/>
          </w:tcPr>
          <w:p w14:paraId="55A00FB6"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210</w:t>
            </w:r>
          </w:p>
        </w:tc>
        <w:tc>
          <w:tcPr>
            <w:tcW w:w="0" w:type="auto"/>
            <w:hideMark/>
          </w:tcPr>
          <w:p w14:paraId="78879188"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273</w:t>
            </w:r>
          </w:p>
        </w:tc>
        <w:tc>
          <w:tcPr>
            <w:tcW w:w="0" w:type="auto"/>
            <w:hideMark/>
          </w:tcPr>
          <w:p w14:paraId="03E6F523"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+63</w:t>
            </w:r>
          </w:p>
        </w:tc>
        <w:tc>
          <w:tcPr>
            <w:tcW w:w="0" w:type="auto"/>
            <w:hideMark/>
          </w:tcPr>
          <w:p w14:paraId="4E56F46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Cost &amp; interest savings</w:t>
            </w:r>
          </w:p>
        </w:tc>
      </w:tr>
      <w:tr w:rsidR="00A940C7" w:rsidRPr="00BC2468" w14:paraId="4539E5B7" w14:textId="77777777" w:rsidTr="00FC0ACC">
        <w:tc>
          <w:tcPr>
            <w:tcW w:w="0" w:type="auto"/>
            <w:hideMark/>
          </w:tcPr>
          <w:p w14:paraId="549A4999"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ROCE (%)</w:t>
            </w:r>
          </w:p>
        </w:tc>
        <w:tc>
          <w:tcPr>
            <w:tcW w:w="0" w:type="auto"/>
            <w:hideMark/>
          </w:tcPr>
          <w:p w14:paraId="3E0646E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14.0</w:t>
            </w:r>
          </w:p>
        </w:tc>
        <w:tc>
          <w:tcPr>
            <w:tcW w:w="0" w:type="auto"/>
            <w:hideMark/>
          </w:tcPr>
          <w:p w14:paraId="11D9E67B"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15.2</w:t>
            </w:r>
          </w:p>
        </w:tc>
        <w:tc>
          <w:tcPr>
            <w:tcW w:w="0" w:type="auto"/>
            <w:hideMark/>
          </w:tcPr>
          <w:p w14:paraId="6F6BADC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+1.2</w:t>
            </w:r>
          </w:p>
        </w:tc>
        <w:tc>
          <w:tcPr>
            <w:tcW w:w="0" w:type="auto"/>
            <w:hideMark/>
          </w:tcPr>
          <w:p w14:paraId="10F5EAB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Enhanced efficiency</w:t>
            </w:r>
          </w:p>
        </w:tc>
      </w:tr>
    </w:tbl>
    <w:p w14:paraId="592E6DA7" w14:textId="77777777" w:rsidR="00A940C7" w:rsidRPr="00BC2468" w:rsidRDefault="00A940C7" w:rsidP="00157516">
      <w:pPr>
        <w:spacing w:after="0"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ROCE Calculation:</w:t>
      </w:r>
      <w:r w:rsidRPr="00BC2468">
        <w:rPr>
          <w:rFonts w:ascii="Arial" w:eastAsia="Times New Roman" w:hAnsi="Arial" w:cs="Arial"/>
          <w:kern w:val="0"/>
          <w14:ligatures w14:val="none"/>
        </w:rPr>
        <w:br/>
        <w:t>ROCE = (Operating Profit / Capital Employed) × 100</w:t>
      </w:r>
      <w:r w:rsidRPr="00BC2468">
        <w:rPr>
          <w:rFonts w:ascii="Arial" w:eastAsia="Times New Roman" w:hAnsi="Arial" w:cs="Arial"/>
          <w:kern w:val="0"/>
          <w14:ligatures w14:val="none"/>
        </w:rPr>
        <w:br/>
        <w:t xml:space="preserve">= (273 / 1,800) × 100 = </w:t>
      </w:r>
      <w:r w:rsidRPr="00BC2468">
        <w:rPr>
          <w:rFonts w:ascii="Arial" w:eastAsia="Times New Roman" w:hAnsi="Arial" w:cs="Arial"/>
          <w:b/>
          <w:bCs/>
          <w:kern w:val="0"/>
          <w14:ligatures w14:val="none"/>
        </w:rPr>
        <w:t>15.2 %</w:t>
      </w:r>
    </w:p>
    <w:tbl>
      <w:tblPr>
        <w:tblStyle w:val="TableGridLight"/>
        <w:tblW w:w="0" w:type="auto"/>
        <w:tblLook w:val="04A0" w:firstRow="1" w:lastRow="0" w:firstColumn="1" w:lastColumn="0" w:noHBand="0" w:noVBand="1"/>
      </w:tblPr>
      <w:tblGrid>
        <w:gridCol w:w="1937"/>
        <w:gridCol w:w="2257"/>
        <w:gridCol w:w="2390"/>
        <w:gridCol w:w="1097"/>
      </w:tblGrid>
      <w:tr w:rsidR="00A940C7" w:rsidRPr="00BC2468" w14:paraId="04EB292B" w14:textId="77777777" w:rsidTr="00FC0ACC">
        <w:tc>
          <w:tcPr>
            <w:tcW w:w="0" w:type="auto"/>
            <w:hideMark/>
          </w:tcPr>
          <w:p w14:paraId="300E8171"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Metric</w:t>
            </w:r>
          </w:p>
        </w:tc>
        <w:tc>
          <w:tcPr>
            <w:tcW w:w="0" w:type="auto"/>
            <w:hideMark/>
          </w:tcPr>
          <w:p w14:paraId="3788885E"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Pre-Restructuring</w:t>
            </w:r>
          </w:p>
        </w:tc>
        <w:tc>
          <w:tcPr>
            <w:tcW w:w="0" w:type="auto"/>
            <w:hideMark/>
          </w:tcPr>
          <w:p w14:paraId="0BE46075"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Post-Restructuring</w:t>
            </w:r>
          </w:p>
        </w:tc>
        <w:tc>
          <w:tcPr>
            <w:tcW w:w="0" w:type="auto"/>
            <w:hideMark/>
          </w:tcPr>
          <w:p w14:paraId="535527F8"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Change</w:t>
            </w:r>
          </w:p>
        </w:tc>
      </w:tr>
      <w:tr w:rsidR="00A940C7" w:rsidRPr="00BC2468" w14:paraId="703DCC78" w14:textId="77777777" w:rsidTr="000B5DFC">
        <w:trPr>
          <w:trHeight w:val="2451"/>
        </w:trPr>
        <w:tc>
          <w:tcPr>
            <w:tcW w:w="0" w:type="auto"/>
            <w:hideMark/>
          </w:tcPr>
          <w:p w14:paraId="4C97027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Firm Value (£m)</w:t>
            </w:r>
          </w:p>
        </w:tc>
        <w:tc>
          <w:tcPr>
            <w:tcW w:w="0" w:type="auto"/>
            <w:hideMark/>
          </w:tcPr>
          <w:p w14:paraId="5845FFF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3,720</w:t>
            </w:r>
          </w:p>
        </w:tc>
        <w:tc>
          <w:tcPr>
            <w:tcW w:w="0" w:type="auto"/>
            <w:hideMark/>
          </w:tcPr>
          <w:p w14:paraId="1078BEA9"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4,166</w:t>
            </w:r>
          </w:p>
        </w:tc>
        <w:tc>
          <w:tcPr>
            <w:tcW w:w="0" w:type="auto"/>
            <w:hideMark/>
          </w:tcPr>
          <w:p w14:paraId="03370169"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+446</w:t>
            </w:r>
          </w:p>
        </w:tc>
      </w:tr>
      <w:tr w:rsidR="00A940C7" w:rsidRPr="00BC2468" w14:paraId="02F2E097" w14:textId="77777777" w:rsidTr="00FC0ACC">
        <w:tc>
          <w:tcPr>
            <w:tcW w:w="0" w:type="auto"/>
            <w:hideMark/>
          </w:tcPr>
          <w:p w14:paraId="0DDA01B3"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 Increase</w:t>
            </w:r>
          </w:p>
        </w:tc>
        <w:tc>
          <w:tcPr>
            <w:tcW w:w="0" w:type="auto"/>
            <w:hideMark/>
          </w:tcPr>
          <w:p w14:paraId="7F7FDC0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w:t>
            </w:r>
          </w:p>
        </w:tc>
        <w:tc>
          <w:tcPr>
            <w:tcW w:w="0" w:type="auto"/>
            <w:hideMark/>
          </w:tcPr>
          <w:p w14:paraId="67282A7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+12 %</w:t>
            </w:r>
          </w:p>
        </w:tc>
        <w:tc>
          <w:tcPr>
            <w:tcW w:w="0" w:type="auto"/>
            <w:hideMark/>
          </w:tcPr>
          <w:p w14:paraId="0AF20D3F"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w:t>
            </w:r>
          </w:p>
        </w:tc>
      </w:tr>
    </w:tbl>
    <w:p w14:paraId="7328CD31" w14:textId="7A8E19A2" w:rsidR="00A940C7" w:rsidRPr="00BC2468" w:rsidRDefault="00A940C7" w:rsidP="00157516">
      <w:pPr>
        <w:spacing w:after="0" w:line="480" w:lineRule="auto"/>
        <w:rPr>
          <w:rFonts w:ascii="Arial" w:eastAsia="Times New Roman" w:hAnsi="Arial" w:cs="Arial"/>
          <w:kern w:val="0"/>
          <w14:ligatures w14:val="none"/>
        </w:rPr>
      </w:pPr>
    </w:p>
    <w:p w14:paraId="7F54C623" w14:textId="53B0F7F1" w:rsidR="00A940C7" w:rsidRPr="00BC2468" w:rsidRDefault="00A940C7" w:rsidP="00CA7732">
      <w:pPr>
        <w:spacing w:after="0" w:line="480" w:lineRule="auto"/>
        <w:jc w:val="center"/>
        <w:outlineLvl w:val="1"/>
        <w:rPr>
          <w:rFonts w:ascii="Arial" w:eastAsia="Times New Roman" w:hAnsi="Arial" w:cs="Arial"/>
          <w:b/>
          <w:bCs/>
          <w:kern w:val="0"/>
          <w14:ligatures w14:val="none"/>
        </w:rPr>
      </w:pPr>
      <w:r w:rsidRPr="00BC2468">
        <w:rPr>
          <w:rFonts w:ascii="Arial" w:eastAsia="Times New Roman" w:hAnsi="Arial" w:cs="Arial"/>
          <w:b/>
          <w:bCs/>
          <w:kern w:val="0"/>
          <w14:ligatures w14:val="none"/>
        </w:rPr>
        <w:t xml:space="preserve">Appendix </w:t>
      </w:r>
      <w:r w:rsidR="00157516" w:rsidRPr="00BC2468">
        <w:rPr>
          <w:rFonts w:ascii="Arial" w:eastAsia="Times New Roman" w:hAnsi="Arial" w:cs="Arial"/>
          <w:b/>
          <w:bCs/>
          <w:kern w:val="0"/>
          <w14:ligatures w14:val="none"/>
        </w:rPr>
        <w:t>F</w:t>
      </w:r>
      <w:r w:rsidRPr="00BC2468">
        <w:rPr>
          <w:rFonts w:ascii="Arial" w:eastAsia="Times New Roman" w:hAnsi="Arial" w:cs="Arial"/>
          <w:b/>
          <w:bCs/>
          <w:kern w:val="0"/>
          <w14:ligatures w14:val="none"/>
        </w:rPr>
        <w:t xml:space="preserve"> – Implementation Phases of the Turnaround Strategy</w:t>
      </w:r>
    </w:p>
    <w:tbl>
      <w:tblPr>
        <w:tblStyle w:val="TableGridLight"/>
        <w:tblW w:w="0" w:type="auto"/>
        <w:tblLook w:val="04A0" w:firstRow="1" w:lastRow="0" w:firstColumn="1" w:lastColumn="0" w:noHBand="0" w:noVBand="1"/>
      </w:tblPr>
      <w:tblGrid>
        <w:gridCol w:w="1878"/>
        <w:gridCol w:w="1943"/>
        <w:gridCol w:w="1455"/>
        <w:gridCol w:w="1807"/>
        <w:gridCol w:w="1933"/>
      </w:tblGrid>
      <w:tr w:rsidR="00A940C7" w:rsidRPr="00BC2468" w14:paraId="38B08239" w14:textId="77777777" w:rsidTr="00FC0ACC">
        <w:tc>
          <w:tcPr>
            <w:tcW w:w="0" w:type="auto"/>
            <w:hideMark/>
          </w:tcPr>
          <w:p w14:paraId="724217EF"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Phase</w:t>
            </w:r>
          </w:p>
        </w:tc>
        <w:tc>
          <w:tcPr>
            <w:tcW w:w="0" w:type="auto"/>
            <w:hideMark/>
          </w:tcPr>
          <w:p w14:paraId="6C9D2954"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Key Activities</w:t>
            </w:r>
          </w:p>
        </w:tc>
        <w:tc>
          <w:tcPr>
            <w:tcW w:w="0" w:type="auto"/>
            <w:hideMark/>
          </w:tcPr>
          <w:p w14:paraId="64475EF2"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Timeframe</w:t>
            </w:r>
          </w:p>
        </w:tc>
        <w:tc>
          <w:tcPr>
            <w:tcW w:w="0" w:type="auto"/>
            <w:hideMark/>
          </w:tcPr>
          <w:p w14:paraId="21124541"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Responsible Departments</w:t>
            </w:r>
          </w:p>
        </w:tc>
        <w:tc>
          <w:tcPr>
            <w:tcW w:w="0" w:type="auto"/>
            <w:hideMark/>
          </w:tcPr>
          <w:p w14:paraId="54F79233" w14:textId="77777777" w:rsidR="00A940C7" w:rsidRPr="00BC2468" w:rsidRDefault="00A940C7" w:rsidP="00157516">
            <w:pPr>
              <w:spacing w:line="480" w:lineRule="auto"/>
              <w:jc w:val="center"/>
              <w:rPr>
                <w:rFonts w:ascii="Arial" w:eastAsia="Times New Roman" w:hAnsi="Arial" w:cs="Arial"/>
                <w:b/>
                <w:bCs/>
                <w:kern w:val="0"/>
                <w14:ligatures w14:val="none"/>
              </w:rPr>
            </w:pPr>
            <w:r w:rsidRPr="00BC2468">
              <w:rPr>
                <w:rFonts w:ascii="Arial" w:eastAsia="Times New Roman" w:hAnsi="Arial" w:cs="Arial"/>
                <w:b/>
                <w:bCs/>
                <w:kern w:val="0"/>
                <w14:ligatures w14:val="none"/>
              </w:rPr>
              <w:t>Expected Outcomes</w:t>
            </w:r>
          </w:p>
        </w:tc>
      </w:tr>
      <w:tr w:rsidR="00A940C7" w:rsidRPr="00BC2468" w14:paraId="549A008A" w14:textId="77777777" w:rsidTr="00FC0ACC">
        <w:tc>
          <w:tcPr>
            <w:tcW w:w="0" w:type="auto"/>
            <w:hideMark/>
          </w:tcPr>
          <w:p w14:paraId="66809A6C"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Phase 1: Stabilisation</w:t>
            </w:r>
          </w:p>
        </w:tc>
        <w:tc>
          <w:tcPr>
            <w:tcW w:w="0" w:type="auto"/>
            <w:hideMark/>
          </w:tcPr>
          <w:p w14:paraId="6EB119A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Improve liquidity; sell non-core division; renegotiate short-term debt</w:t>
            </w:r>
          </w:p>
        </w:tc>
        <w:tc>
          <w:tcPr>
            <w:tcW w:w="0" w:type="auto"/>
            <w:hideMark/>
          </w:tcPr>
          <w:p w14:paraId="1B31A4D0"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0–6 months</w:t>
            </w:r>
          </w:p>
        </w:tc>
        <w:tc>
          <w:tcPr>
            <w:tcW w:w="0" w:type="auto"/>
            <w:hideMark/>
          </w:tcPr>
          <w:p w14:paraId="5A8C795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Finance, Treasury</w:t>
            </w:r>
          </w:p>
        </w:tc>
        <w:tc>
          <w:tcPr>
            <w:tcW w:w="0" w:type="auto"/>
            <w:hideMark/>
          </w:tcPr>
          <w:p w14:paraId="5A178D71"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£500 m liquidity gain; debt reduction</w:t>
            </w:r>
          </w:p>
        </w:tc>
      </w:tr>
      <w:tr w:rsidR="00A940C7" w:rsidRPr="00BC2468" w14:paraId="1464F4BC" w14:textId="77777777" w:rsidTr="00FC0ACC">
        <w:tc>
          <w:tcPr>
            <w:tcW w:w="0" w:type="auto"/>
            <w:hideMark/>
          </w:tcPr>
          <w:p w14:paraId="33139BD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Phase 2: Restructuring</w:t>
            </w:r>
          </w:p>
        </w:tc>
        <w:tc>
          <w:tcPr>
            <w:tcW w:w="0" w:type="auto"/>
            <w:hideMark/>
          </w:tcPr>
          <w:p w14:paraId="124DEADC"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Implement refinancing; issue new equity; initiate lean operations</w:t>
            </w:r>
          </w:p>
        </w:tc>
        <w:tc>
          <w:tcPr>
            <w:tcW w:w="0" w:type="auto"/>
            <w:hideMark/>
          </w:tcPr>
          <w:p w14:paraId="5237C167"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6–18 months</w:t>
            </w:r>
          </w:p>
        </w:tc>
        <w:tc>
          <w:tcPr>
            <w:tcW w:w="0" w:type="auto"/>
            <w:hideMark/>
          </w:tcPr>
          <w:p w14:paraId="4003713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Finance, Operations</w:t>
            </w:r>
          </w:p>
        </w:tc>
        <w:tc>
          <w:tcPr>
            <w:tcW w:w="0" w:type="auto"/>
            <w:hideMark/>
          </w:tcPr>
          <w:p w14:paraId="5F1A70C4"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£18 m interest savings; 8 % cost reduction</w:t>
            </w:r>
          </w:p>
        </w:tc>
      </w:tr>
      <w:tr w:rsidR="00A940C7" w:rsidRPr="00BC2468" w14:paraId="64721A84" w14:textId="77777777" w:rsidTr="00FC0ACC">
        <w:tc>
          <w:tcPr>
            <w:tcW w:w="0" w:type="auto"/>
            <w:hideMark/>
          </w:tcPr>
          <w:p w14:paraId="000D887F"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b/>
                <w:bCs/>
                <w:kern w:val="0"/>
                <w14:ligatures w14:val="none"/>
              </w:rPr>
              <w:t>Phase 3: Renewal</w:t>
            </w:r>
          </w:p>
        </w:tc>
        <w:tc>
          <w:tcPr>
            <w:tcW w:w="0" w:type="auto"/>
            <w:hideMark/>
          </w:tcPr>
          <w:p w14:paraId="223A2C75"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Reinvest in innovation, R&amp;D, and emerging markets</w:t>
            </w:r>
          </w:p>
        </w:tc>
        <w:tc>
          <w:tcPr>
            <w:tcW w:w="0" w:type="auto"/>
            <w:hideMark/>
          </w:tcPr>
          <w:p w14:paraId="2CC84073"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18–36 months</w:t>
            </w:r>
          </w:p>
        </w:tc>
        <w:tc>
          <w:tcPr>
            <w:tcW w:w="0" w:type="auto"/>
            <w:hideMark/>
          </w:tcPr>
          <w:p w14:paraId="195D48E2"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Strategy, R&amp;D</w:t>
            </w:r>
          </w:p>
        </w:tc>
        <w:tc>
          <w:tcPr>
            <w:tcW w:w="0" w:type="auto"/>
            <w:hideMark/>
          </w:tcPr>
          <w:p w14:paraId="2AC1B60F" w14:textId="77777777" w:rsidR="00A940C7" w:rsidRPr="00BC2468" w:rsidRDefault="00A940C7" w:rsidP="00157516">
            <w:pPr>
              <w:spacing w:line="480" w:lineRule="auto"/>
              <w:rPr>
                <w:rFonts w:ascii="Arial" w:eastAsia="Times New Roman" w:hAnsi="Arial" w:cs="Arial"/>
                <w:kern w:val="0"/>
                <w14:ligatures w14:val="none"/>
              </w:rPr>
            </w:pPr>
            <w:r w:rsidRPr="00BC2468">
              <w:rPr>
                <w:rFonts w:ascii="Arial" w:eastAsia="Times New Roman" w:hAnsi="Arial" w:cs="Arial"/>
                <w:kern w:val="0"/>
                <w14:ligatures w14:val="none"/>
              </w:rPr>
              <w:t>Sustained growth and market diversification</w:t>
            </w:r>
          </w:p>
        </w:tc>
      </w:tr>
    </w:tbl>
    <w:p w14:paraId="3E5447AE" w14:textId="77777777" w:rsidR="00A940C7" w:rsidRPr="00BC2468" w:rsidRDefault="00A940C7" w:rsidP="00157516">
      <w:pPr>
        <w:spacing w:after="0" w:line="480" w:lineRule="auto"/>
        <w:ind w:left="720" w:hanging="720"/>
        <w:rPr>
          <w:rFonts w:ascii="Arial" w:hAnsi="Arial" w:cs="Arial"/>
        </w:rPr>
      </w:pPr>
    </w:p>
    <w:sectPr w:rsidR="00A940C7" w:rsidRPr="00BC246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05FDD" w14:textId="77777777" w:rsidR="004979FF" w:rsidRDefault="004979FF" w:rsidP="00C33DF6">
      <w:pPr>
        <w:spacing w:after="0" w:line="240" w:lineRule="auto"/>
      </w:pPr>
      <w:r>
        <w:separator/>
      </w:r>
    </w:p>
  </w:endnote>
  <w:endnote w:type="continuationSeparator" w:id="0">
    <w:p w14:paraId="0C785282" w14:textId="77777777" w:rsidR="004979FF" w:rsidRDefault="004979FF" w:rsidP="00C33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34949" w14:textId="77777777" w:rsidR="004979FF" w:rsidRDefault="004979FF" w:rsidP="00C33DF6">
      <w:pPr>
        <w:spacing w:after="0" w:line="240" w:lineRule="auto"/>
      </w:pPr>
      <w:r>
        <w:separator/>
      </w:r>
    </w:p>
  </w:footnote>
  <w:footnote w:type="continuationSeparator" w:id="0">
    <w:p w14:paraId="37861600" w14:textId="77777777" w:rsidR="004979FF" w:rsidRDefault="004979FF" w:rsidP="00C33D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9877241"/>
      <w:docPartObj>
        <w:docPartGallery w:val="Page Numbers (Top of Page)"/>
        <w:docPartUnique/>
      </w:docPartObj>
    </w:sdtPr>
    <w:sdtEndPr>
      <w:rPr>
        <w:noProof/>
      </w:rPr>
    </w:sdtEndPr>
    <w:sdtContent>
      <w:p w14:paraId="01826FDA" w14:textId="3B8B8A30" w:rsidR="00C33DF6" w:rsidRDefault="00C33DF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884622" w14:textId="77777777" w:rsidR="00C33DF6" w:rsidRDefault="00C33D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F3412"/>
    <w:multiLevelType w:val="multilevel"/>
    <w:tmpl w:val="B8F62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C57C78"/>
    <w:multiLevelType w:val="multilevel"/>
    <w:tmpl w:val="C6EE4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606E6C"/>
    <w:multiLevelType w:val="multilevel"/>
    <w:tmpl w:val="E6061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1A5FAD"/>
    <w:multiLevelType w:val="multilevel"/>
    <w:tmpl w:val="53B6F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B5037E"/>
    <w:multiLevelType w:val="multilevel"/>
    <w:tmpl w:val="41387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A740D"/>
    <w:multiLevelType w:val="multilevel"/>
    <w:tmpl w:val="B8062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103F2D"/>
    <w:multiLevelType w:val="multilevel"/>
    <w:tmpl w:val="FAE2750E"/>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FF5432"/>
    <w:multiLevelType w:val="multilevel"/>
    <w:tmpl w:val="82AED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CD22F5"/>
    <w:multiLevelType w:val="multilevel"/>
    <w:tmpl w:val="8E38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F603B0"/>
    <w:multiLevelType w:val="multilevel"/>
    <w:tmpl w:val="49DCF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121F83"/>
    <w:multiLevelType w:val="multilevel"/>
    <w:tmpl w:val="AE209E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FD3CFD"/>
    <w:multiLevelType w:val="multilevel"/>
    <w:tmpl w:val="D9BC89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9D6388"/>
    <w:multiLevelType w:val="multilevel"/>
    <w:tmpl w:val="34E22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FA61BE"/>
    <w:multiLevelType w:val="multilevel"/>
    <w:tmpl w:val="1C3E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D459D0"/>
    <w:multiLevelType w:val="multilevel"/>
    <w:tmpl w:val="7AC67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205322"/>
    <w:multiLevelType w:val="multilevel"/>
    <w:tmpl w:val="01404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7914567">
    <w:abstractNumId w:val="9"/>
  </w:num>
  <w:num w:numId="2" w16cid:durableId="1155757998">
    <w:abstractNumId w:val="1"/>
  </w:num>
  <w:num w:numId="3" w16cid:durableId="713578247">
    <w:abstractNumId w:val="3"/>
  </w:num>
  <w:num w:numId="4" w16cid:durableId="1924800700">
    <w:abstractNumId w:val="4"/>
  </w:num>
  <w:num w:numId="5" w16cid:durableId="1738362684">
    <w:abstractNumId w:val="6"/>
  </w:num>
  <w:num w:numId="6" w16cid:durableId="1640459098">
    <w:abstractNumId w:val="12"/>
  </w:num>
  <w:num w:numId="7" w16cid:durableId="709571394">
    <w:abstractNumId w:val="0"/>
  </w:num>
  <w:num w:numId="8" w16cid:durableId="1601379352">
    <w:abstractNumId w:val="10"/>
  </w:num>
  <w:num w:numId="9" w16cid:durableId="994918930">
    <w:abstractNumId w:val="11"/>
  </w:num>
  <w:num w:numId="10" w16cid:durableId="175776566">
    <w:abstractNumId w:val="14"/>
  </w:num>
  <w:num w:numId="11" w16cid:durableId="1050301995">
    <w:abstractNumId w:val="7"/>
  </w:num>
  <w:num w:numId="12" w16cid:durableId="888490567">
    <w:abstractNumId w:val="5"/>
  </w:num>
  <w:num w:numId="13" w16cid:durableId="782070731">
    <w:abstractNumId w:val="8"/>
  </w:num>
  <w:num w:numId="14" w16cid:durableId="48693836">
    <w:abstractNumId w:val="15"/>
  </w:num>
  <w:num w:numId="15" w16cid:durableId="1338535489">
    <w:abstractNumId w:val="2"/>
  </w:num>
  <w:num w:numId="16" w16cid:durableId="14134330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F69"/>
    <w:rsid w:val="00022B03"/>
    <w:rsid w:val="00071837"/>
    <w:rsid w:val="000B5DFC"/>
    <w:rsid w:val="000D5807"/>
    <w:rsid w:val="00157516"/>
    <w:rsid w:val="001761C9"/>
    <w:rsid w:val="001A1670"/>
    <w:rsid w:val="001B3B7C"/>
    <w:rsid w:val="002F0B96"/>
    <w:rsid w:val="00343098"/>
    <w:rsid w:val="003701BD"/>
    <w:rsid w:val="00387672"/>
    <w:rsid w:val="003939C3"/>
    <w:rsid w:val="00432D20"/>
    <w:rsid w:val="004979FF"/>
    <w:rsid w:val="004A2EBA"/>
    <w:rsid w:val="004A5CB0"/>
    <w:rsid w:val="00565643"/>
    <w:rsid w:val="00590541"/>
    <w:rsid w:val="006D4F8F"/>
    <w:rsid w:val="006E5334"/>
    <w:rsid w:val="00730236"/>
    <w:rsid w:val="007B1B6D"/>
    <w:rsid w:val="008505A2"/>
    <w:rsid w:val="008764EF"/>
    <w:rsid w:val="008A78D6"/>
    <w:rsid w:val="008E21A5"/>
    <w:rsid w:val="00903DFF"/>
    <w:rsid w:val="0097037A"/>
    <w:rsid w:val="00A00F69"/>
    <w:rsid w:val="00A062DB"/>
    <w:rsid w:val="00A940C7"/>
    <w:rsid w:val="00AE3DD7"/>
    <w:rsid w:val="00AE5158"/>
    <w:rsid w:val="00B24E87"/>
    <w:rsid w:val="00B361BE"/>
    <w:rsid w:val="00B4122F"/>
    <w:rsid w:val="00BC2468"/>
    <w:rsid w:val="00BD6F24"/>
    <w:rsid w:val="00C33DF6"/>
    <w:rsid w:val="00C72388"/>
    <w:rsid w:val="00C75926"/>
    <w:rsid w:val="00CA7732"/>
    <w:rsid w:val="00CF2B45"/>
    <w:rsid w:val="00D12DC1"/>
    <w:rsid w:val="00E62ABB"/>
    <w:rsid w:val="00E85133"/>
    <w:rsid w:val="00EF1B51"/>
    <w:rsid w:val="00F3077B"/>
    <w:rsid w:val="00F546FC"/>
    <w:rsid w:val="00FC0ACC"/>
    <w:rsid w:val="00FF56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58C3C"/>
  <w15:chartTrackingRefBased/>
  <w15:docId w15:val="{9772C0BF-C62A-4FBE-BAB7-FAC560C7B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F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0F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0F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0F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0F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0F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F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F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F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F6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0F6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0F6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0F6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0F6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0F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F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F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F69"/>
    <w:rPr>
      <w:rFonts w:eastAsiaTheme="majorEastAsia" w:cstheme="majorBidi"/>
      <w:color w:val="272727" w:themeColor="text1" w:themeTint="D8"/>
    </w:rPr>
  </w:style>
  <w:style w:type="paragraph" w:styleId="Title">
    <w:name w:val="Title"/>
    <w:basedOn w:val="Normal"/>
    <w:next w:val="Normal"/>
    <w:link w:val="TitleChar"/>
    <w:uiPriority w:val="10"/>
    <w:qFormat/>
    <w:rsid w:val="00A00F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F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F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F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F69"/>
    <w:pPr>
      <w:spacing w:before="160"/>
      <w:jc w:val="center"/>
    </w:pPr>
    <w:rPr>
      <w:i/>
      <w:iCs/>
      <w:color w:val="404040" w:themeColor="text1" w:themeTint="BF"/>
    </w:rPr>
  </w:style>
  <w:style w:type="character" w:customStyle="1" w:styleId="QuoteChar">
    <w:name w:val="Quote Char"/>
    <w:basedOn w:val="DefaultParagraphFont"/>
    <w:link w:val="Quote"/>
    <w:uiPriority w:val="29"/>
    <w:rsid w:val="00A00F69"/>
    <w:rPr>
      <w:i/>
      <w:iCs/>
      <w:color w:val="404040" w:themeColor="text1" w:themeTint="BF"/>
    </w:rPr>
  </w:style>
  <w:style w:type="paragraph" w:styleId="ListParagraph">
    <w:name w:val="List Paragraph"/>
    <w:basedOn w:val="Normal"/>
    <w:uiPriority w:val="34"/>
    <w:qFormat/>
    <w:rsid w:val="00A00F69"/>
    <w:pPr>
      <w:ind w:left="720"/>
      <w:contextualSpacing/>
    </w:pPr>
  </w:style>
  <w:style w:type="character" w:styleId="IntenseEmphasis">
    <w:name w:val="Intense Emphasis"/>
    <w:basedOn w:val="DefaultParagraphFont"/>
    <w:uiPriority w:val="21"/>
    <w:qFormat/>
    <w:rsid w:val="00A00F69"/>
    <w:rPr>
      <w:i/>
      <w:iCs/>
      <w:color w:val="2F5496" w:themeColor="accent1" w:themeShade="BF"/>
    </w:rPr>
  </w:style>
  <w:style w:type="paragraph" w:styleId="IntenseQuote">
    <w:name w:val="Intense Quote"/>
    <w:basedOn w:val="Normal"/>
    <w:next w:val="Normal"/>
    <w:link w:val="IntenseQuoteChar"/>
    <w:uiPriority w:val="30"/>
    <w:qFormat/>
    <w:rsid w:val="00A00F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0F69"/>
    <w:rPr>
      <w:i/>
      <w:iCs/>
      <w:color w:val="2F5496" w:themeColor="accent1" w:themeShade="BF"/>
    </w:rPr>
  </w:style>
  <w:style w:type="character" w:styleId="IntenseReference">
    <w:name w:val="Intense Reference"/>
    <w:basedOn w:val="DefaultParagraphFont"/>
    <w:uiPriority w:val="32"/>
    <w:qFormat/>
    <w:rsid w:val="00A00F69"/>
    <w:rPr>
      <w:b/>
      <w:bCs/>
      <w:smallCaps/>
      <w:color w:val="2F5496" w:themeColor="accent1" w:themeShade="BF"/>
      <w:spacing w:val="5"/>
    </w:rPr>
  </w:style>
  <w:style w:type="table" w:styleId="TableGridLight">
    <w:name w:val="Grid Table Light"/>
    <w:basedOn w:val="TableNormal"/>
    <w:uiPriority w:val="40"/>
    <w:rsid w:val="00C723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565643"/>
    <w:rPr>
      <w:color w:val="0563C1" w:themeColor="hyperlink"/>
      <w:u w:val="single"/>
    </w:rPr>
  </w:style>
  <w:style w:type="character" w:styleId="UnresolvedMention">
    <w:name w:val="Unresolved Mention"/>
    <w:basedOn w:val="DefaultParagraphFont"/>
    <w:uiPriority w:val="99"/>
    <w:semiHidden/>
    <w:unhideWhenUsed/>
    <w:rsid w:val="00565643"/>
    <w:rPr>
      <w:color w:val="605E5C"/>
      <w:shd w:val="clear" w:color="auto" w:fill="E1DFDD"/>
    </w:rPr>
  </w:style>
  <w:style w:type="paragraph" w:styleId="Header">
    <w:name w:val="header"/>
    <w:basedOn w:val="Normal"/>
    <w:link w:val="HeaderChar"/>
    <w:uiPriority w:val="99"/>
    <w:unhideWhenUsed/>
    <w:rsid w:val="00C33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DF6"/>
  </w:style>
  <w:style w:type="paragraph" w:styleId="Footer">
    <w:name w:val="footer"/>
    <w:basedOn w:val="Normal"/>
    <w:link w:val="FooterChar"/>
    <w:uiPriority w:val="99"/>
    <w:unhideWhenUsed/>
    <w:rsid w:val="00C33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D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hart" Target="charts/chart3.xml" /><Relationship Id="rId18" Type="http://schemas.openxmlformats.org/officeDocument/2006/relationships/hyperlink" Target="http://dx.doi.org/10.2139/ssrn.2385940"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chart" Target="charts/chart5.xml" /><Relationship Id="rId7" Type="http://schemas.openxmlformats.org/officeDocument/2006/relationships/endnotes" Target="endnotes.xml" /><Relationship Id="rId12" Type="http://schemas.openxmlformats.org/officeDocument/2006/relationships/chart" Target="charts/chart2.xml" /><Relationship Id="rId17" Type="http://schemas.openxmlformats.org/officeDocument/2006/relationships/hyperlink" Target="https://doi.org/10.2307/2978933" TargetMode="External" /><Relationship Id="rId25"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chart" Target="charts/chart4.xml" /><Relationship Id="rId20" Type="http://schemas.openxmlformats.org/officeDocument/2006/relationships/hyperlink" Target="https://doi.org/10.1108/qrfm-04-2013-001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2.xml" /><Relationship Id="rId24" Type="http://schemas.openxmlformats.org/officeDocument/2006/relationships/chart" Target="charts/chart6.xml" /><Relationship Id="rId5" Type="http://schemas.openxmlformats.org/officeDocument/2006/relationships/webSettings" Target="webSettings.xml" /><Relationship Id="rId15" Type="http://schemas.openxmlformats.org/officeDocument/2006/relationships/chart" Target="charts/chart4.xml" /><Relationship Id="rId23" Type="http://schemas.openxmlformats.org/officeDocument/2006/relationships/chart" Target="charts/chart6.xml" /><Relationship Id="rId10" Type="http://schemas.openxmlformats.org/officeDocument/2006/relationships/chart" Target="charts/chart1.xml" /><Relationship Id="rId19" Type="http://schemas.openxmlformats.org/officeDocument/2006/relationships/hyperlink" Target="https://doi.org/10.1111/1468-5957.00008" TargetMode="External"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chart" Target="charts/chart3.xml" /><Relationship Id="rId22" Type="http://schemas.openxmlformats.org/officeDocument/2006/relationships/chart" Target="charts/chart5.xml" /><Relationship Id="rId27"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 /><Relationship Id="rId2" Type="http://schemas.microsoft.com/office/2011/relationships/chartColorStyle" Target="colors1.xml" /><Relationship Id="rId1" Type="http://schemas.microsoft.com/office/2011/relationships/chartStyle" Target="style1.xml" /><Relationship Id="rId4" Type="http://schemas.openxmlformats.org/officeDocument/2006/relationships/package" Target="../embeddings/Microsoft_Excel_Worksheet.xlsx" /></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 /><Relationship Id="rId2" Type="http://schemas.microsoft.com/office/2011/relationships/chartColorStyle" Target="colors2.xml" /><Relationship Id="rId1" Type="http://schemas.microsoft.com/office/2011/relationships/chartStyle" Target="style2.xml" /><Relationship Id="rId4" Type="http://schemas.openxmlformats.org/officeDocument/2006/relationships/package" Target="../embeddings/Microsoft_Excel_Worksheet1.xlsx" /></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 /><Relationship Id="rId2" Type="http://schemas.microsoft.com/office/2011/relationships/chartColorStyle" Target="colors3.xml" /><Relationship Id="rId1" Type="http://schemas.microsoft.com/office/2011/relationships/chartStyle" Target="style3.xml" /><Relationship Id="rId4" Type="http://schemas.openxmlformats.org/officeDocument/2006/relationships/package" Target="../embeddings/Microsoft_Excel_Worksheet2.xlsx" /></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 /><Relationship Id="rId2" Type="http://schemas.microsoft.com/office/2011/relationships/chartColorStyle" Target="colors4.xml" /><Relationship Id="rId1" Type="http://schemas.microsoft.com/office/2011/relationships/chartStyle" Target="style4.xml" /><Relationship Id="rId4" Type="http://schemas.openxmlformats.org/officeDocument/2006/relationships/package" Target="../embeddings/Microsoft_Excel_Worksheet3.xlsx" /></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 /><Relationship Id="rId2" Type="http://schemas.microsoft.com/office/2011/relationships/chartColorStyle" Target="colors5.xml" /><Relationship Id="rId1" Type="http://schemas.microsoft.com/office/2011/relationships/chartStyle" Target="style5.xml" /><Relationship Id="rId4" Type="http://schemas.openxmlformats.org/officeDocument/2006/relationships/package" Target="../embeddings/Microsoft_Excel_Worksheet4.xlsx" /></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 /><Relationship Id="rId2" Type="http://schemas.microsoft.com/office/2011/relationships/chartColorStyle" Target="colors6.xml" /><Relationship Id="rId1" Type="http://schemas.microsoft.com/office/2011/relationships/chartStyle" Target="style6.xml" /><Relationship Id="rId4" Type="http://schemas.openxmlformats.org/officeDocument/2006/relationships/package" Target="../embeddings/Microsoft_Excel_Worksheet5.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 Trends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Sheet1!$C$4</c:f>
              <c:strCache>
                <c:ptCount val="1"/>
                <c:pt idx="0">
                  <c:v>ROCE (%)</c:v>
                </c:pt>
              </c:strCache>
            </c:strRef>
          </c:tx>
          <c:spPr>
            <a:ln w="28575" cap="rnd">
              <a:solidFill>
                <a:schemeClr val="accent1"/>
              </a:solidFill>
              <a:round/>
            </a:ln>
            <a:effectLst/>
          </c:spPr>
          <c:marker>
            <c:symbol val="none"/>
          </c:marker>
          <c:cat>
            <c:numRef>
              <c:f>Sheet1!$B$5:$B$9</c:f>
              <c:numCache>
                <c:formatCode>General</c:formatCode>
                <c:ptCount val="5"/>
                <c:pt idx="0">
                  <c:v>1</c:v>
                </c:pt>
                <c:pt idx="1">
                  <c:v>2</c:v>
                </c:pt>
                <c:pt idx="2">
                  <c:v>3</c:v>
                </c:pt>
                <c:pt idx="3">
                  <c:v>4</c:v>
                </c:pt>
                <c:pt idx="4">
                  <c:v>5</c:v>
                </c:pt>
              </c:numCache>
            </c:numRef>
          </c:cat>
          <c:val>
            <c:numRef>
              <c:f>Sheet1!$C$5:$C$9</c:f>
              <c:numCache>
                <c:formatCode>General</c:formatCode>
                <c:ptCount val="5"/>
                <c:pt idx="0">
                  <c:v>21</c:v>
                </c:pt>
                <c:pt idx="1">
                  <c:v>19.7</c:v>
                </c:pt>
                <c:pt idx="2">
                  <c:v>17.2</c:v>
                </c:pt>
                <c:pt idx="3">
                  <c:v>15.6</c:v>
                </c:pt>
                <c:pt idx="4">
                  <c:v>14</c:v>
                </c:pt>
              </c:numCache>
            </c:numRef>
          </c:val>
          <c:smooth val="0"/>
          <c:extLst>
            <c:ext xmlns:c16="http://schemas.microsoft.com/office/drawing/2014/chart" uri="{C3380CC4-5D6E-409C-BE32-E72D297353CC}">
              <c16:uniqueId val="{00000000-FEE6-4CF9-90FD-2D83F3456955}"/>
            </c:ext>
          </c:extLst>
        </c:ser>
        <c:ser>
          <c:idx val="1"/>
          <c:order val="1"/>
          <c:tx>
            <c:strRef>
              <c:f>Sheet1!$D$4</c:f>
              <c:strCache>
                <c:ptCount val="1"/>
                <c:pt idx="0">
                  <c:v>Gross Margin (%)</c:v>
                </c:pt>
              </c:strCache>
            </c:strRef>
          </c:tx>
          <c:spPr>
            <a:ln w="28575" cap="rnd">
              <a:solidFill>
                <a:schemeClr val="accent2"/>
              </a:solidFill>
              <a:round/>
            </a:ln>
            <a:effectLst/>
          </c:spPr>
          <c:marker>
            <c:symbol val="none"/>
          </c:marker>
          <c:cat>
            <c:numRef>
              <c:f>Sheet1!$B$5:$B$9</c:f>
              <c:numCache>
                <c:formatCode>General</c:formatCode>
                <c:ptCount val="5"/>
                <c:pt idx="0">
                  <c:v>1</c:v>
                </c:pt>
                <c:pt idx="1">
                  <c:v>2</c:v>
                </c:pt>
                <c:pt idx="2">
                  <c:v>3</c:v>
                </c:pt>
                <c:pt idx="3">
                  <c:v>4</c:v>
                </c:pt>
                <c:pt idx="4">
                  <c:v>5</c:v>
                </c:pt>
              </c:numCache>
            </c:numRef>
          </c:cat>
          <c:val>
            <c:numRef>
              <c:f>Sheet1!$D$5:$D$9</c:f>
              <c:numCache>
                <c:formatCode>General</c:formatCode>
                <c:ptCount val="5"/>
                <c:pt idx="0">
                  <c:v>37.5</c:v>
                </c:pt>
                <c:pt idx="1">
                  <c:v>36.200000000000003</c:v>
                </c:pt>
                <c:pt idx="2">
                  <c:v>34</c:v>
                </c:pt>
                <c:pt idx="3">
                  <c:v>33.1</c:v>
                </c:pt>
                <c:pt idx="4">
                  <c:v>32.4</c:v>
                </c:pt>
              </c:numCache>
            </c:numRef>
          </c:val>
          <c:smooth val="0"/>
          <c:extLst>
            <c:ext xmlns:c16="http://schemas.microsoft.com/office/drawing/2014/chart" uri="{C3380CC4-5D6E-409C-BE32-E72D297353CC}">
              <c16:uniqueId val="{00000001-FEE6-4CF9-90FD-2D83F3456955}"/>
            </c:ext>
          </c:extLst>
        </c:ser>
        <c:ser>
          <c:idx val="2"/>
          <c:order val="2"/>
          <c:tx>
            <c:strRef>
              <c:f>Sheet1!$E$4</c:f>
              <c:strCache>
                <c:ptCount val="1"/>
                <c:pt idx="0">
                  <c:v>Net Margin (%)</c:v>
                </c:pt>
              </c:strCache>
            </c:strRef>
          </c:tx>
          <c:spPr>
            <a:ln w="28575" cap="rnd">
              <a:solidFill>
                <a:schemeClr val="accent3"/>
              </a:solidFill>
              <a:round/>
            </a:ln>
            <a:effectLst/>
          </c:spPr>
          <c:marker>
            <c:symbol val="none"/>
          </c:marker>
          <c:cat>
            <c:numRef>
              <c:f>Sheet1!$B$5:$B$9</c:f>
              <c:numCache>
                <c:formatCode>General</c:formatCode>
                <c:ptCount val="5"/>
                <c:pt idx="0">
                  <c:v>1</c:v>
                </c:pt>
                <c:pt idx="1">
                  <c:v>2</c:v>
                </c:pt>
                <c:pt idx="2">
                  <c:v>3</c:v>
                </c:pt>
                <c:pt idx="3">
                  <c:v>4</c:v>
                </c:pt>
                <c:pt idx="4">
                  <c:v>5</c:v>
                </c:pt>
              </c:numCache>
            </c:numRef>
          </c:cat>
          <c:val>
            <c:numRef>
              <c:f>Sheet1!$E$5:$E$9</c:f>
              <c:numCache>
                <c:formatCode>General</c:formatCode>
                <c:ptCount val="5"/>
                <c:pt idx="0">
                  <c:v>10</c:v>
                </c:pt>
                <c:pt idx="1">
                  <c:v>8.6</c:v>
                </c:pt>
                <c:pt idx="2">
                  <c:v>7.3</c:v>
                </c:pt>
                <c:pt idx="3">
                  <c:v>6.1</c:v>
                </c:pt>
                <c:pt idx="4">
                  <c:v>5</c:v>
                </c:pt>
              </c:numCache>
            </c:numRef>
          </c:val>
          <c:smooth val="0"/>
          <c:extLst>
            <c:ext xmlns:c16="http://schemas.microsoft.com/office/drawing/2014/chart" uri="{C3380CC4-5D6E-409C-BE32-E72D297353CC}">
              <c16:uniqueId val="{00000002-FEE6-4CF9-90FD-2D83F3456955}"/>
            </c:ext>
          </c:extLst>
        </c:ser>
        <c:dLbls>
          <c:showLegendKey val="0"/>
          <c:showVal val="0"/>
          <c:showCatName val="0"/>
          <c:showSerName val="0"/>
          <c:showPercent val="0"/>
          <c:showBubbleSize val="0"/>
        </c:dLbls>
        <c:smooth val="0"/>
        <c:axId val="79760880"/>
        <c:axId val="79786800"/>
      </c:lineChart>
      <c:catAx>
        <c:axId val="79760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86800"/>
        <c:crosses val="autoZero"/>
        <c:auto val="1"/>
        <c:lblAlgn val="ctr"/>
        <c:lblOffset val="100"/>
        <c:noMultiLvlLbl val="0"/>
      </c:catAx>
      <c:valAx>
        <c:axId val="79786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60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 Trends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Sheet1!$I$4</c:f>
              <c:strCache>
                <c:ptCount val="1"/>
                <c:pt idx="0">
                  <c:v>Current Ratio</c:v>
                </c:pt>
              </c:strCache>
            </c:strRef>
          </c:tx>
          <c:spPr>
            <a:solidFill>
              <a:schemeClr val="accent1"/>
            </a:solidFill>
            <a:ln>
              <a:noFill/>
            </a:ln>
            <a:effectLst/>
          </c:spPr>
          <c:invertIfNegative val="0"/>
          <c:cat>
            <c:numRef>
              <c:f>Sheet1!$H$5:$H$9</c:f>
              <c:numCache>
                <c:formatCode>General</c:formatCode>
                <c:ptCount val="5"/>
                <c:pt idx="0">
                  <c:v>1</c:v>
                </c:pt>
                <c:pt idx="1">
                  <c:v>2</c:v>
                </c:pt>
                <c:pt idx="2">
                  <c:v>3</c:v>
                </c:pt>
                <c:pt idx="3">
                  <c:v>4</c:v>
                </c:pt>
                <c:pt idx="4">
                  <c:v>5</c:v>
                </c:pt>
              </c:numCache>
            </c:numRef>
          </c:cat>
          <c:val>
            <c:numRef>
              <c:f>Sheet1!$I$5:$I$9</c:f>
              <c:numCache>
                <c:formatCode>General</c:formatCode>
                <c:ptCount val="5"/>
                <c:pt idx="0">
                  <c:v>1.54</c:v>
                </c:pt>
                <c:pt idx="1">
                  <c:v>1.41</c:v>
                </c:pt>
                <c:pt idx="2">
                  <c:v>1.32</c:v>
                </c:pt>
                <c:pt idx="3">
                  <c:v>1.2</c:v>
                </c:pt>
                <c:pt idx="4">
                  <c:v>1.07</c:v>
                </c:pt>
              </c:numCache>
            </c:numRef>
          </c:val>
          <c:extLst>
            <c:ext xmlns:c16="http://schemas.microsoft.com/office/drawing/2014/chart" uri="{C3380CC4-5D6E-409C-BE32-E72D297353CC}">
              <c16:uniqueId val="{00000000-6707-4768-9E13-9BBF5F6FEEFF}"/>
            </c:ext>
          </c:extLst>
        </c:ser>
        <c:ser>
          <c:idx val="1"/>
          <c:order val="1"/>
          <c:tx>
            <c:strRef>
              <c:f>Sheet1!$J$4</c:f>
              <c:strCache>
                <c:ptCount val="1"/>
                <c:pt idx="0">
                  <c:v>Quick Ratio</c:v>
                </c:pt>
              </c:strCache>
            </c:strRef>
          </c:tx>
          <c:spPr>
            <a:solidFill>
              <a:schemeClr val="accent2"/>
            </a:solidFill>
            <a:ln>
              <a:noFill/>
            </a:ln>
            <a:effectLst/>
          </c:spPr>
          <c:invertIfNegative val="0"/>
          <c:cat>
            <c:numRef>
              <c:f>Sheet1!$H$5:$H$9</c:f>
              <c:numCache>
                <c:formatCode>General</c:formatCode>
                <c:ptCount val="5"/>
                <c:pt idx="0">
                  <c:v>1</c:v>
                </c:pt>
                <c:pt idx="1">
                  <c:v>2</c:v>
                </c:pt>
                <c:pt idx="2">
                  <c:v>3</c:v>
                </c:pt>
                <c:pt idx="3">
                  <c:v>4</c:v>
                </c:pt>
                <c:pt idx="4">
                  <c:v>5</c:v>
                </c:pt>
              </c:numCache>
            </c:numRef>
          </c:cat>
          <c:val>
            <c:numRef>
              <c:f>Sheet1!$J$5:$J$9</c:f>
              <c:numCache>
                <c:formatCode>General</c:formatCode>
                <c:ptCount val="5"/>
                <c:pt idx="0">
                  <c:v>0.96</c:v>
                </c:pt>
                <c:pt idx="1">
                  <c:v>0.88</c:v>
                </c:pt>
                <c:pt idx="2">
                  <c:v>0.79</c:v>
                </c:pt>
                <c:pt idx="3">
                  <c:v>0.68</c:v>
                </c:pt>
                <c:pt idx="4">
                  <c:v>0.57999999999999996</c:v>
                </c:pt>
              </c:numCache>
            </c:numRef>
          </c:val>
          <c:extLst>
            <c:ext xmlns:c16="http://schemas.microsoft.com/office/drawing/2014/chart" uri="{C3380CC4-5D6E-409C-BE32-E72D297353CC}">
              <c16:uniqueId val="{00000001-6707-4768-9E13-9BBF5F6FEEFF}"/>
            </c:ext>
          </c:extLst>
        </c:ser>
        <c:dLbls>
          <c:showLegendKey val="0"/>
          <c:showVal val="0"/>
          <c:showCatName val="0"/>
          <c:showSerName val="0"/>
          <c:showPercent val="0"/>
          <c:showBubbleSize val="0"/>
        </c:dLbls>
        <c:gapWidth val="219"/>
        <c:overlap val="-27"/>
        <c:axId val="232322816"/>
        <c:axId val="232321376"/>
      </c:barChart>
      <c:catAx>
        <c:axId val="232322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321376"/>
        <c:crosses val="autoZero"/>
        <c:auto val="1"/>
        <c:lblAlgn val="ctr"/>
        <c:lblOffset val="100"/>
        <c:noMultiLvlLbl val="0"/>
      </c:catAx>
      <c:valAx>
        <c:axId val="232321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322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CCC Components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Sheet1!$M$6</c:f>
              <c:strCache>
                <c:ptCount val="1"/>
                <c:pt idx="0">
                  <c:v>Value (Days)</c:v>
                </c:pt>
              </c:strCache>
            </c:strRef>
          </c:tx>
          <c:spPr>
            <a:solidFill>
              <a:schemeClr val="accent1"/>
            </a:solidFill>
            <a:ln>
              <a:noFill/>
            </a:ln>
            <a:effectLst/>
          </c:spPr>
          <c:invertIfNegative val="0"/>
          <c:cat>
            <c:strRef>
              <c:f>Sheet1!$L$7:$L$10</c:f>
              <c:strCache>
                <c:ptCount val="4"/>
                <c:pt idx="0">
                  <c:v>Inventory Days</c:v>
                </c:pt>
                <c:pt idx="1">
                  <c:v>Receivable Days</c:v>
                </c:pt>
                <c:pt idx="2">
                  <c:v>Payable Days</c:v>
                </c:pt>
                <c:pt idx="3">
                  <c:v>CCC</c:v>
                </c:pt>
              </c:strCache>
            </c:strRef>
          </c:cat>
          <c:val>
            <c:numRef>
              <c:f>Sheet1!$M$7:$M$10</c:f>
              <c:numCache>
                <c:formatCode>General</c:formatCode>
                <c:ptCount val="4"/>
                <c:pt idx="0">
                  <c:v>58</c:v>
                </c:pt>
                <c:pt idx="1">
                  <c:v>34</c:v>
                </c:pt>
                <c:pt idx="2">
                  <c:v>42</c:v>
                </c:pt>
                <c:pt idx="3">
                  <c:v>50</c:v>
                </c:pt>
              </c:numCache>
            </c:numRef>
          </c:val>
          <c:extLst>
            <c:ext xmlns:c16="http://schemas.microsoft.com/office/drawing/2014/chart" uri="{C3380CC4-5D6E-409C-BE32-E72D297353CC}">
              <c16:uniqueId val="{00000000-F33B-4840-B27C-B58FE5CDA8A7}"/>
            </c:ext>
          </c:extLst>
        </c:ser>
        <c:dLbls>
          <c:showLegendKey val="0"/>
          <c:showVal val="0"/>
          <c:showCatName val="0"/>
          <c:showSerName val="0"/>
          <c:showPercent val="0"/>
          <c:showBubbleSize val="0"/>
        </c:dLbls>
        <c:gapWidth val="219"/>
        <c:overlap val="-27"/>
        <c:axId val="232308896"/>
        <c:axId val="232301216"/>
      </c:barChart>
      <c:catAx>
        <c:axId val="232308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Metric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301216"/>
        <c:crosses val="autoZero"/>
        <c:auto val="1"/>
        <c:lblAlgn val="ctr"/>
        <c:lblOffset val="100"/>
        <c:noMultiLvlLbl val="0"/>
      </c:catAx>
      <c:valAx>
        <c:axId val="232301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Days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308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Gearing Trends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Sheet1!$B$12:$D$12</c:f>
              <c:strCache>
                <c:ptCount val="3"/>
                <c:pt idx="0">
                  <c:v>Year</c:v>
                </c:pt>
                <c:pt idx="1">
                  <c:v>Debt-to-Equity</c:v>
                </c:pt>
                <c:pt idx="2">
                  <c:v>Interest Coverage</c:v>
                </c:pt>
              </c:strCache>
            </c:strRef>
          </c:cat>
          <c:val>
            <c:numRef>
              <c:f>Sheet1!$B$13:$D$13</c:f>
              <c:numCache>
                <c:formatCode>General</c:formatCode>
                <c:ptCount val="3"/>
                <c:pt idx="0">
                  <c:v>1</c:v>
                </c:pt>
                <c:pt idx="1">
                  <c:v>0.53</c:v>
                </c:pt>
                <c:pt idx="2">
                  <c:v>7.6</c:v>
                </c:pt>
              </c:numCache>
            </c:numRef>
          </c:val>
          <c:extLst>
            <c:ext xmlns:c16="http://schemas.microsoft.com/office/drawing/2014/chart" uri="{C3380CC4-5D6E-409C-BE32-E72D297353CC}">
              <c16:uniqueId val="{00000000-F331-4CBC-825D-4971FF848706}"/>
            </c:ext>
          </c:extLst>
        </c:ser>
        <c:ser>
          <c:idx val="1"/>
          <c:order val="1"/>
          <c:spPr>
            <a:solidFill>
              <a:schemeClr val="accent2"/>
            </a:solidFill>
            <a:ln>
              <a:noFill/>
            </a:ln>
            <a:effectLst/>
          </c:spPr>
          <c:invertIfNegative val="0"/>
          <c:cat>
            <c:strRef>
              <c:f>Sheet1!$B$12:$D$12</c:f>
              <c:strCache>
                <c:ptCount val="3"/>
                <c:pt idx="0">
                  <c:v>Year</c:v>
                </c:pt>
                <c:pt idx="1">
                  <c:v>Debt-to-Equity</c:v>
                </c:pt>
                <c:pt idx="2">
                  <c:v>Interest Coverage</c:v>
                </c:pt>
              </c:strCache>
            </c:strRef>
          </c:cat>
          <c:val>
            <c:numRef>
              <c:f>Sheet1!$B$14:$D$14</c:f>
              <c:numCache>
                <c:formatCode>General</c:formatCode>
                <c:ptCount val="3"/>
                <c:pt idx="0">
                  <c:v>5</c:v>
                </c:pt>
                <c:pt idx="1">
                  <c:v>0.88</c:v>
                </c:pt>
                <c:pt idx="2">
                  <c:v>2.95</c:v>
                </c:pt>
              </c:numCache>
            </c:numRef>
          </c:val>
          <c:extLst>
            <c:ext xmlns:c16="http://schemas.microsoft.com/office/drawing/2014/chart" uri="{C3380CC4-5D6E-409C-BE32-E72D297353CC}">
              <c16:uniqueId val="{00000001-F331-4CBC-825D-4971FF848706}"/>
            </c:ext>
          </c:extLst>
        </c:ser>
        <c:dLbls>
          <c:showLegendKey val="0"/>
          <c:showVal val="0"/>
          <c:showCatName val="0"/>
          <c:showSerName val="0"/>
          <c:showPercent val="0"/>
          <c:showBubbleSize val="0"/>
        </c:dLbls>
        <c:gapWidth val="219"/>
        <c:overlap val="-27"/>
        <c:axId val="232318976"/>
        <c:axId val="232323296"/>
      </c:barChart>
      <c:catAx>
        <c:axId val="232318976"/>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323296"/>
        <c:crosses val="autoZero"/>
        <c:auto val="1"/>
        <c:lblAlgn val="ctr"/>
        <c:lblOffset val="100"/>
        <c:noMultiLvlLbl val="0"/>
      </c:catAx>
      <c:valAx>
        <c:axId val="232323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318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Relationship Between ROCE and CCC (Years 1–5)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c:f>
              <c:strCache>
                <c:ptCount val="1"/>
                <c:pt idx="0">
                  <c:v>CCC (Days)</c:v>
                </c:pt>
              </c:strCache>
            </c:strRef>
          </c:tx>
          <c:spPr>
            <a:solidFill>
              <a:schemeClr val="accent1"/>
            </a:solidFill>
            <a:ln>
              <a:noFill/>
            </a:ln>
            <a:effectLst/>
          </c:spPr>
          <c:invertIfNegative val="0"/>
          <c:cat>
            <c:numRef>
              <c:f>Sheet1!$B$4:$B$8</c:f>
              <c:numCache>
                <c:formatCode>General</c:formatCode>
                <c:ptCount val="5"/>
                <c:pt idx="0">
                  <c:v>1</c:v>
                </c:pt>
                <c:pt idx="1">
                  <c:v>2</c:v>
                </c:pt>
                <c:pt idx="2">
                  <c:v>3</c:v>
                </c:pt>
                <c:pt idx="3">
                  <c:v>4</c:v>
                </c:pt>
                <c:pt idx="4">
                  <c:v>5</c:v>
                </c:pt>
              </c:numCache>
            </c:numRef>
          </c:cat>
          <c:val>
            <c:numRef>
              <c:f>Sheet1!$C$4:$C$8</c:f>
              <c:numCache>
                <c:formatCode>General</c:formatCode>
                <c:ptCount val="5"/>
                <c:pt idx="0">
                  <c:v>38</c:v>
                </c:pt>
                <c:pt idx="1">
                  <c:v>42</c:v>
                </c:pt>
                <c:pt idx="2">
                  <c:v>46</c:v>
                </c:pt>
                <c:pt idx="3">
                  <c:v>48</c:v>
                </c:pt>
                <c:pt idx="4">
                  <c:v>50</c:v>
                </c:pt>
              </c:numCache>
            </c:numRef>
          </c:val>
          <c:extLst>
            <c:ext xmlns:c16="http://schemas.microsoft.com/office/drawing/2014/chart" uri="{C3380CC4-5D6E-409C-BE32-E72D297353CC}">
              <c16:uniqueId val="{00000000-2457-4152-81AD-8580484792EE}"/>
            </c:ext>
          </c:extLst>
        </c:ser>
        <c:ser>
          <c:idx val="1"/>
          <c:order val="1"/>
          <c:tx>
            <c:strRef>
              <c:f>Sheet1!$D$3</c:f>
              <c:strCache>
                <c:ptCount val="1"/>
                <c:pt idx="0">
                  <c:v>ROCE (%)</c:v>
                </c:pt>
              </c:strCache>
            </c:strRef>
          </c:tx>
          <c:spPr>
            <a:solidFill>
              <a:schemeClr val="accent2"/>
            </a:solidFill>
            <a:ln>
              <a:noFill/>
            </a:ln>
            <a:effectLst/>
          </c:spPr>
          <c:invertIfNegative val="0"/>
          <c:cat>
            <c:numRef>
              <c:f>Sheet1!$B$4:$B$8</c:f>
              <c:numCache>
                <c:formatCode>General</c:formatCode>
                <c:ptCount val="5"/>
                <c:pt idx="0">
                  <c:v>1</c:v>
                </c:pt>
                <c:pt idx="1">
                  <c:v>2</c:v>
                </c:pt>
                <c:pt idx="2">
                  <c:v>3</c:v>
                </c:pt>
                <c:pt idx="3">
                  <c:v>4</c:v>
                </c:pt>
                <c:pt idx="4">
                  <c:v>5</c:v>
                </c:pt>
              </c:numCache>
            </c:numRef>
          </c:cat>
          <c:val>
            <c:numRef>
              <c:f>Sheet1!$D$4:$D$8</c:f>
              <c:numCache>
                <c:formatCode>General</c:formatCode>
                <c:ptCount val="5"/>
                <c:pt idx="0">
                  <c:v>21</c:v>
                </c:pt>
                <c:pt idx="1">
                  <c:v>19.5</c:v>
                </c:pt>
                <c:pt idx="2">
                  <c:v>17.2</c:v>
                </c:pt>
                <c:pt idx="3">
                  <c:v>15.6</c:v>
                </c:pt>
                <c:pt idx="4">
                  <c:v>14</c:v>
                </c:pt>
              </c:numCache>
            </c:numRef>
          </c:val>
          <c:extLst>
            <c:ext xmlns:c16="http://schemas.microsoft.com/office/drawing/2014/chart" uri="{C3380CC4-5D6E-409C-BE32-E72D297353CC}">
              <c16:uniqueId val="{00000001-2457-4152-81AD-8580484792EE}"/>
            </c:ext>
          </c:extLst>
        </c:ser>
        <c:dLbls>
          <c:showLegendKey val="0"/>
          <c:showVal val="0"/>
          <c:showCatName val="0"/>
          <c:showSerName val="0"/>
          <c:showPercent val="0"/>
          <c:showBubbleSize val="0"/>
        </c:dLbls>
        <c:gapWidth val="219"/>
        <c:overlap val="-27"/>
        <c:axId val="2018985200"/>
        <c:axId val="2019001520"/>
      </c:barChart>
      <c:catAx>
        <c:axId val="2018985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001520"/>
        <c:crosses val="autoZero"/>
        <c:auto val="1"/>
        <c:lblAlgn val="ctr"/>
        <c:lblOffset val="100"/>
        <c:noMultiLvlLbl val="0"/>
      </c:catAx>
      <c:valAx>
        <c:axId val="2019001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CCC(Days)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8985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Trend of Receivable-Collection Period vs. Industry</a:t>
            </a:r>
          </a:p>
        </c:rich>
      </c:tx>
      <c:layout>
        <c:manualLayout>
          <c:xMode val="edge"/>
          <c:yMode val="edge"/>
          <c:x val="0.40671522309711289"/>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Sheet1!$D$11</c:f>
              <c:strCache>
                <c:ptCount val="1"/>
                <c:pt idx="0">
                  <c:v>Industry Average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Sheet1!$C$12:$C$16</c:f>
              <c:numCache>
                <c:formatCode>General</c:formatCode>
                <c:ptCount val="5"/>
                <c:pt idx="0">
                  <c:v>27</c:v>
                </c:pt>
                <c:pt idx="1">
                  <c:v>29</c:v>
                </c:pt>
                <c:pt idx="2">
                  <c:v>31</c:v>
                </c:pt>
                <c:pt idx="3">
                  <c:v>32</c:v>
                </c:pt>
                <c:pt idx="4">
                  <c:v>34</c:v>
                </c:pt>
              </c:numCache>
            </c:numRef>
          </c:xVal>
          <c:yVal>
            <c:numRef>
              <c:f>Sheet1!$D$12:$D$16</c:f>
              <c:numCache>
                <c:formatCode>General</c:formatCode>
                <c:ptCount val="5"/>
                <c:pt idx="0">
                  <c:v>25</c:v>
                </c:pt>
                <c:pt idx="1">
                  <c:v>25</c:v>
                </c:pt>
                <c:pt idx="2">
                  <c:v>25</c:v>
                </c:pt>
                <c:pt idx="3">
                  <c:v>25</c:v>
                </c:pt>
                <c:pt idx="4">
                  <c:v>25</c:v>
                </c:pt>
              </c:numCache>
            </c:numRef>
          </c:yVal>
          <c:smooth val="0"/>
          <c:extLst>
            <c:ext xmlns:c16="http://schemas.microsoft.com/office/drawing/2014/chart" uri="{C3380CC4-5D6E-409C-BE32-E72D297353CC}">
              <c16:uniqueId val="{00000000-C431-4E0C-AABD-5934F4215C4E}"/>
            </c:ext>
          </c:extLst>
        </c:ser>
        <c:ser>
          <c:idx val="1"/>
          <c:order val="1"/>
          <c:tx>
            <c:strRef>
              <c:f>Sheet1!$E$11</c:f>
              <c:strCache>
                <c:ptCount val="1"/>
                <c:pt idx="0">
                  <c:v>Variance</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Sheet1!$C$12:$C$16</c:f>
              <c:numCache>
                <c:formatCode>General</c:formatCode>
                <c:ptCount val="5"/>
                <c:pt idx="0">
                  <c:v>27</c:v>
                </c:pt>
                <c:pt idx="1">
                  <c:v>29</c:v>
                </c:pt>
                <c:pt idx="2">
                  <c:v>31</c:v>
                </c:pt>
                <c:pt idx="3">
                  <c:v>32</c:v>
                </c:pt>
                <c:pt idx="4">
                  <c:v>34</c:v>
                </c:pt>
              </c:numCache>
            </c:numRef>
          </c:xVal>
          <c:yVal>
            <c:numRef>
              <c:f>Sheet1!$E$12:$E$16</c:f>
              <c:numCache>
                <c:formatCode>General</c:formatCode>
                <c:ptCount val="5"/>
                <c:pt idx="0">
                  <c:v>2</c:v>
                </c:pt>
                <c:pt idx="1">
                  <c:v>4</c:v>
                </c:pt>
                <c:pt idx="2">
                  <c:v>6</c:v>
                </c:pt>
                <c:pt idx="3">
                  <c:v>7</c:v>
                </c:pt>
                <c:pt idx="4">
                  <c:v>9</c:v>
                </c:pt>
              </c:numCache>
            </c:numRef>
          </c:yVal>
          <c:smooth val="0"/>
          <c:extLst>
            <c:ext xmlns:c16="http://schemas.microsoft.com/office/drawing/2014/chart" uri="{C3380CC4-5D6E-409C-BE32-E72D297353CC}">
              <c16:uniqueId val="{00000001-C431-4E0C-AABD-5934F4215C4E}"/>
            </c:ext>
          </c:extLst>
        </c:ser>
        <c:dLbls>
          <c:showLegendKey val="0"/>
          <c:showVal val="0"/>
          <c:showCatName val="0"/>
          <c:showSerName val="0"/>
          <c:showPercent val="0"/>
          <c:showBubbleSize val="0"/>
        </c:dLbls>
        <c:axId val="2019032720"/>
        <c:axId val="2019030800"/>
      </c:scatterChart>
      <c:valAx>
        <c:axId val="20190327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030800"/>
        <c:crosses val="autoZero"/>
        <c:crossBetween val="midCat"/>
      </c:valAx>
      <c:valAx>
        <c:axId val="2019030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0327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213C285-0380-41F6-A446-3448E190E4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7664</Words>
  <Characters>43690</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festus kim</cp:lastModifiedBy>
  <cp:revision>2</cp:revision>
  <dcterms:created xsi:type="dcterms:W3CDTF">2025-11-21T15:03:00Z</dcterms:created>
  <dcterms:modified xsi:type="dcterms:W3CDTF">2025-11-21T15:03:00Z</dcterms:modified>
</cp:coreProperties>
</file>