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54F9E" w14:textId="77777777" w:rsidR="00FC1BB9" w:rsidRDefault="00FC1BB9" w:rsidP="00FC1BB9">
      <w:pPr>
        <w:spacing w:before="120" w:after="120"/>
        <w:ind w:firstLine="720"/>
        <w:jc w:val="center"/>
        <w:rPr>
          <w:b/>
          <w:bCs/>
          <w:i/>
          <w:iCs/>
          <w:sz w:val="40"/>
          <w:szCs w:val="40"/>
        </w:rPr>
      </w:pPr>
      <w:r w:rsidRPr="00775976">
        <w:rPr>
          <w:b/>
          <w:bCs/>
          <w:i/>
          <w:iCs/>
          <w:sz w:val="40"/>
          <w:szCs w:val="40"/>
        </w:rPr>
        <w:t>UWTSD</w:t>
      </w:r>
    </w:p>
    <w:p w14:paraId="22FC1DFE" w14:textId="77777777" w:rsidR="00FC1BB9" w:rsidRPr="00775976" w:rsidRDefault="00FC1BB9" w:rsidP="00FC1BB9">
      <w:pPr>
        <w:spacing w:before="120" w:after="120"/>
        <w:ind w:firstLine="720"/>
        <w:jc w:val="center"/>
        <w:rPr>
          <w:sz w:val="32"/>
          <w:szCs w:val="32"/>
        </w:rPr>
      </w:pPr>
      <w:r w:rsidRPr="00F647C9">
        <w:rPr>
          <w:sz w:val="32"/>
          <w:szCs w:val="32"/>
        </w:rPr>
        <w:t>University of Wales</w:t>
      </w:r>
      <w:r>
        <w:rPr>
          <w:sz w:val="32"/>
          <w:szCs w:val="32"/>
        </w:rPr>
        <w:t xml:space="preserve">, </w:t>
      </w:r>
      <w:r w:rsidRPr="00F647C9">
        <w:rPr>
          <w:sz w:val="32"/>
          <w:szCs w:val="32"/>
        </w:rPr>
        <w:t>Trinity Saint David</w:t>
      </w:r>
    </w:p>
    <w:p w14:paraId="3D175897" w14:textId="77777777" w:rsidR="00FC1BB9" w:rsidRPr="00775976" w:rsidRDefault="00FC1BB9" w:rsidP="00FC1BB9">
      <w:pPr>
        <w:spacing w:before="120" w:after="120"/>
        <w:rPr>
          <w:sz w:val="28"/>
          <w:szCs w:val="28"/>
        </w:rPr>
      </w:pPr>
    </w:p>
    <w:p w14:paraId="43AE5EFD" w14:textId="77777777" w:rsidR="00FC1BB9" w:rsidRPr="00775976" w:rsidRDefault="00FC1BB9" w:rsidP="00FC1BB9">
      <w:pPr>
        <w:spacing w:before="120" w:after="120"/>
        <w:ind w:firstLine="720"/>
        <w:jc w:val="center"/>
        <w:rPr>
          <w:sz w:val="28"/>
          <w:szCs w:val="28"/>
        </w:rPr>
      </w:pPr>
    </w:p>
    <w:p w14:paraId="137EEA5A" w14:textId="77777777" w:rsidR="00FC1BB9" w:rsidRPr="00775976" w:rsidRDefault="00FC1BB9" w:rsidP="00FC1BB9">
      <w:pPr>
        <w:spacing w:before="120" w:after="120"/>
        <w:ind w:firstLine="720"/>
        <w:jc w:val="center"/>
        <w:rPr>
          <w:b/>
          <w:bCs/>
          <w:sz w:val="32"/>
          <w:szCs w:val="32"/>
        </w:rPr>
      </w:pPr>
      <w:r w:rsidRPr="00775976">
        <w:rPr>
          <w:b/>
          <w:bCs/>
          <w:sz w:val="32"/>
          <w:szCs w:val="32"/>
        </w:rPr>
        <w:t>ASSESSMENT 1</w:t>
      </w:r>
    </w:p>
    <w:p w14:paraId="06F13B64" w14:textId="77777777" w:rsidR="00FC1BB9" w:rsidRDefault="00FC1BB9" w:rsidP="00FC1BB9">
      <w:pPr>
        <w:spacing w:before="120" w:after="120"/>
        <w:ind w:firstLine="720"/>
        <w:jc w:val="center"/>
        <w:rPr>
          <w:b/>
          <w:bCs/>
          <w:sz w:val="32"/>
          <w:szCs w:val="32"/>
        </w:rPr>
      </w:pPr>
    </w:p>
    <w:p w14:paraId="6F8023BF" w14:textId="6E24F7F7" w:rsidR="00FC1BB9" w:rsidRPr="00775976" w:rsidRDefault="00C04D14" w:rsidP="00FC1BB9">
      <w:pPr>
        <w:spacing w:before="120" w:after="120"/>
        <w:ind w:firstLine="720"/>
        <w:jc w:val="center"/>
        <w:rPr>
          <w:b/>
          <w:bCs/>
          <w:sz w:val="28"/>
          <w:szCs w:val="28"/>
        </w:rPr>
      </w:pPr>
      <w:r w:rsidRPr="00C04D14">
        <w:rPr>
          <w:b/>
          <w:bCs/>
          <w:sz w:val="32"/>
          <w:szCs w:val="32"/>
        </w:rPr>
        <w:t>Banking and Financial Economics (LCMB7032_LON)</w:t>
      </w:r>
    </w:p>
    <w:p w14:paraId="21E84DF9" w14:textId="18874456" w:rsidR="00FC1BB9" w:rsidRPr="00775976" w:rsidRDefault="00FC1BB9" w:rsidP="00FC1BB9">
      <w:pPr>
        <w:spacing w:before="120" w:after="120"/>
        <w:jc w:val="center"/>
        <w:rPr>
          <w:i/>
          <w:iCs/>
          <w:sz w:val="48"/>
          <w:szCs w:val="48"/>
          <w:u w:val="single"/>
        </w:rPr>
      </w:pPr>
      <w:r w:rsidRPr="00775976">
        <w:rPr>
          <w:sz w:val="48"/>
          <w:szCs w:val="48"/>
        </w:rPr>
        <w:t xml:space="preserve">         </w:t>
      </w:r>
      <w:r w:rsidR="00C04D14">
        <w:rPr>
          <w:i/>
          <w:iCs/>
          <w:sz w:val="48"/>
          <w:szCs w:val="48"/>
          <w:u w:val="single"/>
        </w:rPr>
        <w:t>ALIBABA</w:t>
      </w:r>
    </w:p>
    <w:p w14:paraId="68041F66" w14:textId="77777777" w:rsidR="00FC1BB9" w:rsidRPr="00775976" w:rsidRDefault="00FC1BB9" w:rsidP="00FC1BB9">
      <w:pPr>
        <w:spacing w:before="120" w:after="120"/>
        <w:jc w:val="center"/>
        <w:rPr>
          <w:sz w:val="28"/>
          <w:szCs w:val="28"/>
        </w:rPr>
      </w:pPr>
    </w:p>
    <w:p w14:paraId="01357303" w14:textId="77777777" w:rsidR="00FC1BB9" w:rsidRPr="00775976" w:rsidRDefault="00FC1BB9" w:rsidP="00FC1BB9">
      <w:pPr>
        <w:spacing w:before="120" w:after="120"/>
        <w:rPr>
          <w:sz w:val="28"/>
          <w:szCs w:val="28"/>
        </w:rPr>
      </w:pPr>
    </w:p>
    <w:p w14:paraId="7A89DD3A" w14:textId="77777777" w:rsidR="00FC1BB9" w:rsidRPr="00775976" w:rsidRDefault="00FC1BB9" w:rsidP="00FC1BB9">
      <w:pPr>
        <w:spacing w:before="120" w:after="120"/>
      </w:pPr>
    </w:p>
    <w:p w14:paraId="15F9018B" w14:textId="77777777" w:rsidR="00FC1BB9" w:rsidRPr="00775976" w:rsidRDefault="00FC1BB9" w:rsidP="00FC1BB9">
      <w:pPr>
        <w:spacing w:before="120" w:after="120"/>
        <w:ind w:firstLine="720"/>
      </w:pPr>
    </w:p>
    <w:p w14:paraId="0CBD0019" w14:textId="77777777" w:rsidR="00FC1BB9" w:rsidRPr="00775976" w:rsidRDefault="00FC1BB9" w:rsidP="00FC1BB9">
      <w:pPr>
        <w:spacing w:before="120" w:after="120"/>
        <w:ind w:firstLine="720"/>
        <w:jc w:val="center"/>
      </w:pPr>
      <w:r w:rsidRPr="00775976">
        <w:t>Student                                                                                                 Lecture</w:t>
      </w:r>
    </w:p>
    <w:p w14:paraId="49B98750" w14:textId="77777777" w:rsidR="00FC1BB9" w:rsidRPr="00775976" w:rsidRDefault="00FC1BB9" w:rsidP="00FC1BB9">
      <w:pPr>
        <w:spacing w:before="120" w:after="120"/>
        <w:ind w:firstLine="720"/>
        <w:jc w:val="center"/>
      </w:pPr>
    </w:p>
    <w:p w14:paraId="6D88E5CC" w14:textId="77777777" w:rsidR="00FC1BB9" w:rsidRPr="00775976" w:rsidRDefault="00FC1BB9" w:rsidP="00FC1BB9">
      <w:pPr>
        <w:spacing w:before="120" w:after="120"/>
        <w:ind w:firstLine="720"/>
        <w:jc w:val="center"/>
      </w:pPr>
    </w:p>
    <w:p w14:paraId="37E4A5DE" w14:textId="77777777" w:rsidR="00FC1BB9" w:rsidRPr="00775976" w:rsidRDefault="00FC1BB9" w:rsidP="00FC1BB9">
      <w:pPr>
        <w:spacing w:before="120" w:after="120"/>
        <w:ind w:firstLine="720"/>
      </w:pPr>
      <w:r w:rsidRPr="00775976">
        <w:t xml:space="preserve">  Manal Talharchet                                                                                 </w:t>
      </w:r>
      <w:r>
        <w:t xml:space="preserve">     </w:t>
      </w:r>
      <w:r w:rsidRPr="00775976">
        <w:t xml:space="preserve"> </w:t>
      </w:r>
      <w:r>
        <w:t>David Coker</w:t>
      </w:r>
    </w:p>
    <w:p w14:paraId="59BBF8B5" w14:textId="77777777" w:rsidR="00FC1BB9" w:rsidRPr="00775976" w:rsidRDefault="00FC1BB9" w:rsidP="00FC1BB9">
      <w:pPr>
        <w:spacing w:before="120" w:after="120"/>
        <w:ind w:firstLine="720"/>
      </w:pPr>
      <w:r w:rsidRPr="00775976">
        <w:t xml:space="preserve">       1917140</w:t>
      </w:r>
    </w:p>
    <w:p w14:paraId="1B412766" w14:textId="77777777" w:rsidR="00FC1BB9" w:rsidRPr="00775976" w:rsidRDefault="00FC1BB9" w:rsidP="00FC1BB9">
      <w:pPr>
        <w:spacing w:before="120" w:after="120"/>
        <w:ind w:firstLine="720"/>
        <w:jc w:val="center"/>
      </w:pPr>
    </w:p>
    <w:p w14:paraId="2D914042" w14:textId="77777777" w:rsidR="00FC1BB9" w:rsidRDefault="00FC1BB9" w:rsidP="00FC1BB9">
      <w:pPr>
        <w:spacing w:before="120" w:after="120"/>
        <w:ind w:firstLine="720"/>
        <w:jc w:val="center"/>
      </w:pPr>
    </w:p>
    <w:p w14:paraId="379191A3" w14:textId="77777777" w:rsidR="00C04D14" w:rsidRPr="00775976" w:rsidRDefault="00C04D14" w:rsidP="00FC1BB9">
      <w:pPr>
        <w:spacing w:before="120" w:after="120"/>
        <w:ind w:firstLine="720"/>
        <w:jc w:val="center"/>
      </w:pPr>
    </w:p>
    <w:p w14:paraId="4560E432" w14:textId="34E68D07" w:rsidR="00FC1BB9" w:rsidRDefault="00FC1BB9" w:rsidP="00FC1BB9">
      <w:pPr>
        <w:spacing w:before="120" w:after="120"/>
        <w:ind w:firstLine="720"/>
        <w:jc w:val="center"/>
      </w:pPr>
      <w:r>
        <w:t>April 2024</w:t>
      </w:r>
    </w:p>
    <w:sdt>
      <w:sdtPr>
        <w:rPr>
          <w:rFonts w:ascii="Times New Roman" w:eastAsiaTheme="minorHAnsi" w:hAnsi="Times New Roman" w:cstheme="minorBidi"/>
          <w:color w:val="auto"/>
          <w:sz w:val="24"/>
          <w:szCs w:val="22"/>
          <w:lang w:val="en-GB"/>
        </w:rPr>
        <w:id w:val="-788428202"/>
        <w:docPartObj>
          <w:docPartGallery w:val="Table of Contents"/>
          <w:docPartUnique/>
        </w:docPartObj>
      </w:sdtPr>
      <w:sdtEndPr>
        <w:rPr>
          <w:b/>
          <w:bCs/>
          <w:noProof/>
        </w:rPr>
      </w:sdtEndPr>
      <w:sdtContent>
        <w:p w14:paraId="7649AE8F" w14:textId="50681E58" w:rsidR="0030366C" w:rsidRPr="00C04D14" w:rsidRDefault="0030366C">
          <w:pPr>
            <w:pStyle w:val="Titolosommario"/>
            <w:rPr>
              <w:b/>
              <w:bCs/>
            </w:rPr>
          </w:pPr>
          <w:r w:rsidRPr="00C04D14">
            <w:rPr>
              <w:b/>
              <w:bCs/>
            </w:rPr>
            <w:t>Table of Contents</w:t>
          </w:r>
        </w:p>
        <w:p w14:paraId="4413343D" w14:textId="392E1A27" w:rsidR="00B53758" w:rsidRDefault="0030366C">
          <w:pPr>
            <w:pStyle w:val="Sommario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4940519" w:history="1">
            <w:r w:rsidR="00B53758" w:rsidRPr="00632E95">
              <w:rPr>
                <w:rStyle w:val="Collegamentoipertestuale"/>
                <w:noProof/>
              </w:rPr>
              <w:t>Task – 1</w:t>
            </w:r>
            <w:r w:rsidR="00B53758">
              <w:rPr>
                <w:noProof/>
                <w:webHidden/>
              </w:rPr>
              <w:tab/>
            </w:r>
            <w:r w:rsidR="00B53758">
              <w:rPr>
                <w:noProof/>
                <w:webHidden/>
              </w:rPr>
              <w:fldChar w:fldCharType="begin"/>
            </w:r>
            <w:r w:rsidR="00B53758">
              <w:rPr>
                <w:noProof/>
                <w:webHidden/>
              </w:rPr>
              <w:instrText xml:space="preserve"> PAGEREF _Toc164940519 \h </w:instrText>
            </w:r>
            <w:r w:rsidR="00B53758">
              <w:rPr>
                <w:noProof/>
                <w:webHidden/>
              </w:rPr>
            </w:r>
            <w:r w:rsidR="00B53758">
              <w:rPr>
                <w:noProof/>
                <w:webHidden/>
              </w:rPr>
              <w:fldChar w:fldCharType="separate"/>
            </w:r>
            <w:r w:rsidR="00B53758">
              <w:rPr>
                <w:noProof/>
                <w:webHidden/>
              </w:rPr>
              <w:t>4</w:t>
            </w:r>
            <w:r w:rsidR="00B53758">
              <w:rPr>
                <w:noProof/>
                <w:webHidden/>
              </w:rPr>
              <w:fldChar w:fldCharType="end"/>
            </w:r>
          </w:hyperlink>
        </w:p>
        <w:p w14:paraId="2FC7D137" w14:textId="013517E8" w:rsidR="00B53758" w:rsidRDefault="00000000">
          <w:pPr>
            <w:pStyle w:val="Sommario2"/>
            <w:tabs>
              <w:tab w:val="right" w:leader="dot" w:pos="9350"/>
            </w:tabs>
            <w:rPr>
              <w:rFonts w:asciiTheme="minorHAnsi" w:eastAsiaTheme="minorEastAsia" w:hAnsiTheme="minorHAnsi"/>
              <w:noProof/>
              <w:sz w:val="22"/>
              <w:lang w:eastAsia="en-GB"/>
            </w:rPr>
          </w:pPr>
          <w:hyperlink w:anchor="_Toc164940520" w:history="1">
            <w:r w:rsidR="00B53758" w:rsidRPr="00632E95">
              <w:rPr>
                <w:rStyle w:val="Collegamentoipertestuale"/>
                <w:noProof/>
              </w:rPr>
              <w:t>A) Overview of Alibaba:</w:t>
            </w:r>
            <w:r w:rsidR="00B53758">
              <w:rPr>
                <w:noProof/>
                <w:webHidden/>
              </w:rPr>
              <w:tab/>
            </w:r>
            <w:r w:rsidR="00B53758">
              <w:rPr>
                <w:noProof/>
                <w:webHidden/>
              </w:rPr>
              <w:fldChar w:fldCharType="begin"/>
            </w:r>
            <w:r w:rsidR="00B53758">
              <w:rPr>
                <w:noProof/>
                <w:webHidden/>
              </w:rPr>
              <w:instrText xml:space="preserve"> PAGEREF _Toc164940520 \h </w:instrText>
            </w:r>
            <w:r w:rsidR="00B53758">
              <w:rPr>
                <w:noProof/>
                <w:webHidden/>
              </w:rPr>
            </w:r>
            <w:r w:rsidR="00B53758">
              <w:rPr>
                <w:noProof/>
                <w:webHidden/>
              </w:rPr>
              <w:fldChar w:fldCharType="separate"/>
            </w:r>
            <w:r w:rsidR="00B53758">
              <w:rPr>
                <w:noProof/>
                <w:webHidden/>
              </w:rPr>
              <w:t>4</w:t>
            </w:r>
            <w:r w:rsidR="00B53758">
              <w:rPr>
                <w:noProof/>
                <w:webHidden/>
              </w:rPr>
              <w:fldChar w:fldCharType="end"/>
            </w:r>
          </w:hyperlink>
        </w:p>
        <w:p w14:paraId="1FB208A5" w14:textId="369CDA35" w:rsidR="00B53758" w:rsidRDefault="00000000">
          <w:pPr>
            <w:pStyle w:val="Sommario3"/>
            <w:tabs>
              <w:tab w:val="right" w:leader="dot" w:pos="9350"/>
            </w:tabs>
            <w:rPr>
              <w:rFonts w:asciiTheme="minorHAnsi" w:eastAsiaTheme="minorEastAsia" w:hAnsiTheme="minorHAnsi"/>
              <w:noProof/>
              <w:sz w:val="22"/>
              <w:lang w:eastAsia="en-GB"/>
            </w:rPr>
          </w:pPr>
          <w:hyperlink w:anchor="_Toc164940521" w:history="1">
            <w:r w:rsidR="00B53758" w:rsidRPr="00632E95">
              <w:rPr>
                <w:rStyle w:val="Collegamentoipertestuale"/>
                <w:noProof/>
              </w:rPr>
              <w:t>E-commerce:</w:t>
            </w:r>
            <w:r w:rsidR="00B53758">
              <w:rPr>
                <w:noProof/>
                <w:webHidden/>
              </w:rPr>
              <w:tab/>
            </w:r>
            <w:r w:rsidR="00B53758">
              <w:rPr>
                <w:noProof/>
                <w:webHidden/>
              </w:rPr>
              <w:fldChar w:fldCharType="begin"/>
            </w:r>
            <w:r w:rsidR="00B53758">
              <w:rPr>
                <w:noProof/>
                <w:webHidden/>
              </w:rPr>
              <w:instrText xml:space="preserve"> PAGEREF _Toc164940521 \h </w:instrText>
            </w:r>
            <w:r w:rsidR="00B53758">
              <w:rPr>
                <w:noProof/>
                <w:webHidden/>
              </w:rPr>
            </w:r>
            <w:r w:rsidR="00B53758">
              <w:rPr>
                <w:noProof/>
                <w:webHidden/>
              </w:rPr>
              <w:fldChar w:fldCharType="separate"/>
            </w:r>
            <w:r w:rsidR="00B53758">
              <w:rPr>
                <w:noProof/>
                <w:webHidden/>
              </w:rPr>
              <w:t>4</w:t>
            </w:r>
            <w:r w:rsidR="00B53758">
              <w:rPr>
                <w:noProof/>
                <w:webHidden/>
              </w:rPr>
              <w:fldChar w:fldCharType="end"/>
            </w:r>
          </w:hyperlink>
        </w:p>
        <w:p w14:paraId="0C02575E" w14:textId="51C78F8F" w:rsidR="00B53758" w:rsidRDefault="00000000">
          <w:pPr>
            <w:pStyle w:val="Sommario3"/>
            <w:tabs>
              <w:tab w:val="right" w:leader="dot" w:pos="9350"/>
            </w:tabs>
            <w:rPr>
              <w:rFonts w:asciiTheme="minorHAnsi" w:eastAsiaTheme="minorEastAsia" w:hAnsiTheme="minorHAnsi"/>
              <w:noProof/>
              <w:sz w:val="22"/>
              <w:lang w:eastAsia="en-GB"/>
            </w:rPr>
          </w:pPr>
          <w:hyperlink w:anchor="_Toc164940522" w:history="1">
            <w:r w:rsidR="00B53758" w:rsidRPr="00632E95">
              <w:rPr>
                <w:rStyle w:val="Collegamentoipertestuale"/>
                <w:noProof/>
              </w:rPr>
              <w:t>Cloud Computing:</w:t>
            </w:r>
            <w:r w:rsidR="00B53758">
              <w:rPr>
                <w:noProof/>
                <w:webHidden/>
              </w:rPr>
              <w:tab/>
            </w:r>
            <w:r w:rsidR="00B53758">
              <w:rPr>
                <w:noProof/>
                <w:webHidden/>
              </w:rPr>
              <w:fldChar w:fldCharType="begin"/>
            </w:r>
            <w:r w:rsidR="00B53758">
              <w:rPr>
                <w:noProof/>
                <w:webHidden/>
              </w:rPr>
              <w:instrText xml:space="preserve"> PAGEREF _Toc164940522 \h </w:instrText>
            </w:r>
            <w:r w:rsidR="00B53758">
              <w:rPr>
                <w:noProof/>
                <w:webHidden/>
              </w:rPr>
            </w:r>
            <w:r w:rsidR="00B53758">
              <w:rPr>
                <w:noProof/>
                <w:webHidden/>
              </w:rPr>
              <w:fldChar w:fldCharType="separate"/>
            </w:r>
            <w:r w:rsidR="00B53758">
              <w:rPr>
                <w:noProof/>
                <w:webHidden/>
              </w:rPr>
              <w:t>4</w:t>
            </w:r>
            <w:r w:rsidR="00B53758">
              <w:rPr>
                <w:noProof/>
                <w:webHidden/>
              </w:rPr>
              <w:fldChar w:fldCharType="end"/>
            </w:r>
          </w:hyperlink>
        </w:p>
        <w:p w14:paraId="50DE782E" w14:textId="5F6BA957" w:rsidR="00B53758" w:rsidRDefault="00000000">
          <w:pPr>
            <w:pStyle w:val="Sommario3"/>
            <w:tabs>
              <w:tab w:val="right" w:leader="dot" w:pos="9350"/>
            </w:tabs>
            <w:rPr>
              <w:rFonts w:asciiTheme="minorHAnsi" w:eastAsiaTheme="minorEastAsia" w:hAnsiTheme="minorHAnsi"/>
              <w:noProof/>
              <w:sz w:val="22"/>
              <w:lang w:eastAsia="en-GB"/>
            </w:rPr>
          </w:pPr>
          <w:hyperlink w:anchor="_Toc164940523" w:history="1">
            <w:r w:rsidR="00B53758" w:rsidRPr="00632E95">
              <w:rPr>
                <w:rStyle w:val="Collegamentoipertestuale"/>
                <w:noProof/>
              </w:rPr>
              <w:t>Digital Media and Entertainment:</w:t>
            </w:r>
            <w:r w:rsidR="00B53758">
              <w:rPr>
                <w:noProof/>
                <w:webHidden/>
              </w:rPr>
              <w:tab/>
            </w:r>
            <w:r w:rsidR="00B53758">
              <w:rPr>
                <w:noProof/>
                <w:webHidden/>
              </w:rPr>
              <w:fldChar w:fldCharType="begin"/>
            </w:r>
            <w:r w:rsidR="00B53758">
              <w:rPr>
                <w:noProof/>
                <w:webHidden/>
              </w:rPr>
              <w:instrText xml:space="preserve"> PAGEREF _Toc164940523 \h </w:instrText>
            </w:r>
            <w:r w:rsidR="00B53758">
              <w:rPr>
                <w:noProof/>
                <w:webHidden/>
              </w:rPr>
            </w:r>
            <w:r w:rsidR="00B53758">
              <w:rPr>
                <w:noProof/>
                <w:webHidden/>
              </w:rPr>
              <w:fldChar w:fldCharType="separate"/>
            </w:r>
            <w:r w:rsidR="00B53758">
              <w:rPr>
                <w:noProof/>
                <w:webHidden/>
              </w:rPr>
              <w:t>4</w:t>
            </w:r>
            <w:r w:rsidR="00B53758">
              <w:rPr>
                <w:noProof/>
                <w:webHidden/>
              </w:rPr>
              <w:fldChar w:fldCharType="end"/>
            </w:r>
          </w:hyperlink>
        </w:p>
        <w:p w14:paraId="01B55E0C" w14:textId="39E3980D" w:rsidR="00B53758" w:rsidRDefault="00000000">
          <w:pPr>
            <w:pStyle w:val="Sommario3"/>
            <w:tabs>
              <w:tab w:val="right" w:leader="dot" w:pos="9350"/>
            </w:tabs>
            <w:rPr>
              <w:rFonts w:asciiTheme="minorHAnsi" w:eastAsiaTheme="minorEastAsia" w:hAnsiTheme="minorHAnsi"/>
              <w:noProof/>
              <w:sz w:val="22"/>
              <w:lang w:eastAsia="en-GB"/>
            </w:rPr>
          </w:pPr>
          <w:hyperlink w:anchor="_Toc164940524" w:history="1">
            <w:r w:rsidR="00B53758" w:rsidRPr="00632E95">
              <w:rPr>
                <w:rStyle w:val="Collegamentoipertestuale"/>
                <w:noProof/>
              </w:rPr>
              <w:t>Innovation Initiatives:</w:t>
            </w:r>
            <w:r w:rsidR="00B53758">
              <w:rPr>
                <w:noProof/>
                <w:webHidden/>
              </w:rPr>
              <w:tab/>
            </w:r>
            <w:r w:rsidR="00B53758">
              <w:rPr>
                <w:noProof/>
                <w:webHidden/>
              </w:rPr>
              <w:fldChar w:fldCharType="begin"/>
            </w:r>
            <w:r w:rsidR="00B53758">
              <w:rPr>
                <w:noProof/>
                <w:webHidden/>
              </w:rPr>
              <w:instrText xml:space="preserve"> PAGEREF _Toc164940524 \h </w:instrText>
            </w:r>
            <w:r w:rsidR="00B53758">
              <w:rPr>
                <w:noProof/>
                <w:webHidden/>
              </w:rPr>
            </w:r>
            <w:r w:rsidR="00B53758">
              <w:rPr>
                <w:noProof/>
                <w:webHidden/>
              </w:rPr>
              <w:fldChar w:fldCharType="separate"/>
            </w:r>
            <w:r w:rsidR="00B53758">
              <w:rPr>
                <w:noProof/>
                <w:webHidden/>
              </w:rPr>
              <w:t>4</w:t>
            </w:r>
            <w:r w:rsidR="00B53758">
              <w:rPr>
                <w:noProof/>
                <w:webHidden/>
              </w:rPr>
              <w:fldChar w:fldCharType="end"/>
            </w:r>
          </w:hyperlink>
        </w:p>
        <w:p w14:paraId="25E5A3F7" w14:textId="335DB14C" w:rsidR="00B53758" w:rsidRDefault="00000000">
          <w:pPr>
            <w:pStyle w:val="Sommario2"/>
            <w:tabs>
              <w:tab w:val="right" w:leader="dot" w:pos="9350"/>
            </w:tabs>
            <w:rPr>
              <w:rFonts w:asciiTheme="minorHAnsi" w:eastAsiaTheme="minorEastAsia" w:hAnsiTheme="minorHAnsi"/>
              <w:noProof/>
              <w:sz w:val="22"/>
              <w:lang w:eastAsia="en-GB"/>
            </w:rPr>
          </w:pPr>
          <w:hyperlink w:anchor="_Toc164940525" w:history="1">
            <w:r w:rsidR="00B53758" w:rsidRPr="00632E95">
              <w:rPr>
                <w:rStyle w:val="Collegamentoipertestuale"/>
                <w:noProof/>
              </w:rPr>
              <w:t>B) Reasons for Going Public:</w:t>
            </w:r>
            <w:r w:rsidR="00B53758">
              <w:rPr>
                <w:noProof/>
                <w:webHidden/>
              </w:rPr>
              <w:tab/>
            </w:r>
            <w:r w:rsidR="00B53758">
              <w:rPr>
                <w:noProof/>
                <w:webHidden/>
              </w:rPr>
              <w:fldChar w:fldCharType="begin"/>
            </w:r>
            <w:r w:rsidR="00B53758">
              <w:rPr>
                <w:noProof/>
                <w:webHidden/>
              </w:rPr>
              <w:instrText xml:space="preserve"> PAGEREF _Toc164940525 \h </w:instrText>
            </w:r>
            <w:r w:rsidR="00B53758">
              <w:rPr>
                <w:noProof/>
                <w:webHidden/>
              </w:rPr>
            </w:r>
            <w:r w:rsidR="00B53758">
              <w:rPr>
                <w:noProof/>
                <w:webHidden/>
              </w:rPr>
              <w:fldChar w:fldCharType="separate"/>
            </w:r>
            <w:r w:rsidR="00B53758">
              <w:rPr>
                <w:noProof/>
                <w:webHidden/>
              </w:rPr>
              <w:t>5</w:t>
            </w:r>
            <w:r w:rsidR="00B53758">
              <w:rPr>
                <w:noProof/>
                <w:webHidden/>
              </w:rPr>
              <w:fldChar w:fldCharType="end"/>
            </w:r>
          </w:hyperlink>
        </w:p>
        <w:p w14:paraId="75CFF7A6" w14:textId="18A37577" w:rsidR="00B53758" w:rsidRDefault="00000000">
          <w:pPr>
            <w:pStyle w:val="Sommario3"/>
            <w:tabs>
              <w:tab w:val="right" w:leader="dot" w:pos="9350"/>
            </w:tabs>
            <w:rPr>
              <w:rFonts w:asciiTheme="minorHAnsi" w:eastAsiaTheme="minorEastAsia" w:hAnsiTheme="minorHAnsi"/>
              <w:noProof/>
              <w:sz w:val="22"/>
              <w:lang w:eastAsia="en-GB"/>
            </w:rPr>
          </w:pPr>
          <w:hyperlink w:anchor="_Toc164940526" w:history="1">
            <w:r w:rsidR="00B53758" w:rsidRPr="00632E95">
              <w:rPr>
                <w:rStyle w:val="Collegamentoipertestuale"/>
                <w:noProof/>
              </w:rPr>
              <w:t>Access to Capital:</w:t>
            </w:r>
            <w:r w:rsidR="00B53758">
              <w:rPr>
                <w:noProof/>
                <w:webHidden/>
              </w:rPr>
              <w:tab/>
            </w:r>
            <w:r w:rsidR="00B53758">
              <w:rPr>
                <w:noProof/>
                <w:webHidden/>
              </w:rPr>
              <w:fldChar w:fldCharType="begin"/>
            </w:r>
            <w:r w:rsidR="00B53758">
              <w:rPr>
                <w:noProof/>
                <w:webHidden/>
              </w:rPr>
              <w:instrText xml:space="preserve"> PAGEREF _Toc164940526 \h </w:instrText>
            </w:r>
            <w:r w:rsidR="00B53758">
              <w:rPr>
                <w:noProof/>
                <w:webHidden/>
              </w:rPr>
            </w:r>
            <w:r w:rsidR="00B53758">
              <w:rPr>
                <w:noProof/>
                <w:webHidden/>
              </w:rPr>
              <w:fldChar w:fldCharType="separate"/>
            </w:r>
            <w:r w:rsidR="00B53758">
              <w:rPr>
                <w:noProof/>
                <w:webHidden/>
              </w:rPr>
              <w:t>5</w:t>
            </w:r>
            <w:r w:rsidR="00B53758">
              <w:rPr>
                <w:noProof/>
                <w:webHidden/>
              </w:rPr>
              <w:fldChar w:fldCharType="end"/>
            </w:r>
          </w:hyperlink>
        </w:p>
        <w:p w14:paraId="465C7FA2" w14:textId="49B2C1EF" w:rsidR="00B53758" w:rsidRDefault="00000000">
          <w:pPr>
            <w:pStyle w:val="Sommario3"/>
            <w:tabs>
              <w:tab w:val="right" w:leader="dot" w:pos="9350"/>
            </w:tabs>
            <w:rPr>
              <w:rFonts w:asciiTheme="minorHAnsi" w:eastAsiaTheme="minorEastAsia" w:hAnsiTheme="minorHAnsi"/>
              <w:noProof/>
              <w:sz w:val="22"/>
              <w:lang w:eastAsia="en-GB"/>
            </w:rPr>
          </w:pPr>
          <w:hyperlink w:anchor="_Toc164940527" w:history="1">
            <w:r w:rsidR="00B53758" w:rsidRPr="00632E95">
              <w:rPr>
                <w:rStyle w:val="Collegamentoipertestuale"/>
                <w:noProof/>
              </w:rPr>
              <w:t>Enhanced Visibility and Credibility:</w:t>
            </w:r>
            <w:r w:rsidR="00B53758">
              <w:rPr>
                <w:noProof/>
                <w:webHidden/>
              </w:rPr>
              <w:tab/>
            </w:r>
            <w:r w:rsidR="00B53758">
              <w:rPr>
                <w:noProof/>
                <w:webHidden/>
              </w:rPr>
              <w:fldChar w:fldCharType="begin"/>
            </w:r>
            <w:r w:rsidR="00B53758">
              <w:rPr>
                <w:noProof/>
                <w:webHidden/>
              </w:rPr>
              <w:instrText xml:space="preserve"> PAGEREF _Toc164940527 \h </w:instrText>
            </w:r>
            <w:r w:rsidR="00B53758">
              <w:rPr>
                <w:noProof/>
                <w:webHidden/>
              </w:rPr>
            </w:r>
            <w:r w:rsidR="00B53758">
              <w:rPr>
                <w:noProof/>
                <w:webHidden/>
              </w:rPr>
              <w:fldChar w:fldCharType="separate"/>
            </w:r>
            <w:r w:rsidR="00B53758">
              <w:rPr>
                <w:noProof/>
                <w:webHidden/>
              </w:rPr>
              <w:t>5</w:t>
            </w:r>
            <w:r w:rsidR="00B53758">
              <w:rPr>
                <w:noProof/>
                <w:webHidden/>
              </w:rPr>
              <w:fldChar w:fldCharType="end"/>
            </w:r>
          </w:hyperlink>
        </w:p>
        <w:p w14:paraId="65994C15" w14:textId="1480EBD4" w:rsidR="00B53758" w:rsidRDefault="00000000">
          <w:pPr>
            <w:pStyle w:val="Sommario3"/>
            <w:tabs>
              <w:tab w:val="right" w:leader="dot" w:pos="9350"/>
            </w:tabs>
            <w:rPr>
              <w:rFonts w:asciiTheme="minorHAnsi" w:eastAsiaTheme="minorEastAsia" w:hAnsiTheme="minorHAnsi"/>
              <w:noProof/>
              <w:sz w:val="22"/>
              <w:lang w:eastAsia="en-GB"/>
            </w:rPr>
          </w:pPr>
          <w:hyperlink w:anchor="_Toc164940528" w:history="1">
            <w:r w:rsidR="00B53758" w:rsidRPr="00632E95">
              <w:rPr>
                <w:rStyle w:val="Collegamentoipertestuale"/>
                <w:noProof/>
              </w:rPr>
              <w:t>Liquidity for Existing Shareholders:</w:t>
            </w:r>
            <w:r w:rsidR="00B53758">
              <w:rPr>
                <w:noProof/>
                <w:webHidden/>
              </w:rPr>
              <w:tab/>
            </w:r>
            <w:r w:rsidR="00B53758">
              <w:rPr>
                <w:noProof/>
                <w:webHidden/>
              </w:rPr>
              <w:fldChar w:fldCharType="begin"/>
            </w:r>
            <w:r w:rsidR="00B53758">
              <w:rPr>
                <w:noProof/>
                <w:webHidden/>
              </w:rPr>
              <w:instrText xml:space="preserve"> PAGEREF _Toc164940528 \h </w:instrText>
            </w:r>
            <w:r w:rsidR="00B53758">
              <w:rPr>
                <w:noProof/>
                <w:webHidden/>
              </w:rPr>
            </w:r>
            <w:r w:rsidR="00B53758">
              <w:rPr>
                <w:noProof/>
                <w:webHidden/>
              </w:rPr>
              <w:fldChar w:fldCharType="separate"/>
            </w:r>
            <w:r w:rsidR="00B53758">
              <w:rPr>
                <w:noProof/>
                <w:webHidden/>
              </w:rPr>
              <w:t>5</w:t>
            </w:r>
            <w:r w:rsidR="00B53758">
              <w:rPr>
                <w:noProof/>
                <w:webHidden/>
              </w:rPr>
              <w:fldChar w:fldCharType="end"/>
            </w:r>
          </w:hyperlink>
        </w:p>
        <w:p w14:paraId="4508A07D" w14:textId="6F4413B3" w:rsidR="00B53758" w:rsidRDefault="00000000">
          <w:pPr>
            <w:pStyle w:val="Sommario2"/>
            <w:tabs>
              <w:tab w:val="right" w:leader="dot" w:pos="9350"/>
            </w:tabs>
            <w:rPr>
              <w:rFonts w:asciiTheme="minorHAnsi" w:eastAsiaTheme="minorEastAsia" w:hAnsiTheme="minorHAnsi"/>
              <w:noProof/>
              <w:sz w:val="22"/>
              <w:lang w:eastAsia="en-GB"/>
            </w:rPr>
          </w:pPr>
          <w:hyperlink w:anchor="_Toc164940529" w:history="1">
            <w:r w:rsidR="00B53758" w:rsidRPr="00632E95">
              <w:rPr>
                <w:rStyle w:val="Collegamentoipertestuale"/>
                <w:noProof/>
              </w:rPr>
              <w:t>C) Key Risks Identified in Alibaba's S-1 Filing:</w:t>
            </w:r>
            <w:r w:rsidR="00B53758">
              <w:rPr>
                <w:noProof/>
                <w:webHidden/>
              </w:rPr>
              <w:tab/>
            </w:r>
            <w:r w:rsidR="00B53758">
              <w:rPr>
                <w:noProof/>
                <w:webHidden/>
              </w:rPr>
              <w:fldChar w:fldCharType="begin"/>
            </w:r>
            <w:r w:rsidR="00B53758">
              <w:rPr>
                <w:noProof/>
                <w:webHidden/>
              </w:rPr>
              <w:instrText xml:space="preserve"> PAGEREF _Toc164940529 \h </w:instrText>
            </w:r>
            <w:r w:rsidR="00B53758">
              <w:rPr>
                <w:noProof/>
                <w:webHidden/>
              </w:rPr>
            </w:r>
            <w:r w:rsidR="00B53758">
              <w:rPr>
                <w:noProof/>
                <w:webHidden/>
              </w:rPr>
              <w:fldChar w:fldCharType="separate"/>
            </w:r>
            <w:r w:rsidR="00B53758">
              <w:rPr>
                <w:noProof/>
                <w:webHidden/>
              </w:rPr>
              <w:t>5</w:t>
            </w:r>
            <w:r w:rsidR="00B53758">
              <w:rPr>
                <w:noProof/>
                <w:webHidden/>
              </w:rPr>
              <w:fldChar w:fldCharType="end"/>
            </w:r>
          </w:hyperlink>
        </w:p>
        <w:p w14:paraId="7701B399" w14:textId="76770210" w:rsidR="00B53758" w:rsidRDefault="00000000">
          <w:pPr>
            <w:pStyle w:val="Sommario3"/>
            <w:tabs>
              <w:tab w:val="right" w:leader="dot" w:pos="9350"/>
            </w:tabs>
            <w:rPr>
              <w:rFonts w:asciiTheme="minorHAnsi" w:eastAsiaTheme="minorEastAsia" w:hAnsiTheme="minorHAnsi"/>
              <w:noProof/>
              <w:sz w:val="22"/>
              <w:lang w:eastAsia="en-GB"/>
            </w:rPr>
          </w:pPr>
          <w:hyperlink w:anchor="_Toc164940530" w:history="1">
            <w:r w:rsidR="00B53758" w:rsidRPr="00632E95">
              <w:rPr>
                <w:rStyle w:val="Collegamentoipertestuale"/>
                <w:noProof/>
              </w:rPr>
              <w:t>Regulatory and Legal Risks:</w:t>
            </w:r>
            <w:r w:rsidR="00B53758">
              <w:rPr>
                <w:noProof/>
                <w:webHidden/>
              </w:rPr>
              <w:tab/>
            </w:r>
            <w:r w:rsidR="00B53758">
              <w:rPr>
                <w:noProof/>
                <w:webHidden/>
              </w:rPr>
              <w:fldChar w:fldCharType="begin"/>
            </w:r>
            <w:r w:rsidR="00B53758">
              <w:rPr>
                <w:noProof/>
                <w:webHidden/>
              </w:rPr>
              <w:instrText xml:space="preserve"> PAGEREF _Toc164940530 \h </w:instrText>
            </w:r>
            <w:r w:rsidR="00B53758">
              <w:rPr>
                <w:noProof/>
                <w:webHidden/>
              </w:rPr>
            </w:r>
            <w:r w:rsidR="00B53758">
              <w:rPr>
                <w:noProof/>
                <w:webHidden/>
              </w:rPr>
              <w:fldChar w:fldCharType="separate"/>
            </w:r>
            <w:r w:rsidR="00B53758">
              <w:rPr>
                <w:noProof/>
                <w:webHidden/>
              </w:rPr>
              <w:t>5</w:t>
            </w:r>
            <w:r w:rsidR="00B53758">
              <w:rPr>
                <w:noProof/>
                <w:webHidden/>
              </w:rPr>
              <w:fldChar w:fldCharType="end"/>
            </w:r>
          </w:hyperlink>
        </w:p>
        <w:p w14:paraId="1753ECC5" w14:textId="64CC0FA8" w:rsidR="00B53758" w:rsidRDefault="00000000">
          <w:pPr>
            <w:pStyle w:val="Sommario3"/>
            <w:tabs>
              <w:tab w:val="right" w:leader="dot" w:pos="9350"/>
            </w:tabs>
            <w:rPr>
              <w:rFonts w:asciiTheme="minorHAnsi" w:eastAsiaTheme="minorEastAsia" w:hAnsiTheme="minorHAnsi"/>
              <w:noProof/>
              <w:sz w:val="22"/>
              <w:lang w:eastAsia="en-GB"/>
            </w:rPr>
          </w:pPr>
          <w:hyperlink w:anchor="_Toc164940531" w:history="1">
            <w:r w:rsidR="00B53758" w:rsidRPr="00632E95">
              <w:rPr>
                <w:rStyle w:val="Collegamentoipertestuale"/>
                <w:noProof/>
              </w:rPr>
              <w:t>Market Competition:</w:t>
            </w:r>
            <w:r w:rsidR="00B53758">
              <w:rPr>
                <w:noProof/>
                <w:webHidden/>
              </w:rPr>
              <w:tab/>
            </w:r>
            <w:r w:rsidR="00B53758">
              <w:rPr>
                <w:noProof/>
                <w:webHidden/>
              </w:rPr>
              <w:fldChar w:fldCharType="begin"/>
            </w:r>
            <w:r w:rsidR="00B53758">
              <w:rPr>
                <w:noProof/>
                <w:webHidden/>
              </w:rPr>
              <w:instrText xml:space="preserve"> PAGEREF _Toc164940531 \h </w:instrText>
            </w:r>
            <w:r w:rsidR="00B53758">
              <w:rPr>
                <w:noProof/>
                <w:webHidden/>
              </w:rPr>
            </w:r>
            <w:r w:rsidR="00B53758">
              <w:rPr>
                <w:noProof/>
                <w:webHidden/>
              </w:rPr>
              <w:fldChar w:fldCharType="separate"/>
            </w:r>
            <w:r w:rsidR="00B53758">
              <w:rPr>
                <w:noProof/>
                <w:webHidden/>
              </w:rPr>
              <w:t>6</w:t>
            </w:r>
            <w:r w:rsidR="00B53758">
              <w:rPr>
                <w:noProof/>
                <w:webHidden/>
              </w:rPr>
              <w:fldChar w:fldCharType="end"/>
            </w:r>
          </w:hyperlink>
        </w:p>
        <w:p w14:paraId="09AF0288" w14:textId="27670E98" w:rsidR="00B53758" w:rsidRDefault="00000000">
          <w:pPr>
            <w:pStyle w:val="Sommario3"/>
            <w:tabs>
              <w:tab w:val="right" w:leader="dot" w:pos="9350"/>
            </w:tabs>
            <w:rPr>
              <w:rFonts w:asciiTheme="minorHAnsi" w:eastAsiaTheme="minorEastAsia" w:hAnsiTheme="minorHAnsi"/>
              <w:noProof/>
              <w:sz w:val="22"/>
              <w:lang w:eastAsia="en-GB"/>
            </w:rPr>
          </w:pPr>
          <w:hyperlink w:anchor="_Toc164940532" w:history="1">
            <w:r w:rsidR="00B53758" w:rsidRPr="00632E95">
              <w:rPr>
                <w:rStyle w:val="Collegamentoipertestuale"/>
                <w:noProof/>
              </w:rPr>
              <w:t>Cybersecurity and Data Privacy:</w:t>
            </w:r>
            <w:r w:rsidR="00B53758">
              <w:rPr>
                <w:noProof/>
                <w:webHidden/>
              </w:rPr>
              <w:tab/>
            </w:r>
            <w:r w:rsidR="00B53758">
              <w:rPr>
                <w:noProof/>
                <w:webHidden/>
              </w:rPr>
              <w:fldChar w:fldCharType="begin"/>
            </w:r>
            <w:r w:rsidR="00B53758">
              <w:rPr>
                <w:noProof/>
                <w:webHidden/>
              </w:rPr>
              <w:instrText xml:space="preserve"> PAGEREF _Toc164940532 \h </w:instrText>
            </w:r>
            <w:r w:rsidR="00B53758">
              <w:rPr>
                <w:noProof/>
                <w:webHidden/>
              </w:rPr>
            </w:r>
            <w:r w:rsidR="00B53758">
              <w:rPr>
                <w:noProof/>
                <w:webHidden/>
              </w:rPr>
              <w:fldChar w:fldCharType="separate"/>
            </w:r>
            <w:r w:rsidR="00B53758">
              <w:rPr>
                <w:noProof/>
                <w:webHidden/>
              </w:rPr>
              <w:t>6</w:t>
            </w:r>
            <w:r w:rsidR="00B53758">
              <w:rPr>
                <w:noProof/>
                <w:webHidden/>
              </w:rPr>
              <w:fldChar w:fldCharType="end"/>
            </w:r>
          </w:hyperlink>
        </w:p>
        <w:p w14:paraId="1A00E164" w14:textId="40BEE1B8" w:rsidR="00B53758" w:rsidRDefault="00000000">
          <w:pPr>
            <w:pStyle w:val="Sommario2"/>
            <w:tabs>
              <w:tab w:val="right" w:leader="dot" w:pos="9350"/>
            </w:tabs>
            <w:rPr>
              <w:rFonts w:asciiTheme="minorHAnsi" w:eastAsiaTheme="minorEastAsia" w:hAnsiTheme="minorHAnsi"/>
              <w:noProof/>
              <w:sz w:val="22"/>
              <w:lang w:eastAsia="en-GB"/>
            </w:rPr>
          </w:pPr>
          <w:hyperlink w:anchor="_Toc164940533" w:history="1">
            <w:r w:rsidR="00B53758" w:rsidRPr="00632E95">
              <w:rPr>
                <w:rStyle w:val="Collegamentoipertestuale"/>
                <w:noProof/>
              </w:rPr>
              <w:t>Evaluation of Proposed Valuation in Context of Risks:</w:t>
            </w:r>
            <w:r w:rsidR="00B53758">
              <w:rPr>
                <w:noProof/>
                <w:webHidden/>
              </w:rPr>
              <w:tab/>
            </w:r>
            <w:r w:rsidR="00B53758">
              <w:rPr>
                <w:noProof/>
                <w:webHidden/>
              </w:rPr>
              <w:fldChar w:fldCharType="begin"/>
            </w:r>
            <w:r w:rsidR="00B53758">
              <w:rPr>
                <w:noProof/>
                <w:webHidden/>
              </w:rPr>
              <w:instrText xml:space="preserve"> PAGEREF _Toc164940533 \h </w:instrText>
            </w:r>
            <w:r w:rsidR="00B53758">
              <w:rPr>
                <w:noProof/>
                <w:webHidden/>
              </w:rPr>
            </w:r>
            <w:r w:rsidR="00B53758">
              <w:rPr>
                <w:noProof/>
                <w:webHidden/>
              </w:rPr>
              <w:fldChar w:fldCharType="separate"/>
            </w:r>
            <w:r w:rsidR="00B53758">
              <w:rPr>
                <w:noProof/>
                <w:webHidden/>
              </w:rPr>
              <w:t>6</w:t>
            </w:r>
            <w:r w:rsidR="00B53758">
              <w:rPr>
                <w:noProof/>
                <w:webHidden/>
              </w:rPr>
              <w:fldChar w:fldCharType="end"/>
            </w:r>
          </w:hyperlink>
        </w:p>
        <w:p w14:paraId="2ED385D5" w14:textId="152D6835" w:rsidR="00B53758" w:rsidRDefault="00000000">
          <w:pPr>
            <w:pStyle w:val="Sommario3"/>
            <w:tabs>
              <w:tab w:val="right" w:leader="dot" w:pos="9350"/>
            </w:tabs>
            <w:rPr>
              <w:rFonts w:asciiTheme="minorHAnsi" w:eastAsiaTheme="minorEastAsia" w:hAnsiTheme="minorHAnsi"/>
              <w:noProof/>
              <w:sz w:val="22"/>
              <w:lang w:eastAsia="en-GB"/>
            </w:rPr>
          </w:pPr>
          <w:hyperlink w:anchor="_Toc164940534" w:history="1">
            <w:r w:rsidR="00B53758" w:rsidRPr="00632E95">
              <w:rPr>
                <w:rStyle w:val="Collegamentoipertestuale"/>
                <w:noProof/>
              </w:rPr>
              <w:t>Regulatory and Legal Risks:</w:t>
            </w:r>
            <w:r w:rsidR="00B53758">
              <w:rPr>
                <w:noProof/>
                <w:webHidden/>
              </w:rPr>
              <w:tab/>
            </w:r>
            <w:r w:rsidR="00B53758">
              <w:rPr>
                <w:noProof/>
                <w:webHidden/>
              </w:rPr>
              <w:fldChar w:fldCharType="begin"/>
            </w:r>
            <w:r w:rsidR="00B53758">
              <w:rPr>
                <w:noProof/>
                <w:webHidden/>
              </w:rPr>
              <w:instrText xml:space="preserve"> PAGEREF _Toc164940534 \h </w:instrText>
            </w:r>
            <w:r w:rsidR="00B53758">
              <w:rPr>
                <w:noProof/>
                <w:webHidden/>
              </w:rPr>
            </w:r>
            <w:r w:rsidR="00B53758">
              <w:rPr>
                <w:noProof/>
                <w:webHidden/>
              </w:rPr>
              <w:fldChar w:fldCharType="separate"/>
            </w:r>
            <w:r w:rsidR="00B53758">
              <w:rPr>
                <w:noProof/>
                <w:webHidden/>
              </w:rPr>
              <w:t>6</w:t>
            </w:r>
            <w:r w:rsidR="00B53758">
              <w:rPr>
                <w:noProof/>
                <w:webHidden/>
              </w:rPr>
              <w:fldChar w:fldCharType="end"/>
            </w:r>
          </w:hyperlink>
        </w:p>
        <w:p w14:paraId="03C20151" w14:textId="5F086988" w:rsidR="00B53758" w:rsidRDefault="00000000">
          <w:pPr>
            <w:pStyle w:val="Sommario3"/>
            <w:tabs>
              <w:tab w:val="right" w:leader="dot" w:pos="9350"/>
            </w:tabs>
            <w:rPr>
              <w:rFonts w:asciiTheme="minorHAnsi" w:eastAsiaTheme="minorEastAsia" w:hAnsiTheme="minorHAnsi"/>
              <w:noProof/>
              <w:sz w:val="22"/>
              <w:lang w:eastAsia="en-GB"/>
            </w:rPr>
          </w:pPr>
          <w:hyperlink w:anchor="_Toc164940535" w:history="1">
            <w:r w:rsidR="00B53758" w:rsidRPr="00632E95">
              <w:rPr>
                <w:rStyle w:val="Collegamentoipertestuale"/>
                <w:noProof/>
              </w:rPr>
              <w:t>Market Competition:</w:t>
            </w:r>
            <w:r w:rsidR="00B53758">
              <w:rPr>
                <w:noProof/>
                <w:webHidden/>
              </w:rPr>
              <w:tab/>
            </w:r>
            <w:r w:rsidR="00B53758">
              <w:rPr>
                <w:noProof/>
                <w:webHidden/>
              </w:rPr>
              <w:fldChar w:fldCharType="begin"/>
            </w:r>
            <w:r w:rsidR="00B53758">
              <w:rPr>
                <w:noProof/>
                <w:webHidden/>
              </w:rPr>
              <w:instrText xml:space="preserve"> PAGEREF _Toc164940535 \h </w:instrText>
            </w:r>
            <w:r w:rsidR="00B53758">
              <w:rPr>
                <w:noProof/>
                <w:webHidden/>
              </w:rPr>
            </w:r>
            <w:r w:rsidR="00B53758">
              <w:rPr>
                <w:noProof/>
                <w:webHidden/>
              </w:rPr>
              <w:fldChar w:fldCharType="separate"/>
            </w:r>
            <w:r w:rsidR="00B53758">
              <w:rPr>
                <w:noProof/>
                <w:webHidden/>
              </w:rPr>
              <w:t>7</w:t>
            </w:r>
            <w:r w:rsidR="00B53758">
              <w:rPr>
                <w:noProof/>
                <w:webHidden/>
              </w:rPr>
              <w:fldChar w:fldCharType="end"/>
            </w:r>
          </w:hyperlink>
        </w:p>
        <w:p w14:paraId="44B93819" w14:textId="1D35FF8B" w:rsidR="00B53758" w:rsidRDefault="00000000">
          <w:pPr>
            <w:pStyle w:val="Sommario3"/>
            <w:tabs>
              <w:tab w:val="right" w:leader="dot" w:pos="9350"/>
            </w:tabs>
            <w:rPr>
              <w:rFonts w:asciiTheme="minorHAnsi" w:eastAsiaTheme="minorEastAsia" w:hAnsiTheme="minorHAnsi"/>
              <w:noProof/>
              <w:sz w:val="22"/>
              <w:lang w:eastAsia="en-GB"/>
            </w:rPr>
          </w:pPr>
          <w:hyperlink w:anchor="_Toc164940536" w:history="1">
            <w:r w:rsidR="00B53758" w:rsidRPr="00632E95">
              <w:rPr>
                <w:rStyle w:val="Collegamentoipertestuale"/>
                <w:noProof/>
              </w:rPr>
              <w:t>Cybersecurity and Data Privacy:</w:t>
            </w:r>
            <w:r w:rsidR="00B53758">
              <w:rPr>
                <w:noProof/>
                <w:webHidden/>
              </w:rPr>
              <w:tab/>
            </w:r>
            <w:r w:rsidR="00B53758">
              <w:rPr>
                <w:noProof/>
                <w:webHidden/>
              </w:rPr>
              <w:fldChar w:fldCharType="begin"/>
            </w:r>
            <w:r w:rsidR="00B53758">
              <w:rPr>
                <w:noProof/>
                <w:webHidden/>
              </w:rPr>
              <w:instrText xml:space="preserve"> PAGEREF _Toc164940536 \h </w:instrText>
            </w:r>
            <w:r w:rsidR="00B53758">
              <w:rPr>
                <w:noProof/>
                <w:webHidden/>
              </w:rPr>
            </w:r>
            <w:r w:rsidR="00B53758">
              <w:rPr>
                <w:noProof/>
                <w:webHidden/>
              </w:rPr>
              <w:fldChar w:fldCharType="separate"/>
            </w:r>
            <w:r w:rsidR="00B53758">
              <w:rPr>
                <w:noProof/>
                <w:webHidden/>
              </w:rPr>
              <w:t>7</w:t>
            </w:r>
            <w:r w:rsidR="00B53758">
              <w:rPr>
                <w:noProof/>
                <w:webHidden/>
              </w:rPr>
              <w:fldChar w:fldCharType="end"/>
            </w:r>
          </w:hyperlink>
        </w:p>
        <w:p w14:paraId="10A9EF5A" w14:textId="3762C7E2" w:rsidR="00B53758" w:rsidRDefault="00000000">
          <w:pPr>
            <w:pStyle w:val="Sommario1"/>
            <w:tabs>
              <w:tab w:val="right" w:leader="dot" w:pos="9350"/>
            </w:tabs>
            <w:rPr>
              <w:rFonts w:asciiTheme="minorHAnsi" w:eastAsiaTheme="minorEastAsia" w:hAnsiTheme="minorHAnsi"/>
              <w:noProof/>
              <w:sz w:val="22"/>
              <w:lang w:eastAsia="en-GB"/>
            </w:rPr>
          </w:pPr>
          <w:hyperlink w:anchor="_Toc164940537" w:history="1">
            <w:r w:rsidR="00B53758" w:rsidRPr="00632E95">
              <w:rPr>
                <w:rStyle w:val="Collegamentoipertestuale"/>
                <w:noProof/>
              </w:rPr>
              <w:t>Task – 2</w:t>
            </w:r>
            <w:r w:rsidR="00B53758">
              <w:rPr>
                <w:noProof/>
                <w:webHidden/>
              </w:rPr>
              <w:tab/>
            </w:r>
            <w:r w:rsidR="00B53758">
              <w:rPr>
                <w:noProof/>
                <w:webHidden/>
              </w:rPr>
              <w:fldChar w:fldCharType="begin"/>
            </w:r>
            <w:r w:rsidR="00B53758">
              <w:rPr>
                <w:noProof/>
                <w:webHidden/>
              </w:rPr>
              <w:instrText xml:space="preserve"> PAGEREF _Toc164940537 \h </w:instrText>
            </w:r>
            <w:r w:rsidR="00B53758">
              <w:rPr>
                <w:noProof/>
                <w:webHidden/>
              </w:rPr>
            </w:r>
            <w:r w:rsidR="00B53758">
              <w:rPr>
                <w:noProof/>
                <w:webHidden/>
              </w:rPr>
              <w:fldChar w:fldCharType="separate"/>
            </w:r>
            <w:r w:rsidR="00B53758">
              <w:rPr>
                <w:noProof/>
                <w:webHidden/>
              </w:rPr>
              <w:t>8</w:t>
            </w:r>
            <w:r w:rsidR="00B53758">
              <w:rPr>
                <w:noProof/>
                <w:webHidden/>
              </w:rPr>
              <w:fldChar w:fldCharType="end"/>
            </w:r>
          </w:hyperlink>
        </w:p>
        <w:p w14:paraId="6250021F" w14:textId="080AB8EB" w:rsidR="00B53758" w:rsidRDefault="00000000">
          <w:pPr>
            <w:pStyle w:val="Sommario2"/>
            <w:tabs>
              <w:tab w:val="right" w:leader="dot" w:pos="9350"/>
            </w:tabs>
            <w:rPr>
              <w:rFonts w:asciiTheme="minorHAnsi" w:eastAsiaTheme="minorEastAsia" w:hAnsiTheme="minorHAnsi"/>
              <w:noProof/>
              <w:sz w:val="22"/>
              <w:lang w:eastAsia="en-GB"/>
            </w:rPr>
          </w:pPr>
          <w:hyperlink w:anchor="_Toc164940538" w:history="1">
            <w:r w:rsidR="00B53758" w:rsidRPr="00632E95">
              <w:rPr>
                <w:rStyle w:val="Collegamentoipertestuale"/>
                <w:noProof/>
              </w:rPr>
              <w:t>A) Descriptive Statistics:</w:t>
            </w:r>
            <w:r w:rsidR="00B53758">
              <w:rPr>
                <w:noProof/>
                <w:webHidden/>
              </w:rPr>
              <w:tab/>
            </w:r>
            <w:r w:rsidR="00B53758">
              <w:rPr>
                <w:noProof/>
                <w:webHidden/>
              </w:rPr>
              <w:fldChar w:fldCharType="begin"/>
            </w:r>
            <w:r w:rsidR="00B53758">
              <w:rPr>
                <w:noProof/>
                <w:webHidden/>
              </w:rPr>
              <w:instrText xml:space="preserve"> PAGEREF _Toc164940538 \h </w:instrText>
            </w:r>
            <w:r w:rsidR="00B53758">
              <w:rPr>
                <w:noProof/>
                <w:webHidden/>
              </w:rPr>
            </w:r>
            <w:r w:rsidR="00B53758">
              <w:rPr>
                <w:noProof/>
                <w:webHidden/>
              </w:rPr>
              <w:fldChar w:fldCharType="separate"/>
            </w:r>
            <w:r w:rsidR="00B53758">
              <w:rPr>
                <w:noProof/>
                <w:webHidden/>
              </w:rPr>
              <w:t>8</w:t>
            </w:r>
            <w:r w:rsidR="00B53758">
              <w:rPr>
                <w:noProof/>
                <w:webHidden/>
              </w:rPr>
              <w:fldChar w:fldCharType="end"/>
            </w:r>
          </w:hyperlink>
        </w:p>
        <w:p w14:paraId="326E4278" w14:textId="02E6F929" w:rsidR="00B53758" w:rsidRDefault="00000000">
          <w:pPr>
            <w:pStyle w:val="Sommario2"/>
            <w:tabs>
              <w:tab w:val="right" w:leader="dot" w:pos="9350"/>
            </w:tabs>
            <w:rPr>
              <w:rFonts w:asciiTheme="minorHAnsi" w:eastAsiaTheme="minorEastAsia" w:hAnsiTheme="minorHAnsi"/>
              <w:noProof/>
              <w:sz w:val="22"/>
              <w:lang w:eastAsia="en-GB"/>
            </w:rPr>
          </w:pPr>
          <w:hyperlink w:anchor="_Toc164940539" w:history="1">
            <w:r w:rsidR="00B53758" w:rsidRPr="00632E95">
              <w:rPr>
                <w:rStyle w:val="Collegamentoipertestuale"/>
                <w:noProof/>
              </w:rPr>
              <w:t>B) Compound Annual Growth Rate (CAGR):</w:t>
            </w:r>
            <w:r w:rsidR="00B53758">
              <w:rPr>
                <w:noProof/>
                <w:webHidden/>
              </w:rPr>
              <w:tab/>
            </w:r>
            <w:r w:rsidR="00B53758">
              <w:rPr>
                <w:noProof/>
                <w:webHidden/>
              </w:rPr>
              <w:fldChar w:fldCharType="begin"/>
            </w:r>
            <w:r w:rsidR="00B53758">
              <w:rPr>
                <w:noProof/>
                <w:webHidden/>
              </w:rPr>
              <w:instrText xml:space="preserve"> PAGEREF _Toc164940539 \h </w:instrText>
            </w:r>
            <w:r w:rsidR="00B53758">
              <w:rPr>
                <w:noProof/>
                <w:webHidden/>
              </w:rPr>
            </w:r>
            <w:r w:rsidR="00B53758">
              <w:rPr>
                <w:noProof/>
                <w:webHidden/>
              </w:rPr>
              <w:fldChar w:fldCharType="separate"/>
            </w:r>
            <w:r w:rsidR="00B53758">
              <w:rPr>
                <w:noProof/>
                <w:webHidden/>
              </w:rPr>
              <w:t>8</w:t>
            </w:r>
            <w:r w:rsidR="00B53758">
              <w:rPr>
                <w:noProof/>
                <w:webHidden/>
              </w:rPr>
              <w:fldChar w:fldCharType="end"/>
            </w:r>
          </w:hyperlink>
        </w:p>
        <w:p w14:paraId="4AF8BBF3" w14:textId="2911C661" w:rsidR="00B53758" w:rsidRDefault="00000000">
          <w:pPr>
            <w:pStyle w:val="Sommario2"/>
            <w:tabs>
              <w:tab w:val="right" w:leader="dot" w:pos="9350"/>
            </w:tabs>
            <w:rPr>
              <w:rFonts w:asciiTheme="minorHAnsi" w:eastAsiaTheme="minorEastAsia" w:hAnsiTheme="minorHAnsi"/>
              <w:noProof/>
              <w:sz w:val="22"/>
              <w:lang w:eastAsia="en-GB"/>
            </w:rPr>
          </w:pPr>
          <w:hyperlink w:anchor="_Toc164940540" w:history="1">
            <w:r w:rsidR="00B53758" w:rsidRPr="00632E95">
              <w:rPr>
                <w:rStyle w:val="Collegamentoipertestuale"/>
                <w:noProof/>
              </w:rPr>
              <w:t>C) Sharpe and Treynor Ratios:</w:t>
            </w:r>
            <w:r w:rsidR="00B53758">
              <w:rPr>
                <w:noProof/>
                <w:webHidden/>
              </w:rPr>
              <w:tab/>
            </w:r>
            <w:r w:rsidR="00B53758">
              <w:rPr>
                <w:noProof/>
                <w:webHidden/>
              </w:rPr>
              <w:fldChar w:fldCharType="begin"/>
            </w:r>
            <w:r w:rsidR="00B53758">
              <w:rPr>
                <w:noProof/>
                <w:webHidden/>
              </w:rPr>
              <w:instrText xml:space="preserve"> PAGEREF _Toc164940540 \h </w:instrText>
            </w:r>
            <w:r w:rsidR="00B53758">
              <w:rPr>
                <w:noProof/>
                <w:webHidden/>
              </w:rPr>
            </w:r>
            <w:r w:rsidR="00B53758">
              <w:rPr>
                <w:noProof/>
                <w:webHidden/>
              </w:rPr>
              <w:fldChar w:fldCharType="separate"/>
            </w:r>
            <w:r w:rsidR="00B53758">
              <w:rPr>
                <w:noProof/>
                <w:webHidden/>
              </w:rPr>
              <w:t>9</w:t>
            </w:r>
            <w:r w:rsidR="00B53758">
              <w:rPr>
                <w:noProof/>
                <w:webHidden/>
              </w:rPr>
              <w:fldChar w:fldCharType="end"/>
            </w:r>
          </w:hyperlink>
        </w:p>
        <w:p w14:paraId="434F489F" w14:textId="1E5D8C09" w:rsidR="00B53758" w:rsidRDefault="00000000">
          <w:pPr>
            <w:pStyle w:val="Sommario1"/>
            <w:tabs>
              <w:tab w:val="right" w:leader="dot" w:pos="9350"/>
            </w:tabs>
            <w:rPr>
              <w:rFonts w:asciiTheme="minorHAnsi" w:eastAsiaTheme="minorEastAsia" w:hAnsiTheme="minorHAnsi"/>
              <w:noProof/>
              <w:sz w:val="22"/>
              <w:lang w:eastAsia="en-GB"/>
            </w:rPr>
          </w:pPr>
          <w:hyperlink w:anchor="_Toc164940541" w:history="1">
            <w:r w:rsidR="00B53758" w:rsidRPr="00632E95">
              <w:rPr>
                <w:rStyle w:val="Collegamentoipertestuale"/>
                <w:noProof/>
              </w:rPr>
              <w:t>Task – 3</w:t>
            </w:r>
            <w:r w:rsidR="00B53758">
              <w:rPr>
                <w:noProof/>
                <w:webHidden/>
              </w:rPr>
              <w:tab/>
            </w:r>
            <w:r w:rsidR="00C04D14">
              <w:rPr>
                <w:noProof/>
                <w:webHidden/>
              </w:rPr>
              <w:t>11</w:t>
            </w:r>
          </w:hyperlink>
        </w:p>
        <w:p w14:paraId="53A1D274" w14:textId="61647988" w:rsidR="00B53758" w:rsidRDefault="00000000">
          <w:pPr>
            <w:pStyle w:val="Sommario2"/>
            <w:tabs>
              <w:tab w:val="left" w:pos="880"/>
              <w:tab w:val="right" w:leader="dot" w:pos="9350"/>
            </w:tabs>
            <w:rPr>
              <w:rFonts w:asciiTheme="minorHAnsi" w:eastAsiaTheme="minorEastAsia" w:hAnsiTheme="minorHAnsi"/>
              <w:noProof/>
              <w:sz w:val="22"/>
              <w:lang w:eastAsia="en-GB"/>
            </w:rPr>
          </w:pPr>
          <w:hyperlink w:anchor="_Toc164940542" w:history="1">
            <w:r w:rsidR="00B53758" w:rsidRPr="00632E95">
              <w:rPr>
                <w:rStyle w:val="Collegamentoipertestuale"/>
                <w:noProof/>
              </w:rPr>
              <w:t>A)</w:t>
            </w:r>
            <w:r w:rsidR="00B53758">
              <w:rPr>
                <w:rFonts w:asciiTheme="minorHAnsi" w:eastAsiaTheme="minorEastAsia" w:hAnsiTheme="minorHAnsi"/>
                <w:noProof/>
                <w:sz w:val="22"/>
                <w:lang w:eastAsia="en-GB"/>
              </w:rPr>
              <w:tab/>
            </w:r>
            <w:r w:rsidR="00B53758" w:rsidRPr="00632E95">
              <w:rPr>
                <w:rStyle w:val="Collegamentoipertestuale"/>
                <w:noProof/>
              </w:rPr>
              <w:t>At the Money Call Option Payoff:</w:t>
            </w:r>
            <w:r w:rsidR="00B53758">
              <w:rPr>
                <w:noProof/>
                <w:webHidden/>
              </w:rPr>
              <w:tab/>
            </w:r>
            <w:r w:rsidR="00C04D14">
              <w:rPr>
                <w:noProof/>
                <w:webHidden/>
              </w:rPr>
              <w:t>11</w:t>
            </w:r>
          </w:hyperlink>
        </w:p>
        <w:p w14:paraId="02138C0E" w14:textId="6E309563" w:rsidR="00B53758" w:rsidRDefault="00000000">
          <w:pPr>
            <w:pStyle w:val="Sommario2"/>
            <w:tabs>
              <w:tab w:val="left" w:pos="880"/>
              <w:tab w:val="right" w:leader="dot" w:pos="9350"/>
            </w:tabs>
            <w:rPr>
              <w:rFonts w:asciiTheme="minorHAnsi" w:eastAsiaTheme="minorEastAsia" w:hAnsiTheme="minorHAnsi"/>
              <w:noProof/>
              <w:sz w:val="22"/>
              <w:lang w:eastAsia="en-GB"/>
            </w:rPr>
          </w:pPr>
          <w:hyperlink w:anchor="_Toc164940543" w:history="1">
            <w:r w:rsidR="00B53758" w:rsidRPr="00632E95">
              <w:rPr>
                <w:rStyle w:val="Collegamentoipertestuale"/>
                <w:noProof/>
              </w:rPr>
              <w:t>B)</w:t>
            </w:r>
            <w:r w:rsidR="00B53758">
              <w:rPr>
                <w:rFonts w:asciiTheme="minorHAnsi" w:eastAsiaTheme="minorEastAsia" w:hAnsiTheme="minorHAnsi"/>
                <w:noProof/>
                <w:sz w:val="22"/>
                <w:lang w:eastAsia="en-GB"/>
              </w:rPr>
              <w:tab/>
            </w:r>
            <w:r w:rsidR="00B53758" w:rsidRPr="00632E95">
              <w:rPr>
                <w:rStyle w:val="Collegamentoipertestuale"/>
                <w:noProof/>
              </w:rPr>
              <w:t>At the Money Put Option Payoff:</w:t>
            </w:r>
            <w:r w:rsidR="00B53758">
              <w:rPr>
                <w:noProof/>
                <w:webHidden/>
              </w:rPr>
              <w:tab/>
            </w:r>
            <w:r w:rsidR="00C04D14">
              <w:rPr>
                <w:noProof/>
                <w:webHidden/>
              </w:rPr>
              <w:t>13</w:t>
            </w:r>
          </w:hyperlink>
        </w:p>
        <w:p w14:paraId="42F09561" w14:textId="64F08BAF" w:rsidR="00B53758" w:rsidRDefault="00000000">
          <w:pPr>
            <w:pStyle w:val="Sommario2"/>
            <w:tabs>
              <w:tab w:val="left" w:pos="880"/>
              <w:tab w:val="right" w:leader="dot" w:pos="9350"/>
            </w:tabs>
            <w:rPr>
              <w:rFonts w:asciiTheme="minorHAnsi" w:eastAsiaTheme="minorEastAsia" w:hAnsiTheme="minorHAnsi"/>
              <w:noProof/>
              <w:sz w:val="22"/>
              <w:lang w:eastAsia="en-GB"/>
            </w:rPr>
          </w:pPr>
          <w:hyperlink w:anchor="_Toc164940544" w:history="1">
            <w:r w:rsidR="00B53758" w:rsidRPr="00632E95">
              <w:rPr>
                <w:rStyle w:val="Collegamentoipertestuale"/>
                <w:noProof/>
              </w:rPr>
              <w:t>C)</w:t>
            </w:r>
            <w:r w:rsidR="00B53758">
              <w:rPr>
                <w:rFonts w:asciiTheme="minorHAnsi" w:eastAsiaTheme="minorEastAsia" w:hAnsiTheme="minorHAnsi"/>
                <w:noProof/>
                <w:sz w:val="22"/>
                <w:lang w:eastAsia="en-GB"/>
              </w:rPr>
              <w:tab/>
            </w:r>
            <w:r w:rsidR="00B53758" w:rsidRPr="00632E95">
              <w:rPr>
                <w:rStyle w:val="Collegamentoipertestuale"/>
                <w:noProof/>
              </w:rPr>
              <w:t>Construction of a Strangle or Straddle:</w:t>
            </w:r>
            <w:r w:rsidR="00B53758">
              <w:rPr>
                <w:noProof/>
                <w:webHidden/>
              </w:rPr>
              <w:tab/>
            </w:r>
            <w:r w:rsidR="00C04D14">
              <w:rPr>
                <w:noProof/>
                <w:webHidden/>
              </w:rPr>
              <w:t>15</w:t>
            </w:r>
          </w:hyperlink>
        </w:p>
        <w:p w14:paraId="229F8F19" w14:textId="576B3910" w:rsidR="00B53758" w:rsidRDefault="00000000">
          <w:pPr>
            <w:pStyle w:val="Sommario1"/>
            <w:tabs>
              <w:tab w:val="right" w:leader="dot" w:pos="9350"/>
            </w:tabs>
            <w:rPr>
              <w:rFonts w:asciiTheme="minorHAnsi" w:eastAsiaTheme="minorEastAsia" w:hAnsiTheme="minorHAnsi"/>
              <w:noProof/>
              <w:sz w:val="22"/>
              <w:lang w:eastAsia="en-GB"/>
            </w:rPr>
          </w:pPr>
          <w:hyperlink w:anchor="_Toc164940545" w:history="1">
            <w:r w:rsidR="00B53758" w:rsidRPr="00632E95">
              <w:rPr>
                <w:rStyle w:val="Collegamentoipertestuale"/>
                <w:noProof/>
              </w:rPr>
              <w:t>Task – 4</w:t>
            </w:r>
            <w:r w:rsidR="00B53758">
              <w:rPr>
                <w:noProof/>
                <w:webHidden/>
              </w:rPr>
              <w:tab/>
            </w:r>
            <w:r w:rsidR="00C04D14">
              <w:rPr>
                <w:noProof/>
                <w:webHidden/>
              </w:rPr>
              <w:t>17</w:t>
            </w:r>
          </w:hyperlink>
        </w:p>
        <w:p w14:paraId="5E4168EE" w14:textId="03AEB01A" w:rsidR="00B53758" w:rsidRDefault="00000000">
          <w:pPr>
            <w:pStyle w:val="Sommario2"/>
            <w:tabs>
              <w:tab w:val="right" w:leader="dot" w:pos="9350"/>
            </w:tabs>
            <w:rPr>
              <w:rFonts w:asciiTheme="minorHAnsi" w:eastAsiaTheme="minorEastAsia" w:hAnsiTheme="minorHAnsi"/>
              <w:noProof/>
              <w:sz w:val="22"/>
              <w:lang w:eastAsia="en-GB"/>
            </w:rPr>
          </w:pPr>
          <w:hyperlink w:anchor="_Toc164940546" w:history="1">
            <w:r w:rsidR="00B53758" w:rsidRPr="00632E95">
              <w:rPr>
                <w:rStyle w:val="Collegamentoipertestuale"/>
                <w:noProof/>
              </w:rPr>
              <w:t>A) Performance of the 10Y Note:</w:t>
            </w:r>
            <w:r w:rsidR="00B53758">
              <w:rPr>
                <w:noProof/>
                <w:webHidden/>
              </w:rPr>
              <w:tab/>
            </w:r>
            <w:r w:rsidR="00C04D14">
              <w:rPr>
                <w:noProof/>
                <w:webHidden/>
              </w:rPr>
              <w:t>17</w:t>
            </w:r>
          </w:hyperlink>
        </w:p>
        <w:p w14:paraId="0E634ACE" w14:textId="1EC76299" w:rsidR="00B53758" w:rsidRDefault="00000000">
          <w:pPr>
            <w:pStyle w:val="Sommario2"/>
            <w:tabs>
              <w:tab w:val="right" w:leader="dot" w:pos="9350"/>
            </w:tabs>
            <w:rPr>
              <w:rFonts w:asciiTheme="minorHAnsi" w:eastAsiaTheme="minorEastAsia" w:hAnsiTheme="minorHAnsi"/>
              <w:noProof/>
              <w:sz w:val="22"/>
              <w:lang w:eastAsia="en-GB"/>
            </w:rPr>
          </w:pPr>
          <w:hyperlink w:anchor="_Toc164940547" w:history="1">
            <w:r w:rsidR="00B53758" w:rsidRPr="00632E95">
              <w:rPr>
                <w:rStyle w:val="Collegamentoipertestuale"/>
                <w:noProof/>
              </w:rPr>
              <w:t>B) Impact of Changes in the Yield of the 10Y Note on Consumer Debt:</w:t>
            </w:r>
            <w:r w:rsidR="00B53758">
              <w:rPr>
                <w:noProof/>
                <w:webHidden/>
              </w:rPr>
              <w:tab/>
            </w:r>
            <w:r w:rsidR="00C04D14">
              <w:rPr>
                <w:noProof/>
                <w:webHidden/>
              </w:rPr>
              <w:t>18</w:t>
            </w:r>
          </w:hyperlink>
        </w:p>
        <w:p w14:paraId="12397A3C" w14:textId="4CF9AFD8" w:rsidR="00B53758" w:rsidRDefault="00000000">
          <w:pPr>
            <w:pStyle w:val="Sommario1"/>
            <w:tabs>
              <w:tab w:val="right" w:leader="dot" w:pos="9350"/>
            </w:tabs>
            <w:rPr>
              <w:rFonts w:asciiTheme="minorHAnsi" w:eastAsiaTheme="minorEastAsia" w:hAnsiTheme="minorHAnsi"/>
              <w:noProof/>
              <w:sz w:val="22"/>
              <w:lang w:eastAsia="en-GB"/>
            </w:rPr>
          </w:pPr>
          <w:hyperlink w:anchor="_Toc164940548" w:history="1">
            <w:r w:rsidR="00B53758" w:rsidRPr="00632E95">
              <w:rPr>
                <w:rStyle w:val="Collegamentoipertestuale"/>
                <w:noProof/>
              </w:rPr>
              <w:t>References</w:t>
            </w:r>
            <w:r w:rsidR="00B53758">
              <w:rPr>
                <w:noProof/>
                <w:webHidden/>
              </w:rPr>
              <w:tab/>
            </w:r>
            <w:r w:rsidR="00C04D14">
              <w:rPr>
                <w:noProof/>
                <w:webHidden/>
              </w:rPr>
              <w:t>21</w:t>
            </w:r>
          </w:hyperlink>
        </w:p>
        <w:p w14:paraId="03BAADAC" w14:textId="42130885" w:rsidR="0030366C" w:rsidRDefault="0030366C">
          <w:r>
            <w:rPr>
              <w:b/>
              <w:bCs/>
              <w:noProof/>
            </w:rPr>
            <w:fldChar w:fldCharType="end"/>
          </w:r>
        </w:p>
      </w:sdtContent>
    </w:sdt>
    <w:p w14:paraId="10DC3590" w14:textId="77777777" w:rsidR="006B40ED" w:rsidRDefault="006B40ED" w:rsidP="006B40ED">
      <w:pPr>
        <w:spacing w:before="0" w:after="160" w:line="259" w:lineRule="auto"/>
        <w:rPr>
          <w:b/>
          <w:bCs/>
        </w:rPr>
      </w:pPr>
    </w:p>
    <w:p w14:paraId="3B6EAE7B" w14:textId="301AD7F9" w:rsidR="006B40ED" w:rsidRPr="00BF432D" w:rsidRDefault="006B40ED" w:rsidP="006B40ED">
      <w:pPr>
        <w:spacing w:before="0" w:after="160" w:line="259" w:lineRule="auto"/>
        <w:rPr>
          <w:b/>
          <w:bCs/>
        </w:rPr>
      </w:pPr>
      <w:r w:rsidRPr="00BF432D">
        <w:rPr>
          <w:b/>
          <w:bCs/>
        </w:rPr>
        <w:t>List of Figures</w:t>
      </w:r>
    </w:p>
    <w:p w14:paraId="20287409" w14:textId="1A62CB05" w:rsidR="006B40ED" w:rsidRDefault="006B40ED" w:rsidP="006B40ED">
      <w:pPr>
        <w:spacing w:before="0" w:after="160" w:line="259" w:lineRule="auto"/>
      </w:pPr>
      <w:bookmarkStart w:id="0" w:name="_Hlk164618870"/>
      <w:r>
        <w:t>Figure 1………………………………………………………………………………………</w:t>
      </w:r>
      <w:proofErr w:type="gramStart"/>
      <w:r>
        <w:t>…..</w:t>
      </w:r>
      <w:proofErr w:type="gramEnd"/>
      <w:r w:rsidR="00C04D14">
        <w:t>11</w:t>
      </w:r>
    </w:p>
    <w:p w14:paraId="4AF83E75" w14:textId="06AC1DB0" w:rsidR="006B40ED" w:rsidRDefault="006B40ED" w:rsidP="006B40ED">
      <w:pPr>
        <w:spacing w:before="0" w:after="160" w:line="259" w:lineRule="auto"/>
      </w:pPr>
      <w:r>
        <w:t>Figure 2………………………………………………………………………………………</w:t>
      </w:r>
      <w:proofErr w:type="gramStart"/>
      <w:r>
        <w:t>…</w:t>
      </w:r>
      <w:r w:rsidR="00C04D14">
        <w:t>..</w:t>
      </w:r>
      <w:proofErr w:type="gramEnd"/>
      <w:r>
        <w:t>1</w:t>
      </w:r>
      <w:r w:rsidR="00C04D14">
        <w:t>3</w:t>
      </w:r>
    </w:p>
    <w:p w14:paraId="3080E965" w14:textId="355C0F50" w:rsidR="006B40ED" w:rsidRDefault="006B40ED" w:rsidP="006B40ED">
      <w:pPr>
        <w:spacing w:before="0" w:after="160" w:line="259" w:lineRule="auto"/>
      </w:pPr>
      <w:r>
        <w:t>Figure 3………………………………………………………………………………………</w:t>
      </w:r>
      <w:proofErr w:type="gramStart"/>
      <w:r>
        <w:t>…</w:t>
      </w:r>
      <w:bookmarkEnd w:id="0"/>
      <w:r w:rsidR="00C04D14">
        <w:t>..</w:t>
      </w:r>
      <w:proofErr w:type="gramEnd"/>
      <w:r>
        <w:t>15</w:t>
      </w:r>
    </w:p>
    <w:p w14:paraId="53CFA173" w14:textId="5C8687D4" w:rsidR="006B40ED" w:rsidRDefault="006B40ED">
      <w:pPr>
        <w:spacing w:before="0" w:after="160" w:line="259" w:lineRule="auto"/>
      </w:pPr>
    </w:p>
    <w:p w14:paraId="1BEEEF8B" w14:textId="77777777" w:rsidR="006B40ED" w:rsidRDefault="006B40ED">
      <w:pPr>
        <w:spacing w:before="0" w:after="160" w:line="259" w:lineRule="auto"/>
      </w:pPr>
    </w:p>
    <w:p w14:paraId="16AA91CE" w14:textId="77777777" w:rsidR="006B40ED" w:rsidRDefault="006B40ED">
      <w:pPr>
        <w:spacing w:before="0" w:after="160" w:line="259" w:lineRule="auto"/>
      </w:pPr>
    </w:p>
    <w:p w14:paraId="4EC0BD57" w14:textId="77777777" w:rsidR="006B40ED" w:rsidRDefault="006B40ED">
      <w:pPr>
        <w:spacing w:before="0" w:after="160" w:line="259" w:lineRule="auto"/>
      </w:pPr>
    </w:p>
    <w:p w14:paraId="5E571C0C" w14:textId="77777777" w:rsidR="006B40ED" w:rsidRDefault="006B40ED">
      <w:pPr>
        <w:spacing w:before="0" w:after="160" w:line="259" w:lineRule="auto"/>
      </w:pPr>
    </w:p>
    <w:p w14:paraId="7F3ECE4A" w14:textId="77777777" w:rsidR="006B40ED" w:rsidRDefault="006B40ED">
      <w:pPr>
        <w:spacing w:before="0" w:after="160" w:line="259" w:lineRule="auto"/>
      </w:pPr>
    </w:p>
    <w:p w14:paraId="3FB41D00" w14:textId="77777777" w:rsidR="006B40ED" w:rsidRDefault="006B40ED">
      <w:pPr>
        <w:spacing w:before="0" w:after="160" w:line="259" w:lineRule="auto"/>
      </w:pPr>
    </w:p>
    <w:p w14:paraId="31118EA8" w14:textId="77777777" w:rsidR="006B40ED" w:rsidRDefault="006B40ED">
      <w:pPr>
        <w:spacing w:before="0" w:after="160" w:line="259" w:lineRule="auto"/>
      </w:pPr>
    </w:p>
    <w:p w14:paraId="7D48AC52" w14:textId="77777777" w:rsidR="006B40ED" w:rsidRDefault="006B40ED">
      <w:pPr>
        <w:spacing w:before="0" w:after="160" w:line="259" w:lineRule="auto"/>
      </w:pPr>
    </w:p>
    <w:p w14:paraId="5754FF5D" w14:textId="77777777" w:rsidR="006B40ED" w:rsidRDefault="006B40ED">
      <w:pPr>
        <w:spacing w:before="0" w:after="160" w:line="259" w:lineRule="auto"/>
      </w:pPr>
    </w:p>
    <w:p w14:paraId="5D0FCF22" w14:textId="77777777" w:rsidR="006B40ED" w:rsidRDefault="006B40ED">
      <w:pPr>
        <w:spacing w:before="0" w:after="160" w:line="259" w:lineRule="auto"/>
      </w:pPr>
    </w:p>
    <w:p w14:paraId="629C30BC" w14:textId="77777777" w:rsidR="006B40ED" w:rsidRDefault="006B40ED">
      <w:pPr>
        <w:spacing w:before="0" w:after="160" w:line="259" w:lineRule="auto"/>
      </w:pPr>
    </w:p>
    <w:p w14:paraId="3D1D8241" w14:textId="77777777" w:rsidR="006B40ED" w:rsidRPr="006B40ED" w:rsidRDefault="006B40ED">
      <w:pPr>
        <w:spacing w:before="0" w:after="160" w:line="259" w:lineRule="auto"/>
      </w:pPr>
    </w:p>
    <w:p w14:paraId="7C6E0036" w14:textId="6F6F4D5E" w:rsidR="00FF1B1B" w:rsidRPr="006279C4" w:rsidRDefault="00BE7F5A" w:rsidP="00BE7F5A">
      <w:pPr>
        <w:pStyle w:val="Titolo1"/>
      </w:pPr>
      <w:bookmarkStart w:id="1" w:name="_Toc164940519"/>
      <w:r w:rsidRPr="006279C4">
        <w:lastRenderedPageBreak/>
        <w:t>Task – 1</w:t>
      </w:r>
      <w:bookmarkEnd w:id="1"/>
      <w:r w:rsidRPr="006279C4">
        <w:t xml:space="preserve"> </w:t>
      </w:r>
    </w:p>
    <w:p w14:paraId="34383EC5" w14:textId="77777777" w:rsidR="00AE4531" w:rsidRPr="006279C4" w:rsidRDefault="00AE4531" w:rsidP="00AE4531">
      <w:pPr>
        <w:pStyle w:val="Titolo2"/>
      </w:pPr>
      <w:bookmarkStart w:id="2" w:name="_Toc164940520"/>
      <w:r w:rsidRPr="006279C4">
        <w:t>A) Overview of Alibaba:</w:t>
      </w:r>
      <w:bookmarkEnd w:id="2"/>
    </w:p>
    <w:p w14:paraId="70DCA6F6" w14:textId="50F10FA5" w:rsidR="001520D3" w:rsidRPr="00AE4531" w:rsidRDefault="00E8176C" w:rsidP="00AE4531">
      <w:r w:rsidRPr="00E8176C">
        <w:t xml:space="preserve">Alibaba Group Holding Limited, simply abbreviated as Alibaba, is a Chinese multinational conglomerate which focuses on e-commerce, retail, internet, and technology. Established in 1999 by Jack Ma and headquartered in Hangzhou province in China, Alibaba has developed into one of the world's largest and most valuable companies by </w:t>
      </w:r>
      <w:proofErr w:type="spellStart"/>
      <w:r w:rsidRPr="00E8176C">
        <w:t>BenAli</w:t>
      </w:r>
      <w:proofErr w:type="spellEnd"/>
      <w:r w:rsidRPr="00E8176C">
        <w:t xml:space="preserve"> (2018). The business segments of the company are the following:</w:t>
      </w:r>
    </w:p>
    <w:p w14:paraId="64FA76B6" w14:textId="77777777" w:rsidR="001520D3" w:rsidRDefault="00AE4531" w:rsidP="001520D3">
      <w:pPr>
        <w:pStyle w:val="Titolo3"/>
      </w:pPr>
      <w:bookmarkStart w:id="3" w:name="_Toc164940521"/>
      <w:r w:rsidRPr="00AE4531">
        <w:t>E-commerce:</w:t>
      </w:r>
      <w:bookmarkEnd w:id="3"/>
      <w:r w:rsidRPr="00AE4531">
        <w:t xml:space="preserve"> </w:t>
      </w:r>
    </w:p>
    <w:p w14:paraId="4013FAC9" w14:textId="66524C6A" w:rsidR="001520D3" w:rsidRPr="00AE4531" w:rsidRDefault="00E8176C" w:rsidP="001520D3">
      <w:r w:rsidRPr="00E8176C">
        <w:t>In its portfolio, Alibaba has lots of online marketplaces such as Taobao, Tmall, and Alibaba which have a global connection of buyers and sellers (Buckle</w:t>
      </w:r>
      <w:r w:rsidR="00951A1A">
        <w:t>,</w:t>
      </w:r>
      <w:r w:rsidRPr="00E8176C">
        <w:t>2020). These outlets encompass a wide range of commodities and stuff like consumer goods, electronics, garments, etc.</w:t>
      </w:r>
    </w:p>
    <w:p w14:paraId="6E7F5B3D" w14:textId="77777777" w:rsidR="001520D3" w:rsidRDefault="00AE4531" w:rsidP="001520D3">
      <w:pPr>
        <w:pStyle w:val="Titolo3"/>
      </w:pPr>
      <w:bookmarkStart w:id="4" w:name="_Toc164940522"/>
      <w:r w:rsidRPr="00AE4531">
        <w:t>Cloud Computing:</w:t>
      </w:r>
      <w:bookmarkEnd w:id="4"/>
      <w:r w:rsidRPr="00AE4531">
        <w:t xml:space="preserve"> </w:t>
      </w:r>
    </w:p>
    <w:p w14:paraId="6897295C" w14:textId="591A8D98" w:rsidR="001520D3" w:rsidRPr="00AE4531" w:rsidRDefault="00E8176C" w:rsidP="001520D3">
      <w:r w:rsidRPr="00E8176C">
        <w:t xml:space="preserve">Alibaba Cloud, which is otherwise known as </w:t>
      </w:r>
      <w:proofErr w:type="spellStart"/>
      <w:r w:rsidRPr="00E8176C">
        <w:t>Aliyun</w:t>
      </w:r>
      <w:proofErr w:type="spellEnd"/>
      <w:r w:rsidRPr="00E8176C">
        <w:t>, is the cloud computing wing of Alibaba Group. It is with tools that include cloud services such as data storage and processing as well as artificial intelligence and machine learning (Vives, 2019).</w:t>
      </w:r>
    </w:p>
    <w:p w14:paraId="3B2BB2FF" w14:textId="77777777" w:rsidR="001520D3" w:rsidRDefault="00AE4531" w:rsidP="001520D3">
      <w:pPr>
        <w:pStyle w:val="Titolo3"/>
      </w:pPr>
      <w:bookmarkStart w:id="5" w:name="_Toc164940523"/>
      <w:r w:rsidRPr="00AE4531">
        <w:t>Digital Media and Entertainment:</w:t>
      </w:r>
      <w:bookmarkEnd w:id="5"/>
      <w:r w:rsidRPr="00AE4531">
        <w:t xml:space="preserve"> </w:t>
      </w:r>
    </w:p>
    <w:p w14:paraId="1859F9C3" w14:textId="061AB546" w:rsidR="001520D3" w:rsidRPr="00AE4531" w:rsidRDefault="00E8176C" w:rsidP="001520D3">
      <w:r w:rsidRPr="00E8176C">
        <w:t>Alibaba has investments in digital media and entertainment companies, like Youku Tudou, leading of online video platform in China, and Alibaba Pictures, which is in the business of film production, distribution, and marketing (Saad</w:t>
      </w:r>
      <w:r w:rsidR="00951A1A">
        <w:t>,</w:t>
      </w:r>
      <w:r w:rsidRPr="00E8176C">
        <w:t>2021).</w:t>
      </w:r>
    </w:p>
    <w:p w14:paraId="03EC5C94" w14:textId="77777777" w:rsidR="001520D3" w:rsidRDefault="00AE4531" w:rsidP="001520D3">
      <w:pPr>
        <w:pStyle w:val="Titolo3"/>
      </w:pPr>
      <w:bookmarkStart w:id="6" w:name="_Toc164940524"/>
      <w:r w:rsidRPr="00AE4531">
        <w:t>Innovation Initiatives:</w:t>
      </w:r>
      <w:bookmarkEnd w:id="6"/>
      <w:r w:rsidRPr="00AE4531">
        <w:t xml:space="preserve"> </w:t>
      </w:r>
    </w:p>
    <w:p w14:paraId="06A98CA6" w14:textId="71C25E09" w:rsidR="001520D3" w:rsidRDefault="00E8176C" w:rsidP="001520D3">
      <w:r w:rsidRPr="00E8176C">
        <w:t>The firm support a range of innovative ventures that include AI (artificial intelligence), logistics, and fintech (financial technology) (Mishra</w:t>
      </w:r>
      <w:r w:rsidR="00951A1A">
        <w:t>,</w:t>
      </w:r>
      <w:r w:rsidRPr="00E8176C">
        <w:t>2021). Their objectives are to promote industrial technology evolution and to upgrade the efficiency of different industries. Alibaba's (Jayakumar</w:t>
      </w:r>
      <w:r w:rsidR="00C04D14">
        <w:t xml:space="preserve"> </w:t>
      </w:r>
      <w:r w:rsidRPr="00E8176C">
        <w:t>2018) target market is diverse, and it is global in nature that encompasses both consumers and businesses, especially the booming e-commerce and digital economy sectors. The USP of the company is a hybrid ecosystem that incorporates different online platforms, services and technologies offering seamless and smooth experience for users.</w:t>
      </w:r>
    </w:p>
    <w:p w14:paraId="67579ABD" w14:textId="77777777" w:rsidR="001520D3" w:rsidRPr="00AE4531" w:rsidRDefault="001520D3" w:rsidP="001520D3"/>
    <w:p w14:paraId="2EF87011" w14:textId="77777777" w:rsidR="00AE4531" w:rsidRPr="006279C4" w:rsidRDefault="00AE4531" w:rsidP="00AE4531">
      <w:pPr>
        <w:pStyle w:val="Titolo2"/>
      </w:pPr>
      <w:bookmarkStart w:id="7" w:name="_Toc164940525"/>
      <w:r w:rsidRPr="006279C4">
        <w:lastRenderedPageBreak/>
        <w:t>B) Reasons for Going Public:</w:t>
      </w:r>
      <w:bookmarkEnd w:id="7"/>
    </w:p>
    <w:p w14:paraId="5FCEDC5B" w14:textId="3E98AEFD" w:rsidR="001520D3" w:rsidRPr="00AE4531" w:rsidRDefault="006A0A6B" w:rsidP="00AE4531">
      <w:r w:rsidRPr="006A0A6B">
        <w:t>In September 2014, Alibaba went public on NYSE through its biggest ever IPO raising $25 billion funds (Matthews, 2023). Alibaba had several significant factors that made it decide to go public.</w:t>
      </w:r>
    </w:p>
    <w:p w14:paraId="7D3475DD" w14:textId="77777777" w:rsidR="001520D3" w:rsidRDefault="00AE4531" w:rsidP="001520D3">
      <w:pPr>
        <w:pStyle w:val="Titolo3"/>
      </w:pPr>
      <w:bookmarkStart w:id="8" w:name="_Toc164940526"/>
      <w:r w:rsidRPr="00AE4531">
        <w:t>Access to Capital:</w:t>
      </w:r>
      <w:bookmarkEnd w:id="8"/>
      <w:r w:rsidRPr="00AE4531">
        <w:t xml:space="preserve"> </w:t>
      </w:r>
    </w:p>
    <w:p w14:paraId="647ACDFA" w14:textId="3CAC2ACF" w:rsidR="001520D3" w:rsidRPr="00AE4531" w:rsidRDefault="00954646" w:rsidP="001520D3">
      <w:r w:rsidRPr="00954646">
        <w:t>The initial public offering gave Alibaba a great opportunity for capital raising from many investors, which could be used for the company's expansion projects, research and development as well as further acquisitions (</w:t>
      </w:r>
      <w:proofErr w:type="spellStart"/>
      <w:r w:rsidRPr="00954646">
        <w:t>Strohsal</w:t>
      </w:r>
      <w:proofErr w:type="spellEnd"/>
      <w:r w:rsidRPr="00954646">
        <w:t>, 2019).</w:t>
      </w:r>
    </w:p>
    <w:p w14:paraId="2510C52A" w14:textId="77777777" w:rsidR="001520D3" w:rsidRDefault="00AE4531" w:rsidP="001520D3">
      <w:pPr>
        <w:pStyle w:val="Titolo3"/>
      </w:pPr>
      <w:bookmarkStart w:id="9" w:name="_Toc164940527"/>
      <w:r w:rsidRPr="00AE4531">
        <w:t>Enhanced Visibility and Credibility:</w:t>
      </w:r>
      <w:bookmarkEnd w:id="9"/>
      <w:r w:rsidRPr="00AE4531">
        <w:t xml:space="preserve"> </w:t>
      </w:r>
    </w:p>
    <w:p w14:paraId="765BBB31" w14:textId="03031CEA" w:rsidR="001520D3" w:rsidRPr="00AE4531" w:rsidRDefault="00954646" w:rsidP="001520D3">
      <w:r w:rsidRPr="00954646">
        <w:t>The listing in one of the major stock exchanges makes a Company brand more visible and credible in the global market (Devereux</w:t>
      </w:r>
      <w:r w:rsidR="00951A1A">
        <w:t>,</w:t>
      </w:r>
      <w:r w:rsidRPr="00954646">
        <w:t>2018). The NYSE listing proved to Alibaba that its business model is worthwhile and it attracted more consumers, partners and investors.</w:t>
      </w:r>
    </w:p>
    <w:p w14:paraId="207C3B39" w14:textId="77777777" w:rsidR="001520D3" w:rsidRDefault="00AE4531" w:rsidP="001520D3">
      <w:pPr>
        <w:pStyle w:val="Titolo3"/>
      </w:pPr>
      <w:bookmarkStart w:id="10" w:name="_Toc164940528"/>
      <w:r w:rsidRPr="00AE4531">
        <w:t>Liquidity for Existing Shareholders:</w:t>
      </w:r>
      <w:bookmarkEnd w:id="10"/>
      <w:r w:rsidRPr="00AE4531">
        <w:t xml:space="preserve"> </w:t>
      </w:r>
    </w:p>
    <w:p w14:paraId="5788D0B4" w14:textId="218EA120" w:rsidR="001520D3" w:rsidRPr="006279C4" w:rsidRDefault="00954646" w:rsidP="001520D3">
      <w:r w:rsidRPr="00954646">
        <w:t>The IPO provided Alibaba's initial investors including founders, employees, and venture capitalists an option to recoup their investments and make profit from their stakes (Malloy</w:t>
      </w:r>
      <w:r w:rsidR="00951A1A">
        <w:t>,</w:t>
      </w:r>
      <w:r w:rsidRPr="00954646">
        <w:t>2019).</w:t>
      </w:r>
    </w:p>
    <w:p w14:paraId="10577FFD" w14:textId="77777777" w:rsidR="00AE4531" w:rsidRPr="00AE4531" w:rsidRDefault="00AE4531" w:rsidP="00AE4531"/>
    <w:p w14:paraId="62B98E38" w14:textId="77777777" w:rsidR="00AE4531" w:rsidRPr="006279C4" w:rsidRDefault="00AE4531" w:rsidP="00AE4531">
      <w:pPr>
        <w:pStyle w:val="Titolo2"/>
      </w:pPr>
      <w:bookmarkStart w:id="11" w:name="_Toc164940529"/>
      <w:r w:rsidRPr="006279C4">
        <w:t>C) Key Risks Identified in Alibaba's S-1 Filing:</w:t>
      </w:r>
      <w:bookmarkEnd w:id="11"/>
    </w:p>
    <w:p w14:paraId="166667F0" w14:textId="1935DFCE" w:rsidR="001520D3" w:rsidRPr="00AE4531" w:rsidRDefault="00954646" w:rsidP="00AE4531">
      <w:r w:rsidRPr="00954646">
        <w:t>Alibaba's S-1 format filing to the Securities and Exchange Commission (SEC) discloses a number of risks that could pose a threat to operations, financial performance, and stock price (Peterson 2018).</w:t>
      </w:r>
      <w:r>
        <w:t xml:space="preserve"> </w:t>
      </w:r>
      <w:r w:rsidRPr="00954646">
        <w:t>Three notable risks include</w:t>
      </w:r>
    </w:p>
    <w:p w14:paraId="3F53C2FD" w14:textId="77777777" w:rsidR="001520D3" w:rsidRDefault="00AE4531" w:rsidP="001520D3">
      <w:pPr>
        <w:pStyle w:val="Titolo3"/>
      </w:pPr>
      <w:bookmarkStart w:id="12" w:name="_Toc164940530"/>
      <w:r w:rsidRPr="00AE4531">
        <w:t>Regulatory and Legal Risks:</w:t>
      </w:r>
      <w:bookmarkEnd w:id="12"/>
      <w:r w:rsidRPr="00AE4531">
        <w:t xml:space="preserve"> </w:t>
      </w:r>
    </w:p>
    <w:p w14:paraId="53643698" w14:textId="32753B2B" w:rsidR="001520D3" w:rsidRPr="00AE4531" w:rsidRDefault="00954646" w:rsidP="001520D3">
      <w:r w:rsidRPr="00954646">
        <w:t>Alibaba runs businesses in different countries and is subject to regulations of respective laws, policies, and regulations in the areas like e-commerce, data privacy, intellectual property, and competition (Elamer</w:t>
      </w:r>
      <w:r w:rsidR="00951A1A">
        <w:t>,</w:t>
      </w:r>
      <w:r w:rsidRPr="00954646">
        <w:t xml:space="preserve">2018). Changes in laws or judicial outcomes not in its favour might lead to disruptions in its operations, penalties or fines, or damage its brand. The inherent regulatory risks of the highly regulated nature of e-commerce industry worldwide, especially the communities where Alibaba operates in China and others </w:t>
      </w:r>
      <w:proofErr w:type="gramStart"/>
      <w:r w:rsidRPr="00954646">
        <w:t>( Buch</w:t>
      </w:r>
      <w:proofErr w:type="gramEnd"/>
      <w:r w:rsidR="00951A1A">
        <w:t>,</w:t>
      </w:r>
      <w:r w:rsidRPr="00954646">
        <w:t>2022). Frequency of occurrence primarily depends on two main factors; these are the changes in government policies, legal interpretations, and enforcement steps taken.</w:t>
      </w:r>
    </w:p>
    <w:p w14:paraId="7F703FC2" w14:textId="77777777" w:rsidR="001520D3" w:rsidRDefault="00AE4531" w:rsidP="001520D3">
      <w:pPr>
        <w:pStyle w:val="Titolo3"/>
      </w:pPr>
      <w:bookmarkStart w:id="13" w:name="_Toc164940531"/>
      <w:r w:rsidRPr="00AE4531">
        <w:lastRenderedPageBreak/>
        <w:t>Market Competition:</w:t>
      </w:r>
      <w:bookmarkEnd w:id="13"/>
      <w:r w:rsidRPr="00AE4531">
        <w:t xml:space="preserve"> </w:t>
      </w:r>
    </w:p>
    <w:p w14:paraId="24C5FCB9" w14:textId="2EDC37C5" w:rsidR="001520D3" w:rsidRPr="00AE4531" w:rsidRDefault="00960FCF" w:rsidP="001520D3">
      <w:r w:rsidRPr="00960FCF">
        <w:t>Alibaba is under big challenge as it competes not only with domestic and international competitors-other e-commerce platforms, online marketplaces, and physical stores (Lu,2018). The speed of technology improvement, consumer taste change, and new entrants to the market could result in Alibaba's market share reduction, in price setting, and profitability. Competition which is the primary feature of e-commerce industry comes with innovation dynamism of the market and changing consumer behaviour (Narayan</w:t>
      </w:r>
      <w:r w:rsidR="00951A1A">
        <w:t>,</w:t>
      </w:r>
      <w:r w:rsidRPr="00960FCF">
        <w:t>2019). With Alibaba continuing to enjoy market leadership built on its strategic investments and differentiation strategies, however, the environment is characteri</w:t>
      </w:r>
      <w:r w:rsidR="001E1479">
        <w:t>s</w:t>
      </w:r>
      <w:r w:rsidRPr="00960FCF">
        <w:t>ed by dynamic flux and unpredictability.</w:t>
      </w:r>
    </w:p>
    <w:p w14:paraId="07CD3E35" w14:textId="77777777" w:rsidR="001520D3" w:rsidRDefault="00AE4531" w:rsidP="001520D3">
      <w:pPr>
        <w:pStyle w:val="Titolo3"/>
      </w:pPr>
      <w:bookmarkStart w:id="14" w:name="_Toc164940532"/>
      <w:r w:rsidRPr="00AE4531">
        <w:t>Cybersecurity and Data Privacy:</w:t>
      </w:r>
      <w:bookmarkEnd w:id="14"/>
      <w:r w:rsidRPr="00AE4531">
        <w:t xml:space="preserve"> </w:t>
      </w:r>
    </w:p>
    <w:p w14:paraId="1F4391CF" w14:textId="2A8D8B6E" w:rsidR="00AE4531" w:rsidRDefault="00960FCF" w:rsidP="00AE4531">
      <w:r w:rsidRPr="00960FCF">
        <w:t>As a digital platform that deals with huge amounts of personal information, Alibaba is exposed to cyber thieves, data breaches, and privacy threats (</w:t>
      </w:r>
      <w:proofErr w:type="spellStart"/>
      <w:r w:rsidRPr="00960FCF">
        <w:t>Dafermos</w:t>
      </w:r>
      <w:proofErr w:type="spellEnd"/>
      <w:r w:rsidRPr="00960FCF">
        <w:t>, 2022). Unauthori</w:t>
      </w:r>
      <w:r w:rsidR="001E1479">
        <w:t>s</w:t>
      </w:r>
      <w:r w:rsidRPr="00960FCF">
        <w:t>ed get of customers' information, vulnerabilities with the system or security breaches could end up giving financial losses, bad reputations and regulatory sanctions. Cybersecurity threats are everywhere, the sophistication and frequency of cyber-attacks are constantly growing (Bazhenov</w:t>
      </w:r>
      <w:r w:rsidR="00951A1A">
        <w:t>.</w:t>
      </w:r>
      <w:r w:rsidRPr="00960FCF">
        <w:t>2021). By allocating substantial resources to cybersecurity, Alibaba makes use of encryption, firewalls and threat detection systems among others. Nonetheless, this raising complexity of cyber dangers and the ever-growing interconnectivity of digital ecosystems add more risks for cybersecurity incidents.</w:t>
      </w:r>
    </w:p>
    <w:p w14:paraId="69C406EC" w14:textId="77777777" w:rsidR="001520D3" w:rsidRPr="00AE4531" w:rsidRDefault="001520D3" w:rsidP="00AE4531"/>
    <w:p w14:paraId="0AFB3EE2" w14:textId="77777777" w:rsidR="00AE4531" w:rsidRPr="006279C4" w:rsidRDefault="00AE4531" w:rsidP="00AE4531">
      <w:pPr>
        <w:pStyle w:val="Titolo2"/>
      </w:pPr>
      <w:bookmarkStart w:id="15" w:name="_Toc164940533"/>
      <w:r w:rsidRPr="006279C4">
        <w:t>Evaluation of Proposed Valuation in Context of Risks:</w:t>
      </w:r>
      <w:bookmarkEnd w:id="15"/>
    </w:p>
    <w:p w14:paraId="24D1ECC4" w14:textId="2601B34B" w:rsidR="001520D3" w:rsidRPr="00AE4531" w:rsidRDefault="00960FCF" w:rsidP="00AE4531">
      <w:r w:rsidRPr="00960FCF">
        <w:t>The valuation of Ali Baba in IPO includes the market prospects, the financial performance, the market position, and the perceived risks (Espar</w:t>
      </w:r>
      <w:r w:rsidR="00951A1A">
        <w:t>,</w:t>
      </w:r>
      <w:r w:rsidRPr="00960FCF">
        <w:t>2020). Although the company enjoyed considerable market capitali</w:t>
      </w:r>
      <w:r w:rsidR="001E1479">
        <w:t>s</w:t>
      </w:r>
      <w:r w:rsidRPr="00960FCF">
        <w:t xml:space="preserve">ation, investor and </w:t>
      </w:r>
      <w:r w:rsidR="00D82024" w:rsidRPr="00960FCF">
        <w:t>analysts</w:t>
      </w:r>
      <w:r w:rsidRPr="00960FCF">
        <w:t xml:space="preserve"> reached their valuation decision taking into account potential risks that were acknowledged.</w:t>
      </w:r>
    </w:p>
    <w:p w14:paraId="0D389D46" w14:textId="77777777" w:rsidR="001520D3" w:rsidRDefault="00AE4531" w:rsidP="001520D3">
      <w:pPr>
        <w:pStyle w:val="Titolo3"/>
      </w:pPr>
      <w:bookmarkStart w:id="16" w:name="_Toc164940534"/>
      <w:r w:rsidRPr="00AE4531">
        <w:t>Regulatory and Legal Risks:</w:t>
      </w:r>
      <w:bookmarkEnd w:id="16"/>
      <w:r w:rsidRPr="00AE4531">
        <w:t xml:space="preserve"> </w:t>
      </w:r>
    </w:p>
    <w:p w14:paraId="33211614" w14:textId="283ECBA1" w:rsidR="001520D3" w:rsidRPr="00AE4531" w:rsidRDefault="00960FCF" w:rsidP="001520D3">
      <w:r w:rsidRPr="00960FCF">
        <w:t>Investors of Alibaba examined the degree of risk the business faces in regulations and law, especially in China where the government approves e-commerce activities and digital platforms (BenAli</w:t>
      </w:r>
      <w:r w:rsidR="00951A1A">
        <w:t>,</w:t>
      </w:r>
      <w:r w:rsidRPr="00960FCF">
        <w:t xml:space="preserve">2018). The regulatory changes or enforcement actions could impact Alibaba's </w:t>
      </w:r>
      <w:r w:rsidRPr="00960FCF">
        <w:lastRenderedPageBreak/>
        <w:t>accelerated growth, market diversification, and long-term profitability, hence, affecting valuation multiples and investors perception.</w:t>
      </w:r>
    </w:p>
    <w:p w14:paraId="41CEABB2" w14:textId="77777777" w:rsidR="001520D3" w:rsidRDefault="00AE4531" w:rsidP="001520D3">
      <w:pPr>
        <w:pStyle w:val="Titolo3"/>
      </w:pPr>
      <w:bookmarkStart w:id="17" w:name="_Toc164940535"/>
      <w:r w:rsidRPr="00AE4531">
        <w:t>Market Competition:</w:t>
      </w:r>
      <w:bookmarkEnd w:id="17"/>
      <w:r w:rsidRPr="00AE4531">
        <w:t xml:space="preserve"> </w:t>
      </w:r>
    </w:p>
    <w:p w14:paraId="282B76D5" w14:textId="0C1699F0" w:rsidR="001520D3" w:rsidRPr="00AE4531" w:rsidRDefault="00D82024" w:rsidP="001520D3">
      <w:r w:rsidRPr="00D82024">
        <w:t xml:space="preserve">Alibaba's market value </w:t>
      </w:r>
      <w:proofErr w:type="gramStart"/>
      <w:r w:rsidRPr="00D82024">
        <w:t>was a reflection of</w:t>
      </w:r>
      <w:proofErr w:type="gramEnd"/>
      <w:r w:rsidRPr="00D82024">
        <w:t xml:space="preserve"> its leading role in the Chinese e-commerce market and its ability to outplay competitors from both domestic and international companies (Jayakumar</w:t>
      </w:r>
      <w:r w:rsidR="00951A1A">
        <w:t>,</w:t>
      </w:r>
      <w:r w:rsidRPr="00D82024">
        <w:t>2018). The investor then evaluated the sustainability of Alibaba's competitive edge alongside its capacity to innovate, stand out, and generate additional market share in the face of growing competition.</w:t>
      </w:r>
    </w:p>
    <w:p w14:paraId="49BD6E0D" w14:textId="77777777" w:rsidR="001520D3" w:rsidRDefault="00AE4531" w:rsidP="001520D3">
      <w:pPr>
        <w:pStyle w:val="Titolo3"/>
      </w:pPr>
      <w:bookmarkStart w:id="18" w:name="_Toc164940536"/>
      <w:r w:rsidRPr="00AE4531">
        <w:t>Cybersecurity and Data Privacy:</w:t>
      </w:r>
      <w:bookmarkEnd w:id="18"/>
      <w:r w:rsidRPr="00AE4531">
        <w:t xml:space="preserve"> </w:t>
      </w:r>
    </w:p>
    <w:p w14:paraId="4D6660CC" w14:textId="5A1C3360" w:rsidR="00D82024" w:rsidRDefault="00D82024" w:rsidP="00D82024">
      <w:r>
        <w:t>The undrafted cybersecurity and data privacy risks contributed to investor’s negative perceptions of Alibaba's business continuity, brand reputation, and trustworthiness (Strohsal</w:t>
      </w:r>
      <w:r w:rsidR="00951A1A">
        <w:t>,</w:t>
      </w:r>
      <w:r>
        <w:t>2019). Even if Alibaba has put into place strict cybersecurity regulations and data protection policies, with the presence of high-profile data breaches or security incidents, investors could get concerned and adjust the company's value accordingly.</w:t>
      </w:r>
    </w:p>
    <w:p w14:paraId="3C2B5330" w14:textId="1DBD3549" w:rsidR="00AE4531" w:rsidRPr="00AE4531" w:rsidRDefault="00D82024" w:rsidP="00D82024">
      <w:r>
        <w:t>The valuation proposed by Alibaba in its IPO was subject to reactions of the market and investor sentiment as well as perception of risk. Though it could be argued that the company had a lot of growth potential and was very competitive, investors took into consideration how much the regulatory uncertainties, competitive pressures, and cybersecurity risks might affect Alibaba's offering value and financial outcomes in the long run. On the one hand, the valuation of the company reflected the optimism about Alibaba's growth, and on the other hand, it implied caution about the risks in the e-commerce industry (Bazhenova</w:t>
      </w:r>
      <w:r w:rsidR="00951A1A">
        <w:t>,</w:t>
      </w:r>
      <w:r>
        <w:t>2021). Various key risks must be constantly monitored and managed for Alibaba not only to maintain being the market leader but also to be a good choice for investors in the long term.</w:t>
      </w:r>
    </w:p>
    <w:p w14:paraId="23D68BDA" w14:textId="36E02297" w:rsidR="00BE7F5A" w:rsidRPr="006279C4" w:rsidRDefault="00BE7F5A" w:rsidP="00BE7F5A"/>
    <w:p w14:paraId="4F9BBDFE" w14:textId="7E3D77E1" w:rsidR="008511F9" w:rsidRPr="006279C4" w:rsidRDefault="008511F9" w:rsidP="00BE7F5A"/>
    <w:p w14:paraId="172CF019" w14:textId="6CA2C30A" w:rsidR="006F17D1" w:rsidRPr="006279C4" w:rsidRDefault="006F17D1">
      <w:pPr>
        <w:spacing w:before="0" w:after="160" w:line="259" w:lineRule="auto"/>
      </w:pPr>
      <w:r w:rsidRPr="006279C4">
        <w:br w:type="page"/>
      </w:r>
    </w:p>
    <w:p w14:paraId="3B214ED2" w14:textId="360CD743" w:rsidR="00AE4531" w:rsidRPr="006279C4" w:rsidRDefault="006F17D1" w:rsidP="006F17D1">
      <w:pPr>
        <w:pStyle w:val="Titolo1"/>
      </w:pPr>
      <w:bookmarkStart w:id="19" w:name="_Toc164940537"/>
      <w:r w:rsidRPr="006279C4">
        <w:lastRenderedPageBreak/>
        <w:t>Task – 2</w:t>
      </w:r>
      <w:bookmarkEnd w:id="19"/>
      <w:r w:rsidRPr="006279C4">
        <w:t xml:space="preserve"> </w:t>
      </w:r>
    </w:p>
    <w:p w14:paraId="1D1B33DB" w14:textId="77777777" w:rsidR="006279C4" w:rsidRPr="006279C4" w:rsidRDefault="006279C4" w:rsidP="006279C4">
      <w:pPr>
        <w:pStyle w:val="Titolo2"/>
      </w:pPr>
      <w:bookmarkStart w:id="20" w:name="_Toc164940538"/>
      <w:r w:rsidRPr="006279C4">
        <w:t>A) Descriptive Statistics:</w:t>
      </w:r>
      <w:bookmarkEnd w:id="20"/>
    </w:p>
    <w:p w14:paraId="384647B8" w14:textId="4BE85903" w:rsidR="006279C4" w:rsidRDefault="00D82024" w:rsidP="006279C4">
      <w:r w:rsidRPr="00D82024">
        <w:t xml:space="preserve">The descriptive statistics reveal rich information about the distribution and variability of the share price returns of the company. The reported returns (-9.14% and 8.00%, respectively) represents the performance range of the company’s stocks acquired over the said period (Buch </w:t>
      </w:r>
      <w:r w:rsidR="00770BDC">
        <w:t>and</w:t>
      </w:r>
      <w:r w:rsidRPr="00D82024">
        <w:t xml:space="preserve"> Goldberg, 2022). The standard deviation of returns, which is 0.0227, shows that the degree of risk related to the shares of the company (</w:t>
      </w:r>
      <w:proofErr w:type="spellStart"/>
      <w:r w:rsidRPr="00D82024">
        <w:t>Strohsal</w:t>
      </w:r>
      <w:proofErr w:type="spellEnd"/>
      <w:r w:rsidRPr="00D82024">
        <w:t xml:space="preserve"> et al., 2019). Such figures are of vital importance for historical performance and risk analysis of the company' shares, which is used for the preparation for investment decision-making by the investors.</w:t>
      </w:r>
    </w:p>
    <w:tbl>
      <w:tblPr>
        <w:tblW w:w="6886" w:type="dxa"/>
        <w:tblLook w:val="04A0" w:firstRow="1" w:lastRow="0" w:firstColumn="1" w:lastColumn="0" w:noHBand="0" w:noVBand="1"/>
      </w:tblPr>
      <w:tblGrid>
        <w:gridCol w:w="4534"/>
        <w:gridCol w:w="2352"/>
      </w:tblGrid>
      <w:tr w:rsidR="002E3DCC" w:rsidRPr="002E3DCC" w14:paraId="1CFCB340" w14:textId="77777777" w:rsidTr="002E3DCC">
        <w:trPr>
          <w:trHeight w:val="343"/>
        </w:trPr>
        <w:tc>
          <w:tcPr>
            <w:tcW w:w="6886" w:type="dxa"/>
            <w:gridSpan w:val="2"/>
            <w:tcBorders>
              <w:top w:val="nil"/>
              <w:left w:val="nil"/>
              <w:bottom w:val="nil"/>
              <w:right w:val="nil"/>
            </w:tcBorders>
            <w:shd w:val="clear" w:color="auto" w:fill="auto"/>
            <w:noWrap/>
            <w:vAlign w:val="bottom"/>
            <w:hideMark/>
          </w:tcPr>
          <w:p w14:paraId="3C3A207A" w14:textId="77777777" w:rsidR="002E3DCC" w:rsidRPr="002E3DCC" w:rsidRDefault="002E3DCC" w:rsidP="002E3DCC">
            <w:pPr>
              <w:spacing w:before="0" w:after="0" w:line="240" w:lineRule="auto"/>
              <w:rPr>
                <w:rFonts w:ascii="Arial" w:eastAsia="Times New Roman" w:hAnsi="Arial" w:cs="Arial"/>
                <w:b/>
                <w:bCs/>
                <w:color w:val="000000"/>
                <w:sz w:val="22"/>
                <w:lang w:eastAsia="en-GB"/>
              </w:rPr>
            </w:pPr>
            <w:r w:rsidRPr="002E3DCC">
              <w:rPr>
                <w:rFonts w:ascii="Arial" w:eastAsia="Times New Roman" w:hAnsi="Arial" w:cs="Arial"/>
                <w:b/>
                <w:bCs/>
                <w:color w:val="000000"/>
                <w:sz w:val="22"/>
                <w:lang w:eastAsia="en-GB"/>
              </w:rPr>
              <w:t>DESCRIPTIVE STATISTICS</w:t>
            </w:r>
          </w:p>
        </w:tc>
      </w:tr>
      <w:tr w:rsidR="002E3DCC" w:rsidRPr="002E3DCC" w14:paraId="4245B60D" w14:textId="77777777" w:rsidTr="002E3DCC">
        <w:trPr>
          <w:trHeight w:val="326"/>
        </w:trPr>
        <w:tc>
          <w:tcPr>
            <w:tcW w:w="4534" w:type="dxa"/>
            <w:tcBorders>
              <w:top w:val="nil"/>
              <w:left w:val="nil"/>
              <w:bottom w:val="nil"/>
              <w:right w:val="nil"/>
            </w:tcBorders>
            <w:shd w:val="clear" w:color="auto" w:fill="auto"/>
            <w:noWrap/>
            <w:vAlign w:val="bottom"/>
            <w:hideMark/>
          </w:tcPr>
          <w:p w14:paraId="25756A4E" w14:textId="77777777" w:rsidR="002E3DCC" w:rsidRPr="002E3DCC" w:rsidRDefault="002E3DCC" w:rsidP="002E3DCC">
            <w:pPr>
              <w:spacing w:before="0" w:after="0" w:line="240" w:lineRule="auto"/>
              <w:rPr>
                <w:rFonts w:ascii="Arial" w:eastAsia="Times New Roman" w:hAnsi="Arial" w:cs="Arial"/>
                <w:color w:val="000000"/>
                <w:sz w:val="22"/>
                <w:lang w:eastAsia="en-GB"/>
              </w:rPr>
            </w:pPr>
            <w:r w:rsidRPr="002E3DCC">
              <w:rPr>
                <w:rFonts w:ascii="Arial" w:eastAsia="Times New Roman" w:hAnsi="Arial" w:cs="Arial"/>
                <w:color w:val="000000"/>
                <w:sz w:val="22"/>
                <w:lang w:eastAsia="en-GB"/>
              </w:rPr>
              <w:t>min</w:t>
            </w:r>
          </w:p>
        </w:tc>
        <w:tc>
          <w:tcPr>
            <w:tcW w:w="2352" w:type="dxa"/>
            <w:tcBorders>
              <w:top w:val="nil"/>
              <w:left w:val="nil"/>
              <w:bottom w:val="nil"/>
              <w:right w:val="nil"/>
            </w:tcBorders>
            <w:shd w:val="clear" w:color="auto" w:fill="auto"/>
            <w:noWrap/>
            <w:vAlign w:val="bottom"/>
            <w:hideMark/>
          </w:tcPr>
          <w:p w14:paraId="247BF3D3"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-9.14%</w:t>
            </w:r>
          </w:p>
        </w:tc>
      </w:tr>
      <w:tr w:rsidR="002E3DCC" w:rsidRPr="002E3DCC" w14:paraId="3C6EEF83" w14:textId="77777777" w:rsidTr="002E3DCC">
        <w:trPr>
          <w:trHeight w:val="326"/>
        </w:trPr>
        <w:tc>
          <w:tcPr>
            <w:tcW w:w="4534" w:type="dxa"/>
            <w:tcBorders>
              <w:top w:val="nil"/>
              <w:left w:val="nil"/>
              <w:bottom w:val="nil"/>
              <w:right w:val="nil"/>
            </w:tcBorders>
            <w:shd w:val="clear" w:color="auto" w:fill="auto"/>
            <w:noWrap/>
            <w:vAlign w:val="bottom"/>
            <w:hideMark/>
          </w:tcPr>
          <w:p w14:paraId="0765E6BE" w14:textId="77777777" w:rsidR="002E3DCC" w:rsidRPr="002E3DCC" w:rsidRDefault="002E3DCC" w:rsidP="002E3DCC">
            <w:pPr>
              <w:spacing w:before="0" w:after="0" w:line="240" w:lineRule="auto"/>
              <w:rPr>
                <w:rFonts w:ascii="Arial" w:eastAsia="Times New Roman" w:hAnsi="Arial" w:cs="Arial"/>
                <w:color w:val="000000"/>
                <w:sz w:val="22"/>
                <w:lang w:eastAsia="en-GB"/>
              </w:rPr>
            </w:pPr>
            <w:r w:rsidRPr="002E3DCC">
              <w:rPr>
                <w:rFonts w:ascii="Arial" w:eastAsia="Times New Roman" w:hAnsi="Arial" w:cs="Arial"/>
                <w:color w:val="000000"/>
                <w:sz w:val="22"/>
                <w:lang w:eastAsia="en-GB"/>
              </w:rPr>
              <w:t>max</w:t>
            </w:r>
          </w:p>
        </w:tc>
        <w:tc>
          <w:tcPr>
            <w:tcW w:w="2352" w:type="dxa"/>
            <w:tcBorders>
              <w:top w:val="nil"/>
              <w:left w:val="nil"/>
              <w:bottom w:val="nil"/>
              <w:right w:val="nil"/>
            </w:tcBorders>
            <w:shd w:val="clear" w:color="auto" w:fill="auto"/>
            <w:noWrap/>
            <w:vAlign w:val="bottom"/>
            <w:hideMark/>
          </w:tcPr>
          <w:p w14:paraId="6B51CE94"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8.00%</w:t>
            </w:r>
          </w:p>
        </w:tc>
      </w:tr>
      <w:tr w:rsidR="002E3DCC" w:rsidRPr="002E3DCC" w14:paraId="7D055BDE" w14:textId="77777777" w:rsidTr="002E3DCC">
        <w:trPr>
          <w:trHeight w:val="326"/>
        </w:trPr>
        <w:tc>
          <w:tcPr>
            <w:tcW w:w="4534" w:type="dxa"/>
            <w:tcBorders>
              <w:top w:val="nil"/>
              <w:left w:val="nil"/>
              <w:bottom w:val="nil"/>
              <w:right w:val="nil"/>
            </w:tcBorders>
            <w:shd w:val="clear" w:color="auto" w:fill="auto"/>
            <w:noWrap/>
            <w:vAlign w:val="bottom"/>
            <w:hideMark/>
          </w:tcPr>
          <w:p w14:paraId="06E7563A" w14:textId="77777777" w:rsidR="002E3DCC" w:rsidRPr="002E3DCC" w:rsidRDefault="002E3DCC" w:rsidP="002E3DCC">
            <w:pPr>
              <w:spacing w:before="0" w:after="0" w:line="240" w:lineRule="auto"/>
              <w:rPr>
                <w:rFonts w:ascii="Arial" w:eastAsia="Times New Roman" w:hAnsi="Arial" w:cs="Arial"/>
                <w:color w:val="000000"/>
                <w:sz w:val="22"/>
                <w:lang w:eastAsia="en-GB"/>
              </w:rPr>
            </w:pPr>
            <w:r w:rsidRPr="002E3DCC">
              <w:rPr>
                <w:rFonts w:ascii="Arial" w:eastAsia="Times New Roman" w:hAnsi="Arial" w:cs="Arial"/>
                <w:color w:val="000000"/>
                <w:sz w:val="22"/>
                <w:lang w:eastAsia="en-GB"/>
              </w:rPr>
              <w:t>standard deviation</w:t>
            </w:r>
          </w:p>
        </w:tc>
        <w:tc>
          <w:tcPr>
            <w:tcW w:w="2352" w:type="dxa"/>
            <w:tcBorders>
              <w:top w:val="nil"/>
              <w:left w:val="nil"/>
              <w:bottom w:val="nil"/>
              <w:right w:val="nil"/>
            </w:tcBorders>
            <w:shd w:val="clear" w:color="auto" w:fill="auto"/>
            <w:noWrap/>
            <w:vAlign w:val="bottom"/>
            <w:hideMark/>
          </w:tcPr>
          <w:p w14:paraId="73E3962E"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0.022713</w:t>
            </w:r>
          </w:p>
        </w:tc>
      </w:tr>
    </w:tbl>
    <w:p w14:paraId="72DBAA12" w14:textId="77777777" w:rsidR="001520D3" w:rsidRPr="006279C4" w:rsidRDefault="001520D3" w:rsidP="006279C4"/>
    <w:p w14:paraId="7B3A2998" w14:textId="77777777" w:rsidR="006279C4" w:rsidRPr="006279C4" w:rsidRDefault="006279C4" w:rsidP="006279C4">
      <w:pPr>
        <w:pStyle w:val="Titolo2"/>
      </w:pPr>
      <w:bookmarkStart w:id="21" w:name="_Toc164940539"/>
      <w:r w:rsidRPr="006279C4">
        <w:t>B) Compound Annual Growth Rate (CAGR):</w:t>
      </w:r>
      <w:bookmarkEnd w:id="21"/>
    </w:p>
    <w:p w14:paraId="33E3EE81" w14:textId="51A248E9" w:rsidR="00485B74" w:rsidRDefault="00485B74" w:rsidP="00485B74">
      <w:r>
        <w:t>The compound annual growth rate, CAGR, serves as a measure of an average annual growth rate of the selected company’s share price during the stipulated period. Here, the -0.12% compound annual growth rate (Matthews et al., 2023) observed is an indication of the downward trend of the share price. This negative growth implies that, on the average, investors as a group found their investment in the company's stocks less valuable than before over the period under consideration.</w:t>
      </w:r>
    </w:p>
    <w:tbl>
      <w:tblPr>
        <w:tblW w:w="7112" w:type="dxa"/>
        <w:tblLook w:val="04A0" w:firstRow="1" w:lastRow="0" w:firstColumn="1" w:lastColumn="0" w:noHBand="0" w:noVBand="1"/>
      </w:tblPr>
      <w:tblGrid>
        <w:gridCol w:w="5093"/>
        <w:gridCol w:w="2019"/>
      </w:tblGrid>
      <w:tr w:rsidR="002E3DCC" w:rsidRPr="002E3DCC" w14:paraId="2401E50F" w14:textId="77777777" w:rsidTr="002E3DCC">
        <w:trPr>
          <w:trHeight w:val="284"/>
        </w:trPr>
        <w:tc>
          <w:tcPr>
            <w:tcW w:w="5093" w:type="dxa"/>
            <w:tcBorders>
              <w:top w:val="nil"/>
              <w:left w:val="nil"/>
              <w:bottom w:val="nil"/>
              <w:right w:val="nil"/>
            </w:tcBorders>
            <w:shd w:val="clear" w:color="auto" w:fill="auto"/>
            <w:noWrap/>
            <w:vAlign w:val="bottom"/>
            <w:hideMark/>
          </w:tcPr>
          <w:p w14:paraId="06009F9D" w14:textId="77777777" w:rsidR="002E3DCC" w:rsidRPr="002E3DCC" w:rsidRDefault="002E3DCC" w:rsidP="002E3DCC">
            <w:pPr>
              <w:spacing w:before="0" w:after="0" w:line="240" w:lineRule="auto"/>
              <w:rPr>
                <w:rFonts w:ascii="Arial" w:eastAsia="Times New Roman" w:hAnsi="Arial" w:cs="Arial"/>
                <w:b/>
                <w:bCs/>
                <w:color w:val="000000"/>
                <w:sz w:val="22"/>
                <w:lang w:eastAsia="en-GB"/>
              </w:rPr>
            </w:pPr>
            <w:r w:rsidRPr="002E3DCC">
              <w:rPr>
                <w:rFonts w:ascii="Arial" w:eastAsia="Times New Roman" w:hAnsi="Arial" w:cs="Arial"/>
                <w:b/>
                <w:bCs/>
                <w:color w:val="000000"/>
                <w:sz w:val="22"/>
                <w:lang w:eastAsia="en-GB"/>
              </w:rPr>
              <w:t>CAGR</w:t>
            </w:r>
          </w:p>
        </w:tc>
        <w:tc>
          <w:tcPr>
            <w:tcW w:w="2019" w:type="dxa"/>
            <w:tcBorders>
              <w:top w:val="nil"/>
              <w:left w:val="nil"/>
              <w:bottom w:val="nil"/>
              <w:right w:val="nil"/>
            </w:tcBorders>
            <w:shd w:val="clear" w:color="auto" w:fill="auto"/>
            <w:noWrap/>
            <w:vAlign w:val="bottom"/>
            <w:hideMark/>
          </w:tcPr>
          <w:p w14:paraId="60F7F86A" w14:textId="77777777" w:rsidR="002E3DCC" w:rsidRPr="002E3DCC" w:rsidRDefault="002E3DCC" w:rsidP="002E3DCC">
            <w:pPr>
              <w:spacing w:before="0" w:after="0" w:line="240" w:lineRule="auto"/>
              <w:rPr>
                <w:rFonts w:ascii="Arial" w:eastAsia="Times New Roman" w:hAnsi="Arial" w:cs="Arial"/>
                <w:b/>
                <w:bCs/>
                <w:color w:val="000000"/>
                <w:sz w:val="22"/>
                <w:lang w:eastAsia="en-GB"/>
              </w:rPr>
            </w:pPr>
          </w:p>
        </w:tc>
      </w:tr>
      <w:tr w:rsidR="002E3DCC" w:rsidRPr="002E3DCC" w14:paraId="08F0C68F" w14:textId="77777777" w:rsidTr="002E3DCC">
        <w:trPr>
          <w:trHeight w:val="269"/>
        </w:trPr>
        <w:tc>
          <w:tcPr>
            <w:tcW w:w="5093" w:type="dxa"/>
            <w:tcBorders>
              <w:top w:val="nil"/>
              <w:left w:val="nil"/>
              <w:bottom w:val="nil"/>
              <w:right w:val="nil"/>
            </w:tcBorders>
            <w:shd w:val="clear" w:color="auto" w:fill="auto"/>
            <w:noWrap/>
            <w:vAlign w:val="bottom"/>
            <w:hideMark/>
          </w:tcPr>
          <w:p w14:paraId="77BD2F29" w14:textId="77777777" w:rsidR="002E3DCC" w:rsidRPr="002E3DCC" w:rsidRDefault="002E3DCC" w:rsidP="002E3DCC">
            <w:pPr>
              <w:spacing w:before="0" w:after="0" w:line="240" w:lineRule="auto"/>
              <w:rPr>
                <w:rFonts w:ascii="Arial" w:eastAsia="Times New Roman" w:hAnsi="Arial" w:cs="Arial"/>
                <w:color w:val="000000"/>
                <w:sz w:val="22"/>
                <w:lang w:eastAsia="en-GB"/>
              </w:rPr>
            </w:pPr>
            <w:proofErr w:type="spellStart"/>
            <w:r w:rsidRPr="002E3DCC">
              <w:rPr>
                <w:rFonts w:ascii="Arial" w:eastAsia="Times New Roman" w:hAnsi="Arial" w:cs="Arial"/>
                <w:color w:val="000000"/>
                <w:sz w:val="22"/>
                <w:lang w:eastAsia="en-GB"/>
              </w:rPr>
              <w:t>Vfinal</w:t>
            </w:r>
            <w:proofErr w:type="spellEnd"/>
          </w:p>
        </w:tc>
        <w:tc>
          <w:tcPr>
            <w:tcW w:w="2019" w:type="dxa"/>
            <w:tcBorders>
              <w:top w:val="nil"/>
              <w:left w:val="nil"/>
              <w:bottom w:val="nil"/>
              <w:right w:val="nil"/>
            </w:tcBorders>
            <w:shd w:val="clear" w:color="auto" w:fill="auto"/>
            <w:noWrap/>
            <w:vAlign w:val="bottom"/>
            <w:hideMark/>
          </w:tcPr>
          <w:p w14:paraId="2FC7395F"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72.88</w:t>
            </w:r>
          </w:p>
        </w:tc>
      </w:tr>
      <w:tr w:rsidR="002E3DCC" w:rsidRPr="002E3DCC" w14:paraId="21D97762" w14:textId="77777777" w:rsidTr="002E3DCC">
        <w:trPr>
          <w:trHeight w:val="269"/>
        </w:trPr>
        <w:tc>
          <w:tcPr>
            <w:tcW w:w="5093" w:type="dxa"/>
            <w:tcBorders>
              <w:top w:val="nil"/>
              <w:left w:val="nil"/>
              <w:bottom w:val="nil"/>
              <w:right w:val="nil"/>
            </w:tcBorders>
            <w:shd w:val="clear" w:color="auto" w:fill="auto"/>
            <w:noWrap/>
            <w:vAlign w:val="bottom"/>
            <w:hideMark/>
          </w:tcPr>
          <w:p w14:paraId="17FE15A6" w14:textId="77777777" w:rsidR="002E3DCC" w:rsidRPr="002E3DCC" w:rsidRDefault="002E3DCC" w:rsidP="002E3DCC">
            <w:pPr>
              <w:spacing w:before="0" w:after="0" w:line="240" w:lineRule="auto"/>
              <w:rPr>
                <w:rFonts w:ascii="Arial" w:eastAsia="Times New Roman" w:hAnsi="Arial" w:cs="Arial"/>
                <w:color w:val="000000"/>
                <w:sz w:val="22"/>
                <w:lang w:eastAsia="en-GB"/>
              </w:rPr>
            </w:pPr>
            <w:proofErr w:type="spellStart"/>
            <w:r w:rsidRPr="002E3DCC">
              <w:rPr>
                <w:rFonts w:ascii="Arial" w:eastAsia="Times New Roman" w:hAnsi="Arial" w:cs="Arial"/>
                <w:color w:val="000000"/>
                <w:sz w:val="22"/>
                <w:lang w:eastAsia="en-GB"/>
              </w:rPr>
              <w:t>Vbegin</w:t>
            </w:r>
            <w:proofErr w:type="spellEnd"/>
          </w:p>
        </w:tc>
        <w:tc>
          <w:tcPr>
            <w:tcW w:w="2019" w:type="dxa"/>
            <w:tcBorders>
              <w:top w:val="nil"/>
              <w:left w:val="nil"/>
              <w:bottom w:val="nil"/>
              <w:right w:val="nil"/>
            </w:tcBorders>
            <w:shd w:val="clear" w:color="auto" w:fill="auto"/>
            <w:noWrap/>
            <w:vAlign w:val="bottom"/>
            <w:hideMark/>
          </w:tcPr>
          <w:p w14:paraId="09912F8A"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98.39</w:t>
            </w:r>
          </w:p>
        </w:tc>
      </w:tr>
      <w:tr w:rsidR="002E3DCC" w:rsidRPr="002E3DCC" w14:paraId="4921FA26" w14:textId="77777777" w:rsidTr="002E3DCC">
        <w:trPr>
          <w:trHeight w:val="269"/>
        </w:trPr>
        <w:tc>
          <w:tcPr>
            <w:tcW w:w="5093" w:type="dxa"/>
            <w:tcBorders>
              <w:top w:val="nil"/>
              <w:left w:val="nil"/>
              <w:bottom w:val="nil"/>
              <w:right w:val="nil"/>
            </w:tcBorders>
            <w:shd w:val="clear" w:color="auto" w:fill="auto"/>
            <w:noWrap/>
            <w:vAlign w:val="bottom"/>
            <w:hideMark/>
          </w:tcPr>
          <w:p w14:paraId="2EC5B18F" w14:textId="77777777" w:rsidR="002E3DCC" w:rsidRPr="002E3DCC" w:rsidRDefault="002E3DCC" w:rsidP="002E3DCC">
            <w:pPr>
              <w:spacing w:before="0" w:after="0" w:line="240" w:lineRule="auto"/>
              <w:rPr>
                <w:rFonts w:ascii="Arial" w:eastAsia="Times New Roman" w:hAnsi="Arial" w:cs="Arial"/>
                <w:color w:val="000000"/>
                <w:sz w:val="22"/>
                <w:lang w:eastAsia="en-GB"/>
              </w:rPr>
            </w:pPr>
            <w:proofErr w:type="spellStart"/>
            <w:r w:rsidRPr="002E3DCC">
              <w:rPr>
                <w:rFonts w:ascii="Arial" w:eastAsia="Times New Roman" w:hAnsi="Arial" w:cs="Arial"/>
                <w:color w:val="000000"/>
                <w:sz w:val="22"/>
                <w:lang w:eastAsia="en-GB"/>
              </w:rPr>
              <w:t>vfinal</w:t>
            </w:r>
            <w:proofErr w:type="spellEnd"/>
            <w:r w:rsidRPr="002E3DCC">
              <w:rPr>
                <w:rFonts w:ascii="Arial" w:eastAsia="Times New Roman" w:hAnsi="Arial" w:cs="Arial"/>
                <w:color w:val="000000"/>
                <w:sz w:val="22"/>
                <w:lang w:eastAsia="en-GB"/>
              </w:rPr>
              <w:t xml:space="preserve"> / </w:t>
            </w:r>
            <w:proofErr w:type="spellStart"/>
            <w:r w:rsidRPr="002E3DCC">
              <w:rPr>
                <w:rFonts w:ascii="Arial" w:eastAsia="Times New Roman" w:hAnsi="Arial" w:cs="Arial"/>
                <w:color w:val="000000"/>
                <w:sz w:val="22"/>
                <w:lang w:eastAsia="en-GB"/>
              </w:rPr>
              <w:t>vbegin</w:t>
            </w:r>
            <w:proofErr w:type="spellEnd"/>
          </w:p>
        </w:tc>
        <w:tc>
          <w:tcPr>
            <w:tcW w:w="2019" w:type="dxa"/>
            <w:tcBorders>
              <w:top w:val="nil"/>
              <w:left w:val="nil"/>
              <w:bottom w:val="nil"/>
              <w:right w:val="nil"/>
            </w:tcBorders>
            <w:shd w:val="clear" w:color="auto" w:fill="auto"/>
            <w:noWrap/>
            <w:vAlign w:val="bottom"/>
            <w:hideMark/>
          </w:tcPr>
          <w:p w14:paraId="7139954F"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0.740726</w:t>
            </w:r>
          </w:p>
        </w:tc>
      </w:tr>
      <w:tr w:rsidR="002E3DCC" w:rsidRPr="002E3DCC" w14:paraId="46205B16" w14:textId="77777777" w:rsidTr="002E3DCC">
        <w:trPr>
          <w:trHeight w:val="269"/>
        </w:trPr>
        <w:tc>
          <w:tcPr>
            <w:tcW w:w="5093" w:type="dxa"/>
            <w:tcBorders>
              <w:top w:val="nil"/>
              <w:left w:val="nil"/>
              <w:bottom w:val="nil"/>
              <w:right w:val="nil"/>
            </w:tcBorders>
            <w:shd w:val="clear" w:color="auto" w:fill="auto"/>
            <w:noWrap/>
            <w:vAlign w:val="bottom"/>
            <w:hideMark/>
          </w:tcPr>
          <w:p w14:paraId="378666C9" w14:textId="77777777" w:rsidR="002E3DCC" w:rsidRPr="002E3DCC" w:rsidRDefault="002E3DCC" w:rsidP="002E3DCC">
            <w:pPr>
              <w:spacing w:before="0" w:after="0" w:line="240" w:lineRule="auto"/>
              <w:rPr>
                <w:rFonts w:ascii="Arial" w:eastAsia="Times New Roman" w:hAnsi="Arial" w:cs="Arial"/>
                <w:color w:val="000000"/>
                <w:sz w:val="22"/>
                <w:lang w:eastAsia="en-GB"/>
              </w:rPr>
            </w:pPr>
            <w:r w:rsidRPr="002E3DCC">
              <w:rPr>
                <w:rFonts w:ascii="Arial" w:eastAsia="Times New Roman" w:hAnsi="Arial" w:cs="Arial"/>
                <w:color w:val="000000"/>
                <w:sz w:val="22"/>
                <w:lang w:eastAsia="en-GB"/>
              </w:rPr>
              <w:t>t</w:t>
            </w:r>
          </w:p>
        </w:tc>
        <w:tc>
          <w:tcPr>
            <w:tcW w:w="2019" w:type="dxa"/>
            <w:tcBorders>
              <w:top w:val="nil"/>
              <w:left w:val="nil"/>
              <w:bottom w:val="nil"/>
              <w:right w:val="nil"/>
            </w:tcBorders>
            <w:shd w:val="clear" w:color="auto" w:fill="auto"/>
            <w:noWrap/>
            <w:vAlign w:val="bottom"/>
            <w:hideMark/>
          </w:tcPr>
          <w:p w14:paraId="3A2204D6"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251</w:t>
            </w:r>
          </w:p>
        </w:tc>
      </w:tr>
      <w:tr w:rsidR="002E3DCC" w:rsidRPr="002E3DCC" w14:paraId="7D67B557" w14:textId="77777777" w:rsidTr="002E3DCC">
        <w:trPr>
          <w:trHeight w:val="269"/>
        </w:trPr>
        <w:tc>
          <w:tcPr>
            <w:tcW w:w="5093" w:type="dxa"/>
            <w:tcBorders>
              <w:top w:val="nil"/>
              <w:left w:val="nil"/>
              <w:bottom w:val="nil"/>
              <w:right w:val="nil"/>
            </w:tcBorders>
            <w:shd w:val="clear" w:color="auto" w:fill="auto"/>
            <w:noWrap/>
            <w:vAlign w:val="bottom"/>
            <w:hideMark/>
          </w:tcPr>
          <w:p w14:paraId="6253308F" w14:textId="77777777" w:rsidR="002E3DCC" w:rsidRPr="002E3DCC" w:rsidRDefault="002E3DCC" w:rsidP="002E3DCC">
            <w:pPr>
              <w:spacing w:before="0" w:after="0" w:line="240" w:lineRule="auto"/>
              <w:rPr>
                <w:rFonts w:ascii="Arial" w:eastAsia="Times New Roman" w:hAnsi="Arial" w:cs="Arial"/>
                <w:color w:val="000000"/>
                <w:sz w:val="22"/>
                <w:lang w:eastAsia="en-GB"/>
              </w:rPr>
            </w:pPr>
            <w:r w:rsidRPr="002E3DCC">
              <w:rPr>
                <w:rFonts w:ascii="Arial" w:eastAsia="Times New Roman" w:hAnsi="Arial" w:cs="Arial"/>
                <w:color w:val="000000"/>
                <w:sz w:val="22"/>
                <w:lang w:eastAsia="en-GB"/>
              </w:rPr>
              <w:t>CAGR</w:t>
            </w:r>
          </w:p>
        </w:tc>
        <w:tc>
          <w:tcPr>
            <w:tcW w:w="2019" w:type="dxa"/>
            <w:tcBorders>
              <w:top w:val="nil"/>
              <w:left w:val="nil"/>
              <w:bottom w:val="nil"/>
              <w:right w:val="nil"/>
            </w:tcBorders>
            <w:shd w:val="clear" w:color="auto" w:fill="auto"/>
            <w:noWrap/>
            <w:vAlign w:val="bottom"/>
            <w:hideMark/>
          </w:tcPr>
          <w:p w14:paraId="2C7AC86D"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-0.0012</w:t>
            </w:r>
          </w:p>
        </w:tc>
      </w:tr>
    </w:tbl>
    <w:p w14:paraId="59D3F6D3" w14:textId="0EA4D035" w:rsidR="002E3DCC" w:rsidRDefault="002E3DCC" w:rsidP="00485B74">
      <w:r>
        <w:t xml:space="preserve"> </w:t>
      </w:r>
    </w:p>
    <w:p w14:paraId="5044C27F" w14:textId="79FFC305" w:rsidR="00485B74" w:rsidRDefault="00485B74" w:rsidP="00485B74">
      <w:r>
        <w:t>By matching the CAGR of the chosen company's share price to the related index, we will obtain the necessary information regarding its comparative performance within the market context. Often, the stock market index is used to compare the different economies. The most common index that stands for the performance of the stock market overall is the S&amp;P 500 and the FTSE 100.</w:t>
      </w:r>
    </w:p>
    <w:p w14:paraId="78E66C28" w14:textId="121A81EB" w:rsidR="00485B74" w:rsidRDefault="00485B74" w:rsidP="00485B74">
      <w:r>
        <w:lastRenderedPageBreak/>
        <w:t>For example, let’s look at the FTSE 100 index: this index consists of the 100 largest companies that are listed on the London Stock Exchange, measured by their market capitali</w:t>
      </w:r>
      <w:r w:rsidR="001E1479">
        <w:t>s</w:t>
      </w:r>
      <w:r>
        <w:t>ation. By looking at the company's CAGR of share price in comparison with the CAGR of FTSE 100 over the same period, it is possible to conclude whether the company beat or lagged behind the market.</w:t>
      </w:r>
    </w:p>
    <w:tbl>
      <w:tblPr>
        <w:tblW w:w="7683" w:type="dxa"/>
        <w:tblLook w:val="04A0" w:firstRow="1" w:lastRow="0" w:firstColumn="1" w:lastColumn="0" w:noHBand="0" w:noVBand="1"/>
      </w:tblPr>
      <w:tblGrid>
        <w:gridCol w:w="5577"/>
        <w:gridCol w:w="2106"/>
      </w:tblGrid>
      <w:tr w:rsidR="002E3DCC" w:rsidRPr="002E3DCC" w14:paraId="5F122A28" w14:textId="77777777" w:rsidTr="002E3DCC">
        <w:trPr>
          <w:trHeight w:val="245"/>
        </w:trPr>
        <w:tc>
          <w:tcPr>
            <w:tcW w:w="5577" w:type="dxa"/>
            <w:tcBorders>
              <w:top w:val="nil"/>
              <w:left w:val="nil"/>
              <w:bottom w:val="nil"/>
              <w:right w:val="nil"/>
            </w:tcBorders>
            <w:shd w:val="clear" w:color="auto" w:fill="auto"/>
            <w:noWrap/>
            <w:vAlign w:val="bottom"/>
            <w:hideMark/>
          </w:tcPr>
          <w:p w14:paraId="37A58A61" w14:textId="77777777" w:rsidR="002E3DCC" w:rsidRPr="002E3DCC" w:rsidRDefault="002E3DCC" w:rsidP="002E3DCC">
            <w:pPr>
              <w:spacing w:before="0" w:after="0" w:line="240" w:lineRule="auto"/>
              <w:rPr>
                <w:rFonts w:ascii="Arial" w:eastAsia="Times New Roman" w:hAnsi="Arial" w:cs="Arial"/>
                <w:b/>
                <w:bCs/>
                <w:color w:val="000000"/>
                <w:sz w:val="22"/>
                <w:lang w:eastAsia="en-GB"/>
              </w:rPr>
            </w:pPr>
            <w:r w:rsidRPr="002E3DCC">
              <w:rPr>
                <w:rFonts w:ascii="Arial" w:eastAsia="Times New Roman" w:hAnsi="Arial" w:cs="Arial"/>
                <w:b/>
                <w:bCs/>
                <w:color w:val="000000"/>
                <w:sz w:val="22"/>
                <w:lang w:eastAsia="en-GB"/>
              </w:rPr>
              <w:t>SETUP</w:t>
            </w:r>
          </w:p>
        </w:tc>
        <w:tc>
          <w:tcPr>
            <w:tcW w:w="2106" w:type="dxa"/>
            <w:tcBorders>
              <w:top w:val="nil"/>
              <w:left w:val="nil"/>
              <w:bottom w:val="nil"/>
              <w:right w:val="nil"/>
            </w:tcBorders>
            <w:shd w:val="clear" w:color="auto" w:fill="auto"/>
            <w:noWrap/>
            <w:vAlign w:val="bottom"/>
            <w:hideMark/>
          </w:tcPr>
          <w:p w14:paraId="64BA6DC6" w14:textId="77777777" w:rsidR="002E3DCC" w:rsidRPr="002E3DCC" w:rsidRDefault="002E3DCC" w:rsidP="002E3DCC">
            <w:pPr>
              <w:spacing w:before="0" w:after="0" w:line="240" w:lineRule="auto"/>
              <w:rPr>
                <w:rFonts w:ascii="Arial" w:eastAsia="Times New Roman" w:hAnsi="Arial" w:cs="Arial"/>
                <w:b/>
                <w:bCs/>
                <w:color w:val="000000"/>
                <w:sz w:val="22"/>
                <w:lang w:eastAsia="en-GB"/>
              </w:rPr>
            </w:pPr>
          </w:p>
        </w:tc>
      </w:tr>
      <w:tr w:rsidR="002E3DCC" w:rsidRPr="002E3DCC" w14:paraId="67405C44" w14:textId="77777777" w:rsidTr="002E3DCC">
        <w:trPr>
          <w:trHeight w:val="233"/>
        </w:trPr>
        <w:tc>
          <w:tcPr>
            <w:tcW w:w="5577" w:type="dxa"/>
            <w:tcBorders>
              <w:top w:val="nil"/>
              <w:left w:val="nil"/>
              <w:bottom w:val="nil"/>
              <w:right w:val="nil"/>
            </w:tcBorders>
            <w:shd w:val="clear" w:color="auto" w:fill="auto"/>
            <w:noWrap/>
            <w:vAlign w:val="bottom"/>
            <w:hideMark/>
          </w:tcPr>
          <w:p w14:paraId="56E82994" w14:textId="77777777" w:rsidR="002E3DCC" w:rsidRPr="002E3DCC" w:rsidRDefault="002E3DCC" w:rsidP="002E3DCC">
            <w:pPr>
              <w:spacing w:before="0" w:after="0" w:line="240" w:lineRule="auto"/>
              <w:rPr>
                <w:rFonts w:eastAsia="Times New Roman" w:cs="Times New Roman"/>
                <w:sz w:val="20"/>
                <w:szCs w:val="20"/>
                <w:lang w:eastAsia="en-GB"/>
              </w:rPr>
            </w:pPr>
          </w:p>
        </w:tc>
        <w:tc>
          <w:tcPr>
            <w:tcW w:w="2106" w:type="dxa"/>
            <w:tcBorders>
              <w:top w:val="nil"/>
              <w:left w:val="nil"/>
              <w:bottom w:val="nil"/>
              <w:right w:val="nil"/>
            </w:tcBorders>
            <w:shd w:val="clear" w:color="auto" w:fill="auto"/>
            <w:noWrap/>
            <w:vAlign w:val="bottom"/>
            <w:hideMark/>
          </w:tcPr>
          <w:p w14:paraId="239005EF" w14:textId="77777777" w:rsidR="002E3DCC" w:rsidRPr="002E3DCC" w:rsidRDefault="002E3DCC" w:rsidP="002E3DCC">
            <w:pPr>
              <w:spacing w:before="0" w:after="0" w:line="240" w:lineRule="auto"/>
              <w:rPr>
                <w:rFonts w:eastAsia="Times New Roman" w:cs="Times New Roman"/>
                <w:sz w:val="20"/>
                <w:szCs w:val="20"/>
                <w:lang w:eastAsia="en-GB"/>
              </w:rPr>
            </w:pPr>
          </w:p>
        </w:tc>
      </w:tr>
      <w:tr w:rsidR="002E3DCC" w:rsidRPr="002E3DCC" w14:paraId="3A4330F6" w14:textId="77777777" w:rsidTr="002E3DCC">
        <w:trPr>
          <w:trHeight w:val="233"/>
        </w:trPr>
        <w:tc>
          <w:tcPr>
            <w:tcW w:w="5577" w:type="dxa"/>
            <w:tcBorders>
              <w:top w:val="nil"/>
              <w:left w:val="nil"/>
              <w:bottom w:val="nil"/>
              <w:right w:val="nil"/>
            </w:tcBorders>
            <w:shd w:val="clear" w:color="auto" w:fill="auto"/>
            <w:noWrap/>
            <w:vAlign w:val="bottom"/>
            <w:hideMark/>
          </w:tcPr>
          <w:p w14:paraId="2B20909E" w14:textId="77777777" w:rsidR="002E3DCC" w:rsidRPr="002E3DCC" w:rsidRDefault="002E3DCC" w:rsidP="002E3DCC">
            <w:pPr>
              <w:spacing w:before="0" w:after="0" w:line="240" w:lineRule="auto"/>
              <w:rPr>
                <w:rFonts w:ascii="Arial" w:eastAsia="Times New Roman" w:hAnsi="Arial" w:cs="Arial"/>
                <w:color w:val="000000"/>
                <w:sz w:val="22"/>
                <w:lang w:eastAsia="en-GB"/>
              </w:rPr>
            </w:pPr>
            <w:r w:rsidRPr="002E3DCC">
              <w:rPr>
                <w:rFonts w:ascii="Arial" w:eastAsia="Times New Roman" w:hAnsi="Arial" w:cs="Arial"/>
                <w:color w:val="000000"/>
                <w:sz w:val="22"/>
                <w:lang w:eastAsia="en-GB"/>
              </w:rPr>
              <w:t>rf</w:t>
            </w:r>
          </w:p>
        </w:tc>
        <w:tc>
          <w:tcPr>
            <w:tcW w:w="2106" w:type="dxa"/>
            <w:tcBorders>
              <w:top w:val="nil"/>
              <w:left w:val="nil"/>
              <w:bottom w:val="nil"/>
              <w:right w:val="nil"/>
            </w:tcBorders>
            <w:shd w:val="clear" w:color="auto" w:fill="auto"/>
            <w:noWrap/>
            <w:vAlign w:val="bottom"/>
            <w:hideMark/>
          </w:tcPr>
          <w:p w14:paraId="1B58D72A"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0.03</w:t>
            </w:r>
          </w:p>
        </w:tc>
      </w:tr>
      <w:tr w:rsidR="002E3DCC" w:rsidRPr="002E3DCC" w14:paraId="69F4BB21" w14:textId="77777777" w:rsidTr="002E3DCC">
        <w:trPr>
          <w:trHeight w:val="233"/>
        </w:trPr>
        <w:tc>
          <w:tcPr>
            <w:tcW w:w="5577" w:type="dxa"/>
            <w:tcBorders>
              <w:top w:val="nil"/>
              <w:left w:val="nil"/>
              <w:bottom w:val="nil"/>
              <w:right w:val="nil"/>
            </w:tcBorders>
            <w:shd w:val="clear" w:color="auto" w:fill="auto"/>
            <w:noWrap/>
            <w:vAlign w:val="bottom"/>
            <w:hideMark/>
          </w:tcPr>
          <w:p w14:paraId="3EBA2AE1" w14:textId="77777777" w:rsidR="002E3DCC" w:rsidRPr="002E3DCC" w:rsidRDefault="002E3DCC" w:rsidP="002E3DCC">
            <w:pPr>
              <w:spacing w:before="0" w:after="0" w:line="240" w:lineRule="auto"/>
              <w:rPr>
                <w:rFonts w:ascii="Arial" w:eastAsia="Times New Roman" w:hAnsi="Arial" w:cs="Arial"/>
                <w:color w:val="000000"/>
                <w:sz w:val="22"/>
                <w:lang w:eastAsia="en-GB"/>
              </w:rPr>
            </w:pPr>
            <w:proofErr w:type="spellStart"/>
            <w:r w:rsidRPr="002E3DCC">
              <w:rPr>
                <w:rFonts w:ascii="Arial" w:eastAsia="Times New Roman" w:hAnsi="Arial" w:cs="Arial"/>
                <w:color w:val="000000"/>
                <w:sz w:val="22"/>
                <w:lang w:eastAsia="en-GB"/>
              </w:rPr>
              <w:t>rp</w:t>
            </w:r>
            <w:proofErr w:type="spellEnd"/>
          </w:p>
        </w:tc>
        <w:tc>
          <w:tcPr>
            <w:tcW w:w="2106" w:type="dxa"/>
            <w:tcBorders>
              <w:top w:val="nil"/>
              <w:left w:val="nil"/>
              <w:bottom w:val="nil"/>
              <w:right w:val="nil"/>
            </w:tcBorders>
            <w:shd w:val="clear" w:color="auto" w:fill="auto"/>
            <w:noWrap/>
            <w:vAlign w:val="bottom"/>
            <w:hideMark/>
          </w:tcPr>
          <w:p w14:paraId="070BC798"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-0.25927</w:t>
            </w:r>
          </w:p>
        </w:tc>
      </w:tr>
      <w:tr w:rsidR="002E3DCC" w:rsidRPr="002E3DCC" w14:paraId="1B15FB7D" w14:textId="77777777" w:rsidTr="002E3DCC">
        <w:trPr>
          <w:trHeight w:val="233"/>
        </w:trPr>
        <w:tc>
          <w:tcPr>
            <w:tcW w:w="5577" w:type="dxa"/>
            <w:tcBorders>
              <w:top w:val="nil"/>
              <w:left w:val="nil"/>
              <w:bottom w:val="nil"/>
              <w:right w:val="nil"/>
            </w:tcBorders>
            <w:shd w:val="clear" w:color="auto" w:fill="auto"/>
            <w:noWrap/>
            <w:vAlign w:val="bottom"/>
            <w:hideMark/>
          </w:tcPr>
          <w:p w14:paraId="6CBBC192" w14:textId="77777777" w:rsidR="002E3DCC" w:rsidRPr="002E3DCC" w:rsidRDefault="002E3DCC" w:rsidP="002E3DCC">
            <w:pPr>
              <w:spacing w:before="0" w:after="0" w:line="240" w:lineRule="auto"/>
              <w:rPr>
                <w:rFonts w:ascii="Arial" w:eastAsia="Times New Roman" w:hAnsi="Arial" w:cs="Arial"/>
                <w:color w:val="000000"/>
                <w:sz w:val="22"/>
                <w:lang w:eastAsia="en-GB"/>
              </w:rPr>
            </w:pPr>
            <w:r w:rsidRPr="002E3DCC">
              <w:rPr>
                <w:rFonts w:ascii="Arial" w:eastAsia="Times New Roman" w:hAnsi="Arial" w:cs="Arial"/>
                <w:color w:val="000000"/>
                <w:sz w:val="22"/>
                <w:lang w:eastAsia="en-GB"/>
              </w:rPr>
              <w:t>Beta</w:t>
            </w:r>
          </w:p>
        </w:tc>
        <w:tc>
          <w:tcPr>
            <w:tcW w:w="2106" w:type="dxa"/>
            <w:tcBorders>
              <w:top w:val="nil"/>
              <w:left w:val="nil"/>
              <w:bottom w:val="nil"/>
              <w:right w:val="nil"/>
            </w:tcBorders>
            <w:shd w:val="clear" w:color="auto" w:fill="auto"/>
            <w:noWrap/>
            <w:vAlign w:val="bottom"/>
            <w:hideMark/>
          </w:tcPr>
          <w:p w14:paraId="79FDDD0C"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0.47</w:t>
            </w:r>
          </w:p>
        </w:tc>
      </w:tr>
    </w:tbl>
    <w:p w14:paraId="3AD03B8F" w14:textId="355DB411" w:rsidR="00485B74" w:rsidRDefault="002E3DCC" w:rsidP="00485B74">
      <w:r>
        <w:t xml:space="preserve"> </w:t>
      </w:r>
    </w:p>
    <w:p w14:paraId="1511301B" w14:textId="6189AEB2" w:rsidR="006279C4" w:rsidRPr="006279C4" w:rsidRDefault="00485B74" w:rsidP="00485B74">
      <w:pPr>
        <w:rPr>
          <w:highlight w:val="yellow"/>
        </w:rPr>
      </w:pPr>
      <w:r>
        <w:t>If the chosen company's CAGR outpaces the FTSE 100 index, it implies that the company's shares brought higher returns than the market during the date range. Therefore, if the company's CAGR is less than the FTSE 100 index, it might mean that the company shares have been outperformed relative to the entire market.</w:t>
      </w:r>
    </w:p>
    <w:p w14:paraId="2E14941A" w14:textId="72E14DE3" w:rsidR="006279C4" w:rsidRPr="006279C4" w:rsidRDefault="00841C47" w:rsidP="006279C4">
      <w:r w:rsidRPr="00841C47">
        <w:t>Bringing this comparison as well as an appropriate index in will help the analysis as investors will have a benchmark against which they can evaluate the company's share price performance to determine if they have made the right choice. This approach of benchmarking allows for a good understanding of whether the company’s performance is driven by factors that are characteristic of the company, or by the external market that impacts other competitors (Bazhenova et al., 2021).</w:t>
      </w:r>
    </w:p>
    <w:p w14:paraId="0C81B4FC" w14:textId="77777777" w:rsidR="006279C4" w:rsidRPr="006279C4" w:rsidRDefault="006279C4" w:rsidP="006279C4"/>
    <w:p w14:paraId="6708E3A3" w14:textId="77777777" w:rsidR="006279C4" w:rsidRPr="006279C4" w:rsidRDefault="006279C4" w:rsidP="006279C4">
      <w:pPr>
        <w:pStyle w:val="Titolo2"/>
      </w:pPr>
      <w:bookmarkStart w:id="22" w:name="_Toc164940540"/>
      <w:r w:rsidRPr="006279C4">
        <w:t>C) Sharpe and Treynor Ratios:</w:t>
      </w:r>
      <w:bookmarkEnd w:id="22"/>
    </w:p>
    <w:p w14:paraId="0D2EE24D" w14:textId="2013EEEB" w:rsidR="00750A65" w:rsidRDefault="00750A65" w:rsidP="00750A65">
      <w:r>
        <w:t>The commentary on the company's performance in respect of Sharpe and Treynor ratios should be not only about the financial theories and market dynamics but also (</w:t>
      </w:r>
      <w:proofErr w:type="spellStart"/>
      <w:r>
        <w:t>Strohsal</w:t>
      </w:r>
      <w:proofErr w:type="spellEnd"/>
      <w:r>
        <w:t xml:space="preserve"> et al., 2019).</w:t>
      </w:r>
    </w:p>
    <w:p w14:paraId="49E4C25D" w14:textId="12BE1EB6" w:rsidR="00841C47" w:rsidRDefault="00750A65" w:rsidP="00750A65">
      <w:r>
        <w:t>The Sharpe ratio considered the risk-adjusted returns ability of an investment by calculating the return over the risk-free rate per each point of volatility or total risk. A good Sharpe Ratio, which indicates the efficient balance between risk and return and the performance that is better in risk-adjustment, usually shows a higher one.</w:t>
      </w:r>
      <w:r w:rsidR="00841C47">
        <w:t xml:space="preserve"> On the contrary, it's significant to bear in mind that a negative Sharpe ratio means that the investment's return is inadequate to remunerate for the risk taken (Buch </w:t>
      </w:r>
      <w:r w:rsidR="00770BDC">
        <w:t>and</w:t>
      </w:r>
      <w:r w:rsidR="00841C47">
        <w:t xml:space="preserve"> Goldberg, 2022).</w:t>
      </w:r>
    </w:p>
    <w:tbl>
      <w:tblPr>
        <w:tblW w:w="7564" w:type="dxa"/>
        <w:tblLook w:val="04A0" w:firstRow="1" w:lastRow="0" w:firstColumn="1" w:lastColumn="0" w:noHBand="0" w:noVBand="1"/>
      </w:tblPr>
      <w:tblGrid>
        <w:gridCol w:w="5417"/>
        <w:gridCol w:w="2147"/>
      </w:tblGrid>
      <w:tr w:rsidR="002E3DCC" w:rsidRPr="002E3DCC" w14:paraId="0E741495" w14:textId="77777777" w:rsidTr="002E3DCC">
        <w:trPr>
          <w:trHeight w:val="252"/>
        </w:trPr>
        <w:tc>
          <w:tcPr>
            <w:tcW w:w="5417" w:type="dxa"/>
            <w:tcBorders>
              <w:top w:val="nil"/>
              <w:left w:val="nil"/>
              <w:bottom w:val="nil"/>
              <w:right w:val="nil"/>
            </w:tcBorders>
            <w:shd w:val="clear" w:color="auto" w:fill="auto"/>
            <w:noWrap/>
            <w:vAlign w:val="bottom"/>
            <w:hideMark/>
          </w:tcPr>
          <w:p w14:paraId="03100CCA" w14:textId="77777777" w:rsidR="002E3DCC" w:rsidRPr="002E3DCC" w:rsidRDefault="002E3DCC" w:rsidP="002E3DCC">
            <w:pPr>
              <w:spacing w:before="0" w:after="0" w:line="240" w:lineRule="auto"/>
              <w:rPr>
                <w:rFonts w:ascii="Arial" w:eastAsia="Times New Roman" w:hAnsi="Arial" w:cs="Arial"/>
                <w:b/>
                <w:bCs/>
                <w:color w:val="000000"/>
                <w:sz w:val="22"/>
                <w:lang w:eastAsia="en-GB"/>
              </w:rPr>
            </w:pPr>
            <w:r w:rsidRPr="002E3DCC">
              <w:rPr>
                <w:rFonts w:ascii="Arial" w:eastAsia="Times New Roman" w:hAnsi="Arial" w:cs="Arial"/>
                <w:b/>
                <w:bCs/>
                <w:color w:val="000000"/>
                <w:sz w:val="22"/>
                <w:lang w:eastAsia="en-GB"/>
              </w:rPr>
              <w:t>SHARPE</w:t>
            </w:r>
          </w:p>
        </w:tc>
        <w:tc>
          <w:tcPr>
            <w:tcW w:w="2147" w:type="dxa"/>
            <w:tcBorders>
              <w:top w:val="nil"/>
              <w:left w:val="nil"/>
              <w:bottom w:val="nil"/>
              <w:right w:val="nil"/>
            </w:tcBorders>
            <w:shd w:val="clear" w:color="auto" w:fill="auto"/>
            <w:noWrap/>
            <w:vAlign w:val="bottom"/>
            <w:hideMark/>
          </w:tcPr>
          <w:p w14:paraId="19C750D1" w14:textId="77777777" w:rsidR="002E3DCC" w:rsidRPr="002E3DCC" w:rsidRDefault="002E3DCC" w:rsidP="002E3DCC">
            <w:pPr>
              <w:spacing w:before="0" w:after="0" w:line="240" w:lineRule="auto"/>
              <w:rPr>
                <w:rFonts w:ascii="Arial" w:eastAsia="Times New Roman" w:hAnsi="Arial" w:cs="Arial"/>
                <w:b/>
                <w:bCs/>
                <w:color w:val="000000"/>
                <w:sz w:val="22"/>
                <w:lang w:eastAsia="en-GB"/>
              </w:rPr>
            </w:pPr>
          </w:p>
        </w:tc>
      </w:tr>
      <w:tr w:rsidR="002E3DCC" w:rsidRPr="002E3DCC" w14:paraId="6138A8D0" w14:textId="77777777" w:rsidTr="002E3DCC">
        <w:trPr>
          <w:trHeight w:val="239"/>
        </w:trPr>
        <w:tc>
          <w:tcPr>
            <w:tcW w:w="5417" w:type="dxa"/>
            <w:tcBorders>
              <w:top w:val="nil"/>
              <w:left w:val="nil"/>
              <w:bottom w:val="nil"/>
              <w:right w:val="nil"/>
            </w:tcBorders>
            <w:shd w:val="clear" w:color="auto" w:fill="auto"/>
            <w:noWrap/>
            <w:vAlign w:val="bottom"/>
            <w:hideMark/>
          </w:tcPr>
          <w:p w14:paraId="16465A85" w14:textId="77777777" w:rsidR="002E3DCC" w:rsidRPr="002E3DCC" w:rsidRDefault="002E3DCC" w:rsidP="002E3DCC">
            <w:pPr>
              <w:spacing w:before="0" w:after="0" w:line="240" w:lineRule="auto"/>
              <w:rPr>
                <w:rFonts w:eastAsia="Times New Roman" w:cs="Times New Roman"/>
                <w:sz w:val="20"/>
                <w:szCs w:val="20"/>
                <w:lang w:eastAsia="en-GB"/>
              </w:rPr>
            </w:pPr>
          </w:p>
        </w:tc>
        <w:tc>
          <w:tcPr>
            <w:tcW w:w="2147" w:type="dxa"/>
            <w:tcBorders>
              <w:top w:val="nil"/>
              <w:left w:val="nil"/>
              <w:bottom w:val="nil"/>
              <w:right w:val="nil"/>
            </w:tcBorders>
            <w:shd w:val="clear" w:color="auto" w:fill="auto"/>
            <w:noWrap/>
            <w:vAlign w:val="bottom"/>
            <w:hideMark/>
          </w:tcPr>
          <w:p w14:paraId="240B513F" w14:textId="77777777" w:rsidR="002E3DCC" w:rsidRPr="002E3DCC" w:rsidRDefault="002E3DCC" w:rsidP="002E3DCC">
            <w:pPr>
              <w:spacing w:before="0" w:after="0" w:line="240" w:lineRule="auto"/>
              <w:rPr>
                <w:rFonts w:eastAsia="Times New Roman" w:cs="Times New Roman"/>
                <w:sz w:val="20"/>
                <w:szCs w:val="20"/>
                <w:lang w:eastAsia="en-GB"/>
              </w:rPr>
            </w:pPr>
          </w:p>
        </w:tc>
      </w:tr>
      <w:tr w:rsidR="002E3DCC" w:rsidRPr="002E3DCC" w14:paraId="21CDC9E2" w14:textId="77777777" w:rsidTr="002E3DCC">
        <w:trPr>
          <w:trHeight w:val="239"/>
        </w:trPr>
        <w:tc>
          <w:tcPr>
            <w:tcW w:w="5417" w:type="dxa"/>
            <w:tcBorders>
              <w:top w:val="nil"/>
              <w:left w:val="nil"/>
              <w:bottom w:val="nil"/>
              <w:right w:val="nil"/>
            </w:tcBorders>
            <w:shd w:val="clear" w:color="auto" w:fill="auto"/>
            <w:noWrap/>
            <w:vAlign w:val="bottom"/>
            <w:hideMark/>
          </w:tcPr>
          <w:p w14:paraId="55B125FA" w14:textId="77777777" w:rsidR="002E3DCC" w:rsidRPr="002E3DCC" w:rsidRDefault="002E3DCC" w:rsidP="002E3DCC">
            <w:pPr>
              <w:spacing w:before="0" w:after="0" w:line="240" w:lineRule="auto"/>
              <w:rPr>
                <w:rFonts w:ascii="Arial" w:eastAsia="Times New Roman" w:hAnsi="Arial" w:cs="Arial"/>
                <w:color w:val="000000"/>
                <w:sz w:val="22"/>
                <w:lang w:eastAsia="en-GB"/>
              </w:rPr>
            </w:pPr>
            <w:proofErr w:type="spellStart"/>
            <w:r w:rsidRPr="002E3DCC">
              <w:rPr>
                <w:rFonts w:ascii="Arial" w:eastAsia="Times New Roman" w:hAnsi="Arial" w:cs="Arial"/>
                <w:color w:val="000000"/>
                <w:sz w:val="22"/>
                <w:lang w:eastAsia="en-GB"/>
              </w:rPr>
              <w:t>rp</w:t>
            </w:r>
            <w:proofErr w:type="spellEnd"/>
            <w:r w:rsidRPr="002E3DCC">
              <w:rPr>
                <w:rFonts w:ascii="Arial" w:eastAsia="Times New Roman" w:hAnsi="Arial" w:cs="Arial"/>
                <w:color w:val="000000"/>
                <w:sz w:val="22"/>
                <w:lang w:eastAsia="en-GB"/>
              </w:rPr>
              <w:t>-rf</w:t>
            </w:r>
          </w:p>
        </w:tc>
        <w:tc>
          <w:tcPr>
            <w:tcW w:w="2147" w:type="dxa"/>
            <w:tcBorders>
              <w:top w:val="nil"/>
              <w:left w:val="nil"/>
              <w:bottom w:val="nil"/>
              <w:right w:val="nil"/>
            </w:tcBorders>
            <w:shd w:val="clear" w:color="auto" w:fill="auto"/>
            <w:noWrap/>
            <w:vAlign w:val="bottom"/>
            <w:hideMark/>
          </w:tcPr>
          <w:p w14:paraId="080ACFAD"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-0.28927</w:t>
            </w:r>
          </w:p>
        </w:tc>
      </w:tr>
      <w:tr w:rsidR="002E3DCC" w:rsidRPr="002E3DCC" w14:paraId="3E24BABF" w14:textId="77777777" w:rsidTr="002E3DCC">
        <w:trPr>
          <w:trHeight w:val="239"/>
        </w:trPr>
        <w:tc>
          <w:tcPr>
            <w:tcW w:w="5417" w:type="dxa"/>
            <w:tcBorders>
              <w:top w:val="nil"/>
              <w:left w:val="nil"/>
              <w:bottom w:val="nil"/>
              <w:right w:val="nil"/>
            </w:tcBorders>
            <w:shd w:val="clear" w:color="auto" w:fill="auto"/>
            <w:noWrap/>
            <w:vAlign w:val="bottom"/>
            <w:hideMark/>
          </w:tcPr>
          <w:p w14:paraId="6EC6B91E" w14:textId="77777777" w:rsidR="002E3DCC" w:rsidRPr="002E3DCC" w:rsidRDefault="002E3DCC" w:rsidP="002E3DCC">
            <w:pPr>
              <w:spacing w:before="0" w:after="0" w:line="240" w:lineRule="auto"/>
              <w:rPr>
                <w:rFonts w:ascii="Arial" w:eastAsia="Times New Roman" w:hAnsi="Arial" w:cs="Arial"/>
                <w:color w:val="000000"/>
                <w:sz w:val="22"/>
                <w:lang w:eastAsia="en-GB"/>
              </w:rPr>
            </w:pPr>
            <w:r w:rsidRPr="002E3DCC">
              <w:rPr>
                <w:rFonts w:ascii="Arial" w:eastAsia="Times New Roman" w:hAnsi="Arial" w:cs="Arial"/>
                <w:color w:val="000000"/>
                <w:sz w:val="22"/>
                <w:lang w:eastAsia="en-GB"/>
              </w:rPr>
              <w:t>standard deviation</w:t>
            </w:r>
          </w:p>
        </w:tc>
        <w:tc>
          <w:tcPr>
            <w:tcW w:w="2147" w:type="dxa"/>
            <w:tcBorders>
              <w:top w:val="nil"/>
              <w:left w:val="nil"/>
              <w:bottom w:val="nil"/>
              <w:right w:val="nil"/>
            </w:tcBorders>
            <w:shd w:val="clear" w:color="auto" w:fill="auto"/>
            <w:noWrap/>
            <w:vAlign w:val="bottom"/>
            <w:hideMark/>
          </w:tcPr>
          <w:p w14:paraId="58B8A1D1"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0.022713</w:t>
            </w:r>
          </w:p>
        </w:tc>
      </w:tr>
      <w:tr w:rsidR="002E3DCC" w:rsidRPr="002E3DCC" w14:paraId="11D4D818" w14:textId="77777777" w:rsidTr="002E3DCC">
        <w:trPr>
          <w:trHeight w:val="239"/>
        </w:trPr>
        <w:tc>
          <w:tcPr>
            <w:tcW w:w="5417" w:type="dxa"/>
            <w:tcBorders>
              <w:top w:val="nil"/>
              <w:left w:val="nil"/>
              <w:bottom w:val="nil"/>
              <w:right w:val="nil"/>
            </w:tcBorders>
            <w:shd w:val="clear" w:color="auto" w:fill="auto"/>
            <w:noWrap/>
            <w:vAlign w:val="bottom"/>
            <w:hideMark/>
          </w:tcPr>
          <w:p w14:paraId="221D19D7" w14:textId="77777777" w:rsidR="002E3DCC" w:rsidRPr="002E3DCC" w:rsidRDefault="002E3DCC" w:rsidP="002E3DCC">
            <w:pPr>
              <w:spacing w:before="0" w:after="0" w:line="240" w:lineRule="auto"/>
              <w:rPr>
                <w:rFonts w:ascii="Arial" w:eastAsia="Times New Roman" w:hAnsi="Arial" w:cs="Arial"/>
                <w:color w:val="000000"/>
                <w:sz w:val="22"/>
                <w:lang w:eastAsia="en-GB"/>
              </w:rPr>
            </w:pPr>
            <w:r w:rsidRPr="002E3DCC">
              <w:rPr>
                <w:rFonts w:ascii="Arial" w:eastAsia="Times New Roman" w:hAnsi="Arial" w:cs="Arial"/>
                <w:color w:val="000000"/>
                <w:sz w:val="22"/>
                <w:lang w:eastAsia="en-GB"/>
              </w:rPr>
              <w:t>Sharpe</w:t>
            </w:r>
          </w:p>
        </w:tc>
        <w:tc>
          <w:tcPr>
            <w:tcW w:w="2147" w:type="dxa"/>
            <w:tcBorders>
              <w:top w:val="nil"/>
              <w:left w:val="nil"/>
              <w:bottom w:val="nil"/>
              <w:right w:val="nil"/>
            </w:tcBorders>
            <w:shd w:val="clear" w:color="auto" w:fill="auto"/>
            <w:noWrap/>
            <w:vAlign w:val="bottom"/>
            <w:hideMark/>
          </w:tcPr>
          <w:p w14:paraId="51750886"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-12.7359</w:t>
            </w:r>
          </w:p>
        </w:tc>
      </w:tr>
    </w:tbl>
    <w:p w14:paraId="7683AD66" w14:textId="5B7BF388" w:rsidR="002E3DCC" w:rsidRDefault="002E3DCC" w:rsidP="00841C47">
      <w:r>
        <w:t xml:space="preserve"> </w:t>
      </w:r>
    </w:p>
    <w:tbl>
      <w:tblPr>
        <w:tblW w:w="7652" w:type="dxa"/>
        <w:tblLook w:val="04A0" w:firstRow="1" w:lastRow="0" w:firstColumn="1" w:lastColumn="0" w:noHBand="0" w:noVBand="1"/>
      </w:tblPr>
      <w:tblGrid>
        <w:gridCol w:w="5555"/>
        <w:gridCol w:w="2097"/>
      </w:tblGrid>
      <w:tr w:rsidR="002E3DCC" w:rsidRPr="002E3DCC" w14:paraId="4C507427" w14:textId="77777777" w:rsidTr="002E3DCC">
        <w:trPr>
          <w:trHeight w:val="220"/>
        </w:trPr>
        <w:tc>
          <w:tcPr>
            <w:tcW w:w="5555" w:type="dxa"/>
            <w:tcBorders>
              <w:top w:val="nil"/>
              <w:left w:val="nil"/>
              <w:bottom w:val="nil"/>
              <w:right w:val="nil"/>
            </w:tcBorders>
            <w:shd w:val="clear" w:color="auto" w:fill="auto"/>
            <w:noWrap/>
            <w:vAlign w:val="bottom"/>
            <w:hideMark/>
          </w:tcPr>
          <w:p w14:paraId="68265F41" w14:textId="77777777" w:rsidR="002E3DCC" w:rsidRPr="002E3DCC" w:rsidRDefault="002E3DCC" w:rsidP="002E3DCC">
            <w:pPr>
              <w:spacing w:before="0" w:after="0" w:line="240" w:lineRule="auto"/>
              <w:rPr>
                <w:rFonts w:ascii="Arial" w:eastAsia="Times New Roman" w:hAnsi="Arial" w:cs="Arial"/>
                <w:b/>
                <w:bCs/>
                <w:color w:val="000000"/>
                <w:sz w:val="22"/>
                <w:lang w:eastAsia="en-GB"/>
              </w:rPr>
            </w:pPr>
            <w:r w:rsidRPr="002E3DCC">
              <w:rPr>
                <w:rFonts w:ascii="Arial" w:eastAsia="Times New Roman" w:hAnsi="Arial" w:cs="Arial"/>
                <w:b/>
                <w:bCs/>
                <w:color w:val="000000"/>
                <w:sz w:val="22"/>
                <w:lang w:eastAsia="en-GB"/>
              </w:rPr>
              <w:t>TREYNOR</w:t>
            </w:r>
          </w:p>
        </w:tc>
        <w:tc>
          <w:tcPr>
            <w:tcW w:w="2097" w:type="dxa"/>
            <w:tcBorders>
              <w:top w:val="nil"/>
              <w:left w:val="nil"/>
              <w:bottom w:val="nil"/>
              <w:right w:val="nil"/>
            </w:tcBorders>
            <w:shd w:val="clear" w:color="auto" w:fill="auto"/>
            <w:noWrap/>
            <w:vAlign w:val="bottom"/>
            <w:hideMark/>
          </w:tcPr>
          <w:p w14:paraId="2321373A" w14:textId="77777777" w:rsidR="002E3DCC" w:rsidRPr="002E3DCC" w:rsidRDefault="002E3DCC" w:rsidP="002E3DCC">
            <w:pPr>
              <w:spacing w:before="0" w:after="0" w:line="240" w:lineRule="auto"/>
              <w:rPr>
                <w:rFonts w:ascii="Arial" w:eastAsia="Times New Roman" w:hAnsi="Arial" w:cs="Arial"/>
                <w:b/>
                <w:bCs/>
                <w:color w:val="000000"/>
                <w:sz w:val="22"/>
                <w:lang w:eastAsia="en-GB"/>
              </w:rPr>
            </w:pPr>
          </w:p>
        </w:tc>
      </w:tr>
      <w:tr w:rsidR="002E3DCC" w:rsidRPr="002E3DCC" w14:paraId="79C2A118" w14:textId="77777777" w:rsidTr="002E3DCC">
        <w:trPr>
          <w:trHeight w:val="209"/>
        </w:trPr>
        <w:tc>
          <w:tcPr>
            <w:tcW w:w="5555" w:type="dxa"/>
            <w:tcBorders>
              <w:top w:val="nil"/>
              <w:left w:val="nil"/>
              <w:bottom w:val="nil"/>
              <w:right w:val="nil"/>
            </w:tcBorders>
            <w:shd w:val="clear" w:color="auto" w:fill="auto"/>
            <w:noWrap/>
            <w:vAlign w:val="bottom"/>
            <w:hideMark/>
          </w:tcPr>
          <w:p w14:paraId="4584CBF7" w14:textId="77777777" w:rsidR="002E3DCC" w:rsidRPr="002E3DCC" w:rsidRDefault="002E3DCC" w:rsidP="002E3DCC">
            <w:pPr>
              <w:spacing w:before="0" w:after="0" w:line="240" w:lineRule="auto"/>
              <w:rPr>
                <w:rFonts w:eastAsia="Times New Roman" w:cs="Times New Roman"/>
                <w:sz w:val="20"/>
                <w:szCs w:val="20"/>
                <w:lang w:eastAsia="en-GB"/>
              </w:rPr>
            </w:pPr>
          </w:p>
        </w:tc>
        <w:tc>
          <w:tcPr>
            <w:tcW w:w="2097" w:type="dxa"/>
            <w:tcBorders>
              <w:top w:val="nil"/>
              <w:left w:val="nil"/>
              <w:bottom w:val="nil"/>
              <w:right w:val="nil"/>
            </w:tcBorders>
            <w:shd w:val="clear" w:color="auto" w:fill="auto"/>
            <w:noWrap/>
            <w:vAlign w:val="bottom"/>
            <w:hideMark/>
          </w:tcPr>
          <w:p w14:paraId="1291ADBB" w14:textId="77777777" w:rsidR="002E3DCC" w:rsidRPr="002E3DCC" w:rsidRDefault="002E3DCC" w:rsidP="002E3DCC">
            <w:pPr>
              <w:spacing w:before="0" w:after="0" w:line="240" w:lineRule="auto"/>
              <w:rPr>
                <w:rFonts w:eastAsia="Times New Roman" w:cs="Times New Roman"/>
                <w:sz w:val="20"/>
                <w:szCs w:val="20"/>
                <w:lang w:eastAsia="en-GB"/>
              </w:rPr>
            </w:pPr>
          </w:p>
        </w:tc>
      </w:tr>
      <w:tr w:rsidR="002E3DCC" w:rsidRPr="002E3DCC" w14:paraId="585A4722" w14:textId="77777777" w:rsidTr="002E3DCC">
        <w:trPr>
          <w:trHeight w:val="209"/>
        </w:trPr>
        <w:tc>
          <w:tcPr>
            <w:tcW w:w="5555" w:type="dxa"/>
            <w:tcBorders>
              <w:top w:val="nil"/>
              <w:left w:val="nil"/>
              <w:bottom w:val="nil"/>
              <w:right w:val="nil"/>
            </w:tcBorders>
            <w:shd w:val="clear" w:color="auto" w:fill="auto"/>
            <w:noWrap/>
            <w:vAlign w:val="bottom"/>
            <w:hideMark/>
          </w:tcPr>
          <w:p w14:paraId="3AAAFE78" w14:textId="77777777" w:rsidR="002E3DCC" w:rsidRPr="002E3DCC" w:rsidRDefault="002E3DCC" w:rsidP="002E3DCC">
            <w:pPr>
              <w:spacing w:before="0" w:after="0" w:line="240" w:lineRule="auto"/>
              <w:rPr>
                <w:rFonts w:ascii="Arial" w:eastAsia="Times New Roman" w:hAnsi="Arial" w:cs="Arial"/>
                <w:color w:val="000000"/>
                <w:sz w:val="22"/>
                <w:lang w:eastAsia="en-GB"/>
              </w:rPr>
            </w:pPr>
            <w:r w:rsidRPr="002E3DCC">
              <w:rPr>
                <w:rFonts w:ascii="Arial" w:eastAsia="Times New Roman" w:hAnsi="Arial" w:cs="Arial"/>
                <w:color w:val="000000"/>
                <w:sz w:val="22"/>
                <w:lang w:eastAsia="en-GB"/>
              </w:rPr>
              <w:t>r-rf</w:t>
            </w:r>
          </w:p>
        </w:tc>
        <w:tc>
          <w:tcPr>
            <w:tcW w:w="2097" w:type="dxa"/>
            <w:tcBorders>
              <w:top w:val="nil"/>
              <w:left w:val="nil"/>
              <w:bottom w:val="nil"/>
              <w:right w:val="nil"/>
            </w:tcBorders>
            <w:shd w:val="clear" w:color="auto" w:fill="auto"/>
            <w:noWrap/>
            <w:vAlign w:val="bottom"/>
            <w:hideMark/>
          </w:tcPr>
          <w:p w14:paraId="4CF11909"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-0.28927</w:t>
            </w:r>
          </w:p>
        </w:tc>
      </w:tr>
      <w:tr w:rsidR="002E3DCC" w:rsidRPr="002E3DCC" w14:paraId="2C7A7183" w14:textId="77777777" w:rsidTr="002E3DCC">
        <w:trPr>
          <w:trHeight w:val="209"/>
        </w:trPr>
        <w:tc>
          <w:tcPr>
            <w:tcW w:w="5555" w:type="dxa"/>
            <w:tcBorders>
              <w:top w:val="nil"/>
              <w:left w:val="nil"/>
              <w:bottom w:val="nil"/>
              <w:right w:val="nil"/>
            </w:tcBorders>
            <w:shd w:val="clear" w:color="auto" w:fill="auto"/>
            <w:noWrap/>
            <w:vAlign w:val="bottom"/>
            <w:hideMark/>
          </w:tcPr>
          <w:p w14:paraId="1A67CD87" w14:textId="77777777" w:rsidR="002E3DCC" w:rsidRPr="002E3DCC" w:rsidRDefault="002E3DCC" w:rsidP="002E3DCC">
            <w:pPr>
              <w:spacing w:before="0" w:after="0" w:line="240" w:lineRule="auto"/>
              <w:rPr>
                <w:rFonts w:ascii="Arial" w:eastAsia="Times New Roman" w:hAnsi="Arial" w:cs="Arial"/>
                <w:color w:val="000000"/>
                <w:sz w:val="22"/>
                <w:lang w:eastAsia="en-GB"/>
              </w:rPr>
            </w:pPr>
            <w:r w:rsidRPr="002E3DCC">
              <w:rPr>
                <w:rFonts w:ascii="Arial" w:eastAsia="Times New Roman" w:hAnsi="Arial" w:cs="Arial"/>
                <w:color w:val="000000"/>
                <w:sz w:val="22"/>
                <w:lang w:eastAsia="en-GB"/>
              </w:rPr>
              <w:t>beta</w:t>
            </w:r>
          </w:p>
        </w:tc>
        <w:tc>
          <w:tcPr>
            <w:tcW w:w="2097" w:type="dxa"/>
            <w:tcBorders>
              <w:top w:val="nil"/>
              <w:left w:val="nil"/>
              <w:bottom w:val="nil"/>
              <w:right w:val="nil"/>
            </w:tcBorders>
            <w:shd w:val="clear" w:color="auto" w:fill="auto"/>
            <w:noWrap/>
            <w:vAlign w:val="bottom"/>
            <w:hideMark/>
          </w:tcPr>
          <w:p w14:paraId="1B447648"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0.47</w:t>
            </w:r>
          </w:p>
        </w:tc>
      </w:tr>
      <w:tr w:rsidR="002E3DCC" w:rsidRPr="002E3DCC" w14:paraId="2DB9110C" w14:textId="77777777" w:rsidTr="002E3DCC">
        <w:trPr>
          <w:trHeight w:val="209"/>
        </w:trPr>
        <w:tc>
          <w:tcPr>
            <w:tcW w:w="5555" w:type="dxa"/>
            <w:tcBorders>
              <w:top w:val="nil"/>
              <w:left w:val="nil"/>
              <w:bottom w:val="nil"/>
              <w:right w:val="nil"/>
            </w:tcBorders>
            <w:shd w:val="clear" w:color="auto" w:fill="auto"/>
            <w:noWrap/>
            <w:vAlign w:val="bottom"/>
            <w:hideMark/>
          </w:tcPr>
          <w:p w14:paraId="706181C2" w14:textId="77777777" w:rsidR="002E3DCC" w:rsidRPr="002E3DCC" w:rsidRDefault="002E3DCC" w:rsidP="002E3DCC">
            <w:pPr>
              <w:spacing w:before="0" w:after="0" w:line="240" w:lineRule="auto"/>
              <w:rPr>
                <w:rFonts w:ascii="Arial" w:eastAsia="Times New Roman" w:hAnsi="Arial" w:cs="Arial"/>
                <w:color w:val="000000"/>
                <w:sz w:val="22"/>
                <w:lang w:eastAsia="en-GB"/>
              </w:rPr>
            </w:pPr>
            <w:r w:rsidRPr="002E3DCC">
              <w:rPr>
                <w:rFonts w:ascii="Arial" w:eastAsia="Times New Roman" w:hAnsi="Arial" w:cs="Arial"/>
                <w:color w:val="000000"/>
                <w:sz w:val="22"/>
                <w:lang w:eastAsia="en-GB"/>
              </w:rPr>
              <w:t>Treynor</w:t>
            </w:r>
          </w:p>
        </w:tc>
        <w:tc>
          <w:tcPr>
            <w:tcW w:w="2097" w:type="dxa"/>
            <w:tcBorders>
              <w:top w:val="nil"/>
              <w:left w:val="nil"/>
              <w:bottom w:val="nil"/>
              <w:right w:val="nil"/>
            </w:tcBorders>
            <w:shd w:val="clear" w:color="auto" w:fill="auto"/>
            <w:noWrap/>
            <w:vAlign w:val="bottom"/>
            <w:hideMark/>
          </w:tcPr>
          <w:p w14:paraId="67BBE124" w14:textId="77777777" w:rsidR="002E3DCC" w:rsidRPr="002E3DCC" w:rsidRDefault="002E3DCC" w:rsidP="002E3DCC">
            <w:pPr>
              <w:spacing w:before="0" w:after="0" w:line="240" w:lineRule="auto"/>
              <w:jc w:val="right"/>
              <w:rPr>
                <w:rFonts w:ascii="Arial" w:eastAsia="Times New Roman" w:hAnsi="Arial" w:cs="Arial"/>
                <w:color w:val="000000"/>
                <w:sz w:val="22"/>
                <w:lang w:eastAsia="en-GB"/>
              </w:rPr>
            </w:pPr>
            <w:r w:rsidRPr="002E3DCC">
              <w:rPr>
                <w:rFonts w:ascii="Arial" w:eastAsia="Times New Roman" w:hAnsi="Arial" w:cs="Arial"/>
                <w:color w:val="000000"/>
                <w:sz w:val="22"/>
                <w:lang w:eastAsia="en-GB"/>
              </w:rPr>
              <w:t>-0.61548</w:t>
            </w:r>
          </w:p>
        </w:tc>
      </w:tr>
    </w:tbl>
    <w:p w14:paraId="3D3A7F19" w14:textId="2FCFD393" w:rsidR="002E3DCC" w:rsidRDefault="002E3DCC" w:rsidP="00841C47">
      <w:r>
        <w:t xml:space="preserve"> </w:t>
      </w:r>
    </w:p>
    <w:p w14:paraId="1401FD7F" w14:textId="5F546273" w:rsidR="00841C47" w:rsidRDefault="00841C47" w:rsidP="00841C47">
      <w:r>
        <w:t xml:space="preserve">The result we have given indicates that the excess return of the selected company shares in relation to risk-free rate returns </w:t>
      </w:r>
      <w:proofErr w:type="spellStart"/>
      <w:r>
        <w:t>rp</w:t>
      </w:r>
      <w:proofErr w:type="spellEnd"/>
      <w:r>
        <w:t>-rf is significantly negative compared to the standard deviation of the returns. The fact that the returns are higher than the risk-free rate implies that the stock price was quite volatile relative to the required risk premium, and thus the company's returns during the period were not satisfactory.</w:t>
      </w:r>
    </w:p>
    <w:p w14:paraId="2E78235B" w14:textId="48BCCF3C" w:rsidR="006279C4" w:rsidRPr="006279C4" w:rsidRDefault="00841C47" w:rsidP="00841C47">
      <w:r w:rsidRPr="00750A65">
        <w:t xml:space="preserve">The way the Treynor ratio calculates the risk-adjusted return of an investment is by taking the excess return over risk-free rate per unit of systematic risk, which is measured by beta. A positive Treynor ratio exhibits that the return of the investment exceeds the risk-free rate per unit of systematic risk, which is an indication of outperforming the market risk-adjusted performance </w:t>
      </w:r>
      <w:r w:rsidR="006279C4" w:rsidRPr="006279C4">
        <w:t xml:space="preserve">(Buckle </w:t>
      </w:r>
      <w:r w:rsidR="00770BDC" w:rsidRPr="00750A65">
        <w:t>and</w:t>
      </w:r>
      <w:r w:rsidR="006279C4" w:rsidRPr="006279C4">
        <w:t xml:space="preserve"> Thompson, 2020).</w:t>
      </w:r>
    </w:p>
    <w:p w14:paraId="4CFCBFDE" w14:textId="7F961E14" w:rsidR="00F75860" w:rsidRDefault="00F75860" w:rsidP="00F75860">
      <w:r>
        <w:t>On the other hand, Treynor Ratio (-0.615477318) is a case in point that the shares excess return (r-rf) over the risk-free rate (r-rf) of the chosen company does not correspond to the systematic risk (beta) levels. This implies that the security's beta may have been lower than the market's, which means that its systematic risk was lower than the market's- a situation that raises some concerns for investors who are looking for commensurate compensation for the risk they undertook (Jayakumar et al., 2018).</w:t>
      </w:r>
    </w:p>
    <w:p w14:paraId="34C702A3" w14:textId="27535B28" w:rsidR="00DA56EC" w:rsidRDefault="00F75860" w:rsidP="006B40ED">
      <w:r>
        <w:t>Hence, based on the negative Sharpe and Treynor ratios, it seems that the company's shares performed poorly in terms of risk-adjusted measures during the referenced period, which could possibly indicate that there were issues in terms of returning the required returns to investors over the period (Vives, 2019). This statement emphasi</w:t>
      </w:r>
      <w:r w:rsidR="001E1479">
        <w:t>s</w:t>
      </w:r>
      <w:r>
        <w:t>es the necessity of further analysis and thinking of other aspects affecting the company's performance like market conditions, industry dynamics, and company-specific factors such as management efficiency and the competitive positioning (Matthews et al., 2023).</w:t>
      </w:r>
    </w:p>
    <w:p w14:paraId="71FED9B9" w14:textId="6B429215" w:rsidR="006279C4" w:rsidRDefault="00DA56EC" w:rsidP="00DA56EC">
      <w:pPr>
        <w:pStyle w:val="Titolo1"/>
      </w:pPr>
      <w:bookmarkStart w:id="23" w:name="_Toc164940541"/>
      <w:r>
        <w:lastRenderedPageBreak/>
        <w:t xml:space="preserve">Task – </w:t>
      </w:r>
      <w:proofErr w:type="gramStart"/>
      <w:r>
        <w:t>3</w:t>
      </w:r>
      <w:bookmarkEnd w:id="23"/>
      <w:r w:rsidR="006B40ED">
        <w:t xml:space="preserve">  AMAZON</w:t>
      </w:r>
      <w:proofErr w:type="gramEnd"/>
    </w:p>
    <w:p w14:paraId="666F01D9" w14:textId="25B6AD93" w:rsidR="00696D32" w:rsidRDefault="00696D32" w:rsidP="00F00F11">
      <w:pPr>
        <w:pStyle w:val="Titolo2"/>
        <w:numPr>
          <w:ilvl w:val="0"/>
          <w:numId w:val="5"/>
        </w:numPr>
      </w:pPr>
      <w:bookmarkStart w:id="24" w:name="_Toc164940542"/>
      <w:r w:rsidRPr="00696D32">
        <w:t>At the Money Call Option Payoff:</w:t>
      </w:r>
      <w:bookmarkEnd w:id="24"/>
    </w:p>
    <w:p w14:paraId="702A66CD" w14:textId="4905DA6C" w:rsidR="00F00F11" w:rsidRPr="00F00F11" w:rsidRDefault="00F00F11" w:rsidP="00F00F11">
      <w:r>
        <w:rPr>
          <w:noProof/>
        </w:rPr>
        <w:drawing>
          <wp:inline distT="0" distB="0" distL="0" distR="0" wp14:anchorId="77C774DE" wp14:editId="7C4C53DB">
            <wp:extent cx="3411940" cy="3206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r="44945"/>
                    <a:stretch/>
                  </pic:blipFill>
                  <pic:spPr bwMode="auto">
                    <a:xfrm>
                      <a:off x="0" y="0"/>
                      <a:ext cx="3416439" cy="3210978"/>
                    </a:xfrm>
                    <a:prstGeom prst="rect">
                      <a:avLst/>
                    </a:prstGeom>
                    <a:noFill/>
                    <a:ln>
                      <a:noFill/>
                    </a:ln>
                    <a:extLst>
                      <a:ext uri="{53640926-AAD7-44D8-BBD7-CCE9431645EC}">
                        <a14:shadowObscured xmlns:a14="http://schemas.microsoft.com/office/drawing/2010/main"/>
                      </a:ext>
                    </a:extLst>
                  </pic:spPr>
                </pic:pic>
              </a:graphicData>
            </a:graphic>
          </wp:inline>
        </w:drawing>
      </w:r>
    </w:p>
    <w:p w14:paraId="7C75B72B" w14:textId="0EDF043A" w:rsidR="006B40ED" w:rsidRPr="00020224" w:rsidRDefault="006B40ED" w:rsidP="006B40ED">
      <w:pPr>
        <w:pStyle w:val="Didascalia"/>
        <w:jc w:val="center"/>
        <w:rPr>
          <w:b/>
          <w:bCs/>
          <w:sz w:val="22"/>
          <w:szCs w:val="22"/>
        </w:rPr>
      </w:pPr>
      <w:bookmarkStart w:id="25" w:name="_Hlk165271872"/>
      <w:r w:rsidRPr="00020224">
        <w:rPr>
          <w:b/>
          <w:bCs/>
          <w:sz w:val="22"/>
          <w:szCs w:val="22"/>
        </w:rPr>
        <w:t xml:space="preserve">Figure </w:t>
      </w:r>
      <w:r>
        <w:rPr>
          <w:b/>
          <w:bCs/>
          <w:sz w:val="22"/>
          <w:szCs w:val="22"/>
        </w:rPr>
        <w:t xml:space="preserve">1 </w:t>
      </w:r>
      <w:r>
        <w:rPr>
          <w:b/>
          <w:bCs/>
          <w:sz w:val="22"/>
          <w:szCs w:val="22"/>
        </w:rPr>
        <w:t>(</w:t>
      </w:r>
      <w:r w:rsidRPr="00020224">
        <w:rPr>
          <w:b/>
          <w:bCs/>
          <w:sz w:val="22"/>
          <w:szCs w:val="22"/>
        </w:rPr>
        <w:t>Source: Made by Learner</w:t>
      </w:r>
      <w:r>
        <w:rPr>
          <w:b/>
          <w:bCs/>
          <w:sz w:val="22"/>
          <w:szCs w:val="22"/>
        </w:rPr>
        <w:t>)</w:t>
      </w:r>
    </w:p>
    <w:bookmarkEnd w:id="25"/>
    <w:p w14:paraId="2D6C19D1" w14:textId="77777777" w:rsidR="006B40ED" w:rsidRDefault="006B40ED" w:rsidP="003A64A7"/>
    <w:p w14:paraId="449F8818" w14:textId="4F132B2C" w:rsidR="003A64A7" w:rsidRDefault="003A64A7" w:rsidP="003A64A7">
      <w:r>
        <w:t>An "at the money" call option is a derivative contract in which the strike price of the option is almost equal to the market price of the assets. For example, in relation to Amazon, an "at the money" call option's strike price would be just close to the current market share of Amazon stocks.</w:t>
      </w:r>
    </w:p>
    <w:p w14:paraId="03609E3A" w14:textId="595199A2" w:rsidR="003A64A7" w:rsidRDefault="003A64A7" w:rsidP="003A64A7">
      <w:r>
        <w:t xml:space="preserve">According to the graph entitled “Payoff of Call” taken on </w:t>
      </w:r>
      <w:r w:rsidR="006B40ED">
        <w:t>April</w:t>
      </w:r>
      <w:r>
        <w:t xml:space="preserve"> </w:t>
      </w:r>
      <w:r w:rsidR="006B40ED">
        <w:t>10</w:t>
      </w:r>
      <w:r>
        <w:t>, 2024, it can be concluded that it demonstrates a payoff diagram for a call option. Along the x-axis is the stock price listed, while the y-axis represents the payoff of the call option to the buyer. The graph displays a horizontal line at $23.75, denoting the strike price for the call option. In other words, the person who owns the call option has the privilege to buy Amazon stock at a price of $23.75 per share.</w:t>
      </w:r>
    </w:p>
    <w:p w14:paraId="7B8936CE" w14:textId="34819B2E" w:rsidR="003A64A7" w:rsidRDefault="003A64A7" w:rsidP="003A64A7">
      <w:r>
        <w:t>If the stock remains at or below the strike price ($23.75), the income of the call option buyer will be zero. This is due to the fact that it makes no sense to exercise the call option when the stock is priced higher than its prevailing market price.</w:t>
      </w:r>
    </w:p>
    <w:p w14:paraId="1E728C1B" w14:textId="20070740" w:rsidR="0070688F" w:rsidRPr="0070688F" w:rsidRDefault="003A64A7" w:rsidP="003A64A7">
      <w:pPr>
        <w:rPr>
          <w:highlight w:val="yellow"/>
        </w:rPr>
      </w:pPr>
      <w:r>
        <w:lastRenderedPageBreak/>
        <w:t>If the stock price goes above the strike price, the profit of the call option owner keeps rising. As such, if the stock price were to hit $185.28, it would give a payoff of $161.53 ($185.28 - $23.75) to the call option buyer. This profit happens when the buyer exercise the option to buy the stock at $23.75 and sells it on the higher market price.</w:t>
      </w:r>
    </w:p>
    <w:p w14:paraId="5C6C39B7" w14:textId="74F93B95" w:rsidR="003A64A7" w:rsidRDefault="003A64A7" w:rsidP="003A64A7">
      <w:r>
        <w:t>Investors buy a call option when they expect the price of Amazon stock, the underlying asset, to grow. Investors can benefit from buying the call options because they can make money from the increase in the stock price while only having to put down the amount of the premium as a fraction of the total cost to buy the shares. Besides, the gains made by call option buyers are capped at the premium paid for the option.</w:t>
      </w:r>
    </w:p>
    <w:p w14:paraId="7484E3EB" w14:textId="306A317C" w:rsidR="003A64A7" w:rsidRDefault="003A64A7" w:rsidP="003A64A7">
      <w:r>
        <w:t>On the other hand, investors may decide to purchase put options, just to realize profits from the premiums paid. People who sold calls are in the process of having to sell the underlying asset at the agreed-upon strike price if a buyer exercises the option. They earn income from the sale of call options which occur when the shares trade below the strike price while they pocket the premium as their earnings.</w:t>
      </w:r>
    </w:p>
    <w:p w14:paraId="189B90B4" w14:textId="12FE81B2" w:rsidR="003A64A7" w:rsidRDefault="003A64A7" w:rsidP="003A64A7">
      <w:r>
        <w:t>Taking into account various strike prices can help us to analyse the prospect of net profit for call options at different ranges. Low strike prices usually contribute to an increase in option premiums, but at the same time, offer greater earning prospects when the stock price soars beyond the strike price. On the contrary, strike prices that are higher, in fact, have lower premiums, but they need a bigger rise in the stock price to become profitable.</w:t>
      </w:r>
    </w:p>
    <w:p w14:paraId="2BE2FE50" w14:textId="230B0E7A" w:rsidR="0070688F" w:rsidRPr="0070688F" w:rsidRDefault="003A64A7" w:rsidP="003A64A7">
      <w:r>
        <w:t>By comprehending the payoff structure of at the money call options for Amazon, investors can evaluate the risks and rewards of these wagering devices. Whether buying or selling call options, investors are thoughtful enough to consider market conditions, the underlying asset performance and their own risk tolerance in their line of decisions.</w:t>
      </w:r>
    </w:p>
    <w:p w14:paraId="61836667" w14:textId="59C7A5E0" w:rsidR="00696D32" w:rsidRDefault="00696D32" w:rsidP="00DA56EC"/>
    <w:p w14:paraId="1B3301D3" w14:textId="5BF283AC" w:rsidR="00EB4E53" w:rsidRDefault="00EB4E53" w:rsidP="00DA56EC"/>
    <w:p w14:paraId="01B2383A" w14:textId="0AFFCF13" w:rsidR="0056516F" w:rsidRDefault="0056516F" w:rsidP="00DA7511">
      <w:pPr>
        <w:pStyle w:val="Titolo2"/>
        <w:numPr>
          <w:ilvl w:val="0"/>
          <w:numId w:val="5"/>
        </w:numPr>
      </w:pPr>
      <w:bookmarkStart w:id="26" w:name="_Toc164940543"/>
      <w:r w:rsidRPr="0056516F">
        <w:lastRenderedPageBreak/>
        <w:t>At the Money Put Option Payoff:</w:t>
      </w:r>
      <w:bookmarkEnd w:id="26"/>
    </w:p>
    <w:p w14:paraId="246327EF" w14:textId="4326565D" w:rsidR="00DA7511" w:rsidRPr="00DA7511" w:rsidRDefault="00DA7511" w:rsidP="00DA7511">
      <w:r>
        <w:rPr>
          <w:noProof/>
        </w:rPr>
        <w:drawing>
          <wp:inline distT="0" distB="0" distL="0" distR="0" wp14:anchorId="30CBF318" wp14:editId="15429BC3">
            <wp:extent cx="4626591" cy="3166281"/>
            <wp:effectExtent l="0" t="0" r="3175" b="0"/>
            <wp:docPr id="1562418522" name="Immagine 1"/>
            <wp:cNvGraphicFramePr/>
            <a:graphic xmlns:a="http://schemas.openxmlformats.org/drawingml/2006/main">
              <a:graphicData uri="http://schemas.openxmlformats.org/drawingml/2006/picture">
                <pic:pic xmlns:pic="http://schemas.openxmlformats.org/drawingml/2006/picture">
                  <pic:nvPicPr>
                    <pic:cNvPr id="1562418522" name="Immagine 1"/>
                    <pic:cNvPicPr/>
                  </pic:nvPicPr>
                  <pic:blipFill rotWithShape="1">
                    <a:blip r:embed="rId8" cstate="print">
                      <a:extLst>
                        <a:ext uri="{28A0092B-C50C-407E-A947-70E740481C1C}">
                          <a14:useLocalDpi xmlns:a14="http://schemas.microsoft.com/office/drawing/2010/main" val="0"/>
                        </a:ext>
                      </a:extLst>
                    </a:blip>
                    <a:srcRect r="43054"/>
                    <a:stretch/>
                  </pic:blipFill>
                  <pic:spPr bwMode="auto">
                    <a:xfrm>
                      <a:off x="0" y="0"/>
                      <a:ext cx="4634868" cy="3171946"/>
                    </a:xfrm>
                    <a:prstGeom prst="rect">
                      <a:avLst/>
                    </a:prstGeom>
                    <a:noFill/>
                    <a:ln>
                      <a:noFill/>
                    </a:ln>
                    <a:extLst>
                      <a:ext uri="{53640926-AAD7-44D8-BBD7-CCE9431645EC}">
                        <a14:shadowObscured xmlns:a14="http://schemas.microsoft.com/office/drawing/2010/main"/>
                      </a:ext>
                    </a:extLst>
                  </pic:spPr>
                </pic:pic>
              </a:graphicData>
            </a:graphic>
          </wp:inline>
        </w:drawing>
      </w:r>
    </w:p>
    <w:p w14:paraId="7B926001" w14:textId="41805C8B" w:rsidR="006B40ED" w:rsidRPr="00020224" w:rsidRDefault="006B40ED" w:rsidP="006B40ED">
      <w:pPr>
        <w:pStyle w:val="Didascalia"/>
        <w:jc w:val="center"/>
        <w:rPr>
          <w:b/>
          <w:bCs/>
          <w:sz w:val="22"/>
          <w:szCs w:val="22"/>
        </w:rPr>
      </w:pPr>
      <w:r w:rsidRPr="00020224">
        <w:rPr>
          <w:b/>
          <w:bCs/>
          <w:sz w:val="22"/>
          <w:szCs w:val="22"/>
        </w:rPr>
        <w:t xml:space="preserve">Figure </w:t>
      </w:r>
      <w:r>
        <w:rPr>
          <w:b/>
          <w:bCs/>
          <w:sz w:val="22"/>
          <w:szCs w:val="22"/>
        </w:rPr>
        <w:t xml:space="preserve">2 </w:t>
      </w:r>
      <w:r>
        <w:rPr>
          <w:b/>
          <w:bCs/>
          <w:sz w:val="22"/>
          <w:szCs w:val="22"/>
        </w:rPr>
        <w:t>(</w:t>
      </w:r>
      <w:r w:rsidRPr="00020224">
        <w:rPr>
          <w:b/>
          <w:bCs/>
          <w:sz w:val="22"/>
          <w:szCs w:val="22"/>
        </w:rPr>
        <w:t>Source: Made by Learner</w:t>
      </w:r>
      <w:r>
        <w:rPr>
          <w:b/>
          <w:bCs/>
          <w:sz w:val="22"/>
          <w:szCs w:val="22"/>
        </w:rPr>
        <w:t>)</w:t>
      </w:r>
    </w:p>
    <w:p w14:paraId="0233246A" w14:textId="77777777" w:rsidR="006B40ED" w:rsidRDefault="006B40ED" w:rsidP="005B3AAF"/>
    <w:p w14:paraId="7FFE324E" w14:textId="2A7FC19B" w:rsidR="005B3AAF" w:rsidRDefault="005B3AAF" w:rsidP="005B3AAF">
      <w:r>
        <w:t>The "at the money" put option is a type of derivative contract in which the strike price of the option is roughly equal to the current market prices. For the illustration of Amazon, an ATM put option would be in the strike price roughly at the trade price of Amazon stock. We will consider now the graphical depiction of the payoff of an at the money put option for Amazon with the help of specific figures.</w:t>
      </w:r>
    </w:p>
    <w:p w14:paraId="16F79804" w14:textId="005808BA" w:rsidR="005B3AAF" w:rsidRDefault="005B3AAF" w:rsidP="005B3AAF">
      <w:r>
        <w:t xml:space="preserve">The chart entitled "Payoff of Put" dated </w:t>
      </w:r>
      <w:r w:rsidR="006B40ED">
        <w:t>April 10</w:t>
      </w:r>
      <w:r>
        <w:t>, 2024, seems to be a payoff diagram of a put option which matches all features of an ATM (at-the-money) put option. The x axis of the graph the stock price, while the y axis depict the payoff to the put option buyer. The chart indicates a horizontally situated line with $100 as the strike price of the put option. This means if the put buyer wants to sell the stock it must be sold at $100 per share.</w:t>
      </w:r>
    </w:p>
    <w:p w14:paraId="27DC62BE" w14:textId="35A0BB6C" w:rsidR="005B3AAF" w:rsidRDefault="005B3AAF" w:rsidP="005B3AAF">
      <w:r>
        <w:t>If the stock does not reach the strike price ($100) or remains above it, the put option buyer will get nothing. This is because there is no any advantage for them in case exercising the right to sell the stock when its market price is higher.</w:t>
      </w:r>
    </w:p>
    <w:p w14:paraId="3E5E9C89" w14:textId="4CC4D15D" w:rsidR="005C049B" w:rsidRPr="005C049B" w:rsidRDefault="005B3AAF" w:rsidP="005B3AAF">
      <w:pPr>
        <w:rPr>
          <w:highlight w:val="yellow"/>
        </w:rPr>
      </w:pPr>
      <w:r>
        <w:t xml:space="preserve">Nevertheless, a put option becomes more profitable, when the stock price goes down and drops below the strike price. Another example is where the remaining put option buyer shall get $14.72 </w:t>
      </w:r>
      <w:r>
        <w:lastRenderedPageBreak/>
        <w:t>($100 - $85.28) if the stock price drops to $85.28. This profit occurs when the investor can exercise the put option by selling the stock at $100 and buying it at the lower rate.</w:t>
      </w:r>
    </w:p>
    <w:p w14:paraId="1D36E83E" w14:textId="00D5D87C" w:rsidR="00A032F2" w:rsidRDefault="00A032F2" w:rsidP="00A032F2">
      <w:r>
        <w:t>In general, investors purchase put options if they foresee the price of the underlying instrument (here it is Amazon stock) to fall. Through the buying of a put option, the traders may be able to profit from a stock price drop without having to short-sell the shares. In addition to this, put option buyer losses are restricted to the option premium only.</w:t>
      </w:r>
    </w:p>
    <w:p w14:paraId="48501218" w14:textId="77F4AE76" w:rsidR="00A032F2" w:rsidRDefault="00A032F2" w:rsidP="00A032F2">
      <w:r>
        <w:t>On the contrary, investors may decide to generate income from selling (or writing) put options by receiving premiums. The put option sellers are bear the responsibility to buy the underlying asset for the strike price as long as the put option is exercised. They benefit financially by selling put options when the stock price stays above the strike price at the time of expiry, thus allowing them to keep the premium as profit.</w:t>
      </w:r>
    </w:p>
    <w:p w14:paraId="31837EE4" w14:textId="6C0E342E" w:rsidR="00A032F2" w:rsidRDefault="00A032F2" w:rsidP="00A032F2">
      <w:r>
        <w:t>Due to the effect of other strikes on the profitability of put options gives a clear idea of how these prices perform in different circumstances. At lower strikes the option premium often rises but more so if the stock price goes down below that level. Alternatively, higher strike prices have lower premiums but will only benefit from a massive decline in stock prices to become profitable.</w:t>
      </w:r>
    </w:p>
    <w:p w14:paraId="0ECF95E6" w14:textId="1CA7CA72" w:rsidR="005C049B" w:rsidRPr="005C049B" w:rsidRDefault="00A032F2" w:rsidP="00A032F2">
      <w:r>
        <w:t>Learning the cash flow pattern of at the money put options for Amazon enables market participants to make an informed decision on the extent of risks and rewards associated with them. Whether or not buying or selling put options, investors have to evaluate market conditions, the underlying asset performance, and their own risk tolerance before making final investment decision.</w:t>
      </w:r>
    </w:p>
    <w:p w14:paraId="60401C7F" w14:textId="5738FC28" w:rsidR="0056516F" w:rsidRDefault="0056516F" w:rsidP="00126090"/>
    <w:p w14:paraId="3B928DAF" w14:textId="77777777" w:rsidR="001520D3" w:rsidRDefault="001520D3" w:rsidP="0056516F"/>
    <w:p w14:paraId="1FCAF59F" w14:textId="02F483D5" w:rsidR="00743AE5" w:rsidRDefault="00743AE5" w:rsidP="00A94F0D">
      <w:pPr>
        <w:pStyle w:val="Titolo2"/>
        <w:numPr>
          <w:ilvl w:val="0"/>
          <w:numId w:val="5"/>
        </w:numPr>
      </w:pPr>
      <w:bookmarkStart w:id="27" w:name="_Toc164940544"/>
      <w:r w:rsidRPr="00743AE5">
        <w:lastRenderedPageBreak/>
        <w:t>Construction of a Strangle or Straddle:</w:t>
      </w:r>
      <w:bookmarkEnd w:id="27"/>
    </w:p>
    <w:p w14:paraId="30E2AC30" w14:textId="33B08176" w:rsidR="00A94F0D" w:rsidRPr="00A94F0D" w:rsidRDefault="00A94F0D" w:rsidP="00A94F0D">
      <w:r>
        <w:rPr>
          <w:noProof/>
        </w:rPr>
        <w:drawing>
          <wp:inline distT="0" distB="0" distL="0" distR="0" wp14:anchorId="1563512E" wp14:editId="462E8421">
            <wp:extent cx="5240740" cy="3275463"/>
            <wp:effectExtent l="0" t="0" r="0" b="1270"/>
            <wp:docPr id="6" name="Immagine 2" descr="Immagine che contiene diagramma, linea, testo, Diagramma&#10;&#10;Descrizione generata automaticamente"/>
            <wp:cNvGraphicFramePr/>
            <a:graphic xmlns:a="http://schemas.openxmlformats.org/drawingml/2006/main">
              <a:graphicData uri="http://schemas.openxmlformats.org/drawingml/2006/picture">
                <pic:pic xmlns:pic="http://schemas.openxmlformats.org/drawingml/2006/picture">
                  <pic:nvPicPr>
                    <pic:cNvPr id="4" name="Immagine 2" descr="Immagine che contiene diagramma, linea, testo, Diagramma&#10;&#10;Descrizione generata automaticamente"/>
                    <pic:cNvPicPr/>
                  </pic:nvPicPr>
                  <pic:blipFill rotWithShape="1">
                    <a:blip r:embed="rId9">
                      <a:extLst>
                        <a:ext uri="{28A0092B-C50C-407E-A947-70E740481C1C}">
                          <a14:useLocalDpi xmlns:a14="http://schemas.microsoft.com/office/drawing/2010/main" val="0"/>
                        </a:ext>
                      </a:extLst>
                    </a:blip>
                    <a:srcRect r="44887" b="29550"/>
                    <a:stretch/>
                  </pic:blipFill>
                  <pic:spPr bwMode="auto">
                    <a:xfrm>
                      <a:off x="0" y="0"/>
                      <a:ext cx="5245219" cy="3278262"/>
                    </a:xfrm>
                    <a:prstGeom prst="rect">
                      <a:avLst/>
                    </a:prstGeom>
                    <a:noFill/>
                    <a:ln>
                      <a:noFill/>
                    </a:ln>
                    <a:extLst>
                      <a:ext uri="{53640926-AAD7-44D8-BBD7-CCE9431645EC}">
                        <a14:shadowObscured xmlns:a14="http://schemas.microsoft.com/office/drawing/2010/main"/>
                      </a:ext>
                    </a:extLst>
                  </pic:spPr>
                </pic:pic>
              </a:graphicData>
            </a:graphic>
          </wp:inline>
        </w:drawing>
      </w:r>
    </w:p>
    <w:p w14:paraId="182A0EFD" w14:textId="7B1E60FB" w:rsidR="00FC1BB9" w:rsidRPr="00020224" w:rsidRDefault="00FC1BB9" w:rsidP="00FC1BB9">
      <w:pPr>
        <w:pStyle w:val="Didascalia"/>
        <w:jc w:val="center"/>
        <w:rPr>
          <w:b/>
          <w:bCs/>
          <w:sz w:val="22"/>
          <w:szCs w:val="22"/>
        </w:rPr>
      </w:pPr>
      <w:r w:rsidRPr="00020224">
        <w:rPr>
          <w:b/>
          <w:bCs/>
          <w:sz w:val="22"/>
          <w:szCs w:val="22"/>
        </w:rPr>
        <w:t xml:space="preserve">Figure </w:t>
      </w:r>
      <w:r>
        <w:rPr>
          <w:b/>
          <w:bCs/>
          <w:sz w:val="22"/>
          <w:szCs w:val="22"/>
        </w:rPr>
        <w:t>3</w:t>
      </w:r>
      <w:r>
        <w:rPr>
          <w:b/>
          <w:bCs/>
          <w:sz w:val="22"/>
          <w:szCs w:val="22"/>
        </w:rPr>
        <w:t xml:space="preserve"> (</w:t>
      </w:r>
      <w:r w:rsidRPr="00020224">
        <w:rPr>
          <w:b/>
          <w:bCs/>
          <w:sz w:val="22"/>
          <w:szCs w:val="22"/>
        </w:rPr>
        <w:t>Source: Made by Learner</w:t>
      </w:r>
      <w:r>
        <w:rPr>
          <w:b/>
          <w:bCs/>
          <w:sz w:val="22"/>
          <w:szCs w:val="22"/>
        </w:rPr>
        <w:t>)</w:t>
      </w:r>
    </w:p>
    <w:p w14:paraId="654D6160" w14:textId="77777777" w:rsidR="00FC1BB9" w:rsidRDefault="00FC1BB9" w:rsidP="001403D4">
      <w:pPr>
        <w:rPr>
          <w:b/>
          <w:bCs/>
        </w:rPr>
      </w:pPr>
    </w:p>
    <w:p w14:paraId="27263C25" w14:textId="4A8ED9FB" w:rsidR="001403D4" w:rsidRPr="001403D4" w:rsidRDefault="001403D4" w:rsidP="001403D4">
      <w:pPr>
        <w:rPr>
          <w:b/>
          <w:bCs/>
        </w:rPr>
      </w:pPr>
      <w:r w:rsidRPr="001403D4">
        <w:rPr>
          <w:b/>
          <w:bCs/>
        </w:rPr>
        <w:t>Straddle:</w:t>
      </w:r>
    </w:p>
    <w:p w14:paraId="4BE14896" w14:textId="2BA23642" w:rsidR="00A032F2" w:rsidRDefault="00A032F2" w:rsidP="00A032F2">
      <w:r>
        <w:t>A straddle is a position made by purchasing both a call option and a put option with the same strike price and expiration date on a particular security. The advantage of a straddle is that it gives profits in all kinds of price changes, whether the price goes up or down.</w:t>
      </w:r>
    </w:p>
    <w:p w14:paraId="55F47D95" w14:textId="274D10CD" w:rsidR="00A032F2" w:rsidRDefault="00A032F2" w:rsidP="00A032F2">
      <w:r>
        <w:t>An investor intends to establish a straddle on Amazon stock, he should select a strike price that is close to the current trading price of the stock. We can use the given example as follows $100 strike price. The next step is buying a call option and a put option for the same strike price and same expiration date. The straddle cost is the sum total of premiums paid for the call and put options.</w:t>
      </w:r>
    </w:p>
    <w:p w14:paraId="6F793EAD" w14:textId="606BE637" w:rsidR="00A032F2" w:rsidRDefault="00A032F2" w:rsidP="00A032F2">
      <w:r>
        <w:t>A payoff graph of a straddle usually shows the strategy will result in profit if the stock price moves much above or below the strike price before maturity. According to the specified values, the straddle will make a profit if the stock price is $128.37 or $71.63 on the expiration date regardless of where it is above or below. The greater the profit is, the further the stock price runs away from the strike price.</w:t>
      </w:r>
    </w:p>
    <w:p w14:paraId="0AC006D1" w14:textId="33C8540C" w:rsidR="00A032F2" w:rsidRDefault="00A032F2" w:rsidP="00A032F2">
      <w:r>
        <w:lastRenderedPageBreak/>
        <w:t>Investors could go long in straddles when they expect big price volatility in the underlying stock but not certain about the direction of the price trend. Straddles can often be suitable to be used in such circumstances when the possibility of an event like an earnings announcement or regulatory decision that may force the stock price to make a sharp turn is imminent.</w:t>
      </w:r>
    </w:p>
    <w:p w14:paraId="24914678" w14:textId="21132E76" w:rsidR="001403D4" w:rsidRPr="001403D4" w:rsidRDefault="00A032F2" w:rsidP="00A032F2">
      <w:r>
        <w:t xml:space="preserve">As an alternative, investors may buy or write straddles in order to receive some premiums from the buyers of those options. Conversely, the position of selling a straddle carries substantial risk, since the seller faces an unlimited </w:t>
      </w:r>
      <w:r w:rsidR="004F75B3">
        <w:t>number</w:t>
      </w:r>
      <w:r>
        <w:t xml:space="preserve"> of potential losses if the stock moves beyond breakeven points in either direction upwards or downwards.</w:t>
      </w:r>
    </w:p>
    <w:p w14:paraId="74493545" w14:textId="77777777" w:rsidR="001403D4" w:rsidRPr="001403D4" w:rsidRDefault="001403D4" w:rsidP="001403D4">
      <w:pPr>
        <w:rPr>
          <w:b/>
          <w:bCs/>
        </w:rPr>
      </w:pPr>
      <w:r w:rsidRPr="001403D4">
        <w:rPr>
          <w:b/>
          <w:bCs/>
        </w:rPr>
        <w:t>Strangle:</w:t>
      </w:r>
    </w:p>
    <w:p w14:paraId="42752A29" w14:textId="3F078341" w:rsidR="00D2635C" w:rsidRDefault="00D2635C" w:rsidP="00D2635C">
      <w:r>
        <w:t>A strangle is like a straddle wherein you buy an out-of-the-money call option and an out-of-the-money put option but with different strike prices but same expiration date. Usually, strike prices are established, which are the levels above and below the current trading price of the stock.</w:t>
      </w:r>
    </w:p>
    <w:p w14:paraId="45E0282F" w14:textId="3D5D4AB3" w:rsidR="00D2635C" w:rsidRDefault="00D2635C" w:rsidP="00D2635C">
      <w:r>
        <w:t>To build a strangled structure of Amazon stock an investor will get a higher strike price for the call option, and a lower strike price for the put option. Suppose that the call option strike price is $110 and the put option is $90. Similar to straddle, the investor pays premiums for both puts and calls, and the Strangle cost is the total of these premiums.</w:t>
      </w:r>
    </w:p>
    <w:p w14:paraId="1A839F42" w14:textId="1CC7F060" w:rsidR="00D2635C" w:rsidRDefault="00D2635C" w:rsidP="00D2635C">
      <w:r>
        <w:t>Strangle payoff diagram presents the profit situation where the stock price has to move significantly greater than the strike prices of both the options. The strangle will return a loss equal to the total of the premiums, if the share price remains within a narrow range.</w:t>
      </w:r>
    </w:p>
    <w:p w14:paraId="6ACE4D71" w14:textId="0064240E" w:rsidR="00D2635C" w:rsidRDefault="00D2635C" w:rsidP="00D2635C">
      <w:r>
        <w:t>Traders might purchase a strangle in anticipation of price fluctuations, however, being unsure as to the scale or direction of such movement. As per the given values, if the call option strike price is $110 and the put option strike price is $90, the strangle will benefit if the stock price stands at $128.37 or less the $90 when the expiry date comes.</w:t>
      </w:r>
    </w:p>
    <w:p w14:paraId="66F3D1A6" w14:textId="077DCE68" w:rsidR="001403D4" w:rsidRPr="001403D4" w:rsidRDefault="00D2635C" w:rsidP="00D2635C">
      <w:pPr>
        <w:rPr>
          <w:highlight w:val="yellow"/>
        </w:rPr>
      </w:pPr>
      <w:r>
        <w:t>Investors can also buy strangles to profit from the premiums that they receive. However, buying a strangle has a significant risk just like selling a strangle. The seller can lose unlimited dollar if the stock price moves sharply beyond the two breakeven points.</w:t>
      </w:r>
    </w:p>
    <w:p w14:paraId="095F9523" w14:textId="77777777" w:rsidR="001403D4" w:rsidRDefault="001403D4" w:rsidP="0056516F"/>
    <w:p w14:paraId="7C2777C0" w14:textId="77777777" w:rsidR="00743AE5" w:rsidRDefault="00743AE5" w:rsidP="0056516F"/>
    <w:p w14:paraId="46237CE6" w14:textId="4421801C" w:rsidR="004E5B8C" w:rsidRDefault="004E5B8C">
      <w:pPr>
        <w:spacing w:before="0" w:after="160" w:line="259" w:lineRule="auto"/>
      </w:pPr>
      <w:r>
        <w:br w:type="page"/>
      </w:r>
    </w:p>
    <w:p w14:paraId="543C783B" w14:textId="17C321B0" w:rsidR="0056516F" w:rsidRDefault="004E5B8C" w:rsidP="004E5B8C">
      <w:pPr>
        <w:pStyle w:val="Titolo1"/>
      </w:pPr>
      <w:bookmarkStart w:id="28" w:name="_Toc164940545"/>
      <w:r>
        <w:lastRenderedPageBreak/>
        <w:t>Task – 4</w:t>
      </w:r>
      <w:bookmarkEnd w:id="28"/>
      <w:r>
        <w:t xml:space="preserve"> </w:t>
      </w:r>
    </w:p>
    <w:p w14:paraId="23FB9CC1" w14:textId="77777777" w:rsidR="009A7B64" w:rsidRPr="009A7B64" w:rsidRDefault="009A7B64" w:rsidP="009A7B64">
      <w:pPr>
        <w:pStyle w:val="Titolo2"/>
      </w:pPr>
      <w:bookmarkStart w:id="29" w:name="_Toc164940546"/>
      <w:r w:rsidRPr="009A7B64">
        <w:t>A) Performance of the 10Y Note:</w:t>
      </w:r>
      <w:bookmarkEnd w:id="29"/>
    </w:p>
    <w:p w14:paraId="6AF40F44" w14:textId="0867A203" w:rsidR="002548A4" w:rsidRDefault="002548A4" w:rsidP="002548A4">
      <w:r>
        <w:t xml:space="preserve">The performance of the 10-year Treasury note that is the benchmark security for the whole bond market indicates whether general trends in the bond market are rising or falling. It also indicates if broader economic conditions are favouring or disfavouring bond investors. During the period of 12 months from January to December 2023, performance of the long-term note, </w:t>
      </w:r>
      <w:r w:rsidR="00DA29A2">
        <w:t>i.e.,</w:t>
      </w:r>
      <w:r>
        <w:t xml:space="preserve"> 10Y note was affected by a number of factors including the economic data, monetary policy of the central bank, political events, and the climate of the market.</w:t>
      </w:r>
    </w:p>
    <w:p w14:paraId="3B3B6660" w14:textId="0C3D2BD3" w:rsidR="002548A4" w:rsidRDefault="002548A4" w:rsidP="002548A4">
      <w:r>
        <w:t>The performance of the 10Y note would be more relevant for companies dressed in Alibaba, which operate as part of the global market and are sensitive to fluctuations in interest rates and borrowing costs. Alibaba being a multinational corporation with a multitude of business interests is affected, when it comes to investors' tendency and a market condition, by macroeconomic factors.</w:t>
      </w:r>
    </w:p>
    <w:p w14:paraId="7630B147" w14:textId="0A37B5FA" w:rsidR="002548A4" w:rsidRDefault="002548A4" w:rsidP="002548A4">
      <w:r>
        <w:t>During this period, the actual course of the 10Y note was subject to the policy of the Feds, which had adopted an expansionary monetary policy to fulfil its dual mandate of maximum employment and stable prices. Hints from the US central bank on possible alterations in the monetary policy, be it interest hikes or cuts, might also influence the market expectations and, in turn, these may change the demand for the US Treasury securities, including the 10Y note (Dafermos</w:t>
      </w:r>
      <w:r w:rsidR="00951A1A">
        <w:t>,</w:t>
      </w:r>
      <w:r>
        <w:t>2022).</w:t>
      </w:r>
    </w:p>
    <w:p w14:paraId="297FEE5D" w14:textId="1E592664" w:rsidR="009A7B64" w:rsidRPr="009A7B64" w:rsidRDefault="002548A4" w:rsidP="002548A4">
      <w:pPr>
        <w:rPr>
          <w:highlight w:val="yellow"/>
        </w:rPr>
      </w:pPr>
      <w:r>
        <w:t>For the 10Y note, which is an instrument of Alibaba, let us consider the yield changes that will affect the cost of capital and borrowing costs. As a company which is characteri</w:t>
      </w:r>
      <w:r w:rsidR="001E1479">
        <w:t>s</w:t>
      </w:r>
      <w:r>
        <w:t>ed by capital payments and financial obligations, the state of Alibaba's finances is highly influenced by alterations in interest rates and bond yields. Higher return on Treasury securities encourages Alibaba to borrow even further, which drives up its borrowing costs and affects its profit and level of investment.</w:t>
      </w:r>
    </w:p>
    <w:p w14:paraId="6147D740" w14:textId="0434EB1B" w:rsidR="00B833B0" w:rsidRDefault="00B833B0" w:rsidP="00B833B0">
      <w:r>
        <w:t xml:space="preserve">The behaviour of both the 10Y note and the Economy was certainly a reflection of the existing Economic indicators and occurrences carrying a negative or positive attitude to the Market. The trading arena ahead of scheduled releases of economic statistics and data generally </w:t>
      </w:r>
      <w:r w:rsidR="00DA29A2">
        <w:t>favours</w:t>
      </w:r>
      <w:r>
        <w:t xml:space="preserve"> bonds with positive and upbeat news about strong employment reports or fabulous GDP growth. Investors often increase their bid for these types of securities as they start to expect higher </w:t>
      </w:r>
      <w:r>
        <w:lastRenderedPageBreak/>
        <w:t>inflation levels and possible more restrictive monetary policies. On the other hand, weak economic indicators may result in low yields as investors rushed into government bond while holding their breaths us to economic downturns (</w:t>
      </w:r>
      <w:proofErr w:type="spellStart"/>
      <w:r>
        <w:t>Strohsal</w:t>
      </w:r>
      <w:proofErr w:type="spellEnd"/>
      <w:r>
        <w:t xml:space="preserve"> et al., 2019).</w:t>
      </w:r>
    </w:p>
    <w:p w14:paraId="1D002A6F" w14:textId="09E82F21" w:rsidR="00B833B0" w:rsidRDefault="00B833B0" w:rsidP="00B833B0">
      <w:r>
        <w:t>On the other side, geopolitical events, and global economic conditions, accounted tremendously for what did or did not suit the issuance of the 10Y note from the period under study. An ambiguity surrounding political geographical crises, trade disputes, or therein sudden events like natural disasters or health mistakes may lead to oscillations in bond yields as they (investors) have to re-evaluated the risk levels and, as a result, re-align their portfolios (Bazhenova et al., 2021).</w:t>
      </w:r>
    </w:p>
    <w:p w14:paraId="09DC41EA" w14:textId="57563416" w:rsidR="00B833B0" w:rsidRDefault="00B833B0" w:rsidP="00B833B0">
      <w:r>
        <w:t>For Alibaba, which operates in many different regions and faces the geopolitical challenges alongside other risks, the volatility of global financial markets sometimes adds more risk to the company`s daily operation. Modifications in bond yields may affect stocks of Alibaba, and the company’s market valuation, which, as the consequence, may have an impact on Alibaba’s strategic decisions and faith investors have in Alibaba’s growth</w:t>
      </w:r>
      <w:r w:rsidR="00951A1A">
        <w:t>.</w:t>
      </w:r>
    </w:p>
    <w:p w14:paraId="3C35AD7C" w14:textId="560F7E59" w:rsidR="009A7B64" w:rsidRPr="009A7B64" w:rsidRDefault="00B833B0" w:rsidP="009A7B64">
      <w:r>
        <w:t>Generally, the 10Y note performance could be looked at as a resultant of a series of factors that were interconnecting, such as monetary politics, economic data releases, geopolitical impacts, and market sentiment. A comprehension of these patterns is fundamentally important for Alibaba and other wider companies’ investors because a switch of bond rates can cause dramatic consequences for their fiscal performance and market capitali</w:t>
      </w:r>
      <w:r w:rsidR="001E1479">
        <w:t>s</w:t>
      </w:r>
      <w:r>
        <w:t>ation.</w:t>
      </w:r>
    </w:p>
    <w:p w14:paraId="33F0280E" w14:textId="26FD3433" w:rsidR="004E5B8C" w:rsidRDefault="004E5B8C" w:rsidP="004E5B8C"/>
    <w:p w14:paraId="46B24251" w14:textId="77777777" w:rsidR="00F97F74" w:rsidRPr="00F97F74" w:rsidRDefault="00F97F74" w:rsidP="00F97F74">
      <w:pPr>
        <w:pStyle w:val="Titolo2"/>
      </w:pPr>
      <w:bookmarkStart w:id="30" w:name="_Toc164940547"/>
      <w:r w:rsidRPr="00F97F74">
        <w:t>B) Impact of Changes in the Yield of the 10Y Note on Consumer Debt:</w:t>
      </w:r>
      <w:bookmarkEnd w:id="30"/>
    </w:p>
    <w:p w14:paraId="27558868" w14:textId="2B213058" w:rsidR="001A7679" w:rsidRDefault="00220FA7" w:rsidP="001A7679">
      <w:r>
        <w:t xml:space="preserve">The adjustment in the ten-year Treasury yield impacts borrowing costs for consumers, house mortgages and consumer spending behaviour among others. </w:t>
      </w:r>
      <w:r w:rsidR="001A7679">
        <w:t>The interactions of Treasury yields with consumer borrowing and spending are complex and diversified and, consequently, there are multiple ways through which the effects of yields movements are transmitted to the decisions of consumers whether to borrow or to spend.</w:t>
      </w:r>
    </w:p>
    <w:p w14:paraId="47D58761" w14:textId="175ECE68" w:rsidR="00220FA7" w:rsidRDefault="001A7679" w:rsidP="001A7679">
      <w:r>
        <w:t xml:space="preserve">The ten-year note yield change will probably be the most direct implication in the mortgage rate movement. The 10-year yield, which is as closely tied to the long-term Treasuries as the latter is to the former, is the prevailing determinant of mortgage price. Consequently, the yield on 10Y government bond has a significant effect on the mortgage rates, which in turn makes housing </w:t>
      </w:r>
      <w:r>
        <w:lastRenderedPageBreak/>
        <w:t>more costly for the homebuyers and hence, could reduce the demand for housing (Buckle and Thompson, 2020).</w:t>
      </w:r>
    </w:p>
    <w:p w14:paraId="46B98173" w14:textId="2721C86D" w:rsidR="00220FA7" w:rsidRDefault="00220FA7" w:rsidP="00220FA7">
      <w:r>
        <w:t>Conversely, the fall in the 10y Y note's yield could lead to a decrease in mortgage rates which in turn makes the homes less expensive and thereby leads to an increase in the demand for housing. Lower mortgage rates can make homeowners who already have mortgages want to refinance them to take advantage of lower monthly payments or access equity in their homes by using cash-out refinancing. This will serve to increase consumer spending (Peterson, 2018).</w:t>
      </w:r>
    </w:p>
    <w:p w14:paraId="583E1C89" w14:textId="28B7F9B4" w:rsidR="00F97F74" w:rsidRPr="00F97F74" w:rsidRDefault="00220FA7" w:rsidP="00220FA7">
      <w:pPr>
        <w:rPr>
          <w:highlight w:val="yellow"/>
        </w:rPr>
      </w:pPr>
      <w:r>
        <w:t>Besides the mortgage rate, the 10Y note yield curve is seen to influence other forms of consumer debts, like vehicle loans, personal borrowing and credit card rates. Often these rates are linked to the short-term benchmark rates, e.g., Federal funds rate, which is dependent on Federal Reserve's monetary policy decisions. On the one hand, long-term Treasury yields, such as the 10-year yield, exert indirect effects on the overall interest rate level and the market's forecast for future interest rate movements (Vives, 2019).</w:t>
      </w:r>
    </w:p>
    <w:p w14:paraId="614D0783" w14:textId="1E944427" w:rsidR="00220FA7" w:rsidRDefault="00220FA7" w:rsidP="00220FA7">
      <w:r>
        <w:t>With respect to Alibaba, fluctuations in personal credit existence and loan rates may influence its e-commerce activities as well as consumer spending behaviour. In the position of the global e-commerce leader Alibaba relies on the consumer confidence and purchasing power to boost the sales figures on its platforms. The rise in borrowing costs stemming from the increase in Treasury yields can lead to decreased consumer spending that in turn can have a negative impact on Alibaba's income growth and net income</w:t>
      </w:r>
      <w:r w:rsidR="00951A1A">
        <w:t>.</w:t>
      </w:r>
    </w:p>
    <w:p w14:paraId="48EAAC6E" w14:textId="29C56B42" w:rsidR="00220FA7" w:rsidRDefault="00220FA7" w:rsidP="00220FA7">
      <w:r>
        <w:t>However apart from this, consumer debt also affects Alibaba's financial services segment which incorporates Ant Group, one of the main digital payments and consumer finance players in the Chinese market. The changes in the interest rates and borrowing costs will be associated with an influence in consumer demand for the financial products and services offered by Ant Group. This will lead to lower revenues for Alibaba and its overall business performance.</w:t>
      </w:r>
    </w:p>
    <w:p w14:paraId="20690D25" w14:textId="1ADCF591" w:rsidR="00F97F74" w:rsidRPr="00F97F74" w:rsidRDefault="00220FA7" w:rsidP="00220FA7">
      <w:pPr>
        <w:rPr>
          <w:vanish/>
        </w:rPr>
      </w:pPr>
      <w:r>
        <w:t xml:space="preserve">In a nutshell, yield fluctuations in the 10-year Treasury note can lead to varying consumer debt levels, lower or higher borrowing rates and also changing consumer behaviour towards spending. Such situations are important for Alibaba as an international e-commerce and financial services group because they can cause fluctuations in its revenue, profitability and market value. It is important for the investor and a policymaker to understand how the relationship between </w:t>
      </w:r>
      <w:r>
        <w:lastRenderedPageBreak/>
        <w:t>Treasury yields and consumer debt works in terms of the broader economic environment and what it means to Alibaba company.</w:t>
      </w:r>
      <w:r w:rsidR="00F97F74" w:rsidRPr="00F97F74">
        <w:rPr>
          <w:vanish/>
        </w:rPr>
        <w:t>Top of Form</w:t>
      </w:r>
    </w:p>
    <w:p w14:paraId="5AC84884" w14:textId="5092CE70" w:rsidR="009A7B64" w:rsidRDefault="009A7B64" w:rsidP="004E5B8C"/>
    <w:p w14:paraId="2B067A67" w14:textId="77777777" w:rsidR="009A7B64" w:rsidRPr="004E5B8C" w:rsidRDefault="009A7B64" w:rsidP="004E5B8C"/>
    <w:p w14:paraId="03787237" w14:textId="3EC24833" w:rsidR="00BE7F5A" w:rsidRPr="006279C4" w:rsidRDefault="00BE7F5A">
      <w:pPr>
        <w:spacing w:before="0" w:after="160" w:line="259" w:lineRule="auto"/>
      </w:pPr>
      <w:r w:rsidRPr="006279C4">
        <w:br w:type="page"/>
      </w:r>
    </w:p>
    <w:p w14:paraId="3E58AA6A" w14:textId="13EBA41F" w:rsidR="00BE7F5A" w:rsidRPr="006279C4" w:rsidRDefault="00BE7F5A" w:rsidP="00BE7F5A">
      <w:pPr>
        <w:pStyle w:val="Titolo1"/>
      </w:pPr>
      <w:bookmarkStart w:id="31" w:name="_Toc164940548"/>
      <w:r w:rsidRPr="006279C4">
        <w:lastRenderedPageBreak/>
        <w:t>References</w:t>
      </w:r>
      <w:bookmarkEnd w:id="31"/>
    </w:p>
    <w:p w14:paraId="1E056CE3" w14:textId="77777777" w:rsidR="007E47E8" w:rsidRPr="006279C4" w:rsidRDefault="007E47E8" w:rsidP="00BE7F5A">
      <w:pPr>
        <w:pStyle w:val="Nessunaspaziatura"/>
        <w:rPr>
          <w:lang w:val="en-GB"/>
        </w:rPr>
      </w:pPr>
      <w:proofErr w:type="spellStart"/>
      <w:r w:rsidRPr="006279C4">
        <w:rPr>
          <w:lang w:val="en-GB"/>
        </w:rPr>
        <w:t>Avkiran</w:t>
      </w:r>
      <w:proofErr w:type="spellEnd"/>
      <w:r w:rsidRPr="006279C4">
        <w:rPr>
          <w:lang w:val="en-GB"/>
        </w:rPr>
        <w:t xml:space="preserve">, N.K. and Ringle, C.M. eds., 2018. Partial least squares structural equation </w:t>
      </w:r>
      <w:proofErr w:type="spellStart"/>
      <w:r w:rsidRPr="006279C4">
        <w:rPr>
          <w:lang w:val="en-GB"/>
        </w:rPr>
        <w:t>modeling</w:t>
      </w:r>
      <w:proofErr w:type="spellEnd"/>
      <w:r w:rsidRPr="006279C4">
        <w:rPr>
          <w:lang w:val="en-GB"/>
        </w:rPr>
        <w:t>: Recent advances in banking and finance.</w:t>
      </w:r>
    </w:p>
    <w:p w14:paraId="512F1595" w14:textId="77777777" w:rsidR="007E47E8" w:rsidRPr="006279C4" w:rsidRDefault="007E47E8" w:rsidP="00BE7F5A">
      <w:pPr>
        <w:pStyle w:val="Nessunaspaziatura"/>
        <w:rPr>
          <w:lang w:val="en-GB"/>
        </w:rPr>
      </w:pPr>
      <w:r w:rsidRPr="006279C4">
        <w:rPr>
          <w:lang w:val="en-GB"/>
        </w:rPr>
        <w:t xml:space="preserve">Bazhenova, O., Korol, M., Korol, I., Bazhenov, V., Yarmolenko, Y. and </w:t>
      </w:r>
      <w:proofErr w:type="spellStart"/>
      <w:r w:rsidRPr="006279C4">
        <w:rPr>
          <w:lang w:val="en-GB"/>
        </w:rPr>
        <w:t>Vasylets</w:t>
      </w:r>
      <w:proofErr w:type="spellEnd"/>
      <w:r w:rsidRPr="006279C4">
        <w:rPr>
          <w:lang w:val="en-GB"/>
        </w:rPr>
        <w:t>, N., 2021. THE BANKING SYSTEM OF THE UK: ANALYSIS AND MODELLING. </w:t>
      </w:r>
      <w:r w:rsidRPr="006279C4">
        <w:rPr>
          <w:i/>
          <w:iCs/>
          <w:lang w:val="en-GB"/>
        </w:rPr>
        <w:t>Financial and credit activity: problems of theory and practice</w:t>
      </w:r>
      <w:r w:rsidRPr="006279C4">
        <w:rPr>
          <w:lang w:val="en-GB"/>
        </w:rPr>
        <w:t>, </w:t>
      </w:r>
      <w:r w:rsidRPr="006279C4">
        <w:rPr>
          <w:i/>
          <w:iCs/>
          <w:lang w:val="en-GB"/>
        </w:rPr>
        <w:t>6</w:t>
      </w:r>
      <w:r w:rsidRPr="006279C4">
        <w:rPr>
          <w:lang w:val="en-GB"/>
        </w:rPr>
        <w:t>(41), pp.43-55.</w:t>
      </w:r>
    </w:p>
    <w:p w14:paraId="165BDC28" w14:textId="77777777" w:rsidR="007E47E8" w:rsidRPr="006279C4" w:rsidRDefault="007E47E8" w:rsidP="00BE7F5A">
      <w:pPr>
        <w:pStyle w:val="Nessunaspaziatura"/>
        <w:rPr>
          <w:lang w:val="en-GB"/>
        </w:rPr>
      </w:pPr>
      <w:r w:rsidRPr="006B40ED">
        <w:rPr>
          <w:lang w:val="it-IT"/>
        </w:rPr>
        <w:t xml:space="preserve">Ben Ali, M.S., </w:t>
      </w:r>
      <w:proofErr w:type="spellStart"/>
      <w:r w:rsidRPr="006B40ED">
        <w:rPr>
          <w:lang w:val="it-IT"/>
        </w:rPr>
        <w:t>Intissar</w:t>
      </w:r>
      <w:proofErr w:type="spellEnd"/>
      <w:r w:rsidRPr="006B40ED">
        <w:rPr>
          <w:lang w:val="it-IT"/>
        </w:rPr>
        <w:t xml:space="preserve">, T. and </w:t>
      </w:r>
      <w:proofErr w:type="spellStart"/>
      <w:r w:rsidRPr="006B40ED">
        <w:rPr>
          <w:lang w:val="it-IT"/>
        </w:rPr>
        <w:t>Zeitun</w:t>
      </w:r>
      <w:proofErr w:type="spellEnd"/>
      <w:r w:rsidRPr="006B40ED">
        <w:rPr>
          <w:lang w:val="it-IT"/>
        </w:rPr>
        <w:t xml:space="preserve">, R., 2018. </w:t>
      </w:r>
      <w:r w:rsidRPr="006279C4">
        <w:rPr>
          <w:lang w:val="en-GB"/>
        </w:rPr>
        <w:t>Banking concentration and financial stability. New evidence from developed and developing countries. </w:t>
      </w:r>
      <w:r w:rsidRPr="006279C4">
        <w:rPr>
          <w:i/>
          <w:iCs/>
          <w:lang w:val="en-GB"/>
        </w:rPr>
        <w:t>Eastern Economic Journal</w:t>
      </w:r>
      <w:r w:rsidRPr="006279C4">
        <w:rPr>
          <w:lang w:val="en-GB"/>
        </w:rPr>
        <w:t>, </w:t>
      </w:r>
      <w:r w:rsidRPr="006279C4">
        <w:rPr>
          <w:i/>
          <w:iCs/>
          <w:lang w:val="en-GB"/>
        </w:rPr>
        <w:t>44</w:t>
      </w:r>
      <w:r w:rsidRPr="006279C4">
        <w:rPr>
          <w:lang w:val="en-GB"/>
        </w:rPr>
        <w:t>, pp.117-134.</w:t>
      </w:r>
    </w:p>
    <w:p w14:paraId="5D19BB01" w14:textId="577B8002" w:rsidR="007E47E8" w:rsidRPr="006279C4" w:rsidRDefault="007E47E8" w:rsidP="00BE7F5A">
      <w:pPr>
        <w:pStyle w:val="Nessunaspaziatura"/>
        <w:rPr>
          <w:lang w:val="en-GB"/>
        </w:rPr>
      </w:pPr>
      <w:r w:rsidRPr="006279C4">
        <w:rPr>
          <w:lang w:val="en-GB"/>
        </w:rPr>
        <w:t>Buch, C.M. and Goldberg, L.S., 2022. Complexity and riskiness of banking organizations: Evidence from the International Banking Research Network. </w:t>
      </w:r>
      <w:r w:rsidRPr="006279C4">
        <w:rPr>
          <w:i/>
          <w:iCs/>
          <w:lang w:val="en-GB"/>
        </w:rPr>
        <w:t>Journal of Banking &amp; Finance</w:t>
      </w:r>
      <w:r w:rsidRPr="006279C4">
        <w:rPr>
          <w:lang w:val="en-GB"/>
        </w:rPr>
        <w:t>, </w:t>
      </w:r>
      <w:r w:rsidRPr="006279C4">
        <w:rPr>
          <w:i/>
          <w:iCs/>
          <w:lang w:val="en-GB"/>
        </w:rPr>
        <w:t>134</w:t>
      </w:r>
      <w:r w:rsidRPr="006279C4">
        <w:rPr>
          <w:lang w:val="en-GB"/>
        </w:rPr>
        <w:t>, p.106</w:t>
      </w:r>
      <w:r w:rsidR="00FC1BB9">
        <w:rPr>
          <w:lang w:val="en-GB"/>
        </w:rPr>
        <w:t>-</w:t>
      </w:r>
      <w:r w:rsidRPr="006279C4">
        <w:rPr>
          <w:lang w:val="en-GB"/>
        </w:rPr>
        <w:t>244.</w:t>
      </w:r>
    </w:p>
    <w:p w14:paraId="3F27F25A" w14:textId="77777777" w:rsidR="007E47E8" w:rsidRPr="006279C4" w:rsidRDefault="007E47E8" w:rsidP="00BE7F5A">
      <w:pPr>
        <w:pStyle w:val="Nessunaspaziatura"/>
        <w:rPr>
          <w:lang w:val="en-GB"/>
        </w:rPr>
      </w:pPr>
      <w:r w:rsidRPr="006279C4">
        <w:rPr>
          <w:lang w:val="en-GB"/>
        </w:rPr>
        <w:t>Buckle, M. and Thompson, J., 2020. The UK financial system: Theory and Practice. In </w:t>
      </w:r>
      <w:r w:rsidRPr="006279C4">
        <w:rPr>
          <w:i/>
          <w:iCs/>
          <w:lang w:val="en-GB"/>
        </w:rPr>
        <w:t>The UK financial system (fifth edition)</w:t>
      </w:r>
      <w:r w:rsidRPr="006279C4">
        <w:rPr>
          <w:lang w:val="en-GB"/>
        </w:rPr>
        <w:t>. Manchester University Press.</w:t>
      </w:r>
    </w:p>
    <w:p w14:paraId="7A892A21" w14:textId="77777777" w:rsidR="007E47E8" w:rsidRPr="006279C4" w:rsidRDefault="007E47E8" w:rsidP="00BE7F5A">
      <w:pPr>
        <w:pStyle w:val="Nessunaspaziatura"/>
        <w:rPr>
          <w:lang w:val="en-GB"/>
        </w:rPr>
      </w:pPr>
      <w:proofErr w:type="spellStart"/>
      <w:r w:rsidRPr="006279C4">
        <w:rPr>
          <w:lang w:val="en-GB"/>
        </w:rPr>
        <w:t>Dafermos</w:t>
      </w:r>
      <w:proofErr w:type="spellEnd"/>
      <w:r w:rsidRPr="006279C4">
        <w:rPr>
          <w:lang w:val="en-GB"/>
        </w:rPr>
        <w:t>, Y., 2022. Climate change, central banking and financial supervision: beyond the risk exposure approach. In </w:t>
      </w:r>
      <w:r w:rsidRPr="006279C4">
        <w:rPr>
          <w:i/>
          <w:iCs/>
          <w:lang w:val="en-GB"/>
        </w:rPr>
        <w:t>The future of central banking</w:t>
      </w:r>
      <w:r w:rsidRPr="006279C4">
        <w:rPr>
          <w:lang w:val="en-GB"/>
        </w:rPr>
        <w:t> (pp. 175-194). Edward Elgar Publishing.</w:t>
      </w:r>
    </w:p>
    <w:p w14:paraId="7B22201B" w14:textId="77777777" w:rsidR="007E47E8" w:rsidRPr="006279C4" w:rsidRDefault="007E47E8" w:rsidP="00BE7F5A">
      <w:pPr>
        <w:pStyle w:val="Nessunaspaziatura"/>
        <w:rPr>
          <w:lang w:val="en-GB"/>
        </w:rPr>
      </w:pPr>
      <w:r w:rsidRPr="006279C4">
        <w:rPr>
          <w:lang w:val="en-GB"/>
        </w:rPr>
        <w:t xml:space="preserve">Devereux, M.P., </w:t>
      </w:r>
      <w:proofErr w:type="spellStart"/>
      <w:r w:rsidRPr="006279C4">
        <w:rPr>
          <w:lang w:val="en-GB"/>
        </w:rPr>
        <w:t>Maffini</w:t>
      </w:r>
      <w:proofErr w:type="spellEnd"/>
      <w:r w:rsidRPr="006279C4">
        <w:rPr>
          <w:lang w:val="en-GB"/>
        </w:rPr>
        <w:t>, G. and Xing, J., 2018. Corporate tax incentives and capital structure: New evidence from UK firm-level tax returns. </w:t>
      </w:r>
      <w:r w:rsidRPr="006279C4">
        <w:rPr>
          <w:i/>
          <w:iCs/>
          <w:lang w:val="en-GB"/>
        </w:rPr>
        <w:t>Journal of Banking &amp; Finance</w:t>
      </w:r>
      <w:r w:rsidRPr="006279C4">
        <w:rPr>
          <w:lang w:val="en-GB"/>
        </w:rPr>
        <w:t>, </w:t>
      </w:r>
      <w:r w:rsidRPr="006279C4">
        <w:rPr>
          <w:i/>
          <w:iCs/>
          <w:lang w:val="en-GB"/>
        </w:rPr>
        <w:t>88</w:t>
      </w:r>
      <w:r w:rsidRPr="006279C4">
        <w:rPr>
          <w:lang w:val="en-GB"/>
        </w:rPr>
        <w:t>, pp.250-266.</w:t>
      </w:r>
    </w:p>
    <w:p w14:paraId="6736B034" w14:textId="77777777" w:rsidR="007E47E8" w:rsidRPr="006279C4" w:rsidRDefault="007E47E8" w:rsidP="00BE7F5A">
      <w:pPr>
        <w:pStyle w:val="Nessunaspaziatura"/>
        <w:rPr>
          <w:lang w:val="en-GB"/>
        </w:rPr>
      </w:pPr>
      <w:r w:rsidRPr="006279C4">
        <w:rPr>
          <w:lang w:val="en-GB"/>
        </w:rPr>
        <w:t xml:space="preserve">Elamer, A.A. and </w:t>
      </w:r>
      <w:proofErr w:type="spellStart"/>
      <w:r w:rsidRPr="006279C4">
        <w:rPr>
          <w:lang w:val="en-GB"/>
        </w:rPr>
        <w:t>Benyazid</w:t>
      </w:r>
      <w:proofErr w:type="spellEnd"/>
      <w:r w:rsidRPr="006279C4">
        <w:rPr>
          <w:lang w:val="en-GB"/>
        </w:rPr>
        <w:t>, I., 2018. The impact of risk committee on financial performance of UK financial institutions. </w:t>
      </w:r>
      <w:r w:rsidRPr="006279C4">
        <w:rPr>
          <w:i/>
          <w:iCs/>
          <w:lang w:val="en-GB"/>
        </w:rPr>
        <w:t>International Journal of Accounting and Finance</w:t>
      </w:r>
      <w:r w:rsidRPr="006279C4">
        <w:rPr>
          <w:lang w:val="en-GB"/>
        </w:rPr>
        <w:t>, </w:t>
      </w:r>
      <w:r w:rsidRPr="006279C4">
        <w:rPr>
          <w:i/>
          <w:iCs/>
          <w:lang w:val="en-GB"/>
        </w:rPr>
        <w:t>8</w:t>
      </w:r>
      <w:r w:rsidRPr="006279C4">
        <w:rPr>
          <w:lang w:val="en-GB"/>
        </w:rPr>
        <w:t>(2), pp.161-180.</w:t>
      </w:r>
    </w:p>
    <w:p w14:paraId="3812B998" w14:textId="77777777" w:rsidR="007E47E8" w:rsidRPr="006279C4" w:rsidRDefault="007E47E8" w:rsidP="00BE7F5A">
      <w:pPr>
        <w:pStyle w:val="Nessunaspaziatura"/>
        <w:rPr>
          <w:lang w:val="en-GB"/>
        </w:rPr>
      </w:pPr>
      <w:r w:rsidRPr="006279C4">
        <w:rPr>
          <w:lang w:val="en-GB"/>
        </w:rPr>
        <w:t>Espar, O., 2020. Brexit and its impact on banking and finance contracts: will the choice of English Law and the jurisdiction of the Courts of England still be preferred after Brexit?. </w:t>
      </w:r>
      <w:r w:rsidRPr="006279C4">
        <w:rPr>
          <w:i/>
          <w:iCs/>
          <w:lang w:val="en-GB"/>
        </w:rPr>
        <w:t>Available at SSRN 3524213</w:t>
      </w:r>
      <w:r w:rsidRPr="006279C4">
        <w:rPr>
          <w:lang w:val="en-GB"/>
        </w:rPr>
        <w:t>.</w:t>
      </w:r>
    </w:p>
    <w:p w14:paraId="4166DBFA" w14:textId="77777777" w:rsidR="007E47E8" w:rsidRPr="006279C4" w:rsidRDefault="007E47E8" w:rsidP="00BE7F5A">
      <w:pPr>
        <w:pStyle w:val="Nessunaspaziatura"/>
        <w:rPr>
          <w:lang w:val="en-GB"/>
        </w:rPr>
      </w:pPr>
      <w:r w:rsidRPr="006279C4">
        <w:rPr>
          <w:lang w:val="en-GB"/>
        </w:rPr>
        <w:t xml:space="preserve">Jayakumar, M., Pradhan, R.P., Dash, S., </w:t>
      </w:r>
      <w:proofErr w:type="spellStart"/>
      <w:r w:rsidRPr="006279C4">
        <w:rPr>
          <w:lang w:val="en-GB"/>
        </w:rPr>
        <w:t>Maradana</w:t>
      </w:r>
      <w:proofErr w:type="spellEnd"/>
      <w:r w:rsidRPr="006279C4">
        <w:rPr>
          <w:lang w:val="en-GB"/>
        </w:rPr>
        <w:t>, R.P. and Gaurav, K., 2018. Banking competition, banking stability, and economic growth: Are feedback effects at work?. </w:t>
      </w:r>
      <w:r w:rsidRPr="006279C4">
        <w:rPr>
          <w:i/>
          <w:iCs/>
          <w:lang w:val="en-GB"/>
        </w:rPr>
        <w:t>Journal of Economics and Business</w:t>
      </w:r>
      <w:r w:rsidRPr="006279C4">
        <w:rPr>
          <w:lang w:val="en-GB"/>
        </w:rPr>
        <w:t>, </w:t>
      </w:r>
      <w:r w:rsidRPr="006279C4">
        <w:rPr>
          <w:i/>
          <w:iCs/>
          <w:lang w:val="en-GB"/>
        </w:rPr>
        <w:t>96</w:t>
      </w:r>
      <w:r w:rsidRPr="006279C4">
        <w:rPr>
          <w:lang w:val="en-GB"/>
        </w:rPr>
        <w:t>, pp.15-41.</w:t>
      </w:r>
    </w:p>
    <w:p w14:paraId="2211E4E8" w14:textId="77777777" w:rsidR="007E47E8" w:rsidRPr="006279C4" w:rsidRDefault="007E47E8" w:rsidP="00BE7F5A">
      <w:pPr>
        <w:pStyle w:val="Nessunaspaziatura"/>
        <w:rPr>
          <w:lang w:val="en-GB"/>
        </w:rPr>
      </w:pPr>
      <w:r w:rsidRPr="006279C4">
        <w:rPr>
          <w:lang w:val="en-GB"/>
        </w:rPr>
        <w:t>Lu, L., 2018. Promoting SME finance in the context of the fintech revolution: A case study of the UK's practice and regulation. </w:t>
      </w:r>
      <w:r w:rsidRPr="006279C4">
        <w:rPr>
          <w:i/>
          <w:iCs/>
          <w:lang w:val="en-GB"/>
        </w:rPr>
        <w:t>Banking and Finance Law Review</w:t>
      </w:r>
      <w:r w:rsidRPr="006279C4">
        <w:rPr>
          <w:lang w:val="en-GB"/>
        </w:rPr>
        <w:t>, pp.317-343.</w:t>
      </w:r>
    </w:p>
    <w:p w14:paraId="23875F04" w14:textId="77777777" w:rsidR="007E47E8" w:rsidRPr="006279C4" w:rsidRDefault="007E47E8" w:rsidP="00BE7F5A">
      <w:pPr>
        <w:pStyle w:val="Nessunaspaziatura"/>
        <w:rPr>
          <w:lang w:val="en-GB"/>
        </w:rPr>
      </w:pPr>
      <w:r w:rsidRPr="006279C4">
        <w:rPr>
          <w:lang w:val="en-GB"/>
        </w:rPr>
        <w:t>Malloy, M.P. and Lovett, W.A., 2019. </w:t>
      </w:r>
      <w:r w:rsidRPr="006279C4">
        <w:rPr>
          <w:i/>
          <w:iCs/>
          <w:lang w:val="en-GB"/>
        </w:rPr>
        <w:t>Banking and financial institutions law in a nutshell</w:t>
      </w:r>
      <w:r w:rsidRPr="006279C4">
        <w:rPr>
          <w:lang w:val="en-GB"/>
        </w:rPr>
        <w:t>. West Academic Publishing.</w:t>
      </w:r>
    </w:p>
    <w:p w14:paraId="1B54E1EA" w14:textId="77777777" w:rsidR="007E47E8" w:rsidRPr="006279C4" w:rsidRDefault="007E47E8" w:rsidP="00BE7F5A">
      <w:pPr>
        <w:pStyle w:val="Nessunaspaziatura"/>
        <w:rPr>
          <w:lang w:val="en-GB"/>
        </w:rPr>
      </w:pPr>
      <w:r w:rsidRPr="006279C4">
        <w:rPr>
          <w:lang w:val="en-GB"/>
        </w:rPr>
        <w:t>Matthews, K., Thompson, J. and Zhang, T., 2023. </w:t>
      </w:r>
      <w:r w:rsidRPr="006279C4">
        <w:rPr>
          <w:i/>
          <w:iCs/>
          <w:lang w:val="en-GB"/>
        </w:rPr>
        <w:t>Economics Of Banking, The</w:t>
      </w:r>
      <w:r w:rsidRPr="006279C4">
        <w:rPr>
          <w:lang w:val="en-GB"/>
        </w:rPr>
        <w:t>. World Scientific.</w:t>
      </w:r>
    </w:p>
    <w:p w14:paraId="226B9019" w14:textId="77777777" w:rsidR="007E47E8" w:rsidRPr="006279C4" w:rsidRDefault="007E47E8" w:rsidP="00BE7F5A">
      <w:pPr>
        <w:pStyle w:val="Nessunaspaziatura"/>
        <w:rPr>
          <w:lang w:val="en-GB"/>
        </w:rPr>
      </w:pPr>
      <w:r w:rsidRPr="006279C4">
        <w:rPr>
          <w:lang w:val="en-GB"/>
        </w:rPr>
        <w:t>Mishra, P. and Sant, T.G., 2021, October. Role of artificial intelligence and internet of things in promoting banking and financial services during COVID-19: Pre and post effect. In </w:t>
      </w:r>
      <w:r w:rsidRPr="006279C4">
        <w:rPr>
          <w:i/>
          <w:iCs/>
          <w:lang w:val="en-GB"/>
        </w:rPr>
        <w:t>2021 5th International Conference on Information Systems and Computer Networks (ISCON)</w:t>
      </w:r>
      <w:r w:rsidRPr="006279C4">
        <w:rPr>
          <w:lang w:val="en-GB"/>
        </w:rPr>
        <w:t> (pp. 1-7). IEEE.</w:t>
      </w:r>
    </w:p>
    <w:p w14:paraId="1383CA81" w14:textId="77777777" w:rsidR="007E47E8" w:rsidRPr="006279C4" w:rsidRDefault="007E47E8" w:rsidP="00BE7F5A">
      <w:pPr>
        <w:pStyle w:val="Nessunaspaziatura"/>
        <w:rPr>
          <w:lang w:val="en-GB"/>
        </w:rPr>
      </w:pPr>
      <w:r w:rsidRPr="006279C4">
        <w:rPr>
          <w:lang w:val="en-GB"/>
        </w:rPr>
        <w:lastRenderedPageBreak/>
        <w:t>Narayan, P.K. and Phan, D.H.B., 2019. A survey of Islamic banking and finance literature: Issues, challenges and future directions. </w:t>
      </w:r>
      <w:r w:rsidRPr="006279C4">
        <w:rPr>
          <w:i/>
          <w:iCs/>
          <w:lang w:val="en-GB"/>
        </w:rPr>
        <w:t>Pacific-Basin Finance Journal</w:t>
      </w:r>
      <w:r w:rsidRPr="006279C4">
        <w:rPr>
          <w:lang w:val="en-GB"/>
        </w:rPr>
        <w:t>, </w:t>
      </w:r>
      <w:r w:rsidRPr="006279C4">
        <w:rPr>
          <w:i/>
          <w:iCs/>
          <w:lang w:val="en-GB"/>
        </w:rPr>
        <w:t>53</w:t>
      </w:r>
      <w:r w:rsidRPr="006279C4">
        <w:rPr>
          <w:lang w:val="en-GB"/>
        </w:rPr>
        <w:t>, pp.484-496.</w:t>
      </w:r>
    </w:p>
    <w:p w14:paraId="41FC6BEA" w14:textId="77777777" w:rsidR="007E47E8" w:rsidRPr="006279C4" w:rsidRDefault="007E47E8" w:rsidP="00BE7F5A">
      <w:pPr>
        <w:pStyle w:val="Nessunaspaziatura"/>
        <w:rPr>
          <w:lang w:val="en-GB"/>
        </w:rPr>
      </w:pPr>
      <w:r w:rsidRPr="006279C4">
        <w:rPr>
          <w:lang w:val="en-GB"/>
        </w:rPr>
        <w:t>Peterson, J., 2018. VII. The Uncertain Fate of Europe's Financial Capital. </w:t>
      </w:r>
      <w:r w:rsidRPr="006279C4">
        <w:rPr>
          <w:i/>
          <w:iCs/>
          <w:lang w:val="en-GB"/>
        </w:rPr>
        <w:t>Review of Banking &amp; Financial Law</w:t>
      </w:r>
      <w:r w:rsidRPr="006279C4">
        <w:rPr>
          <w:lang w:val="en-GB"/>
        </w:rPr>
        <w:t>, </w:t>
      </w:r>
      <w:r w:rsidRPr="006279C4">
        <w:rPr>
          <w:i/>
          <w:iCs/>
          <w:lang w:val="en-GB"/>
        </w:rPr>
        <w:t>38</w:t>
      </w:r>
      <w:r w:rsidRPr="006279C4">
        <w:rPr>
          <w:lang w:val="en-GB"/>
        </w:rPr>
        <w:t>(1).</w:t>
      </w:r>
    </w:p>
    <w:p w14:paraId="0BC4BA91" w14:textId="77777777" w:rsidR="007E47E8" w:rsidRPr="006279C4" w:rsidRDefault="007E47E8" w:rsidP="00BE7F5A">
      <w:pPr>
        <w:pStyle w:val="Nessunaspaziatura"/>
        <w:rPr>
          <w:lang w:val="en-GB"/>
        </w:rPr>
      </w:pPr>
      <w:r w:rsidRPr="006279C4">
        <w:rPr>
          <w:lang w:val="en-GB"/>
        </w:rPr>
        <w:t>Saad, A. and Idris, U., 2021. Perception and attitudes of Muslims and non-Muslims toward Islamic banking in the western countries: case study of United Kingdom. </w:t>
      </w:r>
      <w:proofErr w:type="spellStart"/>
      <w:r w:rsidRPr="006279C4">
        <w:rPr>
          <w:i/>
          <w:iCs/>
          <w:lang w:val="en-GB"/>
        </w:rPr>
        <w:t>PalArch's</w:t>
      </w:r>
      <w:proofErr w:type="spellEnd"/>
      <w:r w:rsidRPr="006279C4">
        <w:rPr>
          <w:i/>
          <w:iCs/>
          <w:lang w:val="en-GB"/>
        </w:rPr>
        <w:t xml:space="preserve"> Journal of Archaeology of Egypt/Egyptology</w:t>
      </w:r>
      <w:r w:rsidRPr="006279C4">
        <w:rPr>
          <w:lang w:val="en-GB"/>
        </w:rPr>
        <w:t>, </w:t>
      </w:r>
      <w:r w:rsidRPr="006279C4">
        <w:rPr>
          <w:i/>
          <w:iCs/>
          <w:lang w:val="en-GB"/>
        </w:rPr>
        <w:t>18</w:t>
      </w:r>
      <w:r w:rsidRPr="006279C4">
        <w:rPr>
          <w:lang w:val="en-GB"/>
        </w:rPr>
        <w:t>(13), pp.970-980.</w:t>
      </w:r>
    </w:p>
    <w:p w14:paraId="1535F5E4" w14:textId="77777777" w:rsidR="007E47E8" w:rsidRPr="006279C4" w:rsidRDefault="007E47E8" w:rsidP="00BE7F5A">
      <w:pPr>
        <w:pStyle w:val="Nessunaspaziatura"/>
        <w:rPr>
          <w:lang w:val="en-GB"/>
        </w:rPr>
      </w:pPr>
      <w:r w:rsidRPr="006279C4">
        <w:rPr>
          <w:lang w:val="en-GB"/>
        </w:rPr>
        <w:t>Sakib, S.M., 2022. Impact of COVID-19 on UK retail banking. </w:t>
      </w:r>
      <w:r w:rsidRPr="006279C4">
        <w:rPr>
          <w:i/>
          <w:iCs/>
          <w:lang w:val="en-GB"/>
        </w:rPr>
        <w:t>Impact of COVID-19 on UK Retail Banking (April 22, 2022)</w:t>
      </w:r>
      <w:r w:rsidRPr="006279C4">
        <w:rPr>
          <w:lang w:val="en-GB"/>
        </w:rPr>
        <w:t>.</w:t>
      </w:r>
    </w:p>
    <w:p w14:paraId="5226DB8F" w14:textId="77777777" w:rsidR="007E47E8" w:rsidRPr="006279C4" w:rsidRDefault="007E47E8" w:rsidP="00BE7F5A">
      <w:pPr>
        <w:pStyle w:val="Nessunaspaziatura"/>
        <w:rPr>
          <w:lang w:val="en-GB"/>
        </w:rPr>
      </w:pPr>
      <w:proofErr w:type="spellStart"/>
      <w:r w:rsidRPr="006279C4">
        <w:rPr>
          <w:lang w:val="en-GB"/>
        </w:rPr>
        <w:t>Strohsal</w:t>
      </w:r>
      <w:proofErr w:type="spellEnd"/>
      <w:r w:rsidRPr="006279C4">
        <w:rPr>
          <w:lang w:val="en-GB"/>
        </w:rPr>
        <w:t xml:space="preserve">, T., </w:t>
      </w:r>
      <w:proofErr w:type="spellStart"/>
      <w:r w:rsidRPr="006279C4">
        <w:rPr>
          <w:lang w:val="en-GB"/>
        </w:rPr>
        <w:t>Proaño</w:t>
      </w:r>
      <w:proofErr w:type="spellEnd"/>
      <w:r w:rsidRPr="006279C4">
        <w:rPr>
          <w:lang w:val="en-GB"/>
        </w:rPr>
        <w:t>, C.R. and Wolters, J., 2019. Characterizing the financial cycle: Evidence from a frequency domain analysis. </w:t>
      </w:r>
      <w:r w:rsidRPr="006279C4">
        <w:rPr>
          <w:i/>
          <w:iCs/>
          <w:lang w:val="en-GB"/>
        </w:rPr>
        <w:t>Journal of Banking &amp; Finance</w:t>
      </w:r>
      <w:r w:rsidRPr="006279C4">
        <w:rPr>
          <w:lang w:val="en-GB"/>
        </w:rPr>
        <w:t>, </w:t>
      </w:r>
      <w:r w:rsidRPr="006279C4">
        <w:rPr>
          <w:i/>
          <w:iCs/>
          <w:lang w:val="en-GB"/>
        </w:rPr>
        <w:t>106</w:t>
      </w:r>
      <w:r w:rsidRPr="006279C4">
        <w:rPr>
          <w:lang w:val="en-GB"/>
        </w:rPr>
        <w:t>, pp.568-591.</w:t>
      </w:r>
    </w:p>
    <w:p w14:paraId="37C1CB7A" w14:textId="77777777" w:rsidR="007E47E8" w:rsidRPr="006279C4" w:rsidRDefault="007E47E8" w:rsidP="00BE7F5A">
      <w:pPr>
        <w:pStyle w:val="Nessunaspaziatura"/>
        <w:rPr>
          <w:lang w:val="en-GB"/>
        </w:rPr>
      </w:pPr>
      <w:r w:rsidRPr="006279C4">
        <w:rPr>
          <w:lang w:val="en-GB"/>
        </w:rPr>
        <w:t>Vives, X., 2019. Digital disruption in banking. </w:t>
      </w:r>
      <w:r w:rsidRPr="006279C4">
        <w:rPr>
          <w:i/>
          <w:iCs/>
          <w:lang w:val="en-GB"/>
        </w:rPr>
        <w:t>Annual Review of Financial Economics</w:t>
      </w:r>
      <w:r w:rsidRPr="006279C4">
        <w:rPr>
          <w:lang w:val="en-GB"/>
        </w:rPr>
        <w:t>, </w:t>
      </w:r>
      <w:r w:rsidRPr="006279C4">
        <w:rPr>
          <w:i/>
          <w:iCs/>
          <w:lang w:val="en-GB"/>
        </w:rPr>
        <w:t>11</w:t>
      </w:r>
      <w:r w:rsidRPr="006279C4">
        <w:rPr>
          <w:lang w:val="en-GB"/>
        </w:rPr>
        <w:t>, pp.243-272.</w:t>
      </w:r>
    </w:p>
    <w:sectPr w:rsidR="007E47E8" w:rsidRPr="006279C4" w:rsidSect="00797958">
      <w:footerReference w:type="default" r:id="rId1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9C2C6" w14:textId="77777777" w:rsidR="00797958" w:rsidRDefault="00797958" w:rsidP="00C04D14">
      <w:pPr>
        <w:spacing w:before="0" w:after="0" w:line="240" w:lineRule="auto"/>
      </w:pPr>
      <w:r>
        <w:separator/>
      </w:r>
    </w:p>
  </w:endnote>
  <w:endnote w:type="continuationSeparator" w:id="0">
    <w:p w14:paraId="5E8E5BA9" w14:textId="77777777" w:rsidR="00797958" w:rsidRDefault="00797958" w:rsidP="00C04D1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1550099"/>
      <w:docPartObj>
        <w:docPartGallery w:val="Page Numbers (Bottom of Page)"/>
        <w:docPartUnique/>
      </w:docPartObj>
    </w:sdtPr>
    <w:sdtContent>
      <w:p w14:paraId="20D575A0" w14:textId="77777777" w:rsidR="00C04D14" w:rsidRDefault="00C04D14">
        <w:pPr>
          <w:pStyle w:val="Pidipagina"/>
          <w:jc w:val="right"/>
        </w:pPr>
        <w:r>
          <w:fldChar w:fldCharType="begin"/>
        </w:r>
        <w:r>
          <w:instrText>PAGE   \* MERGEFORMAT</w:instrText>
        </w:r>
        <w:r>
          <w:fldChar w:fldCharType="separate"/>
        </w:r>
        <w:r>
          <w:rPr>
            <w:lang w:val="it-IT"/>
          </w:rPr>
          <w:t>2</w:t>
        </w:r>
        <w:r>
          <w:fldChar w:fldCharType="end"/>
        </w:r>
      </w:p>
    </w:sdtContent>
  </w:sdt>
  <w:p w14:paraId="195C3CF5" w14:textId="77777777" w:rsidR="00C04D14" w:rsidRDefault="00C04D14">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C6A4B" w14:textId="77777777" w:rsidR="00797958" w:rsidRDefault="00797958" w:rsidP="00C04D14">
      <w:pPr>
        <w:spacing w:before="0" w:after="0" w:line="240" w:lineRule="auto"/>
      </w:pPr>
      <w:r>
        <w:separator/>
      </w:r>
    </w:p>
  </w:footnote>
  <w:footnote w:type="continuationSeparator" w:id="0">
    <w:p w14:paraId="2CA21438" w14:textId="77777777" w:rsidR="00797958" w:rsidRDefault="00797958" w:rsidP="00C04D1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74E31"/>
    <w:multiLevelType w:val="multilevel"/>
    <w:tmpl w:val="FACC0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784E41"/>
    <w:multiLevelType w:val="multilevel"/>
    <w:tmpl w:val="C65C5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7970CA"/>
    <w:multiLevelType w:val="multilevel"/>
    <w:tmpl w:val="6EEA9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1B4CC7"/>
    <w:multiLevelType w:val="multilevel"/>
    <w:tmpl w:val="4BD81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2C30F2"/>
    <w:multiLevelType w:val="hybridMultilevel"/>
    <w:tmpl w:val="70F62400"/>
    <w:lvl w:ilvl="0" w:tplc="2D94CCD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4240107">
    <w:abstractNumId w:val="1"/>
  </w:num>
  <w:num w:numId="2" w16cid:durableId="171845539">
    <w:abstractNumId w:val="0"/>
  </w:num>
  <w:num w:numId="3" w16cid:durableId="1578052775">
    <w:abstractNumId w:val="2"/>
  </w:num>
  <w:num w:numId="4" w16cid:durableId="916400528">
    <w:abstractNumId w:val="3"/>
  </w:num>
  <w:num w:numId="5" w16cid:durableId="959512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F5A"/>
    <w:rsid w:val="000C3A73"/>
    <w:rsid w:val="00126090"/>
    <w:rsid w:val="001403D4"/>
    <w:rsid w:val="001520D3"/>
    <w:rsid w:val="001A7679"/>
    <w:rsid w:val="001E1479"/>
    <w:rsid w:val="00220FA7"/>
    <w:rsid w:val="002548A4"/>
    <w:rsid w:val="002E3DCC"/>
    <w:rsid w:val="0030366C"/>
    <w:rsid w:val="003054A5"/>
    <w:rsid w:val="00320D33"/>
    <w:rsid w:val="003A64A7"/>
    <w:rsid w:val="003E4E4F"/>
    <w:rsid w:val="003E6860"/>
    <w:rsid w:val="003F629A"/>
    <w:rsid w:val="00485B74"/>
    <w:rsid w:val="004E5B8C"/>
    <w:rsid w:val="004F75B3"/>
    <w:rsid w:val="0056516F"/>
    <w:rsid w:val="005B3AAF"/>
    <w:rsid w:val="005C049B"/>
    <w:rsid w:val="005F3013"/>
    <w:rsid w:val="006279C4"/>
    <w:rsid w:val="0066747F"/>
    <w:rsid w:val="00696D32"/>
    <w:rsid w:val="006A0A6B"/>
    <w:rsid w:val="006B40ED"/>
    <w:rsid w:val="006F17D1"/>
    <w:rsid w:val="0070688F"/>
    <w:rsid w:val="00743AE5"/>
    <w:rsid w:val="00750A65"/>
    <w:rsid w:val="00770BDC"/>
    <w:rsid w:val="007721C2"/>
    <w:rsid w:val="00776569"/>
    <w:rsid w:val="0077657A"/>
    <w:rsid w:val="00797958"/>
    <w:rsid w:val="007E47E8"/>
    <w:rsid w:val="00841C47"/>
    <w:rsid w:val="008511F9"/>
    <w:rsid w:val="00951A1A"/>
    <w:rsid w:val="00954646"/>
    <w:rsid w:val="00960FCF"/>
    <w:rsid w:val="009A7B64"/>
    <w:rsid w:val="009B4A71"/>
    <w:rsid w:val="00A032F2"/>
    <w:rsid w:val="00A25BE2"/>
    <w:rsid w:val="00A94F0D"/>
    <w:rsid w:val="00AE4531"/>
    <w:rsid w:val="00AF6107"/>
    <w:rsid w:val="00B52AF8"/>
    <w:rsid w:val="00B53758"/>
    <w:rsid w:val="00B833B0"/>
    <w:rsid w:val="00BA0941"/>
    <w:rsid w:val="00BB6EEB"/>
    <w:rsid w:val="00BE7F5A"/>
    <w:rsid w:val="00C04D14"/>
    <w:rsid w:val="00C5103B"/>
    <w:rsid w:val="00C51801"/>
    <w:rsid w:val="00D2635C"/>
    <w:rsid w:val="00D82024"/>
    <w:rsid w:val="00DA29A2"/>
    <w:rsid w:val="00DA56EC"/>
    <w:rsid w:val="00DA7511"/>
    <w:rsid w:val="00DF5499"/>
    <w:rsid w:val="00E40BCD"/>
    <w:rsid w:val="00E8176C"/>
    <w:rsid w:val="00EB4E53"/>
    <w:rsid w:val="00F00F11"/>
    <w:rsid w:val="00F03E32"/>
    <w:rsid w:val="00F75860"/>
    <w:rsid w:val="00F97F74"/>
    <w:rsid w:val="00FC1BB9"/>
    <w:rsid w:val="00FF1B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DF968C"/>
  <w15:chartTrackingRefBased/>
  <w15:docId w15:val="{B64A9345-36F2-4018-B3F7-38D4938F8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3F629A"/>
    <w:pPr>
      <w:spacing w:before="60" w:after="60" w:line="360" w:lineRule="auto"/>
    </w:pPr>
    <w:rPr>
      <w:rFonts w:ascii="Times New Roman" w:hAnsi="Times New Roman"/>
      <w:sz w:val="24"/>
      <w:lang w:val="en-GB"/>
    </w:rPr>
  </w:style>
  <w:style w:type="paragraph" w:styleId="Titolo1">
    <w:name w:val="heading 1"/>
    <w:basedOn w:val="Normale"/>
    <w:next w:val="Normale"/>
    <w:link w:val="Titolo1Carattere"/>
    <w:uiPriority w:val="9"/>
    <w:qFormat/>
    <w:rsid w:val="003054A5"/>
    <w:pPr>
      <w:keepNext/>
      <w:keepLines/>
      <w:outlineLvl w:val="0"/>
    </w:pPr>
    <w:rPr>
      <w:rFonts w:eastAsiaTheme="majorEastAsia" w:cstheme="majorBidi"/>
      <w:b/>
      <w:color w:val="000000" w:themeColor="text1"/>
      <w:szCs w:val="32"/>
    </w:rPr>
  </w:style>
  <w:style w:type="paragraph" w:styleId="Titolo2">
    <w:name w:val="heading 2"/>
    <w:basedOn w:val="Normale"/>
    <w:next w:val="Normale"/>
    <w:link w:val="Titolo2Carattere"/>
    <w:uiPriority w:val="9"/>
    <w:unhideWhenUsed/>
    <w:qFormat/>
    <w:rsid w:val="003054A5"/>
    <w:pPr>
      <w:keepNext/>
      <w:keepLines/>
      <w:outlineLvl w:val="1"/>
    </w:pPr>
    <w:rPr>
      <w:rFonts w:eastAsiaTheme="majorEastAsia" w:cstheme="majorBidi"/>
      <w:b/>
      <w:i/>
      <w:szCs w:val="26"/>
    </w:rPr>
  </w:style>
  <w:style w:type="paragraph" w:styleId="Titolo3">
    <w:name w:val="heading 3"/>
    <w:basedOn w:val="Normale"/>
    <w:next w:val="Normale"/>
    <w:link w:val="Titolo3Carattere"/>
    <w:uiPriority w:val="9"/>
    <w:unhideWhenUsed/>
    <w:qFormat/>
    <w:rsid w:val="003054A5"/>
    <w:pPr>
      <w:keepNext/>
      <w:keepLines/>
      <w:outlineLvl w:val="2"/>
    </w:pPr>
    <w:rPr>
      <w:rFonts w:eastAsiaTheme="majorEastAsia" w:cstheme="majorBidi"/>
      <w:i/>
      <w:color w:val="000000" w:themeColor="text1"/>
      <w:szCs w:val="24"/>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uiPriority w:val="1"/>
    <w:qFormat/>
    <w:rsid w:val="003054A5"/>
    <w:pPr>
      <w:spacing w:before="120" w:after="120" w:line="240" w:lineRule="auto"/>
      <w:ind w:left="720" w:hanging="720"/>
    </w:pPr>
    <w:rPr>
      <w:rFonts w:ascii="Times New Roman" w:hAnsi="Times New Roman"/>
      <w:sz w:val="24"/>
    </w:rPr>
  </w:style>
  <w:style w:type="character" w:customStyle="1" w:styleId="Titolo1Carattere">
    <w:name w:val="Titolo 1 Carattere"/>
    <w:basedOn w:val="Carpredefinitoparagrafo"/>
    <w:link w:val="Titolo1"/>
    <w:uiPriority w:val="9"/>
    <w:rsid w:val="003054A5"/>
    <w:rPr>
      <w:rFonts w:ascii="Times New Roman" w:eastAsiaTheme="majorEastAsia" w:hAnsi="Times New Roman" w:cstheme="majorBidi"/>
      <w:b/>
      <w:color w:val="000000" w:themeColor="text1"/>
      <w:sz w:val="24"/>
      <w:szCs w:val="32"/>
    </w:rPr>
  </w:style>
  <w:style w:type="character" w:customStyle="1" w:styleId="Titolo2Carattere">
    <w:name w:val="Titolo 2 Carattere"/>
    <w:basedOn w:val="Carpredefinitoparagrafo"/>
    <w:link w:val="Titolo2"/>
    <w:uiPriority w:val="9"/>
    <w:rsid w:val="003054A5"/>
    <w:rPr>
      <w:rFonts w:ascii="Times New Roman" w:eastAsiaTheme="majorEastAsia" w:hAnsi="Times New Roman" w:cstheme="majorBidi"/>
      <w:b/>
      <w:i/>
      <w:sz w:val="24"/>
      <w:szCs w:val="26"/>
    </w:rPr>
  </w:style>
  <w:style w:type="character" w:customStyle="1" w:styleId="Titolo3Carattere">
    <w:name w:val="Titolo 3 Carattere"/>
    <w:basedOn w:val="Carpredefinitoparagrafo"/>
    <w:link w:val="Titolo3"/>
    <w:uiPriority w:val="9"/>
    <w:rsid w:val="003054A5"/>
    <w:rPr>
      <w:rFonts w:ascii="Times New Roman" w:eastAsiaTheme="majorEastAsia" w:hAnsi="Times New Roman" w:cstheme="majorBidi"/>
      <w:i/>
      <w:color w:val="000000" w:themeColor="text1"/>
      <w:sz w:val="24"/>
      <w:szCs w:val="24"/>
    </w:rPr>
  </w:style>
  <w:style w:type="paragraph" w:styleId="Titolosommario">
    <w:name w:val="TOC Heading"/>
    <w:basedOn w:val="Titolo1"/>
    <w:next w:val="Normale"/>
    <w:uiPriority w:val="39"/>
    <w:unhideWhenUsed/>
    <w:qFormat/>
    <w:rsid w:val="0030366C"/>
    <w:pPr>
      <w:spacing w:before="240" w:after="0" w:line="259" w:lineRule="auto"/>
      <w:outlineLvl w:val="9"/>
    </w:pPr>
    <w:rPr>
      <w:rFonts w:asciiTheme="majorHAnsi" w:hAnsiTheme="majorHAnsi"/>
      <w:b w:val="0"/>
      <w:color w:val="2F5496" w:themeColor="accent1" w:themeShade="BF"/>
      <w:sz w:val="32"/>
      <w:lang w:val="en-US"/>
    </w:rPr>
  </w:style>
  <w:style w:type="paragraph" w:styleId="Sommario1">
    <w:name w:val="toc 1"/>
    <w:basedOn w:val="Normale"/>
    <w:next w:val="Normale"/>
    <w:autoRedefine/>
    <w:uiPriority w:val="39"/>
    <w:unhideWhenUsed/>
    <w:rsid w:val="0030366C"/>
    <w:pPr>
      <w:spacing w:after="100"/>
    </w:pPr>
  </w:style>
  <w:style w:type="paragraph" w:styleId="Sommario2">
    <w:name w:val="toc 2"/>
    <w:basedOn w:val="Normale"/>
    <w:next w:val="Normale"/>
    <w:autoRedefine/>
    <w:uiPriority w:val="39"/>
    <w:unhideWhenUsed/>
    <w:rsid w:val="0030366C"/>
    <w:pPr>
      <w:spacing w:after="100"/>
      <w:ind w:left="240"/>
    </w:pPr>
  </w:style>
  <w:style w:type="paragraph" w:styleId="Sommario3">
    <w:name w:val="toc 3"/>
    <w:basedOn w:val="Normale"/>
    <w:next w:val="Normale"/>
    <w:autoRedefine/>
    <w:uiPriority w:val="39"/>
    <w:unhideWhenUsed/>
    <w:rsid w:val="0030366C"/>
    <w:pPr>
      <w:spacing w:after="100"/>
      <w:ind w:left="480"/>
    </w:pPr>
  </w:style>
  <w:style w:type="character" w:styleId="Collegamentoipertestuale">
    <w:name w:val="Hyperlink"/>
    <w:basedOn w:val="Carpredefinitoparagrafo"/>
    <w:uiPriority w:val="99"/>
    <w:unhideWhenUsed/>
    <w:rsid w:val="0030366C"/>
    <w:rPr>
      <w:color w:val="0563C1" w:themeColor="hyperlink"/>
      <w:u w:val="single"/>
    </w:rPr>
  </w:style>
  <w:style w:type="paragraph" w:styleId="Paragrafoelenco">
    <w:name w:val="List Paragraph"/>
    <w:basedOn w:val="Normale"/>
    <w:uiPriority w:val="34"/>
    <w:qFormat/>
    <w:rsid w:val="00DA7511"/>
    <w:pPr>
      <w:ind w:left="720"/>
      <w:contextualSpacing/>
    </w:pPr>
  </w:style>
  <w:style w:type="paragraph" w:styleId="Didascalia">
    <w:name w:val="caption"/>
    <w:basedOn w:val="Normale"/>
    <w:next w:val="Normale"/>
    <w:uiPriority w:val="35"/>
    <w:unhideWhenUsed/>
    <w:qFormat/>
    <w:rsid w:val="006B40ED"/>
    <w:pPr>
      <w:spacing w:before="0" w:after="200" w:line="240" w:lineRule="auto"/>
    </w:pPr>
    <w:rPr>
      <w:i/>
      <w:iCs/>
      <w:color w:val="44546A" w:themeColor="text2"/>
      <w:sz w:val="18"/>
      <w:szCs w:val="18"/>
    </w:rPr>
  </w:style>
  <w:style w:type="paragraph" w:styleId="Intestazione">
    <w:name w:val="header"/>
    <w:basedOn w:val="Normale"/>
    <w:link w:val="IntestazioneCarattere"/>
    <w:uiPriority w:val="99"/>
    <w:unhideWhenUsed/>
    <w:rsid w:val="00C04D14"/>
    <w:pPr>
      <w:tabs>
        <w:tab w:val="center" w:pos="4513"/>
        <w:tab w:val="right" w:pos="9026"/>
      </w:tabs>
      <w:spacing w:before="0" w:after="0" w:line="240" w:lineRule="auto"/>
    </w:pPr>
  </w:style>
  <w:style w:type="character" w:customStyle="1" w:styleId="IntestazioneCarattere">
    <w:name w:val="Intestazione Carattere"/>
    <w:basedOn w:val="Carpredefinitoparagrafo"/>
    <w:link w:val="Intestazione"/>
    <w:uiPriority w:val="99"/>
    <w:rsid w:val="00C04D14"/>
    <w:rPr>
      <w:rFonts w:ascii="Times New Roman" w:hAnsi="Times New Roman"/>
      <w:sz w:val="24"/>
      <w:lang w:val="en-GB"/>
    </w:rPr>
  </w:style>
  <w:style w:type="paragraph" w:styleId="Pidipagina">
    <w:name w:val="footer"/>
    <w:basedOn w:val="Normale"/>
    <w:link w:val="PidipaginaCarattere"/>
    <w:uiPriority w:val="99"/>
    <w:unhideWhenUsed/>
    <w:rsid w:val="00C04D14"/>
    <w:pPr>
      <w:tabs>
        <w:tab w:val="center" w:pos="4513"/>
        <w:tab w:val="right" w:pos="9026"/>
      </w:tabs>
      <w:spacing w:before="0" w:after="0" w:line="240" w:lineRule="auto"/>
    </w:pPr>
  </w:style>
  <w:style w:type="character" w:customStyle="1" w:styleId="PidipaginaCarattere">
    <w:name w:val="Piè di pagina Carattere"/>
    <w:basedOn w:val="Carpredefinitoparagrafo"/>
    <w:link w:val="Pidipagina"/>
    <w:uiPriority w:val="99"/>
    <w:rsid w:val="00C04D1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46479">
      <w:bodyDiv w:val="1"/>
      <w:marLeft w:val="0"/>
      <w:marRight w:val="0"/>
      <w:marTop w:val="0"/>
      <w:marBottom w:val="0"/>
      <w:divBdr>
        <w:top w:val="none" w:sz="0" w:space="0" w:color="auto"/>
        <w:left w:val="none" w:sz="0" w:space="0" w:color="auto"/>
        <w:bottom w:val="none" w:sz="0" w:space="0" w:color="auto"/>
        <w:right w:val="none" w:sz="0" w:space="0" w:color="auto"/>
      </w:divBdr>
    </w:div>
    <w:div w:id="92361475">
      <w:bodyDiv w:val="1"/>
      <w:marLeft w:val="0"/>
      <w:marRight w:val="0"/>
      <w:marTop w:val="0"/>
      <w:marBottom w:val="0"/>
      <w:divBdr>
        <w:top w:val="none" w:sz="0" w:space="0" w:color="auto"/>
        <w:left w:val="none" w:sz="0" w:space="0" w:color="auto"/>
        <w:bottom w:val="none" w:sz="0" w:space="0" w:color="auto"/>
        <w:right w:val="none" w:sz="0" w:space="0" w:color="auto"/>
      </w:divBdr>
    </w:div>
    <w:div w:id="174197681">
      <w:bodyDiv w:val="1"/>
      <w:marLeft w:val="0"/>
      <w:marRight w:val="0"/>
      <w:marTop w:val="0"/>
      <w:marBottom w:val="0"/>
      <w:divBdr>
        <w:top w:val="none" w:sz="0" w:space="0" w:color="auto"/>
        <w:left w:val="none" w:sz="0" w:space="0" w:color="auto"/>
        <w:bottom w:val="none" w:sz="0" w:space="0" w:color="auto"/>
        <w:right w:val="none" w:sz="0" w:space="0" w:color="auto"/>
      </w:divBdr>
    </w:div>
    <w:div w:id="196890443">
      <w:bodyDiv w:val="1"/>
      <w:marLeft w:val="0"/>
      <w:marRight w:val="0"/>
      <w:marTop w:val="0"/>
      <w:marBottom w:val="0"/>
      <w:divBdr>
        <w:top w:val="none" w:sz="0" w:space="0" w:color="auto"/>
        <w:left w:val="none" w:sz="0" w:space="0" w:color="auto"/>
        <w:bottom w:val="none" w:sz="0" w:space="0" w:color="auto"/>
        <w:right w:val="none" w:sz="0" w:space="0" w:color="auto"/>
      </w:divBdr>
    </w:div>
    <w:div w:id="318852663">
      <w:bodyDiv w:val="1"/>
      <w:marLeft w:val="0"/>
      <w:marRight w:val="0"/>
      <w:marTop w:val="0"/>
      <w:marBottom w:val="0"/>
      <w:divBdr>
        <w:top w:val="none" w:sz="0" w:space="0" w:color="auto"/>
        <w:left w:val="none" w:sz="0" w:space="0" w:color="auto"/>
        <w:bottom w:val="none" w:sz="0" w:space="0" w:color="auto"/>
        <w:right w:val="none" w:sz="0" w:space="0" w:color="auto"/>
      </w:divBdr>
    </w:div>
    <w:div w:id="728695724">
      <w:bodyDiv w:val="1"/>
      <w:marLeft w:val="0"/>
      <w:marRight w:val="0"/>
      <w:marTop w:val="0"/>
      <w:marBottom w:val="0"/>
      <w:divBdr>
        <w:top w:val="none" w:sz="0" w:space="0" w:color="auto"/>
        <w:left w:val="none" w:sz="0" w:space="0" w:color="auto"/>
        <w:bottom w:val="none" w:sz="0" w:space="0" w:color="auto"/>
        <w:right w:val="none" w:sz="0" w:space="0" w:color="auto"/>
      </w:divBdr>
    </w:div>
    <w:div w:id="750470995">
      <w:bodyDiv w:val="1"/>
      <w:marLeft w:val="0"/>
      <w:marRight w:val="0"/>
      <w:marTop w:val="0"/>
      <w:marBottom w:val="0"/>
      <w:divBdr>
        <w:top w:val="none" w:sz="0" w:space="0" w:color="auto"/>
        <w:left w:val="none" w:sz="0" w:space="0" w:color="auto"/>
        <w:bottom w:val="none" w:sz="0" w:space="0" w:color="auto"/>
        <w:right w:val="none" w:sz="0" w:space="0" w:color="auto"/>
      </w:divBdr>
    </w:div>
    <w:div w:id="829323504">
      <w:bodyDiv w:val="1"/>
      <w:marLeft w:val="0"/>
      <w:marRight w:val="0"/>
      <w:marTop w:val="0"/>
      <w:marBottom w:val="0"/>
      <w:divBdr>
        <w:top w:val="none" w:sz="0" w:space="0" w:color="auto"/>
        <w:left w:val="none" w:sz="0" w:space="0" w:color="auto"/>
        <w:bottom w:val="none" w:sz="0" w:space="0" w:color="auto"/>
        <w:right w:val="none" w:sz="0" w:space="0" w:color="auto"/>
      </w:divBdr>
    </w:div>
    <w:div w:id="889614186">
      <w:bodyDiv w:val="1"/>
      <w:marLeft w:val="0"/>
      <w:marRight w:val="0"/>
      <w:marTop w:val="0"/>
      <w:marBottom w:val="0"/>
      <w:divBdr>
        <w:top w:val="none" w:sz="0" w:space="0" w:color="auto"/>
        <w:left w:val="none" w:sz="0" w:space="0" w:color="auto"/>
        <w:bottom w:val="none" w:sz="0" w:space="0" w:color="auto"/>
        <w:right w:val="none" w:sz="0" w:space="0" w:color="auto"/>
      </w:divBdr>
    </w:div>
    <w:div w:id="962810707">
      <w:bodyDiv w:val="1"/>
      <w:marLeft w:val="0"/>
      <w:marRight w:val="0"/>
      <w:marTop w:val="0"/>
      <w:marBottom w:val="0"/>
      <w:divBdr>
        <w:top w:val="none" w:sz="0" w:space="0" w:color="auto"/>
        <w:left w:val="none" w:sz="0" w:space="0" w:color="auto"/>
        <w:bottom w:val="none" w:sz="0" w:space="0" w:color="auto"/>
        <w:right w:val="none" w:sz="0" w:space="0" w:color="auto"/>
      </w:divBdr>
      <w:divsChild>
        <w:div w:id="1491293739">
          <w:marLeft w:val="0"/>
          <w:marRight w:val="0"/>
          <w:marTop w:val="0"/>
          <w:marBottom w:val="0"/>
          <w:divBdr>
            <w:top w:val="single" w:sz="2" w:space="0" w:color="E3E3E3"/>
            <w:left w:val="single" w:sz="2" w:space="0" w:color="E3E3E3"/>
            <w:bottom w:val="single" w:sz="2" w:space="0" w:color="E3E3E3"/>
            <w:right w:val="single" w:sz="2" w:space="0" w:color="E3E3E3"/>
          </w:divBdr>
          <w:divsChild>
            <w:div w:id="194848740">
              <w:marLeft w:val="0"/>
              <w:marRight w:val="0"/>
              <w:marTop w:val="0"/>
              <w:marBottom w:val="0"/>
              <w:divBdr>
                <w:top w:val="single" w:sz="2" w:space="0" w:color="E3E3E3"/>
                <w:left w:val="single" w:sz="2" w:space="0" w:color="E3E3E3"/>
                <w:bottom w:val="single" w:sz="2" w:space="0" w:color="E3E3E3"/>
                <w:right w:val="single" w:sz="2" w:space="0" w:color="E3E3E3"/>
              </w:divBdr>
              <w:divsChild>
                <w:div w:id="1870290097">
                  <w:marLeft w:val="0"/>
                  <w:marRight w:val="0"/>
                  <w:marTop w:val="0"/>
                  <w:marBottom w:val="0"/>
                  <w:divBdr>
                    <w:top w:val="single" w:sz="2" w:space="0" w:color="E3E3E3"/>
                    <w:left w:val="single" w:sz="2" w:space="0" w:color="E3E3E3"/>
                    <w:bottom w:val="single" w:sz="2" w:space="0" w:color="E3E3E3"/>
                    <w:right w:val="single" w:sz="2" w:space="0" w:color="E3E3E3"/>
                  </w:divBdr>
                  <w:divsChild>
                    <w:div w:id="2124838893">
                      <w:marLeft w:val="0"/>
                      <w:marRight w:val="0"/>
                      <w:marTop w:val="0"/>
                      <w:marBottom w:val="0"/>
                      <w:divBdr>
                        <w:top w:val="single" w:sz="2" w:space="0" w:color="E3E3E3"/>
                        <w:left w:val="single" w:sz="2" w:space="0" w:color="E3E3E3"/>
                        <w:bottom w:val="single" w:sz="2" w:space="0" w:color="E3E3E3"/>
                        <w:right w:val="single" w:sz="2" w:space="0" w:color="E3E3E3"/>
                      </w:divBdr>
                      <w:divsChild>
                        <w:div w:id="57241774">
                          <w:marLeft w:val="0"/>
                          <w:marRight w:val="0"/>
                          <w:marTop w:val="0"/>
                          <w:marBottom w:val="0"/>
                          <w:divBdr>
                            <w:top w:val="single" w:sz="2" w:space="0" w:color="E3E3E3"/>
                            <w:left w:val="single" w:sz="2" w:space="0" w:color="E3E3E3"/>
                            <w:bottom w:val="single" w:sz="2" w:space="0" w:color="E3E3E3"/>
                            <w:right w:val="single" w:sz="2" w:space="0" w:color="E3E3E3"/>
                          </w:divBdr>
                          <w:divsChild>
                            <w:div w:id="950937713">
                              <w:marLeft w:val="0"/>
                              <w:marRight w:val="0"/>
                              <w:marTop w:val="0"/>
                              <w:marBottom w:val="0"/>
                              <w:divBdr>
                                <w:top w:val="single" w:sz="2" w:space="0" w:color="E3E3E3"/>
                                <w:left w:val="single" w:sz="2" w:space="0" w:color="E3E3E3"/>
                                <w:bottom w:val="single" w:sz="2" w:space="0" w:color="E3E3E3"/>
                                <w:right w:val="single" w:sz="2" w:space="0" w:color="E3E3E3"/>
                              </w:divBdr>
                              <w:divsChild>
                                <w:div w:id="1318534987">
                                  <w:marLeft w:val="0"/>
                                  <w:marRight w:val="0"/>
                                  <w:marTop w:val="100"/>
                                  <w:marBottom w:val="100"/>
                                  <w:divBdr>
                                    <w:top w:val="single" w:sz="2" w:space="0" w:color="E3E3E3"/>
                                    <w:left w:val="single" w:sz="2" w:space="0" w:color="E3E3E3"/>
                                    <w:bottom w:val="single" w:sz="2" w:space="0" w:color="E3E3E3"/>
                                    <w:right w:val="single" w:sz="2" w:space="0" w:color="E3E3E3"/>
                                  </w:divBdr>
                                  <w:divsChild>
                                    <w:div w:id="1060397765">
                                      <w:marLeft w:val="0"/>
                                      <w:marRight w:val="0"/>
                                      <w:marTop w:val="0"/>
                                      <w:marBottom w:val="0"/>
                                      <w:divBdr>
                                        <w:top w:val="single" w:sz="2" w:space="0" w:color="E3E3E3"/>
                                        <w:left w:val="single" w:sz="2" w:space="0" w:color="E3E3E3"/>
                                        <w:bottom w:val="single" w:sz="2" w:space="0" w:color="E3E3E3"/>
                                        <w:right w:val="single" w:sz="2" w:space="0" w:color="E3E3E3"/>
                                      </w:divBdr>
                                      <w:divsChild>
                                        <w:div w:id="133836478">
                                          <w:marLeft w:val="0"/>
                                          <w:marRight w:val="0"/>
                                          <w:marTop w:val="0"/>
                                          <w:marBottom w:val="0"/>
                                          <w:divBdr>
                                            <w:top w:val="single" w:sz="2" w:space="0" w:color="E3E3E3"/>
                                            <w:left w:val="single" w:sz="2" w:space="0" w:color="E3E3E3"/>
                                            <w:bottom w:val="single" w:sz="2" w:space="0" w:color="E3E3E3"/>
                                            <w:right w:val="single" w:sz="2" w:space="0" w:color="E3E3E3"/>
                                          </w:divBdr>
                                          <w:divsChild>
                                            <w:div w:id="1018854189">
                                              <w:marLeft w:val="0"/>
                                              <w:marRight w:val="0"/>
                                              <w:marTop w:val="0"/>
                                              <w:marBottom w:val="0"/>
                                              <w:divBdr>
                                                <w:top w:val="single" w:sz="2" w:space="0" w:color="E3E3E3"/>
                                                <w:left w:val="single" w:sz="2" w:space="0" w:color="E3E3E3"/>
                                                <w:bottom w:val="single" w:sz="2" w:space="0" w:color="E3E3E3"/>
                                                <w:right w:val="single" w:sz="2" w:space="0" w:color="E3E3E3"/>
                                              </w:divBdr>
                                              <w:divsChild>
                                                <w:div w:id="765923968">
                                                  <w:marLeft w:val="0"/>
                                                  <w:marRight w:val="0"/>
                                                  <w:marTop w:val="0"/>
                                                  <w:marBottom w:val="0"/>
                                                  <w:divBdr>
                                                    <w:top w:val="single" w:sz="2" w:space="0" w:color="E3E3E3"/>
                                                    <w:left w:val="single" w:sz="2" w:space="0" w:color="E3E3E3"/>
                                                    <w:bottom w:val="single" w:sz="2" w:space="0" w:color="E3E3E3"/>
                                                    <w:right w:val="single" w:sz="2" w:space="0" w:color="E3E3E3"/>
                                                  </w:divBdr>
                                                  <w:divsChild>
                                                    <w:div w:id="397672983">
                                                      <w:marLeft w:val="0"/>
                                                      <w:marRight w:val="0"/>
                                                      <w:marTop w:val="0"/>
                                                      <w:marBottom w:val="0"/>
                                                      <w:divBdr>
                                                        <w:top w:val="single" w:sz="2" w:space="0" w:color="E3E3E3"/>
                                                        <w:left w:val="single" w:sz="2" w:space="0" w:color="E3E3E3"/>
                                                        <w:bottom w:val="single" w:sz="2" w:space="0" w:color="E3E3E3"/>
                                                        <w:right w:val="single" w:sz="2" w:space="0" w:color="E3E3E3"/>
                                                      </w:divBdr>
                                                      <w:divsChild>
                                                        <w:div w:id="9328620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43945518">
          <w:marLeft w:val="0"/>
          <w:marRight w:val="0"/>
          <w:marTop w:val="0"/>
          <w:marBottom w:val="0"/>
          <w:divBdr>
            <w:top w:val="none" w:sz="0" w:space="0" w:color="auto"/>
            <w:left w:val="none" w:sz="0" w:space="0" w:color="auto"/>
            <w:bottom w:val="none" w:sz="0" w:space="0" w:color="auto"/>
            <w:right w:val="none" w:sz="0" w:space="0" w:color="auto"/>
          </w:divBdr>
        </w:div>
      </w:divsChild>
    </w:div>
    <w:div w:id="1120303461">
      <w:bodyDiv w:val="1"/>
      <w:marLeft w:val="0"/>
      <w:marRight w:val="0"/>
      <w:marTop w:val="0"/>
      <w:marBottom w:val="0"/>
      <w:divBdr>
        <w:top w:val="none" w:sz="0" w:space="0" w:color="auto"/>
        <w:left w:val="none" w:sz="0" w:space="0" w:color="auto"/>
        <w:bottom w:val="none" w:sz="0" w:space="0" w:color="auto"/>
        <w:right w:val="none" w:sz="0" w:space="0" w:color="auto"/>
      </w:divBdr>
    </w:div>
    <w:div w:id="1202207788">
      <w:bodyDiv w:val="1"/>
      <w:marLeft w:val="0"/>
      <w:marRight w:val="0"/>
      <w:marTop w:val="0"/>
      <w:marBottom w:val="0"/>
      <w:divBdr>
        <w:top w:val="none" w:sz="0" w:space="0" w:color="auto"/>
        <w:left w:val="none" w:sz="0" w:space="0" w:color="auto"/>
        <w:bottom w:val="none" w:sz="0" w:space="0" w:color="auto"/>
        <w:right w:val="none" w:sz="0" w:space="0" w:color="auto"/>
      </w:divBdr>
    </w:div>
    <w:div w:id="1439763799">
      <w:bodyDiv w:val="1"/>
      <w:marLeft w:val="0"/>
      <w:marRight w:val="0"/>
      <w:marTop w:val="0"/>
      <w:marBottom w:val="0"/>
      <w:divBdr>
        <w:top w:val="none" w:sz="0" w:space="0" w:color="auto"/>
        <w:left w:val="none" w:sz="0" w:space="0" w:color="auto"/>
        <w:bottom w:val="none" w:sz="0" w:space="0" w:color="auto"/>
        <w:right w:val="none" w:sz="0" w:space="0" w:color="auto"/>
      </w:divBdr>
    </w:div>
    <w:div w:id="1504082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22</Pages>
  <Words>5612</Words>
  <Characters>31993</Characters>
  <Application>Microsoft Office Word</Application>
  <DocSecurity>0</DocSecurity>
  <Lines>266</Lines>
  <Paragraphs>75</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Manal Talharchet (1917140)</cp:lastModifiedBy>
  <cp:revision>2</cp:revision>
  <dcterms:created xsi:type="dcterms:W3CDTF">2024-04-29T08:04:00Z</dcterms:created>
  <dcterms:modified xsi:type="dcterms:W3CDTF">2024-04-29T08:04:00Z</dcterms:modified>
</cp:coreProperties>
</file>