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1375469893"/>
        <w:docPartObj>
          <w:docPartGallery w:val="Cover Pages"/>
          <w:docPartUnique/>
        </w:docPartObj>
      </w:sdtPr>
      <w:sdtEndPr>
        <w:rPr>
          <w:b/>
          <w:bCs/>
        </w:rPr>
      </w:sdtEndPr>
      <w:sdtContent>
        <w:p w14:paraId="1AFC0412" w14:textId="77777777" w:rsidR="00A47D42" w:rsidRPr="00C9062A" w:rsidRDefault="00A47D42" w:rsidP="00A96CA9">
          <w:pPr>
            <w:spacing w:line="360" w:lineRule="auto"/>
            <w:jc w:val="center"/>
            <w:rPr>
              <w:rFonts w:ascii="Arial" w:hAnsi="Arial" w:cs="Arial"/>
            </w:rPr>
          </w:pPr>
          <w:r w:rsidRPr="00C9062A">
            <w:rPr>
              <w:rFonts w:ascii="Arial" w:hAnsi="Arial" w:cs="Arial"/>
              <w:noProof/>
            </w:rPr>
            <w:drawing>
              <wp:inline distT="0" distB="0" distL="0" distR="0" wp14:anchorId="249FE473" wp14:editId="250BD0E4">
                <wp:extent cx="1816670" cy="600075"/>
                <wp:effectExtent l="0" t="0" r="0" b="0"/>
                <wp:docPr id="4"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5134F13E" w14:textId="43D97DF2" w:rsidR="00533CD0" w:rsidRPr="00C9062A" w:rsidRDefault="00533CD0" w:rsidP="00A96CA9">
          <w:pPr>
            <w:spacing w:line="360" w:lineRule="auto"/>
            <w:jc w:val="center"/>
            <w:rPr>
              <w:rFonts w:ascii="Arial" w:hAnsi="Arial" w:cs="Arial"/>
              <w:b/>
              <w:bCs/>
            </w:rPr>
          </w:pPr>
          <w:r w:rsidRPr="00C9062A">
            <w:rPr>
              <w:rFonts w:ascii="Arial" w:hAnsi="Arial" w:cs="Arial"/>
              <w:b/>
              <w:bCs/>
            </w:rPr>
            <w:t>Student Name:</w:t>
          </w:r>
          <w:r w:rsidR="0015077D">
            <w:rPr>
              <w:rFonts w:ascii="Arial" w:hAnsi="Arial" w:cs="Arial"/>
              <w:b/>
              <w:bCs/>
            </w:rPr>
            <w:t xml:space="preserve"> Uttam Devshibhai Vaghamashi</w:t>
          </w:r>
        </w:p>
        <w:p w14:paraId="7717B508" w14:textId="77777777" w:rsidR="00533CD0" w:rsidRPr="00C9062A" w:rsidRDefault="00533CD0" w:rsidP="00A96CA9">
          <w:pPr>
            <w:spacing w:line="360" w:lineRule="auto"/>
            <w:jc w:val="center"/>
            <w:rPr>
              <w:rFonts w:ascii="Arial" w:hAnsi="Arial" w:cs="Arial"/>
              <w:b/>
              <w:bCs/>
            </w:rPr>
          </w:pPr>
        </w:p>
        <w:p w14:paraId="6388E81E" w14:textId="1A169E4C" w:rsidR="00533CD0" w:rsidRPr="00C9062A" w:rsidRDefault="00533CD0" w:rsidP="00A96CA9">
          <w:pPr>
            <w:spacing w:line="360" w:lineRule="auto"/>
            <w:jc w:val="center"/>
            <w:rPr>
              <w:rFonts w:ascii="Arial" w:hAnsi="Arial" w:cs="Arial"/>
              <w:b/>
              <w:bCs/>
            </w:rPr>
          </w:pPr>
          <w:r w:rsidRPr="00C9062A">
            <w:rPr>
              <w:rFonts w:ascii="Arial" w:hAnsi="Arial" w:cs="Arial"/>
              <w:b/>
              <w:bCs/>
            </w:rPr>
            <w:t>Student ID:</w:t>
          </w:r>
          <w:r w:rsidR="0015077D">
            <w:rPr>
              <w:rFonts w:ascii="Arial" w:hAnsi="Arial" w:cs="Arial"/>
              <w:b/>
              <w:bCs/>
            </w:rPr>
            <w:t xml:space="preserve"> </w:t>
          </w:r>
          <w:r w:rsidR="00404BE3">
            <w:rPr>
              <w:rFonts w:ascii="Arial" w:hAnsi="Arial" w:cs="Arial"/>
              <w:b/>
              <w:bCs/>
            </w:rPr>
            <w:t>2520138</w:t>
          </w:r>
        </w:p>
        <w:p w14:paraId="163DBC9D" w14:textId="77777777" w:rsidR="00533CD0" w:rsidRPr="00C9062A" w:rsidRDefault="00533CD0" w:rsidP="00A96CA9">
          <w:pPr>
            <w:spacing w:line="360" w:lineRule="auto"/>
            <w:jc w:val="center"/>
            <w:rPr>
              <w:rFonts w:ascii="Arial" w:hAnsi="Arial" w:cs="Arial"/>
            </w:rPr>
          </w:pPr>
        </w:p>
        <w:p w14:paraId="59799439" w14:textId="77777777" w:rsidR="00533CD0" w:rsidRPr="00C9062A" w:rsidRDefault="00533CD0" w:rsidP="00A96CA9">
          <w:pPr>
            <w:spacing w:line="360" w:lineRule="auto"/>
            <w:jc w:val="center"/>
            <w:rPr>
              <w:rFonts w:ascii="Arial" w:hAnsi="Arial" w:cs="Arial"/>
            </w:rPr>
          </w:pPr>
        </w:p>
        <w:p w14:paraId="28382999" w14:textId="77777777" w:rsidR="00533CD0" w:rsidRPr="00C9062A" w:rsidRDefault="00533CD0" w:rsidP="00A96CA9">
          <w:pPr>
            <w:spacing w:line="360" w:lineRule="auto"/>
            <w:jc w:val="center"/>
            <w:rPr>
              <w:rFonts w:ascii="Arial" w:hAnsi="Arial" w:cs="Arial"/>
              <w:b/>
              <w:bCs/>
            </w:rPr>
          </w:pPr>
          <w:r w:rsidRPr="00C9062A">
            <w:rPr>
              <w:rFonts w:ascii="Arial" w:hAnsi="Arial" w:cs="Arial"/>
              <w:b/>
              <w:bCs/>
            </w:rPr>
            <w:t>Module Name: Marketing Management</w:t>
          </w:r>
        </w:p>
        <w:p w14:paraId="0DA092B9" w14:textId="77777777" w:rsidR="00533CD0" w:rsidRPr="00C9062A" w:rsidRDefault="00533CD0" w:rsidP="00A96CA9">
          <w:pPr>
            <w:spacing w:line="360" w:lineRule="auto"/>
            <w:jc w:val="center"/>
            <w:rPr>
              <w:rFonts w:ascii="Arial" w:hAnsi="Arial" w:cs="Arial"/>
              <w:b/>
              <w:bCs/>
            </w:rPr>
          </w:pPr>
        </w:p>
        <w:p w14:paraId="64298943" w14:textId="77777777" w:rsidR="00533CD0" w:rsidRPr="00C9062A" w:rsidRDefault="00533CD0" w:rsidP="00A96CA9">
          <w:pPr>
            <w:spacing w:line="360" w:lineRule="auto"/>
            <w:jc w:val="center"/>
            <w:rPr>
              <w:rFonts w:ascii="Arial" w:hAnsi="Arial" w:cs="Arial"/>
              <w:b/>
              <w:bCs/>
            </w:rPr>
          </w:pPr>
          <w:r w:rsidRPr="00C9062A">
            <w:rPr>
              <w:rFonts w:ascii="Arial" w:hAnsi="Arial" w:cs="Arial"/>
              <w:b/>
              <w:bCs/>
            </w:rPr>
            <w:t>Module Code: LCMB7024</w:t>
          </w:r>
        </w:p>
        <w:p w14:paraId="2883C92D" w14:textId="77777777" w:rsidR="00533CD0" w:rsidRPr="00C9062A" w:rsidRDefault="00533CD0" w:rsidP="00A96CA9">
          <w:pPr>
            <w:spacing w:line="360" w:lineRule="auto"/>
            <w:jc w:val="center"/>
            <w:rPr>
              <w:rFonts w:ascii="Arial" w:hAnsi="Arial" w:cs="Arial"/>
              <w:b/>
              <w:bCs/>
            </w:rPr>
          </w:pPr>
        </w:p>
        <w:p w14:paraId="161F4015" w14:textId="377B7FC5" w:rsidR="00533CD0" w:rsidRPr="00C9062A" w:rsidRDefault="00533CD0" w:rsidP="007371E3">
          <w:pPr>
            <w:spacing w:line="360" w:lineRule="auto"/>
            <w:jc w:val="center"/>
            <w:rPr>
              <w:rFonts w:ascii="Arial" w:hAnsi="Arial" w:cs="Arial"/>
              <w:b/>
              <w:bCs/>
            </w:rPr>
          </w:pPr>
          <w:r w:rsidRPr="00C9062A">
            <w:rPr>
              <w:rFonts w:ascii="Arial" w:hAnsi="Arial" w:cs="Arial"/>
              <w:b/>
              <w:bCs/>
            </w:rPr>
            <w:t>Lecturer’s Name:</w:t>
          </w:r>
          <w:r w:rsidR="007371E3">
            <w:rPr>
              <w:rFonts w:ascii="Arial" w:hAnsi="Arial" w:cs="Arial"/>
              <w:b/>
              <w:bCs/>
            </w:rPr>
            <w:t xml:space="preserve"> </w:t>
          </w:r>
          <w:r w:rsidR="007371E3" w:rsidRPr="007371E3">
            <w:rPr>
              <w:rFonts w:ascii="Arial" w:hAnsi="Arial" w:cs="Arial"/>
              <w:b/>
              <w:bCs/>
            </w:rPr>
            <w:t xml:space="preserve">Laila </w:t>
          </w:r>
          <w:proofErr w:type="spellStart"/>
          <w:r w:rsidR="007371E3" w:rsidRPr="007371E3">
            <w:rPr>
              <w:rFonts w:ascii="Arial" w:hAnsi="Arial" w:cs="Arial"/>
              <w:b/>
              <w:bCs/>
            </w:rPr>
            <w:t>Maazouz</w:t>
          </w:r>
          <w:proofErr w:type="spellEnd"/>
          <w:r w:rsidR="007371E3">
            <w:rPr>
              <w:rFonts w:ascii="Arial" w:hAnsi="Arial" w:cs="Arial"/>
              <w:b/>
              <w:bCs/>
            </w:rPr>
            <w:t xml:space="preserve"> and</w:t>
          </w:r>
          <w:r w:rsidR="007371E3" w:rsidRPr="007371E3">
            <w:rPr>
              <w:rFonts w:ascii="Arial" w:hAnsi="Arial" w:cs="Arial"/>
              <w:b/>
              <w:bCs/>
            </w:rPr>
            <w:t xml:space="preserve"> Dian </w:t>
          </w:r>
          <w:proofErr w:type="spellStart"/>
          <w:r w:rsidR="007371E3" w:rsidRPr="007371E3">
            <w:rPr>
              <w:rFonts w:ascii="Arial" w:hAnsi="Arial" w:cs="Arial"/>
              <w:b/>
              <w:bCs/>
            </w:rPr>
            <w:t>Mayasari</w:t>
          </w:r>
          <w:proofErr w:type="spellEnd"/>
        </w:p>
        <w:p w14:paraId="47EA29D0" w14:textId="77777777" w:rsidR="00533CD0" w:rsidRPr="00C9062A" w:rsidRDefault="00533CD0" w:rsidP="00A96CA9">
          <w:pPr>
            <w:spacing w:line="360" w:lineRule="auto"/>
            <w:jc w:val="center"/>
            <w:rPr>
              <w:rFonts w:ascii="Arial" w:hAnsi="Arial" w:cs="Arial"/>
              <w:b/>
              <w:bCs/>
            </w:rPr>
          </w:pPr>
        </w:p>
        <w:p w14:paraId="7D52F5A3" w14:textId="4601991A" w:rsidR="00533CD0" w:rsidRPr="00C9062A" w:rsidRDefault="00533CD0" w:rsidP="00A96CA9">
          <w:pPr>
            <w:spacing w:line="360" w:lineRule="auto"/>
            <w:jc w:val="center"/>
            <w:rPr>
              <w:rFonts w:ascii="Arial" w:hAnsi="Arial" w:cs="Arial"/>
              <w:b/>
              <w:bCs/>
            </w:rPr>
          </w:pPr>
          <w:r w:rsidRPr="00C9062A">
            <w:rPr>
              <w:rFonts w:ascii="Arial" w:hAnsi="Arial" w:cs="Arial"/>
              <w:b/>
              <w:bCs/>
            </w:rPr>
            <w:t xml:space="preserve">Work Count: </w:t>
          </w:r>
          <w:r w:rsidR="005350E8">
            <w:rPr>
              <w:rFonts w:ascii="Arial" w:hAnsi="Arial" w:cs="Arial"/>
              <w:b/>
              <w:bCs/>
            </w:rPr>
            <w:t>2</w:t>
          </w:r>
          <w:r w:rsidR="00305116">
            <w:rPr>
              <w:rFonts w:ascii="Arial" w:hAnsi="Arial" w:cs="Arial"/>
              <w:b/>
              <w:bCs/>
            </w:rPr>
            <w:t>661</w:t>
          </w:r>
        </w:p>
        <w:p w14:paraId="72A66FB0" w14:textId="77777777" w:rsidR="00533CD0" w:rsidRPr="00C9062A" w:rsidRDefault="00533CD0" w:rsidP="00A96CA9">
          <w:pPr>
            <w:spacing w:line="360" w:lineRule="auto"/>
            <w:jc w:val="center"/>
            <w:rPr>
              <w:rFonts w:ascii="Arial" w:hAnsi="Arial" w:cs="Arial"/>
              <w:b/>
              <w:bCs/>
            </w:rPr>
          </w:pPr>
        </w:p>
        <w:p w14:paraId="7617AE57" w14:textId="77777777" w:rsidR="00533CD0" w:rsidRPr="00C9062A" w:rsidRDefault="00533CD0" w:rsidP="00A96CA9">
          <w:pPr>
            <w:spacing w:line="360" w:lineRule="auto"/>
            <w:jc w:val="center"/>
            <w:rPr>
              <w:rFonts w:ascii="Arial" w:hAnsi="Arial" w:cs="Arial"/>
              <w:b/>
              <w:bCs/>
            </w:rPr>
          </w:pPr>
        </w:p>
        <w:p w14:paraId="0588461B" w14:textId="5EDE10C1" w:rsidR="00533CD0" w:rsidRPr="00C9062A" w:rsidRDefault="009D424E" w:rsidP="00A96CA9">
          <w:pPr>
            <w:spacing w:line="360" w:lineRule="auto"/>
            <w:jc w:val="center"/>
            <w:rPr>
              <w:rFonts w:ascii="Arial" w:hAnsi="Arial" w:cs="Arial"/>
              <w:b/>
              <w:bCs/>
            </w:rPr>
          </w:pPr>
          <w:r w:rsidRPr="00C9062A">
            <w:rPr>
              <w:rFonts w:ascii="Arial" w:hAnsi="Arial" w:cs="Arial"/>
              <w:b/>
              <w:bCs/>
            </w:rPr>
            <w:t>Assessment Component 2</w:t>
          </w:r>
          <w:r w:rsidR="007371E3">
            <w:rPr>
              <w:rFonts w:ascii="Arial" w:hAnsi="Arial" w:cs="Arial"/>
              <w:b/>
              <w:bCs/>
            </w:rPr>
            <w:t xml:space="preserve"> </w:t>
          </w:r>
          <w:r w:rsidR="007371E3" w:rsidRPr="007371E3">
            <w:rPr>
              <w:rFonts w:ascii="Arial" w:hAnsi="Arial" w:cs="Arial"/>
              <w:b/>
              <w:bCs/>
            </w:rPr>
            <w:t>(all elements)</w:t>
          </w:r>
        </w:p>
        <w:p w14:paraId="57F62F15" w14:textId="77777777" w:rsidR="00134407" w:rsidRPr="00C9062A" w:rsidRDefault="00A47D42" w:rsidP="00C9062A">
          <w:pPr>
            <w:spacing w:line="360" w:lineRule="auto"/>
            <w:jc w:val="both"/>
            <w:rPr>
              <w:rFonts w:ascii="Arial" w:hAnsi="Arial" w:cs="Arial"/>
              <w:b/>
              <w:bCs/>
            </w:rPr>
          </w:pPr>
          <w:r w:rsidRPr="00C9062A">
            <w:rPr>
              <w:rFonts w:ascii="Arial" w:hAnsi="Arial" w:cs="Arial"/>
              <w:b/>
              <w:bCs/>
            </w:rPr>
            <w:br w:type="page"/>
          </w:r>
        </w:p>
      </w:sdtContent>
    </w:sdt>
    <w:sdt>
      <w:sdtPr>
        <w:rPr>
          <w:rFonts w:ascii="Arial" w:eastAsiaTheme="minorHAnsi" w:hAnsi="Arial" w:cs="Arial"/>
          <w:color w:val="auto"/>
          <w:kern w:val="2"/>
          <w:sz w:val="24"/>
          <w:szCs w:val="24"/>
          <w14:ligatures w14:val="standardContextual"/>
        </w:rPr>
        <w:id w:val="-349490484"/>
        <w:docPartObj>
          <w:docPartGallery w:val="Table of Contents"/>
          <w:docPartUnique/>
        </w:docPartObj>
      </w:sdtPr>
      <w:sdtEndPr>
        <w:rPr>
          <w:b/>
          <w:bCs/>
          <w:noProof/>
        </w:rPr>
      </w:sdtEndPr>
      <w:sdtContent>
        <w:p w14:paraId="1A791817" w14:textId="77777777" w:rsidR="002851E6" w:rsidRPr="002C459C" w:rsidRDefault="002851E6" w:rsidP="00C9062A">
          <w:pPr>
            <w:pStyle w:val="TOCHeading"/>
            <w:spacing w:line="360" w:lineRule="auto"/>
            <w:jc w:val="both"/>
            <w:rPr>
              <w:rFonts w:ascii="Arial" w:hAnsi="Arial" w:cs="Arial"/>
              <w:b/>
              <w:szCs w:val="24"/>
            </w:rPr>
          </w:pPr>
          <w:r w:rsidRPr="002C459C">
            <w:rPr>
              <w:rFonts w:ascii="Arial" w:hAnsi="Arial" w:cs="Arial"/>
              <w:b/>
              <w:szCs w:val="24"/>
            </w:rPr>
            <w:t>Contents</w:t>
          </w:r>
        </w:p>
        <w:p w14:paraId="7F0C0477" w14:textId="6DD4F9C7" w:rsidR="0036609E" w:rsidRPr="00FE7E60" w:rsidRDefault="002851E6">
          <w:pPr>
            <w:pStyle w:val="TOC1"/>
            <w:tabs>
              <w:tab w:val="right" w:leader="dot" w:pos="9350"/>
            </w:tabs>
            <w:rPr>
              <w:rFonts w:ascii="Arial" w:eastAsiaTheme="minorEastAsia" w:hAnsi="Arial" w:cs="Arial"/>
              <w:noProof/>
              <w:lang w:val="en-IN" w:eastAsia="en-IN"/>
            </w:rPr>
          </w:pPr>
          <w:r w:rsidRPr="002C459C">
            <w:rPr>
              <w:rFonts w:ascii="Arial" w:hAnsi="Arial" w:cs="Arial"/>
            </w:rPr>
            <w:fldChar w:fldCharType="begin"/>
          </w:r>
          <w:r w:rsidRPr="002C459C">
            <w:rPr>
              <w:rFonts w:ascii="Arial" w:hAnsi="Arial" w:cs="Arial"/>
            </w:rPr>
            <w:instrText xml:space="preserve"> TOC \o "1-3" \h \z \u </w:instrText>
          </w:r>
          <w:r w:rsidRPr="002C459C">
            <w:rPr>
              <w:rFonts w:ascii="Arial" w:hAnsi="Arial" w:cs="Arial"/>
            </w:rPr>
            <w:fldChar w:fldCharType="separate"/>
          </w:r>
          <w:hyperlink w:anchor="_Toc228296612" w:history="1">
            <w:r w:rsidR="0036609E" w:rsidRPr="00FE7E60">
              <w:rPr>
                <w:rStyle w:val="Hyperlink"/>
                <w:rFonts w:ascii="Arial" w:hAnsi="Arial" w:cs="Arial"/>
                <w:noProof/>
              </w:rPr>
              <w:t>Introduction</w:t>
            </w:r>
            <w:r w:rsidR="0036609E" w:rsidRPr="00FE7E60">
              <w:rPr>
                <w:rFonts w:ascii="Arial" w:hAnsi="Arial" w:cs="Arial"/>
                <w:noProof/>
                <w:webHidden/>
              </w:rPr>
              <w:tab/>
            </w:r>
            <w:r w:rsidR="0036609E" w:rsidRPr="00FE7E60">
              <w:rPr>
                <w:rFonts w:ascii="Arial" w:hAnsi="Arial" w:cs="Arial"/>
                <w:noProof/>
                <w:webHidden/>
              </w:rPr>
              <w:fldChar w:fldCharType="begin"/>
            </w:r>
            <w:r w:rsidR="0036609E" w:rsidRPr="00FE7E60">
              <w:rPr>
                <w:rFonts w:ascii="Arial" w:hAnsi="Arial" w:cs="Arial"/>
                <w:noProof/>
                <w:webHidden/>
              </w:rPr>
              <w:instrText xml:space="preserve"> PAGEREF _Toc228296612 \h </w:instrText>
            </w:r>
            <w:r w:rsidR="0036609E" w:rsidRPr="00FE7E60">
              <w:rPr>
                <w:rFonts w:ascii="Arial" w:hAnsi="Arial" w:cs="Arial"/>
                <w:noProof/>
                <w:webHidden/>
              </w:rPr>
            </w:r>
            <w:r w:rsidR="0036609E" w:rsidRPr="00FE7E60">
              <w:rPr>
                <w:rFonts w:ascii="Arial" w:hAnsi="Arial" w:cs="Arial"/>
                <w:noProof/>
                <w:webHidden/>
              </w:rPr>
              <w:fldChar w:fldCharType="separate"/>
            </w:r>
            <w:r w:rsidR="0036609E" w:rsidRPr="00FE7E60">
              <w:rPr>
                <w:rFonts w:ascii="Arial" w:hAnsi="Arial" w:cs="Arial"/>
                <w:noProof/>
                <w:webHidden/>
              </w:rPr>
              <w:t>2</w:t>
            </w:r>
            <w:r w:rsidR="0036609E" w:rsidRPr="00FE7E60">
              <w:rPr>
                <w:rFonts w:ascii="Arial" w:hAnsi="Arial" w:cs="Arial"/>
                <w:noProof/>
                <w:webHidden/>
              </w:rPr>
              <w:fldChar w:fldCharType="end"/>
            </w:r>
          </w:hyperlink>
        </w:p>
        <w:p w14:paraId="0B143B33" w14:textId="13A767BB" w:rsidR="0036609E" w:rsidRPr="00FE7E60" w:rsidRDefault="0036609E">
          <w:pPr>
            <w:pStyle w:val="TOC1"/>
            <w:tabs>
              <w:tab w:val="right" w:leader="dot" w:pos="9350"/>
            </w:tabs>
            <w:rPr>
              <w:rFonts w:ascii="Arial" w:eastAsiaTheme="minorEastAsia" w:hAnsi="Arial" w:cs="Arial"/>
              <w:noProof/>
              <w:lang w:val="en-IN" w:eastAsia="en-IN"/>
            </w:rPr>
          </w:pPr>
          <w:hyperlink w:anchor="_Toc228296613" w:history="1">
            <w:r w:rsidRPr="00FE7E60">
              <w:rPr>
                <w:rStyle w:val="Hyperlink"/>
                <w:rFonts w:ascii="Arial" w:hAnsi="Arial" w:cs="Arial"/>
                <w:noProof/>
              </w:rPr>
              <w:t>Element 1: Brand Extension Poster (BYD Smart Home Energy Ecosystem)</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_Toc228296613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2</w:t>
            </w:r>
            <w:r w:rsidRPr="00FE7E60">
              <w:rPr>
                <w:rFonts w:ascii="Arial" w:hAnsi="Arial" w:cs="Arial"/>
                <w:noProof/>
                <w:webHidden/>
              </w:rPr>
              <w:fldChar w:fldCharType="end"/>
            </w:r>
          </w:hyperlink>
        </w:p>
        <w:p w14:paraId="222FD1A5" w14:textId="65E95E82" w:rsidR="0036609E" w:rsidRPr="00FE7E60" w:rsidRDefault="0036609E">
          <w:pPr>
            <w:pStyle w:val="TOC1"/>
            <w:tabs>
              <w:tab w:val="right" w:leader="dot" w:pos="9350"/>
            </w:tabs>
            <w:rPr>
              <w:rFonts w:ascii="Arial" w:eastAsiaTheme="minorEastAsia" w:hAnsi="Arial" w:cs="Arial"/>
              <w:noProof/>
              <w:lang w:val="en-IN" w:eastAsia="en-IN"/>
            </w:rPr>
          </w:pPr>
          <w:hyperlink w:anchor="_Toc228296614" w:history="1">
            <w:r w:rsidRPr="00FE7E60">
              <w:rPr>
                <w:rStyle w:val="Hyperlink"/>
                <w:rFonts w:ascii="Arial" w:hAnsi="Arial" w:cs="Arial"/>
                <w:noProof/>
              </w:rPr>
              <w:t>References (Element 1 and Poster)</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_Toc228296614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3</w:t>
            </w:r>
            <w:r w:rsidRPr="00FE7E60">
              <w:rPr>
                <w:rFonts w:ascii="Arial" w:hAnsi="Arial" w:cs="Arial"/>
                <w:noProof/>
                <w:webHidden/>
              </w:rPr>
              <w:fldChar w:fldCharType="end"/>
            </w:r>
          </w:hyperlink>
        </w:p>
        <w:p w14:paraId="1F8A70AC" w14:textId="36DB8102" w:rsidR="0036609E" w:rsidRPr="00FE7E60" w:rsidRDefault="0036609E">
          <w:pPr>
            <w:pStyle w:val="TOC1"/>
            <w:tabs>
              <w:tab w:val="right" w:leader="dot" w:pos="9350"/>
            </w:tabs>
            <w:rPr>
              <w:rFonts w:ascii="Arial" w:eastAsiaTheme="minorEastAsia" w:hAnsi="Arial" w:cs="Arial"/>
              <w:noProof/>
              <w:lang w:val="en-IN" w:eastAsia="en-IN"/>
            </w:rPr>
          </w:pPr>
          <w:hyperlink w:anchor="_Toc228296615" w:history="1">
            <w:r w:rsidRPr="00FE7E60">
              <w:rPr>
                <w:rStyle w:val="Hyperlink"/>
                <w:rFonts w:ascii="Arial" w:hAnsi="Arial" w:cs="Arial"/>
                <w:noProof/>
              </w:rPr>
              <w:t>Element 2: STDP Analysis (Segmentation, Targeting, Differentiation, Positioning)</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_Toc228296615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4</w:t>
            </w:r>
            <w:r w:rsidRPr="00FE7E60">
              <w:rPr>
                <w:rFonts w:ascii="Arial" w:hAnsi="Arial" w:cs="Arial"/>
                <w:noProof/>
                <w:webHidden/>
              </w:rPr>
              <w:fldChar w:fldCharType="end"/>
            </w:r>
          </w:hyperlink>
        </w:p>
        <w:p w14:paraId="1D114623" w14:textId="3FAD1FAC" w:rsidR="0036609E" w:rsidRPr="00FE7E60" w:rsidRDefault="0036609E">
          <w:pPr>
            <w:pStyle w:val="TOC2"/>
            <w:tabs>
              <w:tab w:val="right" w:leader="dot" w:pos="9350"/>
            </w:tabs>
            <w:rPr>
              <w:rFonts w:ascii="Arial" w:eastAsiaTheme="minorEastAsia" w:hAnsi="Arial" w:cs="Arial"/>
              <w:noProof/>
              <w:lang w:val="en-IN" w:eastAsia="en-IN"/>
            </w:rPr>
          </w:pPr>
          <w:hyperlink w:anchor="_Toc228296616" w:history="1">
            <w:r w:rsidRPr="00FE7E60">
              <w:rPr>
                <w:rStyle w:val="Hyperlink"/>
                <w:rFonts w:ascii="Arial" w:hAnsi="Arial" w:cs="Arial"/>
                <w:noProof/>
              </w:rPr>
              <w:t>2.1 Market Segmentation</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_Toc228296616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4</w:t>
            </w:r>
            <w:r w:rsidRPr="00FE7E60">
              <w:rPr>
                <w:rFonts w:ascii="Arial" w:hAnsi="Arial" w:cs="Arial"/>
                <w:noProof/>
                <w:webHidden/>
              </w:rPr>
              <w:fldChar w:fldCharType="end"/>
            </w:r>
          </w:hyperlink>
        </w:p>
        <w:p w14:paraId="3ABC636A" w14:textId="20E5F907" w:rsidR="0036609E" w:rsidRPr="00FE7E60" w:rsidRDefault="0036609E">
          <w:pPr>
            <w:pStyle w:val="TOC2"/>
            <w:tabs>
              <w:tab w:val="right" w:leader="dot" w:pos="9350"/>
            </w:tabs>
            <w:rPr>
              <w:rFonts w:ascii="Arial" w:eastAsiaTheme="minorEastAsia" w:hAnsi="Arial" w:cs="Arial"/>
              <w:noProof/>
              <w:lang w:val="en-IN" w:eastAsia="en-IN"/>
            </w:rPr>
          </w:pPr>
          <w:hyperlink w:anchor="_Toc228296617" w:history="1">
            <w:r w:rsidRPr="00FE7E60">
              <w:rPr>
                <w:rStyle w:val="Hyperlink"/>
                <w:rFonts w:ascii="Arial" w:hAnsi="Arial" w:cs="Arial"/>
                <w:noProof/>
              </w:rPr>
              <w:t>2.2 Targeting Strategy</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_Toc228296617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5</w:t>
            </w:r>
            <w:r w:rsidRPr="00FE7E60">
              <w:rPr>
                <w:rFonts w:ascii="Arial" w:hAnsi="Arial" w:cs="Arial"/>
                <w:noProof/>
                <w:webHidden/>
              </w:rPr>
              <w:fldChar w:fldCharType="end"/>
            </w:r>
          </w:hyperlink>
        </w:p>
        <w:p w14:paraId="683EA3E9" w14:textId="6230619A" w:rsidR="0036609E" w:rsidRPr="00FE7E60" w:rsidRDefault="0036609E">
          <w:pPr>
            <w:pStyle w:val="TOC2"/>
            <w:tabs>
              <w:tab w:val="right" w:leader="dot" w:pos="9350"/>
            </w:tabs>
            <w:rPr>
              <w:rFonts w:ascii="Arial" w:eastAsiaTheme="minorEastAsia" w:hAnsi="Arial" w:cs="Arial"/>
              <w:noProof/>
              <w:lang w:val="en-IN" w:eastAsia="en-IN"/>
            </w:rPr>
          </w:pPr>
          <w:hyperlink w:anchor="_Toc228296618" w:history="1">
            <w:r w:rsidRPr="00FE7E60">
              <w:rPr>
                <w:rStyle w:val="Hyperlink"/>
                <w:rFonts w:ascii="Arial" w:hAnsi="Arial" w:cs="Arial"/>
                <w:noProof/>
              </w:rPr>
              <w:t>2.3 Differentiation Strategy</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_Toc228296618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6</w:t>
            </w:r>
            <w:r w:rsidRPr="00FE7E60">
              <w:rPr>
                <w:rFonts w:ascii="Arial" w:hAnsi="Arial" w:cs="Arial"/>
                <w:noProof/>
                <w:webHidden/>
              </w:rPr>
              <w:fldChar w:fldCharType="end"/>
            </w:r>
          </w:hyperlink>
        </w:p>
        <w:p w14:paraId="462309A5" w14:textId="7D329957" w:rsidR="0036609E" w:rsidRPr="00FE7E60" w:rsidRDefault="0036609E">
          <w:pPr>
            <w:pStyle w:val="TOC2"/>
            <w:tabs>
              <w:tab w:val="right" w:leader="dot" w:pos="9350"/>
            </w:tabs>
            <w:rPr>
              <w:rFonts w:ascii="Arial" w:eastAsiaTheme="minorEastAsia" w:hAnsi="Arial" w:cs="Arial"/>
              <w:noProof/>
              <w:lang w:val="en-IN" w:eastAsia="en-IN"/>
            </w:rPr>
          </w:pPr>
          <w:hyperlink w:anchor="_Toc228296619" w:history="1">
            <w:r w:rsidRPr="00FE7E60">
              <w:rPr>
                <w:rStyle w:val="Hyperlink"/>
                <w:rFonts w:ascii="Arial" w:hAnsi="Arial" w:cs="Arial"/>
                <w:noProof/>
              </w:rPr>
              <w:t>2.4 Positioning Strategy</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_Toc228296619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7</w:t>
            </w:r>
            <w:r w:rsidRPr="00FE7E60">
              <w:rPr>
                <w:rFonts w:ascii="Arial" w:hAnsi="Arial" w:cs="Arial"/>
                <w:noProof/>
                <w:webHidden/>
              </w:rPr>
              <w:fldChar w:fldCharType="end"/>
            </w:r>
          </w:hyperlink>
        </w:p>
        <w:p w14:paraId="4935DD47" w14:textId="1F4A4116" w:rsidR="0036609E" w:rsidRPr="00FE7E60" w:rsidRDefault="0036609E">
          <w:pPr>
            <w:pStyle w:val="TOC2"/>
            <w:tabs>
              <w:tab w:val="right" w:leader="dot" w:pos="9350"/>
            </w:tabs>
            <w:rPr>
              <w:rFonts w:ascii="Arial" w:eastAsiaTheme="minorEastAsia" w:hAnsi="Arial" w:cs="Arial"/>
              <w:noProof/>
              <w:lang w:val="en-IN" w:eastAsia="en-IN"/>
            </w:rPr>
          </w:pPr>
          <w:hyperlink w:anchor="_Toc228296620" w:history="1">
            <w:r w:rsidRPr="00FE7E60">
              <w:rPr>
                <w:rStyle w:val="Hyperlink"/>
                <w:rFonts w:ascii="Arial" w:hAnsi="Arial" w:cs="Arial"/>
                <w:noProof/>
              </w:rPr>
              <w:t>Critical Evaluation</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_Toc228296620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8</w:t>
            </w:r>
            <w:r w:rsidRPr="00FE7E60">
              <w:rPr>
                <w:rFonts w:ascii="Arial" w:hAnsi="Arial" w:cs="Arial"/>
                <w:noProof/>
                <w:webHidden/>
              </w:rPr>
              <w:fldChar w:fldCharType="end"/>
            </w:r>
          </w:hyperlink>
        </w:p>
        <w:p w14:paraId="3276BA92" w14:textId="3590710C" w:rsidR="0036609E" w:rsidRPr="00FE7E60" w:rsidRDefault="0036609E">
          <w:pPr>
            <w:pStyle w:val="TOC1"/>
            <w:tabs>
              <w:tab w:val="right" w:leader="dot" w:pos="9350"/>
            </w:tabs>
            <w:rPr>
              <w:rFonts w:ascii="Arial" w:eastAsiaTheme="minorEastAsia" w:hAnsi="Arial" w:cs="Arial"/>
              <w:noProof/>
              <w:lang w:val="en-IN" w:eastAsia="en-IN"/>
            </w:rPr>
          </w:pPr>
          <w:hyperlink w:anchor="_Toc228296621" w:history="1">
            <w:r w:rsidRPr="00FE7E60">
              <w:rPr>
                <w:rStyle w:val="Hyperlink"/>
                <w:rFonts w:ascii="Arial" w:hAnsi="Arial" w:cs="Arial"/>
                <w:noProof/>
              </w:rPr>
              <w:t>References (Element 2)</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_Toc228296621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9</w:t>
            </w:r>
            <w:r w:rsidRPr="00FE7E60">
              <w:rPr>
                <w:rFonts w:ascii="Arial" w:hAnsi="Arial" w:cs="Arial"/>
                <w:noProof/>
                <w:webHidden/>
              </w:rPr>
              <w:fldChar w:fldCharType="end"/>
            </w:r>
          </w:hyperlink>
        </w:p>
        <w:p w14:paraId="0FE03B59" w14:textId="1A7958E1" w:rsidR="0036609E" w:rsidRPr="00FE7E60" w:rsidRDefault="0036609E">
          <w:pPr>
            <w:pStyle w:val="TOC1"/>
            <w:tabs>
              <w:tab w:val="right" w:leader="dot" w:pos="9350"/>
            </w:tabs>
            <w:rPr>
              <w:rFonts w:ascii="Arial" w:eastAsiaTheme="minorEastAsia" w:hAnsi="Arial" w:cs="Arial"/>
              <w:noProof/>
              <w:lang w:val="en-IN" w:eastAsia="en-IN"/>
            </w:rPr>
          </w:pPr>
          <w:hyperlink w:anchor="_Toc228296622" w:history="1">
            <w:r w:rsidRPr="00FE7E60">
              <w:rPr>
                <w:rStyle w:val="Hyperlink"/>
                <w:rFonts w:ascii="Arial" w:hAnsi="Arial" w:cs="Arial"/>
                <w:noProof/>
              </w:rPr>
              <w:t>Element 3: Marketing Mix (4Ps) – BYD Smart Home Energy Ecosystem</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_Toc228296622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10</w:t>
            </w:r>
            <w:r w:rsidRPr="00FE7E60">
              <w:rPr>
                <w:rFonts w:ascii="Arial" w:hAnsi="Arial" w:cs="Arial"/>
                <w:noProof/>
                <w:webHidden/>
              </w:rPr>
              <w:fldChar w:fldCharType="end"/>
            </w:r>
          </w:hyperlink>
        </w:p>
        <w:p w14:paraId="285183AD" w14:textId="65EF93B4" w:rsidR="0036609E" w:rsidRPr="00FE7E60" w:rsidRDefault="0036609E">
          <w:pPr>
            <w:pStyle w:val="TOC2"/>
            <w:tabs>
              <w:tab w:val="right" w:leader="dot" w:pos="9350"/>
            </w:tabs>
            <w:rPr>
              <w:rFonts w:ascii="Arial" w:eastAsiaTheme="minorEastAsia" w:hAnsi="Arial" w:cs="Arial"/>
              <w:noProof/>
              <w:lang w:val="en-IN" w:eastAsia="en-IN"/>
            </w:rPr>
          </w:pPr>
          <w:hyperlink w:anchor="_Toc228296623" w:history="1">
            <w:r w:rsidRPr="00FE7E60">
              <w:rPr>
                <w:rStyle w:val="Hyperlink"/>
                <w:rFonts w:ascii="Arial" w:hAnsi="Arial" w:cs="Arial"/>
                <w:noProof/>
              </w:rPr>
              <w:t>3.1 Product Strategy</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_Toc228296623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10</w:t>
            </w:r>
            <w:r w:rsidRPr="00FE7E60">
              <w:rPr>
                <w:rFonts w:ascii="Arial" w:hAnsi="Arial" w:cs="Arial"/>
                <w:noProof/>
                <w:webHidden/>
              </w:rPr>
              <w:fldChar w:fldCharType="end"/>
            </w:r>
          </w:hyperlink>
        </w:p>
        <w:p w14:paraId="5A353C1E" w14:textId="7B496F85" w:rsidR="0036609E" w:rsidRPr="00FE7E60" w:rsidRDefault="0036609E">
          <w:pPr>
            <w:pStyle w:val="TOC2"/>
            <w:tabs>
              <w:tab w:val="right" w:leader="dot" w:pos="9350"/>
            </w:tabs>
            <w:rPr>
              <w:rFonts w:ascii="Arial" w:eastAsiaTheme="minorEastAsia" w:hAnsi="Arial" w:cs="Arial"/>
              <w:noProof/>
              <w:lang w:val="en-IN" w:eastAsia="en-IN"/>
            </w:rPr>
          </w:pPr>
          <w:hyperlink w:anchor="_Toc228296624" w:history="1">
            <w:r w:rsidRPr="00FE7E60">
              <w:rPr>
                <w:rStyle w:val="Hyperlink"/>
                <w:rFonts w:ascii="Arial" w:hAnsi="Arial" w:cs="Arial"/>
                <w:noProof/>
              </w:rPr>
              <w:t>3.2 Price Strategy</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_Toc228296624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10</w:t>
            </w:r>
            <w:r w:rsidRPr="00FE7E60">
              <w:rPr>
                <w:rFonts w:ascii="Arial" w:hAnsi="Arial" w:cs="Arial"/>
                <w:noProof/>
                <w:webHidden/>
              </w:rPr>
              <w:fldChar w:fldCharType="end"/>
            </w:r>
          </w:hyperlink>
        </w:p>
        <w:p w14:paraId="4750348C" w14:textId="2CCD0B3C" w:rsidR="0036609E" w:rsidRPr="00FE7E60" w:rsidRDefault="0036609E">
          <w:pPr>
            <w:pStyle w:val="TOC2"/>
            <w:tabs>
              <w:tab w:val="right" w:leader="dot" w:pos="9350"/>
            </w:tabs>
            <w:rPr>
              <w:rFonts w:ascii="Arial" w:eastAsiaTheme="minorEastAsia" w:hAnsi="Arial" w:cs="Arial"/>
              <w:noProof/>
              <w:lang w:val="en-IN" w:eastAsia="en-IN"/>
            </w:rPr>
          </w:pPr>
          <w:hyperlink w:anchor="_Toc228296625" w:history="1">
            <w:r w:rsidRPr="00FE7E60">
              <w:rPr>
                <w:rStyle w:val="Hyperlink"/>
                <w:rFonts w:ascii="Arial" w:hAnsi="Arial" w:cs="Arial"/>
                <w:noProof/>
              </w:rPr>
              <w:t>3.3 Place (Distribution) Strategy</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_Toc228296625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11</w:t>
            </w:r>
            <w:r w:rsidRPr="00FE7E60">
              <w:rPr>
                <w:rFonts w:ascii="Arial" w:hAnsi="Arial" w:cs="Arial"/>
                <w:noProof/>
                <w:webHidden/>
              </w:rPr>
              <w:fldChar w:fldCharType="end"/>
            </w:r>
          </w:hyperlink>
        </w:p>
        <w:p w14:paraId="6AFCBD0B" w14:textId="737418E0" w:rsidR="0036609E" w:rsidRPr="00FE7E60" w:rsidRDefault="0036609E">
          <w:pPr>
            <w:pStyle w:val="TOC2"/>
            <w:tabs>
              <w:tab w:val="right" w:leader="dot" w:pos="9350"/>
            </w:tabs>
            <w:rPr>
              <w:rFonts w:ascii="Arial" w:eastAsiaTheme="minorEastAsia" w:hAnsi="Arial" w:cs="Arial"/>
              <w:noProof/>
              <w:lang w:val="en-IN" w:eastAsia="en-IN"/>
            </w:rPr>
          </w:pPr>
          <w:hyperlink w:anchor="_Toc228296626" w:history="1">
            <w:r w:rsidRPr="00FE7E60">
              <w:rPr>
                <w:rStyle w:val="Hyperlink"/>
                <w:rFonts w:ascii="Arial" w:hAnsi="Arial" w:cs="Arial"/>
                <w:noProof/>
              </w:rPr>
              <w:t>3.4 Promotion Strategy</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_Toc228296626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12</w:t>
            </w:r>
            <w:r w:rsidRPr="00FE7E60">
              <w:rPr>
                <w:rFonts w:ascii="Arial" w:hAnsi="Arial" w:cs="Arial"/>
                <w:noProof/>
                <w:webHidden/>
              </w:rPr>
              <w:fldChar w:fldCharType="end"/>
            </w:r>
          </w:hyperlink>
        </w:p>
        <w:p w14:paraId="7CED3532" w14:textId="267B7B12" w:rsidR="0036609E" w:rsidRPr="00FE7E60" w:rsidRDefault="0036609E">
          <w:pPr>
            <w:pStyle w:val="TOC2"/>
            <w:tabs>
              <w:tab w:val="right" w:leader="dot" w:pos="9350"/>
            </w:tabs>
            <w:rPr>
              <w:rFonts w:ascii="Arial" w:eastAsiaTheme="minorEastAsia" w:hAnsi="Arial" w:cs="Arial"/>
              <w:noProof/>
              <w:lang w:val="en-IN" w:eastAsia="en-IN"/>
            </w:rPr>
          </w:pPr>
          <w:hyperlink w:anchor="_Toc228296627" w:history="1">
            <w:r w:rsidRPr="00FE7E60">
              <w:rPr>
                <w:rStyle w:val="Hyperlink"/>
                <w:rFonts w:ascii="Arial" w:hAnsi="Arial" w:cs="Arial"/>
                <w:noProof/>
              </w:rPr>
              <w:t>3.5 Critical Evaluation of Marketing Mix</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_Toc228296627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12</w:t>
            </w:r>
            <w:r w:rsidRPr="00FE7E60">
              <w:rPr>
                <w:rFonts w:ascii="Arial" w:hAnsi="Arial" w:cs="Arial"/>
                <w:noProof/>
                <w:webHidden/>
              </w:rPr>
              <w:fldChar w:fldCharType="end"/>
            </w:r>
          </w:hyperlink>
        </w:p>
        <w:p w14:paraId="331EB614" w14:textId="63127801" w:rsidR="0036609E" w:rsidRPr="00FE7E60" w:rsidRDefault="0036609E">
          <w:pPr>
            <w:pStyle w:val="TOC1"/>
            <w:tabs>
              <w:tab w:val="right" w:leader="dot" w:pos="9350"/>
            </w:tabs>
            <w:rPr>
              <w:rFonts w:ascii="Arial" w:eastAsiaTheme="minorEastAsia" w:hAnsi="Arial" w:cs="Arial"/>
              <w:noProof/>
              <w:lang w:val="en-IN" w:eastAsia="en-IN"/>
            </w:rPr>
          </w:pPr>
          <w:hyperlink w:anchor="_Toc228296628" w:history="1">
            <w:r w:rsidRPr="00FE7E60">
              <w:rPr>
                <w:rStyle w:val="Hyperlink"/>
                <w:rFonts w:ascii="Arial" w:hAnsi="Arial" w:cs="Arial"/>
                <w:noProof/>
              </w:rPr>
              <w:t>References (Element 3)</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_Toc228296628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14</w:t>
            </w:r>
            <w:r w:rsidRPr="00FE7E60">
              <w:rPr>
                <w:rFonts w:ascii="Arial" w:hAnsi="Arial" w:cs="Arial"/>
                <w:noProof/>
                <w:webHidden/>
              </w:rPr>
              <w:fldChar w:fldCharType="end"/>
            </w:r>
          </w:hyperlink>
        </w:p>
        <w:p w14:paraId="3C3BDAEF" w14:textId="54E80664" w:rsidR="0036609E" w:rsidRPr="00FE7E60" w:rsidRDefault="0036609E">
          <w:pPr>
            <w:pStyle w:val="TOC1"/>
            <w:tabs>
              <w:tab w:val="right" w:leader="dot" w:pos="9350"/>
            </w:tabs>
            <w:rPr>
              <w:rFonts w:ascii="Arial" w:eastAsiaTheme="minorEastAsia" w:hAnsi="Arial" w:cs="Arial"/>
              <w:noProof/>
              <w:lang w:val="en-IN" w:eastAsia="en-IN"/>
            </w:rPr>
          </w:pPr>
          <w:hyperlink w:anchor="_Toc228296629" w:history="1">
            <w:r w:rsidRPr="00FE7E60">
              <w:rPr>
                <w:rStyle w:val="Hyperlink"/>
                <w:rFonts w:ascii="Arial" w:hAnsi="Arial" w:cs="Arial"/>
                <w:noProof/>
              </w:rPr>
              <w:t>Element 4: Reflection</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_Toc228296629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15</w:t>
            </w:r>
            <w:r w:rsidRPr="00FE7E60">
              <w:rPr>
                <w:rFonts w:ascii="Arial" w:hAnsi="Arial" w:cs="Arial"/>
                <w:noProof/>
                <w:webHidden/>
              </w:rPr>
              <w:fldChar w:fldCharType="end"/>
            </w:r>
          </w:hyperlink>
        </w:p>
        <w:p w14:paraId="5F4AC91B" w14:textId="0A3AAD02" w:rsidR="0036609E" w:rsidRPr="00FE7E60" w:rsidRDefault="0036609E">
          <w:pPr>
            <w:pStyle w:val="TOC1"/>
            <w:tabs>
              <w:tab w:val="right" w:leader="dot" w:pos="9350"/>
            </w:tabs>
            <w:rPr>
              <w:rFonts w:ascii="Arial" w:eastAsiaTheme="minorEastAsia" w:hAnsi="Arial" w:cs="Arial"/>
              <w:noProof/>
              <w:lang w:val="en-IN" w:eastAsia="en-IN"/>
            </w:rPr>
          </w:pPr>
          <w:hyperlink w:anchor="_Toc228296630" w:history="1">
            <w:r w:rsidRPr="00FE7E60">
              <w:rPr>
                <w:rStyle w:val="Hyperlink"/>
                <w:rFonts w:ascii="Arial" w:hAnsi="Arial" w:cs="Arial"/>
                <w:noProof/>
              </w:rPr>
              <w:t>References (Element 4)</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_Toc228296630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17</w:t>
            </w:r>
            <w:r w:rsidRPr="00FE7E60">
              <w:rPr>
                <w:rFonts w:ascii="Arial" w:hAnsi="Arial" w:cs="Arial"/>
                <w:noProof/>
                <w:webHidden/>
              </w:rPr>
              <w:fldChar w:fldCharType="end"/>
            </w:r>
          </w:hyperlink>
        </w:p>
        <w:p w14:paraId="5311F92F" w14:textId="48CC5ABF" w:rsidR="0036609E" w:rsidRPr="00FE7E60" w:rsidRDefault="0036609E">
          <w:pPr>
            <w:pStyle w:val="TOC1"/>
            <w:tabs>
              <w:tab w:val="right" w:leader="dot" w:pos="9350"/>
            </w:tabs>
            <w:rPr>
              <w:rFonts w:ascii="Arial" w:eastAsiaTheme="minorEastAsia" w:hAnsi="Arial" w:cs="Arial"/>
              <w:noProof/>
              <w:lang w:val="en-IN" w:eastAsia="en-IN"/>
            </w:rPr>
          </w:pPr>
          <w:hyperlink w:anchor="_Toc228296631" w:history="1">
            <w:r w:rsidRPr="00FE7E60">
              <w:rPr>
                <w:rStyle w:val="Hyperlink"/>
                <w:rFonts w:ascii="Arial" w:hAnsi="Arial" w:cs="Arial"/>
                <w:noProof/>
              </w:rPr>
              <w:t>Conclusion</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_Toc228296631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18</w:t>
            </w:r>
            <w:r w:rsidRPr="00FE7E60">
              <w:rPr>
                <w:rFonts w:ascii="Arial" w:hAnsi="Arial" w:cs="Arial"/>
                <w:noProof/>
                <w:webHidden/>
              </w:rPr>
              <w:fldChar w:fldCharType="end"/>
            </w:r>
          </w:hyperlink>
        </w:p>
        <w:p w14:paraId="73915AE2" w14:textId="4BCADB38" w:rsidR="0036609E" w:rsidRPr="00FE7E60" w:rsidRDefault="0036609E">
          <w:pPr>
            <w:pStyle w:val="TOC1"/>
            <w:tabs>
              <w:tab w:val="right" w:leader="dot" w:pos="9350"/>
            </w:tabs>
            <w:rPr>
              <w:rFonts w:ascii="Arial" w:eastAsiaTheme="minorEastAsia" w:hAnsi="Arial" w:cs="Arial"/>
              <w:noProof/>
              <w:lang w:val="en-IN" w:eastAsia="en-IN"/>
            </w:rPr>
          </w:pPr>
          <w:hyperlink w:anchor="_Toc228296632" w:history="1">
            <w:r w:rsidRPr="00FE7E60">
              <w:rPr>
                <w:rStyle w:val="Hyperlink"/>
                <w:rFonts w:ascii="Arial" w:hAnsi="Arial" w:cs="Arial"/>
                <w:noProof/>
              </w:rPr>
              <w:t>Appendix</w:t>
            </w:r>
            <w:r w:rsidRPr="00FE7E60">
              <w:rPr>
                <w:rFonts w:ascii="Arial" w:hAnsi="Arial" w:cs="Arial"/>
                <w:noProof/>
                <w:webHidden/>
              </w:rPr>
              <w:tab/>
            </w:r>
            <w:r w:rsidRPr="00FE7E60">
              <w:rPr>
                <w:rFonts w:ascii="Arial" w:hAnsi="Arial" w:cs="Arial"/>
                <w:noProof/>
                <w:webHidden/>
              </w:rPr>
              <w:fldChar w:fldCharType="begin"/>
            </w:r>
            <w:r w:rsidRPr="00FE7E60">
              <w:rPr>
                <w:rFonts w:ascii="Arial" w:hAnsi="Arial" w:cs="Arial"/>
                <w:noProof/>
                <w:webHidden/>
              </w:rPr>
              <w:instrText xml:space="preserve"> PAGEREF _Toc228296632 \h </w:instrText>
            </w:r>
            <w:r w:rsidRPr="00FE7E60">
              <w:rPr>
                <w:rFonts w:ascii="Arial" w:hAnsi="Arial" w:cs="Arial"/>
                <w:noProof/>
                <w:webHidden/>
              </w:rPr>
            </w:r>
            <w:r w:rsidRPr="00FE7E60">
              <w:rPr>
                <w:rFonts w:ascii="Arial" w:hAnsi="Arial" w:cs="Arial"/>
                <w:noProof/>
                <w:webHidden/>
              </w:rPr>
              <w:fldChar w:fldCharType="separate"/>
            </w:r>
            <w:r w:rsidRPr="00FE7E60">
              <w:rPr>
                <w:rFonts w:ascii="Arial" w:hAnsi="Arial" w:cs="Arial"/>
                <w:noProof/>
                <w:webHidden/>
              </w:rPr>
              <w:t>19</w:t>
            </w:r>
            <w:r w:rsidRPr="00FE7E60">
              <w:rPr>
                <w:rFonts w:ascii="Arial" w:hAnsi="Arial" w:cs="Arial"/>
                <w:noProof/>
                <w:webHidden/>
              </w:rPr>
              <w:fldChar w:fldCharType="end"/>
            </w:r>
          </w:hyperlink>
        </w:p>
        <w:p w14:paraId="450AA57C" w14:textId="2A589600" w:rsidR="002851E6" w:rsidRPr="00C9062A" w:rsidRDefault="002851E6" w:rsidP="00C9062A">
          <w:pPr>
            <w:spacing w:line="360" w:lineRule="auto"/>
            <w:jc w:val="both"/>
            <w:rPr>
              <w:rFonts w:ascii="Arial" w:hAnsi="Arial" w:cs="Arial"/>
            </w:rPr>
          </w:pPr>
          <w:r w:rsidRPr="002C459C">
            <w:rPr>
              <w:rFonts w:ascii="Arial" w:hAnsi="Arial" w:cs="Arial"/>
              <w:b/>
              <w:bCs/>
              <w:noProof/>
            </w:rPr>
            <w:fldChar w:fldCharType="end"/>
          </w:r>
        </w:p>
      </w:sdtContent>
    </w:sdt>
    <w:p w14:paraId="447B6DF9" w14:textId="77777777" w:rsidR="007371FE" w:rsidRPr="00C9062A" w:rsidRDefault="007371FE" w:rsidP="00C9062A">
      <w:pPr>
        <w:spacing w:line="360" w:lineRule="auto"/>
        <w:jc w:val="both"/>
        <w:rPr>
          <w:rFonts w:ascii="Arial" w:hAnsi="Arial" w:cs="Arial"/>
          <w:b/>
          <w:bCs/>
        </w:rPr>
      </w:pPr>
    </w:p>
    <w:p w14:paraId="4E36C0D3" w14:textId="77777777" w:rsidR="007371FE" w:rsidRPr="00C9062A" w:rsidRDefault="007371FE" w:rsidP="00C9062A">
      <w:pPr>
        <w:spacing w:line="360" w:lineRule="auto"/>
        <w:jc w:val="both"/>
        <w:rPr>
          <w:rFonts w:ascii="Arial" w:hAnsi="Arial" w:cs="Arial"/>
          <w:b/>
          <w:bCs/>
        </w:rPr>
      </w:pPr>
      <w:r w:rsidRPr="00C9062A">
        <w:rPr>
          <w:rFonts w:ascii="Arial" w:hAnsi="Arial" w:cs="Arial"/>
          <w:b/>
          <w:bCs/>
        </w:rPr>
        <w:br w:type="page"/>
      </w:r>
    </w:p>
    <w:p w14:paraId="2590308D" w14:textId="77777777" w:rsidR="00E85AB9" w:rsidRPr="00C9062A" w:rsidRDefault="00072FBB" w:rsidP="00C9062A">
      <w:pPr>
        <w:pStyle w:val="Heading1"/>
      </w:pPr>
      <w:bookmarkStart w:id="0" w:name="_Toc228296612"/>
      <w:r w:rsidRPr="00C9062A">
        <w:lastRenderedPageBreak/>
        <w:t>Introduction</w:t>
      </w:r>
      <w:bookmarkEnd w:id="0"/>
    </w:p>
    <w:p w14:paraId="27A35928" w14:textId="77777777" w:rsidR="00E85AB9" w:rsidRPr="00C9062A" w:rsidRDefault="00E85AB9" w:rsidP="00C9062A">
      <w:pPr>
        <w:spacing w:line="360" w:lineRule="auto"/>
        <w:jc w:val="both"/>
        <w:rPr>
          <w:rFonts w:ascii="Arial" w:hAnsi="Arial" w:cs="Arial"/>
          <w:bCs/>
        </w:rPr>
      </w:pPr>
      <w:r w:rsidRPr="00C9062A">
        <w:rPr>
          <w:rFonts w:ascii="Arial" w:hAnsi="Arial" w:cs="Arial"/>
          <w:bCs/>
        </w:rPr>
        <w:t>This assignment develops a marketing strategy for BYD’s Smart Home Energy Ecosystem as a brand extension within the clean energy sector. Using STDP and the marketing mix, the analysis evaluates how BYD can leverage its technological capabilities to address growing demand for sustainable, integrated energy solutions in a rapidly evolving global market.</w:t>
      </w:r>
    </w:p>
    <w:p w14:paraId="40A01565" w14:textId="77777777" w:rsidR="008A7B74" w:rsidRPr="00C9062A" w:rsidRDefault="008A7B74" w:rsidP="00C9062A">
      <w:pPr>
        <w:pStyle w:val="Heading1"/>
      </w:pPr>
      <w:bookmarkStart w:id="1" w:name="_Toc228296613"/>
      <w:r w:rsidRPr="00C9062A">
        <w:t>Element 1: Brand Extension Poster (BYD Smart Home Energy Ecosystem)</w:t>
      </w:r>
      <w:bookmarkEnd w:id="1"/>
    </w:p>
    <w:p w14:paraId="58619091" w14:textId="77777777" w:rsidR="008A7B74" w:rsidRPr="00C9062A" w:rsidRDefault="008A7B74" w:rsidP="00C9062A">
      <w:pPr>
        <w:spacing w:line="360" w:lineRule="auto"/>
        <w:jc w:val="both"/>
        <w:rPr>
          <w:rFonts w:ascii="Arial" w:hAnsi="Arial" w:cs="Arial"/>
        </w:rPr>
      </w:pPr>
      <w:r w:rsidRPr="00C9062A">
        <w:rPr>
          <w:rFonts w:ascii="Arial" w:hAnsi="Arial" w:cs="Arial"/>
        </w:rPr>
        <w:t>BYD is a rapidly expanding global clean energy and electric vehicle manufacturer, operating across more than 70 countries and delivering over 3</w:t>
      </w:r>
      <w:r w:rsidR="00072FBB" w:rsidRPr="00C9062A">
        <w:rPr>
          <w:rFonts w:ascii="Arial" w:hAnsi="Arial" w:cs="Arial"/>
        </w:rPr>
        <w:t xml:space="preserve"> million EVs in 2023 (BYD, 2024</w:t>
      </w:r>
      <w:r w:rsidRPr="00C9062A">
        <w:rPr>
          <w:rFonts w:ascii="Arial" w:hAnsi="Arial" w:cs="Arial"/>
        </w:rPr>
        <w:t>). Building on its strong capabilities in battery technology and renewable energy systems, the proposed brand extension introduces the BYD Smart Home Energy Ecosystem. This system integrates solar panels, home battery storage, and EV charging into a unified platform designed to enhance household energy efficiency and sustainability</w:t>
      </w:r>
      <w:r w:rsidR="00072FBB" w:rsidRPr="00C9062A">
        <w:rPr>
          <w:rFonts w:ascii="Arial" w:hAnsi="Arial" w:cs="Arial"/>
        </w:rPr>
        <w:t xml:space="preserve"> (IEA, 2023)</w:t>
      </w:r>
      <w:r w:rsidRPr="00C9062A">
        <w:rPr>
          <w:rFonts w:ascii="Arial" w:hAnsi="Arial" w:cs="Arial"/>
        </w:rPr>
        <w:t>.</w:t>
      </w:r>
    </w:p>
    <w:p w14:paraId="31F3F274" w14:textId="77777777" w:rsidR="008A7B74" w:rsidRPr="00C9062A" w:rsidRDefault="008A7B74" w:rsidP="00C9062A">
      <w:pPr>
        <w:spacing w:line="360" w:lineRule="auto"/>
        <w:jc w:val="both"/>
        <w:rPr>
          <w:rFonts w:ascii="Arial" w:hAnsi="Arial" w:cs="Arial"/>
        </w:rPr>
      </w:pPr>
      <w:r w:rsidRPr="00C9062A">
        <w:rPr>
          <w:rFonts w:ascii="Arial" w:hAnsi="Arial" w:cs="Arial"/>
        </w:rPr>
        <w:t>The extension responds to accelerating global demand for clean energy solutions, with renewable energy capacity expected to increase by over 60% by 2030 and more than 40% of consumers consid</w:t>
      </w:r>
      <w:r w:rsidR="00072FBB" w:rsidRPr="00C9062A">
        <w:rPr>
          <w:rFonts w:ascii="Arial" w:hAnsi="Arial" w:cs="Arial"/>
        </w:rPr>
        <w:t>ering solar adoption (IEA, 2023</w:t>
      </w:r>
      <w:r w:rsidRPr="00C9062A">
        <w:rPr>
          <w:rFonts w:ascii="Arial" w:hAnsi="Arial" w:cs="Arial"/>
        </w:rPr>
        <w:t>). Unlike standalone energy products, this ecosystem offers a holistic solution by enabling energy generation, storage, and consumption within a single network, strengthening BYD’s competitive positioning</w:t>
      </w:r>
      <w:r w:rsidR="00072FBB" w:rsidRPr="00C9062A">
        <w:rPr>
          <w:rFonts w:ascii="Arial" w:hAnsi="Arial" w:cs="Arial"/>
        </w:rPr>
        <w:t xml:space="preserve"> (</w:t>
      </w:r>
      <w:r w:rsidR="00352360" w:rsidRPr="00C9062A">
        <w:rPr>
          <w:rFonts w:ascii="Arial" w:hAnsi="Arial" w:cs="Arial"/>
        </w:rPr>
        <w:t>Melnyk et al., 2024</w:t>
      </w:r>
      <w:r w:rsidR="00072FBB" w:rsidRPr="00C9062A">
        <w:rPr>
          <w:rFonts w:ascii="Arial" w:hAnsi="Arial" w:cs="Arial"/>
        </w:rPr>
        <w:t>)</w:t>
      </w:r>
      <w:r w:rsidRPr="00C9062A">
        <w:rPr>
          <w:rFonts w:ascii="Arial" w:hAnsi="Arial" w:cs="Arial"/>
        </w:rPr>
        <w:t>.</w:t>
      </w:r>
    </w:p>
    <w:p w14:paraId="76A91591" w14:textId="77777777" w:rsidR="00AD4FE6" w:rsidRPr="00C9062A" w:rsidRDefault="008A7B74" w:rsidP="00C9062A">
      <w:pPr>
        <w:spacing w:line="360" w:lineRule="auto"/>
        <w:jc w:val="both"/>
        <w:rPr>
          <w:rFonts w:ascii="Arial" w:hAnsi="Arial" w:cs="Arial"/>
        </w:rPr>
      </w:pPr>
      <w:r w:rsidRPr="00C9062A">
        <w:rPr>
          <w:rFonts w:ascii="Arial" w:hAnsi="Arial" w:cs="Arial"/>
        </w:rPr>
        <w:t xml:space="preserve">From a sustainability perspective, the system supports </w:t>
      </w:r>
      <w:proofErr w:type="spellStart"/>
      <w:r w:rsidRPr="00C9062A">
        <w:rPr>
          <w:rFonts w:ascii="Arial" w:hAnsi="Arial" w:cs="Arial"/>
        </w:rPr>
        <w:t>decarbonisation</w:t>
      </w:r>
      <w:proofErr w:type="spellEnd"/>
      <w:r w:rsidRPr="00C9062A">
        <w:rPr>
          <w:rFonts w:ascii="Arial" w:hAnsi="Arial" w:cs="Arial"/>
        </w:rPr>
        <w:t xml:space="preserve"> by reducing reliance on fossil fuels while promoting energy independence. Furthermore, AI-driven energy </w:t>
      </w:r>
      <w:proofErr w:type="spellStart"/>
      <w:r w:rsidRPr="00C9062A">
        <w:rPr>
          <w:rFonts w:ascii="Arial" w:hAnsi="Arial" w:cs="Arial"/>
        </w:rPr>
        <w:t>optimisation</w:t>
      </w:r>
      <w:proofErr w:type="spellEnd"/>
      <w:r w:rsidRPr="00C9062A">
        <w:rPr>
          <w:rFonts w:ascii="Arial" w:hAnsi="Arial" w:cs="Arial"/>
        </w:rPr>
        <w:t xml:space="preserve"> can reduce household energy costs by up to 20%, enhancing both economic and environmental value (McKinsey</w:t>
      </w:r>
      <w:r w:rsidR="008D220D">
        <w:rPr>
          <w:rFonts w:ascii="Arial" w:hAnsi="Arial" w:cs="Arial"/>
        </w:rPr>
        <w:t xml:space="preserve"> </w:t>
      </w:r>
      <w:r w:rsidR="008D220D" w:rsidRPr="00C9062A">
        <w:rPr>
          <w:rFonts w:ascii="Arial" w:hAnsi="Arial" w:cs="Arial"/>
        </w:rPr>
        <w:t>&amp; Company</w:t>
      </w:r>
      <w:r w:rsidRPr="00C9062A">
        <w:rPr>
          <w:rFonts w:ascii="Arial" w:hAnsi="Arial" w:cs="Arial"/>
        </w:rPr>
        <w:t>, 2023). Overall, this brand extension aligns with market trends and presents a scalable, high-growth opportunity for both consumers and investors.</w:t>
      </w:r>
    </w:p>
    <w:p w14:paraId="4FAD5C2D" w14:textId="77777777" w:rsidR="00AD4FE6" w:rsidRPr="00C9062A" w:rsidRDefault="00AD4FE6" w:rsidP="00C9062A">
      <w:pPr>
        <w:spacing w:line="360" w:lineRule="auto"/>
        <w:jc w:val="both"/>
        <w:rPr>
          <w:rFonts w:ascii="Arial" w:hAnsi="Arial" w:cs="Arial"/>
        </w:rPr>
      </w:pPr>
      <w:r w:rsidRPr="00C9062A">
        <w:rPr>
          <w:rFonts w:ascii="Arial" w:hAnsi="Arial" w:cs="Arial"/>
        </w:rPr>
        <w:br w:type="page"/>
      </w:r>
    </w:p>
    <w:p w14:paraId="48B617F8" w14:textId="77777777" w:rsidR="00072FBB" w:rsidRPr="00C9062A" w:rsidRDefault="00AD4FE6" w:rsidP="00C9062A">
      <w:pPr>
        <w:pStyle w:val="Heading1"/>
      </w:pPr>
      <w:bookmarkStart w:id="2" w:name="_Toc228296614"/>
      <w:r w:rsidRPr="00C9062A">
        <w:lastRenderedPageBreak/>
        <w:t>References</w:t>
      </w:r>
      <w:r w:rsidR="00D40B73" w:rsidRPr="00C9062A">
        <w:t xml:space="preserve"> (Element 1 and Poster)</w:t>
      </w:r>
      <w:bookmarkEnd w:id="2"/>
    </w:p>
    <w:p w14:paraId="0CC254F9" w14:textId="77777777" w:rsidR="00D40B73" w:rsidRPr="00C9062A" w:rsidRDefault="00D40B73" w:rsidP="00C9062A">
      <w:pPr>
        <w:spacing w:line="360" w:lineRule="auto"/>
        <w:jc w:val="both"/>
        <w:rPr>
          <w:rFonts w:ascii="Arial" w:hAnsi="Arial" w:cs="Arial"/>
        </w:rPr>
      </w:pPr>
      <w:proofErr w:type="spellStart"/>
      <w:r w:rsidRPr="00C9062A">
        <w:rPr>
          <w:rFonts w:ascii="Arial" w:hAnsi="Arial" w:cs="Arial"/>
        </w:rPr>
        <w:t>Almughram</w:t>
      </w:r>
      <w:proofErr w:type="spellEnd"/>
      <w:r w:rsidRPr="00C9062A">
        <w:rPr>
          <w:rFonts w:ascii="Arial" w:hAnsi="Arial" w:cs="Arial"/>
        </w:rPr>
        <w:t xml:space="preserve">, O., Ben Slama, S. and Zafar, B., 2022. Model for managing the integration of a vehicle-to-home unit into an intelligent home energy management system. Sensors, 22(21), p.8142. </w:t>
      </w:r>
    </w:p>
    <w:p w14:paraId="164279B3" w14:textId="77777777" w:rsidR="00D40B73" w:rsidRPr="00C9062A" w:rsidRDefault="00D40B73" w:rsidP="00C9062A">
      <w:pPr>
        <w:spacing w:line="360" w:lineRule="auto"/>
        <w:jc w:val="both"/>
        <w:rPr>
          <w:rFonts w:ascii="Arial" w:hAnsi="Arial" w:cs="Arial"/>
        </w:rPr>
      </w:pPr>
      <w:proofErr w:type="spellStart"/>
      <w:r w:rsidRPr="00C9062A">
        <w:rPr>
          <w:rFonts w:ascii="Arial" w:hAnsi="Arial" w:cs="Arial"/>
        </w:rPr>
        <w:t>Armiento</w:t>
      </w:r>
      <w:proofErr w:type="spellEnd"/>
      <w:r w:rsidRPr="00C9062A">
        <w:rPr>
          <w:rFonts w:ascii="Arial" w:hAnsi="Arial" w:cs="Arial"/>
        </w:rPr>
        <w:t xml:space="preserve">, M., Lelli, M., Andrews, C., Idini, B. and Ruff, R., 2025. </w:t>
      </w:r>
      <w:proofErr w:type="spellStart"/>
      <w:r w:rsidRPr="00C9062A">
        <w:rPr>
          <w:rFonts w:ascii="Arial" w:hAnsi="Arial" w:cs="Arial"/>
        </w:rPr>
        <w:t>Analysing</w:t>
      </w:r>
      <w:proofErr w:type="spellEnd"/>
      <w:r w:rsidRPr="00C9062A">
        <w:rPr>
          <w:rFonts w:ascii="Arial" w:hAnsi="Arial" w:cs="Arial"/>
        </w:rPr>
        <w:t xml:space="preserve"> the global workforce dynamics of the energy transition: main findings from the World Energy Employment report 2023. Discover Sustainability, 6(1), p.35. </w:t>
      </w:r>
    </w:p>
    <w:p w14:paraId="0F438612" w14:textId="77777777" w:rsidR="00D40B73" w:rsidRPr="00C9062A" w:rsidRDefault="00D40B73" w:rsidP="00C9062A">
      <w:pPr>
        <w:spacing w:line="360" w:lineRule="auto"/>
        <w:jc w:val="both"/>
        <w:rPr>
          <w:rFonts w:ascii="Arial" w:hAnsi="Arial" w:cs="Arial"/>
        </w:rPr>
      </w:pPr>
      <w:r w:rsidRPr="00C9062A">
        <w:rPr>
          <w:rFonts w:ascii="Arial" w:hAnsi="Arial" w:cs="Arial"/>
        </w:rPr>
        <w:t xml:space="preserve">BYD (2024) Annual Report and Sustainability Overview. Available at: </w:t>
      </w:r>
      <w:hyperlink r:id="rId9" w:history="1">
        <w:r w:rsidRPr="00C9062A">
          <w:rPr>
            <w:rStyle w:val="Hyperlink"/>
            <w:rFonts w:ascii="Arial" w:hAnsi="Arial" w:cs="Arial"/>
          </w:rPr>
          <w:t>http://annualreports.ai/company/hong-kong/commerce-industry/byd-company/</w:t>
        </w:r>
      </w:hyperlink>
      <w:r w:rsidRPr="00C9062A">
        <w:rPr>
          <w:rFonts w:ascii="Arial" w:hAnsi="Arial" w:cs="Arial"/>
        </w:rPr>
        <w:t xml:space="preserve"> (Accessed: 1 April 2026) </w:t>
      </w:r>
    </w:p>
    <w:p w14:paraId="2C7B234D" w14:textId="77777777" w:rsidR="00D40B73" w:rsidRPr="00C9062A" w:rsidRDefault="00D40B73" w:rsidP="00C9062A">
      <w:pPr>
        <w:spacing w:line="360" w:lineRule="auto"/>
        <w:jc w:val="both"/>
        <w:rPr>
          <w:rFonts w:ascii="Arial" w:hAnsi="Arial" w:cs="Arial"/>
        </w:rPr>
      </w:pPr>
      <w:r w:rsidRPr="00C9062A">
        <w:rPr>
          <w:rFonts w:ascii="Arial" w:hAnsi="Arial" w:cs="Arial"/>
        </w:rPr>
        <w:t xml:space="preserve">IEA (2023) Renewables 2023: Global Energy Market Report. Available at: </w:t>
      </w:r>
      <w:hyperlink r:id="rId10" w:history="1">
        <w:r w:rsidRPr="00C9062A">
          <w:rPr>
            <w:rStyle w:val="Hyperlink"/>
            <w:rFonts w:ascii="Arial" w:hAnsi="Arial" w:cs="Arial"/>
          </w:rPr>
          <w:t>https://www.iea.org/reports/renewables-2023</w:t>
        </w:r>
      </w:hyperlink>
      <w:r w:rsidRPr="00C9062A">
        <w:rPr>
          <w:rFonts w:ascii="Arial" w:hAnsi="Arial" w:cs="Arial"/>
        </w:rPr>
        <w:t xml:space="preserve"> (Accessed: 1 April 2026) </w:t>
      </w:r>
    </w:p>
    <w:p w14:paraId="0B0614BF" w14:textId="77777777" w:rsidR="00D40B73" w:rsidRPr="00C9062A" w:rsidRDefault="00D40B73" w:rsidP="00C9062A">
      <w:pPr>
        <w:spacing w:line="360" w:lineRule="auto"/>
        <w:jc w:val="both"/>
        <w:rPr>
          <w:rFonts w:ascii="Arial" w:hAnsi="Arial" w:cs="Arial"/>
        </w:rPr>
      </w:pPr>
      <w:r w:rsidRPr="00C9062A">
        <w:rPr>
          <w:rFonts w:ascii="Arial" w:hAnsi="Arial" w:cs="Arial"/>
        </w:rPr>
        <w:t xml:space="preserve">McKinsey &amp; Company (2023) The Future of Energy Systems and Electrification. Available at: </w:t>
      </w:r>
      <w:hyperlink r:id="rId11" w:history="1">
        <w:r w:rsidRPr="00C9062A">
          <w:rPr>
            <w:rStyle w:val="Hyperlink"/>
            <w:rFonts w:ascii="Arial" w:hAnsi="Arial" w:cs="Arial"/>
          </w:rPr>
          <w:t>https://www.mckinsey.com/industries/oil-and-gas/our-insights/global-energy-perspective-2023</w:t>
        </w:r>
      </w:hyperlink>
      <w:r w:rsidRPr="00C9062A">
        <w:rPr>
          <w:rFonts w:ascii="Arial" w:hAnsi="Arial" w:cs="Arial"/>
        </w:rPr>
        <w:t xml:space="preserve"> (Accessed: 1 April 2026) </w:t>
      </w:r>
    </w:p>
    <w:p w14:paraId="035699B7" w14:textId="77777777" w:rsidR="00D40B73" w:rsidRPr="00C9062A" w:rsidRDefault="00D40B73" w:rsidP="00C9062A">
      <w:pPr>
        <w:spacing w:line="360" w:lineRule="auto"/>
        <w:jc w:val="both"/>
        <w:rPr>
          <w:rFonts w:ascii="Arial" w:hAnsi="Arial" w:cs="Arial"/>
        </w:rPr>
      </w:pPr>
      <w:r w:rsidRPr="00C9062A">
        <w:rPr>
          <w:rFonts w:ascii="Arial" w:hAnsi="Arial" w:cs="Arial"/>
        </w:rPr>
        <w:t xml:space="preserve">Melnyk, T., </w:t>
      </w:r>
      <w:proofErr w:type="spellStart"/>
      <w:r w:rsidRPr="00C9062A">
        <w:rPr>
          <w:rFonts w:ascii="Arial" w:hAnsi="Arial" w:cs="Arial"/>
        </w:rPr>
        <w:t>Demkiv</w:t>
      </w:r>
      <w:proofErr w:type="spellEnd"/>
      <w:r w:rsidRPr="00C9062A">
        <w:rPr>
          <w:rFonts w:ascii="Arial" w:hAnsi="Arial" w:cs="Arial"/>
        </w:rPr>
        <w:t xml:space="preserve">, Y. and </w:t>
      </w:r>
      <w:proofErr w:type="spellStart"/>
      <w:r w:rsidRPr="00C9062A">
        <w:rPr>
          <w:rFonts w:ascii="Arial" w:hAnsi="Arial" w:cs="Arial"/>
        </w:rPr>
        <w:t>Salamatin</w:t>
      </w:r>
      <w:proofErr w:type="spellEnd"/>
      <w:r w:rsidRPr="00C9062A">
        <w:rPr>
          <w:rFonts w:ascii="Arial" w:hAnsi="Arial" w:cs="Arial"/>
        </w:rPr>
        <w:t xml:space="preserve">, K., 2024. Specifics of Pricing Policy in the Global Energy Market in Context of Energy Transitions. </w:t>
      </w:r>
    </w:p>
    <w:p w14:paraId="2C53A90B" w14:textId="77777777" w:rsidR="00AD4FE6" w:rsidRPr="00C9062A" w:rsidRDefault="00D40B73" w:rsidP="00C9062A">
      <w:pPr>
        <w:spacing w:line="360" w:lineRule="auto"/>
        <w:jc w:val="both"/>
        <w:rPr>
          <w:rFonts w:ascii="Arial" w:hAnsi="Arial" w:cs="Arial"/>
        </w:rPr>
      </w:pPr>
      <w:r w:rsidRPr="00C9062A">
        <w:rPr>
          <w:rFonts w:ascii="Arial" w:hAnsi="Arial" w:cs="Arial"/>
        </w:rPr>
        <w:t xml:space="preserve">Schiffer, H.W., 2023. Forecasts and scenarios for global energy supply up to 2050-synopsis of the approaches and results of studies published in 2023. </w:t>
      </w:r>
      <w:proofErr w:type="spellStart"/>
      <w:r w:rsidRPr="00C9062A">
        <w:rPr>
          <w:rFonts w:ascii="Arial" w:hAnsi="Arial" w:cs="Arial"/>
        </w:rPr>
        <w:t>vgbe</w:t>
      </w:r>
      <w:proofErr w:type="spellEnd"/>
      <w:r w:rsidRPr="00C9062A">
        <w:rPr>
          <w:rFonts w:ascii="Arial" w:hAnsi="Arial" w:cs="Arial"/>
        </w:rPr>
        <w:t xml:space="preserve"> energy journal, 11.</w:t>
      </w:r>
    </w:p>
    <w:p w14:paraId="2088E13E" w14:textId="77777777" w:rsidR="00072FBB" w:rsidRPr="00C9062A" w:rsidRDefault="00072FBB" w:rsidP="00C9062A">
      <w:pPr>
        <w:spacing w:line="360" w:lineRule="auto"/>
        <w:jc w:val="both"/>
        <w:rPr>
          <w:rFonts w:ascii="Arial" w:hAnsi="Arial" w:cs="Arial"/>
        </w:rPr>
      </w:pPr>
      <w:r w:rsidRPr="00C9062A">
        <w:rPr>
          <w:rFonts w:ascii="Arial" w:hAnsi="Arial" w:cs="Arial"/>
        </w:rPr>
        <w:br w:type="page"/>
      </w:r>
    </w:p>
    <w:p w14:paraId="3E35BD9F" w14:textId="77777777" w:rsidR="00072FBB" w:rsidRPr="00C9062A" w:rsidRDefault="00072FBB" w:rsidP="00C9062A">
      <w:pPr>
        <w:pStyle w:val="Heading1"/>
      </w:pPr>
      <w:bookmarkStart w:id="3" w:name="_Toc228296615"/>
      <w:r w:rsidRPr="00C9062A">
        <w:lastRenderedPageBreak/>
        <w:t>Element 2: STDP Analysis (Segmentation, Targeting, Differentiation, Positioning)</w:t>
      </w:r>
      <w:bookmarkEnd w:id="3"/>
    </w:p>
    <w:p w14:paraId="2EB85C26" w14:textId="77777777" w:rsidR="00072FBB" w:rsidRPr="00C9062A" w:rsidRDefault="00072FBB" w:rsidP="00C9062A">
      <w:pPr>
        <w:pStyle w:val="Heading2"/>
      </w:pPr>
      <w:bookmarkStart w:id="4" w:name="_Toc228296616"/>
      <w:r w:rsidRPr="00C9062A">
        <w:t>2.1 Market Segmentation</w:t>
      </w:r>
      <w:bookmarkEnd w:id="4"/>
    </w:p>
    <w:p w14:paraId="71B3DA0B"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Effective segmentation is essential for identifying high-value customer groups within the emerging smart energy ecosystem market. The global transition towards renewable energy and electrification has created diverse demand patterns shaped by economic, environmental, and technological factors (IEA, 2023). As shown in </w:t>
      </w:r>
      <w:r w:rsidRPr="00C9062A">
        <w:rPr>
          <w:rFonts w:ascii="Arial" w:hAnsi="Arial" w:cs="Arial"/>
          <w:bCs/>
        </w:rPr>
        <w:t>Table 1</w:t>
      </w:r>
      <w:r w:rsidRPr="00C9062A">
        <w:rPr>
          <w:rFonts w:ascii="Arial" w:hAnsi="Arial" w:cs="Arial"/>
        </w:rPr>
        <w:t xml:space="preserve">, segmentation for the BYD Smart Home Energy Ecosystem is structured across geographic, demographic, psychographic, and </w:t>
      </w:r>
      <w:proofErr w:type="spellStart"/>
      <w:r w:rsidRPr="00C9062A">
        <w:rPr>
          <w:rFonts w:ascii="Arial" w:hAnsi="Arial" w:cs="Arial"/>
        </w:rPr>
        <w:t>behavioural</w:t>
      </w:r>
      <w:proofErr w:type="spellEnd"/>
      <w:r w:rsidRPr="00C9062A">
        <w:rPr>
          <w:rFonts w:ascii="Arial" w:hAnsi="Arial" w:cs="Arial"/>
        </w:rPr>
        <w:t xml:space="preserve"> variables.</w:t>
      </w:r>
    </w:p>
    <w:p w14:paraId="1BC0D9B3" w14:textId="77777777" w:rsidR="00072FBB" w:rsidRPr="00C9062A" w:rsidRDefault="00072FBB" w:rsidP="00C9062A">
      <w:pPr>
        <w:spacing w:line="360" w:lineRule="auto"/>
        <w:jc w:val="both"/>
        <w:rPr>
          <w:rFonts w:ascii="Arial" w:hAnsi="Arial" w:cs="Arial"/>
          <w:b/>
          <w:bCs/>
        </w:rPr>
      </w:pPr>
      <w:r w:rsidRPr="00C9062A">
        <w:rPr>
          <w:rFonts w:ascii="Arial" w:hAnsi="Arial" w:cs="Arial"/>
          <w:b/>
          <w:bCs/>
        </w:rPr>
        <w:t>Table 1: Market Segmentation for BYD Smart Home Energy Ecosystem</w:t>
      </w:r>
    </w:p>
    <w:tbl>
      <w:tblPr>
        <w:tblStyle w:val="TableGrid"/>
        <w:tblW w:w="0" w:type="auto"/>
        <w:tblLook w:val="04A0" w:firstRow="1" w:lastRow="0" w:firstColumn="1" w:lastColumn="0" w:noHBand="0" w:noVBand="1"/>
      </w:tblPr>
      <w:tblGrid>
        <w:gridCol w:w="1974"/>
        <w:gridCol w:w="3037"/>
        <w:gridCol w:w="4339"/>
      </w:tblGrid>
      <w:tr w:rsidR="00072FBB" w:rsidRPr="00C9062A" w14:paraId="4F7E78EB" w14:textId="77777777" w:rsidTr="00040FCD">
        <w:tc>
          <w:tcPr>
            <w:tcW w:w="0" w:type="auto"/>
            <w:hideMark/>
          </w:tcPr>
          <w:p w14:paraId="506C6BB0" w14:textId="77777777" w:rsidR="00072FBB" w:rsidRPr="00C9062A" w:rsidRDefault="00072FBB" w:rsidP="00C9062A">
            <w:pPr>
              <w:spacing w:after="160" w:line="360" w:lineRule="auto"/>
              <w:jc w:val="both"/>
              <w:rPr>
                <w:rFonts w:ascii="Arial" w:hAnsi="Arial" w:cs="Arial"/>
                <w:b/>
                <w:bCs/>
              </w:rPr>
            </w:pPr>
            <w:r w:rsidRPr="00C9062A">
              <w:rPr>
                <w:rFonts w:ascii="Arial" w:hAnsi="Arial" w:cs="Arial"/>
                <w:b/>
                <w:bCs/>
              </w:rPr>
              <w:t>Segmentation Type</w:t>
            </w:r>
          </w:p>
        </w:tc>
        <w:tc>
          <w:tcPr>
            <w:tcW w:w="0" w:type="auto"/>
            <w:hideMark/>
          </w:tcPr>
          <w:p w14:paraId="6A6C1999" w14:textId="77777777" w:rsidR="00072FBB" w:rsidRPr="00C9062A" w:rsidRDefault="00072FBB" w:rsidP="00C9062A">
            <w:pPr>
              <w:spacing w:after="160" w:line="360" w:lineRule="auto"/>
              <w:jc w:val="both"/>
              <w:rPr>
                <w:rFonts w:ascii="Arial" w:hAnsi="Arial" w:cs="Arial"/>
                <w:b/>
                <w:bCs/>
              </w:rPr>
            </w:pPr>
            <w:r w:rsidRPr="00C9062A">
              <w:rPr>
                <w:rFonts w:ascii="Arial" w:hAnsi="Arial" w:cs="Arial"/>
                <w:b/>
                <w:bCs/>
              </w:rPr>
              <w:t>Key Characteristics</w:t>
            </w:r>
          </w:p>
        </w:tc>
        <w:tc>
          <w:tcPr>
            <w:tcW w:w="0" w:type="auto"/>
            <w:hideMark/>
          </w:tcPr>
          <w:p w14:paraId="501EFA8B" w14:textId="77777777" w:rsidR="00072FBB" w:rsidRPr="00C9062A" w:rsidRDefault="00072FBB" w:rsidP="00C9062A">
            <w:pPr>
              <w:spacing w:after="160" w:line="360" w:lineRule="auto"/>
              <w:jc w:val="both"/>
              <w:rPr>
                <w:rFonts w:ascii="Arial" w:hAnsi="Arial" w:cs="Arial"/>
                <w:b/>
                <w:bCs/>
              </w:rPr>
            </w:pPr>
            <w:r w:rsidRPr="00C9062A">
              <w:rPr>
                <w:rFonts w:ascii="Arial" w:hAnsi="Arial" w:cs="Arial"/>
                <w:b/>
                <w:bCs/>
              </w:rPr>
              <w:t>Evidence / Data</w:t>
            </w:r>
          </w:p>
        </w:tc>
      </w:tr>
      <w:tr w:rsidR="00072FBB" w:rsidRPr="00C9062A" w14:paraId="21CA6575" w14:textId="77777777" w:rsidTr="00040FCD">
        <w:tc>
          <w:tcPr>
            <w:tcW w:w="0" w:type="auto"/>
            <w:hideMark/>
          </w:tcPr>
          <w:p w14:paraId="41F1A1B8" w14:textId="77777777" w:rsidR="00072FBB" w:rsidRPr="00C9062A" w:rsidRDefault="00072FBB" w:rsidP="00C9062A">
            <w:pPr>
              <w:spacing w:after="160" w:line="360" w:lineRule="auto"/>
              <w:jc w:val="both"/>
              <w:rPr>
                <w:rFonts w:ascii="Arial" w:hAnsi="Arial" w:cs="Arial"/>
              </w:rPr>
            </w:pPr>
            <w:r w:rsidRPr="00C9062A">
              <w:rPr>
                <w:rFonts w:ascii="Arial" w:hAnsi="Arial" w:cs="Arial"/>
              </w:rPr>
              <w:t>Geographic</w:t>
            </w:r>
          </w:p>
        </w:tc>
        <w:tc>
          <w:tcPr>
            <w:tcW w:w="0" w:type="auto"/>
            <w:hideMark/>
          </w:tcPr>
          <w:p w14:paraId="6DD5DB38" w14:textId="77777777" w:rsidR="00072FBB" w:rsidRPr="00C9062A" w:rsidRDefault="00072FBB" w:rsidP="00C9062A">
            <w:pPr>
              <w:spacing w:after="160" w:line="360" w:lineRule="auto"/>
              <w:jc w:val="both"/>
              <w:rPr>
                <w:rFonts w:ascii="Arial" w:hAnsi="Arial" w:cs="Arial"/>
              </w:rPr>
            </w:pPr>
            <w:r w:rsidRPr="00C9062A">
              <w:rPr>
                <w:rFonts w:ascii="Arial" w:hAnsi="Arial" w:cs="Arial"/>
              </w:rPr>
              <w:t>Developed &amp; emerging markets (China, EU, USA)</w:t>
            </w:r>
          </w:p>
        </w:tc>
        <w:tc>
          <w:tcPr>
            <w:tcW w:w="0" w:type="auto"/>
            <w:hideMark/>
          </w:tcPr>
          <w:p w14:paraId="4047E935" w14:textId="77777777" w:rsidR="00072FBB" w:rsidRPr="00C9062A" w:rsidRDefault="00072FBB" w:rsidP="00C9062A">
            <w:pPr>
              <w:spacing w:after="160" w:line="360" w:lineRule="auto"/>
              <w:jc w:val="both"/>
              <w:rPr>
                <w:rFonts w:ascii="Arial" w:hAnsi="Arial" w:cs="Arial"/>
              </w:rPr>
            </w:pPr>
            <w:r w:rsidRPr="00C9062A">
              <w:rPr>
                <w:rFonts w:ascii="Arial" w:hAnsi="Arial" w:cs="Arial"/>
              </w:rPr>
              <w:t xml:space="preserve">These regions account for over </w:t>
            </w:r>
            <w:r w:rsidRPr="00C9062A">
              <w:rPr>
                <w:rFonts w:ascii="Arial" w:hAnsi="Arial" w:cs="Arial"/>
                <w:bCs/>
              </w:rPr>
              <w:t>75% of global solar installations</w:t>
            </w:r>
            <w:r w:rsidRPr="00C9062A">
              <w:rPr>
                <w:rFonts w:ascii="Arial" w:hAnsi="Arial" w:cs="Arial"/>
              </w:rPr>
              <w:t xml:space="preserve"> (IEA, 2023)</w:t>
            </w:r>
          </w:p>
        </w:tc>
      </w:tr>
      <w:tr w:rsidR="00072FBB" w:rsidRPr="00C9062A" w14:paraId="4B7EE3C4" w14:textId="77777777" w:rsidTr="00040FCD">
        <w:tc>
          <w:tcPr>
            <w:tcW w:w="0" w:type="auto"/>
            <w:hideMark/>
          </w:tcPr>
          <w:p w14:paraId="6CA2ECC1" w14:textId="77777777" w:rsidR="00072FBB" w:rsidRPr="00C9062A" w:rsidRDefault="00072FBB" w:rsidP="00C9062A">
            <w:pPr>
              <w:spacing w:after="160" w:line="360" w:lineRule="auto"/>
              <w:jc w:val="both"/>
              <w:rPr>
                <w:rFonts w:ascii="Arial" w:hAnsi="Arial" w:cs="Arial"/>
              </w:rPr>
            </w:pPr>
            <w:r w:rsidRPr="00C9062A">
              <w:rPr>
                <w:rFonts w:ascii="Arial" w:hAnsi="Arial" w:cs="Arial"/>
              </w:rPr>
              <w:t>Demographic</w:t>
            </w:r>
          </w:p>
        </w:tc>
        <w:tc>
          <w:tcPr>
            <w:tcW w:w="0" w:type="auto"/>
            <w:hideMark/>
          </w:tcPr>
          <w:p w14:paraId="41618B3E" w14:textId="77777777" w:rsidR="00072FBB" w:rsidRPr="00C9062A" w:rsidRDefault="00072FBB" w:rsidP="00C9062A">
            <w:pPr>
              <w:spacing w:after="160" w:line="360" w:lineRule="auto"/>
              <w:jc w:val="both"/>
              <w:rPr>
                <w:rFonts w:ascii="Arial" w:hAnsi="Arial" w:cs="Arial"/>
              </w:rPr>
            </w:pPr>
            <w:r w:rsidRPr="00C9062A">
              <w:rPr>
                <w:rFonts w:ascii="Arial" w:hAnsi="Arial" w:cs="Arial"/>
              </w:rPr>
              <w:t>Age 30–55, middle–high income homeowners</w:t>
            </w:r>
          </w:p>
        </w:tc>
        <w:tc>
          <w:tcPr>
            <w:tcW w:w="0" w:type="auto"/>
            <w:hideMark/>
          </w:tcPr>
          <w:p w14:paraId="5627AF5A" w14:textId="77777777" w:rsidR="00072FBB" w:rsidRPr="00C9062A" w:rsidRDefault="00072FBB" w:rsidP="00C9062A">
            <w:pPr>
              <w:spacing w:after="160" w:line="360" w:lineRule="auto"/>
              <w:jc w:val="both"/>
              <w:rPr>
                <w:rFonts w:ascii="Arial" w:hAnsi="Arial" w:cs="Arial"/>
              </w:rPr>
            </w:pPr>
            <w:r w:rsidRPr="00C9062A">
              <w:rPr>
                <w:rFonts w:ascii="Arial" w:hAnsi="Arial" w:cs="Arial"/>
              </w:rPr>
              <w:t xml:space="preserve">Households earning higher incomes are </w:t>
            </w:r>
            <w:r w:rsidRPr="00C9062A">
              <w:rPr>
                <w:rFonts w:ascii="Arial" w:hAnsi="Arial" w:cs="Arial"/>
                <w:bCs/>
              </w:rPr>
              <w:t>2x more likely to adopt solar systems</w:t>
            </w:r>
            <w:r w:rsidRPr="00C9062A">
              <w:rPr>
                <w:rFonts w:ascii="Arial" w:hAnsi="Arial" w:cs="Arial"/>
              </w:rPr>
              <w:t xml:space="preserve"> (</w:t>
            </w:r>
            <w:r w:rsidR="00352360" w:rsidRPr="00C9062A">
              <w:rPr>
                <w:rFonts w:ascii="Arial" w:hAnsi="Arial" w:cs="Arial"/>
              </w:rPr>
              <w:t>Melnyk et al., 2024</w:t>
            </w:r>
            <w:r w:rsidRPr="00C9062A">
              <w:rPr>
                <w:rFonts w:ascii="Arial" w:hAnsi="Arial" w:cs="Arial"/>
              </w:rPr>
              <w:t>)</w:t>
            </w:r>
          </w:p>
        </w:tc>
      </w:tr>
      <w:tr w:rsidR="00072FBB" w:rsidRPr="00C9062A" w14:paraId="22264F23" w14:textId="77777777" w:rsidTr="00040FCD">
        <w:tc>
          <w:tcPr>
            <w:tcW w:w="0" w:type="auto"/>
            <w:hideMark/>
          </w:tcPr>
          <w:p w14:paraId="5DF4A866" w14:textId="77777777" w:rsidR="00072FBB" w:rsidRPr="00C9062A" w:rsidRDefault="00072FBB" w:rsidP="00C9062A">
            <w:pPr>
              <w:spacing w:after="160" w:line="360" w:lineRule="auto"/>
              <w:jc w:val="both"/>
              <w:rPr>
                <w:rFonts w:ascii="Arial" w:hAnsi="Arial" w:cs="Arial"/>
              </w:rPr>
            </w:pPr>
            <w:r w:rsidRPr="00C9062A">
              <w:rPr>
                <w:rFonts w:ascii="Arial" w:hAnsi="Arial" w:cs="Arial"/>
              </w:rPr>
              <w:t>Psychographic</w:t>
            </w:r>
          </w:p>
        </w:tc>
        <w:tc>
          <w:tcPr>
            <w:tcW w:w="0" w:type="auto"/>
            <w:hideMark/>
          </w:tcPr>
          <w:p w14:paraId="0DED34DD" w14:textId="77777777" w:rsidR="00072FBB" w:rsidRPr="00C9062A" w:rsidRDefault="00072FBB" w:rsidP="00C9062A">
            <w:pPr>
              <w:spacing w:after="160" w:line="360" w:lineRule="auto"/>
              <w:jc w:val="both"/>
              <w:rPr>
                <w:rFonts w:ascii="Arial" w:hAnsi="Arial" w:cs="Arial"/>
              </w:rPr>
            </w:pPr>
            <w:r w:rsidRPr="00C9062A">
              <w:rPr>
                <w:rFonts w:ascii="Arial" w:hAnsi="Arial" w:cs="Arial"/>
              </w:rPr>
              <w:t>Environmentally conscious, tech-oriented consumers</w:t>
            </w:r>
          </w:p>
        </w:tc>
        <w:tc>
          <w:tcPr>
            <w:tcW w:w="0" w:type="auto"/>
            <w:hideMark/>
          </w:tcPr>
          <w:p w14:paraId="6011B3A9" w14:textId="77777777" w:rsidR="00072FBB" w:rsidRPr="00C9062A" w:rsidRDefault="00072FBB" w:rsidP="00C9062A">
            <w:pPr>
              <w:spacing w:after="160" w:line="360" w:lineRule="auto"/>
              <w:jc w:val="both"/>
              <w:rPr>
                <w:rFonts w:ascii="Arial" w:hAnsi="Arial" w:cs="Arial"/>
              </w:rPr>
            </w:pPr>
            <w:r w:rsidRPr="00C9062A">
              <w:rPr>
                <w:rFonts w:ascii="Arial" w:hAnsi="Arial" w:cs="Arial"/>
              </w:rPr>
              <w:t xml:space="preserve">Over </w:t>
            </w:r>
            <w:r w:rsidRPr="00C9062A">
              <w:rPr>
                <w:rFonts w:ascii="Arial" w:hAnsi="Arial" w:cs="Arial"/>
                <w:bCs/>
              </w:rPr>
              <w:t xml:space="preserve">70% of consumers </w:t>
            </w:r>
            <w:proofErr w:type="spellStart"/>
            <w:r w:rsidRPr="00C9062A">
              <w:rPr>
                <w:rFonts w:ascii="Arial" w:hAnsi="Arial" w:cs="Arial"/>
                <w:bCs/>
              </w:rPr>
              <w:t>prioritise</w:t>
            </w:r>
            <w:proofErr w:type="spellEnd"/>
            <w:r w:rsidRPr="00C9062A">
              <w:rPr>
                <w:rFonts w:ascii="Arial" w:hAnsi="Arial" w:cs="Arial"/>
                <w:bCs/>
              </w:rPr>
              <w:t xml:space="preserve"> sustainability</w:t>
            </w:r>
            <w:r w:rsidRPr="00C9062A">
              <w:rPr>
                <w:rFonts w:ascii="Arial" w:hAnsi="Arial" w:cs="Arial"/>
              </w:rPr>
              <w:t xml:space="preserve"> in energy decisions (Deloitte, 2023)</w:t>
            </w:r>
          </w:p>
        </w:tc>
      </w:tr>
      <w:tr w:rsidR="00072FBB" w:rsidRPr="00C9062A" w14:paraId="71971D26" w14:textId="77777777" w:rsidTr="00040FCD">
        <w:tc>
          <w:tcPr>
            <w:tcW w:w="0" w:type="auto"/>
            <w:hideMark/>
          </w:tcPr>
          <w:p w14:paraId="32B6A50B" w14:textId="77777777" w:rsidR="00072FBB" w:rsidRPr="00C9062A" w:rsidRDefault="00072FBB" w:rsidP="00C9062A">
            <w:pPr>
              <w:spacing w:after="160" w:line="360" w:lineRule="auto"/>
              <w:jc w:val="both"/>
              <w:rPr>
                <w:rFonts w:ascii="Arial" w:hAnsi="Arial" w:cs="Arial"/>
              </w:rPr>
            </w:pPr>
            <w:proofErr w:type="spellStart"/>
            <w:r w:rsidRPr="00C9062A">
              <w:rPr>
                <w:rFonts w:ascii="Arial" w:hAnsi="Arial" w:cs="Arial"/>
              </w:rPr>
              <w:t>Behavioural</w:t>
            </w:r>
            <w:proofErr w:type="spellEnd"/>
          </w:p>
        </w:tc>
        <w:tc>
          <w:tcPr>
            <w:tcW w:w="0" w:type="auto"/>
            <w:hideMark/>
          </w:tcPr>
          <w:p w14:paraId="23E65ABC" w14:textId="77777777" w:rsidR="00072FBB" w:rsidRPr="00C9062A" w:rsidRDefault="00072FBB" w:rsidP="00C9062A">
            <w:pPr>
              <w:spacing w:after="160" w:line="360" w:lineRule="auto"/>
              <w:jc w:val="both"/>
              <w:rPr>
                <w:rFonts w:ascii="Arial" w:hAnsi="Arial" w:cs="Arial"/>
              </w:rPr>
            </w:pPr>
            <w:r w:rsidRPr="00C9062A">
              <w:rPr>
                <w:rFonts w:ascii="Arial" w:hAnsi="Arial" w:cs="Arial"/>
              </w:rPr>
              <w:t>EV owners, early adopters of smart home tech</w:t>
            </w:r>
          </w:p>
        </w:tc>
        <w:tc>
          <w:tcPr>
            <w:tcW w:w="0" w:type="auto"/>
            <w:hideMark/>
          </w:tcPr>
          <w:p w14:paraId="57339990" w14:textId="77777777" w:rsidR="00072FBB" w:rsidRPr="00C9062A" w:rsidRDefault="00072FBB" w:rsidP="00C9062A">
            <w:pPr>
              <w:spacing w:after="160" w:line="360" w:lineRule="auto"/>
              <w:jc w:val="both"/>
              <w:rPr>
                <w:rFonts w:ascii="Arial" w:hAnsi="Arial" w:cs="Arial"/>
              </w:rPr>
            </w:pPr>
            <w:r w:rsidRPr="00C9062A">
              <w:rPr>
                <w:rFonts w:ascii="Arial" w:hAnsi="Arial" w:cs="Arial"/>
              </w:rPr>
              <w:t xml:space="preserve">Global EV sales exceeded </w:t>
            </w:r>
            <w:r w:rsidRPr="00C9062A">
              <w:rPr>
                <w:rFonts w:ascii="Arial" w:hAnsi="Arial" w:cs="Arial"/>
                <w:bCs/>
              </w:rPr>
              <w:t>14 million units in 2023</w:t>
            </w:r>
            <w:r w:rsidRPr="00C9062A">
              <w:rPr>
                <w:rFonts w:ascii="Arial" w:hAnsi="Arial" w:cs="Arial"/>
              </w:rPr>
              <w:t>, increasing demand for integrated systems (IEA, 2024)</w:t>
            </w:r>
          </w:p>
        </w:tc>
      </w:tr>
    </w:tbl>
    <w:p w14:paraId="4D4633F7"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As illustrated in </w:t>
      </w:r>
      <w:r w:rsidRPr="00C9062A">
        <w:rPr>
          <w:rFonts w:ascii="Arial" w:hAnsi="Arial" w:cs="Arial"/>
          <w:bCs/>
        </w:rPr>
        <w:t>Table 1</w:t>
      </w:r>
      <w:r w:rsidRPr="00C9062A">
        <w:rPr>
          <w:rFonts w:ascii="Arial" w:hAnsi="Arial" w:cs="Arial"/>
        </w:rPr>
        <w:t xml:space="preserve">, the most attractive segment consists of urban, high-income homeowners with strong environmental awareness and existing engagement with electric vehicles and smart technologies. This segment demonstrates both the financial capacity and </w:t>
      </w:r>
      <w:proofErr w:type="spellStart"/>
      <w:r w:rsidRPr="00C9062A">
        <w:rPr>
          <w:rFonts w:ascii="Arial" w:hAnsi="Arial" w:cs="Arial"/>
        </w:rPr>
        <w:t>behavioural</w:t>
      </w:r>
      <w:proofErr w:type="spellEnd"/>
      <w:r w:rsidRPr="00C9062A">
        <w:rPr>
          <w:rFonts w:ascii="Arial" w:hAnsi="Arial" w:cs="Arial"/>
        </w:rPr>
        <w:t xml:space="preserve"> readiness to adopt integrated energy solutions.</w:t>
      </w:r>
    </w:p>
    <w:p w14:paraId="194459A2" w14:textId="77777777" w:rsidR="00072FBB" w:rsidRPr="00C9062A" w:rsidRDefault="00072FBB" w:rsidP="00C9062A">
      <w:pPr>
        <w:spacing w:line="360" w:lineRule="auto"/>
        <w:jc w:val="both"/>
        <w:rPr>
          <w:rFonts w:ascii="Arial" w:hAnsi="Arial" w:cs="Arial"/>
        </w:rPr>
      </w:pPr>
    </w:p>
    <w:p w14:paraId="6E2F5997" w14:textId="77777777" w:rsidR="00072FBB" w:rsidRPr="00C9062A" w:rsidRDefault="00072FBB" w:rsidP="00C9062A">
      <w:pPr>
        <w:pStyle w:val="Heading2"/>
      </w:pPr>
      <w:bookmarkStart w:id="5" w:name="_Toc228296617"/>
      <w:r w:rsidRPr="00C9062A">
        <w:lastRenderedPageBreak/>
        <w:t>2.2 Targeting Strategy</w:t>
      </w:r>
      <w:bookmarkEnd w:id="5"/>
    </w:p>
    <w:p w14:paraId="298CE979" w14:textId="77777777" w:rsidR="00072FBB" w:rsidRPr="00C9062A" w:rsidRDefault="00072FBB" w:rsidP="00C9062A">
      <w:pPr>
        <w:spacing w:line="360" w:lineRule="auto"/>
        <w:jc w:val="both"/>
        <w:rPr>
          <w:rFonts w:ascii="Arial" w:hAnsi="Arial" w:cs="Arial"/>
        </w:rPr>
      </w:pPr>
      <w:r w:rsidRPr="00C9062A">
        <w:rPr>
          <w:rFonts w:ascii="Arial" w:hAnsi="Arial" w:cs="Arial"/>
        </w:rPr>
        <w:t>Based on the segmentation analysis, the primary target market is:</w:t>
      </w:r>
    </w:p>
    <w:p w14:paraId="1DE584ED" w14:textId="77777777" w:rsidR="00072FBB" w:rsidRPr="00C9062A" w:rsidRDefault="00072FBB" w:rsidP="00C9062A">
      <w:pPr>
        <w:spacing w:line="360" w:lineRule="auto"/>
        <w:jc w:val="both"/>
        <w:rPr>
          <w:rFonts w:ascii="Arial" w:hAnsi="Arial" w:cs="Arial"/>
        </w:rPr>
      </w:pPr>
      <w:r w:rsidRPr="00C9062A">
        <w:rPr>
          <w:rFonts w:ascii="Arial" w:hAnsi="Arial" w:cs="Arial"/>
          <w:b/>
          <w:bCs/>
        </w:rPr>
        <w:t>Urban, middle-to-high income homeowners aged 30–50 who own or intend to purchase electric vehicles</w:t>
      </w:r>
    </w:p>
    <w:p w14:paraId="092933E5" w14:textId="77777777" w:rsidR="00072FBB" w:rsidRPr="00C9062A" w:rsidRDefault="00072FBB" w:rsidP="00C9062A">
      <w:pPr>
        <w:spacing w:line="360" w:lineRule="auto"/>
        <w:jc w:val="both"/>
        <w:rPr>
          <w:rFonts w:ascii="Arial" w:hAnsi="Arial" w:cs="Arial"/>
        </w:rPr>
      </w:pPr>
      <w:r w:rsidRPr="00C9062A">
        <w:rPr>
          <w:rFonts w:ascii="Arial" w:hAnsi="Arial" w:cs="Arial"/>
        </w:rPr>
        <w:t>This group is strategically significant due to its high purchasing power and increasing interest in energy independence. Research indicates that households with EV ownership are significantly more likely to invest in home energy systems, as they seek to reduce long-term electricity costs and reliance on external grids (McKinsey</w:t>
      </w:r>
      <w:r w:rsidR="008D220D">
        <w:rPr>
          <w:rFonts w:ascii="Arial" w:hAnsi="Arial" w:cs="Arial"/>
        </w:rPr>
        <w:t xml:space="preserve"> </w:t>
      </w:r>
      <w:r w:rsidR="008D220D" w:rsidRPr="00C9062A">
        <w:rPr>
          <w:rFonts w:ascii="Arial" w:hAnsi="Arial" w:cs="Arial"/>
        </w:rPr>
        <w:t>&amp; Company</w:t>
      </w:r>
      <w:r w:rsidRPr="00C9062A">
        <w:rPr>
          <w:rFonts w:ascii="Arial" w:hAnsi="Arial" w:cs="Arial"/>
        </w:rPr>
        <w:t xml:space="preserve">, 2023). Additionally, rising electricity prices </w:t>
      </w:r>
      <w:proofErr w:type="gramStart"/>
      <w:r w:rsidRPr="00C9062A">
        <w:rPr>
          <w:rFonts w:ascii="Arial" w:hAnsi="Arial" w:cs="Arial"/>
        </w:rPr>
        <w:t>projected</w:t>
      </w:r>
      <w:proofErr w:type="gramEnd"/>
      <w:r w:rsidRPr="00C9062A">
        <w:rPr>
          <w:rFonts w:ascii="Arial" w:hAnsi="Arial" w:cs="Arial"/>
        </w:rPr>
        <w:t xml:space="preserve"> to increase by over </w:t>
      </w:r>
      <w:r w:rsidRPr="00C9062A">
        <w:rPr>
          <w:rFonts w:ascii="Arial" w:hAnsi="Arial" w:cs="Arial"/>
          <w:bCs/>
        </w:rPr>
        <w:t>20% in many regions by 2030</w:t>
      </w:r>
      <w:r w:rsidRPr="00C9062A">
        <w:rPr>
          <w:rFonts w:ascii="Arial" w:hAnsi="Arial" w:cs="Arial"/>
        </w:rPr>
        <w:t xml:space="preserve"> further </w:t>
      </w:r>
      <w:proofErr w:type="spellStart"/>
      <w:proofErr w:type="gramStart"/>
      <w:r w:rsidRPr="00C9062A">
        <w:rPr>
          <w:rFonts w:ascii="Arial" w:hAnsi="Arial" w:cs="Arial"/>
        </w:rPr>
        <w:t>incentivise</w:t>
      </w:r>
      <w:proofErr w:type="spellEnd"/>
      <w:proofErr w:type="gramEnd"/>
      <w:r w:rsidRPr="00C9062A">
        <w:rPr>
          <w:rFonts w:ascii="Arial" w:hAnsi="Arial" w:cs="Arial"/>
        </w:rPr>
        <w:t xml:space="preserve"> this segment to adopt self-sufficient energy solutions (IEA, 2023).</w:t>
      </w:r>
    </w:p>
    <w:p w14:paraId="0CB889B9"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From a strategic perspective, BYD adopts a </w:t>
      </w:r>
      <w:r w:rsidRPr="00C9062A">
        <w:rPr>
          <w:rFonts w:ascii="Arial" w:hAnsi="Arial" w:cs="Arial"/>
          <w:bCs/>
        </w:rPr>
        <w:t>differentiated targeting approach</w:t>
      </w:r>
      <w:r w:rsidRPr="00C9062A">
        <w:rPr>
          <w:rFonts w:ascii="Arial" w:hAnsi="Arial" w:cs="Arial"/>
        </w:rPr>
        <w:t xml:space="preserve">, focusing on environmentally conscious consumers who value both cost efficiency and sustainability. This segment is particularly attractive as it aligns with long-term market growth, given that renewable energy adoption is expected to expand by over </w:t>
      </w:r>
      <w:r w:rsidRPr="00C9062A">
        <w:rPr>
          <w:rFonts w:ascii="Arial" w:hAnsi="Arial" w:cs="Arial"/>
          <w:bCs/>
        </w:rPr>
        <w:t>60% globally by 2030</w:t>
      </w:r>
      <w:r w:rsidRPr="00C9062A">
        <w:rPr>
          <w:rFonts w:ascii="Arial" w:hAnsi="Arial" w:cs="Arial"/>
        </w:rPr>
        <w:t xml:space="preserve"> (IEA, 2023). Furthermore, targeting EV owners allows BYD to leverage its existing customer base, strengthening brand loyalty and cross-selling opportunities. As shown in Figure 1, the rapid growth in EV adoption supports the increasing demand for integrated home energy solutions among EV users.</w:t>
      </w:r>
    </w:p>
    <w:p w14:paraId="1E883428" w14:textId="77777777" w:rsidR="00072FBB" w:rsidRPr="00C9062A" w:rsidRDefault="00072FBB" w:rsidP="000E1C2D">
      <w:pPr>
        <w:spacing w:line="360" w:lineRule="auto"/>
        <w:jc w:val="center"/>
        <w:rPr>
          <w:rFonts w:ascii="Arial" w:hAnsi="Arial" w:cs="Arial"/>
        </w:rPr>
      </w:pPr>
      <w:r w:rsidRPr="00C9062A">
        <w:rPr>
          <w:rFonts w:ascii="Arial" w:hAnsi="Arial" w:cs="Arial"/>
          <w:noProof/>
        </w:rPr>
        <w:lastRenderedPageBreak/>
        <w:drawing>
          <wp:inline distT="0" distB="0" distL="0" distR="0" wp14:anchorId="27ADF1CA" wp14:editId="17A8CDD4">
            <wp:extent cx="4452390" cy="4254500"/>
            <wp:effectExtent l="0" t="0" r="571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4452390" cy="4254500"/>
                    </a:xfrm>
                    <a:prstGeom prst="rect">
                      <a:avLst/>
                    </a:prstGeom>
                    <a:noFill/>
                    <a:ln>
                      <a:noFill/>
                    </a:ln>
                    <a:extLst>
                      <a:ext uri="{53640926-AAD7-44D8-BBD7-CCE9431645EC}">
                        <a14:shadowObscured xmlns:a14="http://schemas.microsoft.com/office/drawing/2010/main"/>
                      </a:ext>
                    </a:extLst>
                  </pic:spPr>
                </pic:pic>
              </a:graphicData>
            </a:graphic>
          </wp:inline>
        </w:drawing>
      </w:r>
    </w:p>
    <w:p w14:paraId="6A45B3FA" w14:textId="77777777" w:rsidR="00072FBB" w:rsidRPr="00C9062A" w:rsidRDefault="00072FBB" w:rsidP="00C9062A">
      <w:pPr>
        <w:pStyle w:val="NormalWeb"/>
        <w:spacing w:line="360" w:lineRule="auto"/>
        <w:jc w:val="both"/>
        <w:rPr>
          <w:rFonts w:ascii="Arial" w:hAnsi="Arial" w:cs="Arial"/>
        </w:rPr>
      </w:pPr>
      <w:r w:rsidRPr="00C9062A">
        <w:rPr>
          <w:rStyle w:val="Strong"/>
          <w:rFonts w:ascii="Arial" w:hAnsi="Arial" w:cs="Arial"/>
        </w:rPr>
        <w:t>Figure 1:</w:t>
      </w:r>
      <w:r w:rsidRPr="00C9062A">
        <w:rPr>
          <w:rFonts w:ascii="Arial" w:hAnsi="Arial" w:cs="Arial"/>
        </w:rPr>
        <w:t xml:space="preserve"> EV market share is projected to reach around 50% by 2030, indicating rapid global adoption of electric vehicles (</w:t>
      </w:r>
      <w:r w:rsidR="00C9062A" w:rsidRPr="00C9062A">
        <w:rPr>
          <w:rFonts w:ascii="Arial" w:hAnsi="Arial" w:cs="Arial"/>
        </w:rPr>
        <w:t>Recurrent Auto, 2024</w:t>
      </w:r>
      <w:r w:rsidRPr="00C9062A">
        <w:rPr>
          <w:rFonts w:ascii="Arial" w:hAnsi="Arial" w:cs="Arial"/>
        </w:rPr>
        <w:t>).</w:t>
      </w:r>
    </w:p>
    <w:p w14:paraId="0F1668AC" w14:textId="77777777" w:rsidR="00072FBB" w:rsidRPr="00C9062A" w:rsidRDefault="00072FBB" w:rsidP="00C9062A">
      <w:pPr>
        <w:pStyle w:val="Heading2"/>
      </w:pPr>
      <w:bookmarkStart w:id="6" w:name="_Toc228296618"/>
      <w:r w:rsidRPr="00C9062A">
        <w:t>2.3 Differentiation Strategy</w:t>
      </w:r>
      <w:bookmarkEnd w:id="6"/>
    </w:p>
    <w:p w14:paraId="69BA42B5"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The BYD Smart Home Energy Ecosystem differentiates itself through </w:t>
      </w:r>
      <w:r w:rsidRPr="00C9062A">
        <w:rPr>
          <w:rFonts w:ascii="Arial" w:hAnsi="Arial" w:cs="Arial"/>
          <w:bCs/>
        </w:rPr>
        <w:t>integration, cost efficiency, and sustainability leadership</w:t>
      </w:r>
      <w:r w:rsidRPr="00C9062A">
        <w:rPr>
          <w:rFonts w:ascii="Arial" w:hAnsi="Arial" w:cs="Arial"/>
        </w:rPr>
        <w:t>. Unlike competitors such as Tesla Energy, which primarily focus on battery storage and solar panels, BYD offers a fully integrated ecosystem combining EVs, batteries, and renewable energy systems within a single platform.</w:t>
      </w:r>
    </w:p>
    <w:p w14:paraId="299E0ABF" w14:textId="77777777" w:rsidR="00072FBB" w:rsidRPr="00C9062A" w:rsidRDefault="00072FBB" w:rsidP="00C9062A">
      <w:pPr>
        <w:spacing w:line="360" w:lineRule="auto"/>
        <w:jc w:val="both"/>
        <w:rPr>
          <w:rFonts w:ascii="Arial" w:hAnsi="Arial" w:cs="Arial"/>
        </w:rPr>
      </w:pPr>
      <w:r w:rsidRPr="00C9062A">
        <w:rPr>
          <w:rFonts w:ascii="Arial" w:hAnsi="Arial" w:cs="Arial"/>
        </w:rPr>
        <w:t>Key differentiation factors include:</w:t>
      </w:r>
    </w:p>
    <w:p w14:paraId="2F0F17EE" w14:textId="77777777" w:rsidR="00072FBB" w:rsidRPr="00C9062A" w:rsidRDefault="00072FBB" w:rsidP="00C9062A">
      <w:pPr>
        <w:numPr>
          <w:ilvl w:val="0"/>
          <w:numId w:val="6"/>
        </w:numPr>
        <w:spacing w:line="360" w:lineRule="auto"/>
        <w:jc w:val="both"/>
        <w:rPr>
          <w:rFonts w:ascii="Arial" w:hAnsi="Arial" w:cs="Arial"/>
        </w:rPr>
      </w:pPr>
      <w:r w:rsidRPr="00C9062A">
        <w:rPr>
          <w:rFonts w:ascii="Arial" w:hAnsi="Arial" w:cs="Arial"/>
          <w:b/>
          <w:bCs/>
        </w:rPr>
        <w:t>Vertical Integration:</w:t>
      </w:r>
      <w:r w:rsidRPr="00C9062A">
        <w:rPr>
          <w:rFonts w:ascii="Arial" w:hAnsi="Arial" w:cs="Arial"/>
        </w:rPr>
        <w:t xml:space="preserve"> BYD produces its own batteries, EVs, and energy systems, reducing production costs by up to </w:t>
      </w:r>
      <w:r w:rsidRPr="00C9062A">
        <w:rPr>
          <w:rFonts w:ascii="Arial" w:hAnsi="Arial" w:cs="Arial"/>
          <w:bCs/>
        </w:rPr>
        <w:t>15–20% compared to competitors</w:t>
      </w:r>
      <w:r w:rsidRPr="00C9062A">
        <w:rPr>
          <w:rFonts w:ascii="Arial" w:hAnsi="Arial" w:cs="Arial"/>
        </w:rPr>
        <w:t xml:space="preserve"> (</w:t>
      </w:r>
      <w:r w:rsidR="007B002E" w:rsidRPr="00C9062A">
        <w:rPr>
          <w:rFonts w:ascii="Arial" w:hAnsi="Arial" w:cs="Arial"/>
        </w:rPr>
        <w:t>Di Maro, 2025</w:t>
      </w:r>
      <w:r w:rsidRPr="00C9062A">
        <w:rPr>
          <w:rFonts w:ascii="Arial" w:hAnsi="Arial" w:cs="Arial"/>
        </w:rPr>
        <w:t xml:space="preserve">). This enables competitive pricing without compromising quality. </w:t>
      </w:r>
    </w:p>
    <w:p w14:paraId="7115D76E" w14:textId="77777777" w:rsidR="00072FBB" w:rsidRPr="00C9062A" w:rsidRDefault="00072FBB" w:rsidP="00C9062A">
      <w:pPr>
        <w:numPr>
          <w:ilvl w:val="0"/>
          <w:numId w:val="6"/>
        </w:numPr>
        <w:spacing w:line="360" w:lineRule="auto"/>
        <w:jc w:val="both"/>
        <w:rPr>
          <w:rFonts w:ascii="Arial" w:hAnsi="Arial" w:cs="Arial"/>
        </w:rPr>
      </w:pPr>
      <w:r w:rsidRPr="00C9062A">
        <w:rPr>
          <w:rFonts w:ascii="Arial" w:hAnsi="Arial" w:cs="Arial"/>
          <w:b/>
          <w:bCs/>
        </w:rPr>
        <w:lastRenderedPageBreak/>
        <w:t>Ecosystem Synergy:</w:t>
      </w:r>
      <w:r w:rsidRPr="00C9062A">
        <w:rPr>
          <w:rFonts w:ascii="Arial" w:hAnsi="Arial" w:cs="Arial"/>
        </w:rPr>
        <w:t xml:space="preserve"> The integration of EVs with home energy systems allows bi-directional energy flow (vehicle-to-home), improving energy efficiency and flexibility. </w:t>
      </w:r>
    </w:p>
    <w:p w14:paraId="6DF68C39" w14:textId="77777777" w:rsidR="00072FBB" w:rsidRPr="00C9062A" w:rsidRDefault="00072FBB" w:rsidP="00C9062A">
      <w:pPr>
        <w:numPr>
          <w:ilvl w:val="0"/>
          <w:numId w:val="6"/>
        </w:numPr>
        <w:spacing w:line="360" w:lineRule="auto"/>
        <w:jc w:val="both"/>
        <w:rPr>
          <w:rFonts w:ascii="Arial" w:hAnsi="Arial" w:cs="Arial"/>
        </w:rPr>
      </w:pPr>
      <w:r w:rsidRPr="00C9062A">
        <w:rPr>
          <w:rFonts w:ascii="Arial" w:hAnsi="Arial" w:cs="Arial"/>
          <w:b/>
          <w:bCs/>
        </w:rPr>
        <w:t>Sustainability Focus:</w:t>
      </w:r>
      <w:r w:rsidRPr="00C9062A">
        <w:rPr>
          <w:rFonts w:ascii="Arial" w:hAnsi="Arial" w:cs="Arial"/>
        </w:rPr>
        <w:t xml:space="preserve"> The system directly supports global </w:t>
      </w:r>
      <w:proofErr w:type="spellStart"/>
      <w:r w:rsidRPr="00C9062A">
        <w:rPr>
          <w:rFonts w:ascii="Arial" w:hAnsi="Arial" w:cs="Arial"/>
        </w:rPr>
        <w:t>decarbonisation</w:t>
      </w:r>
      <w:proofErr w:type="spellEnd"/>
      <w:r w:rsidRPr="00C9062A">
        <w:rPr>
          <w:rFonts w:ascii="Arial" w:hAnsi="Arial" w:cs="Arial"/>
        </w:rPr>
        <w:t xml:space="preserve"> goals, with residential solar solutions capable of reducing household emissions by up to </w:t>
      </w:r>
      <w:r w:rsidRPr="00C9062A">
        <w:rPr>
          <w:rFonts w:ascii="Arial" w:hAnsi="Arial" w:cs="Arial"/>
          <w:b/>
          <w:bCs/>
        </w:rPr>
        <w:t>50%</w:t>
      </w:r>
      <w:r w:rsidRPr="00C9062A">
        <w:rPr>
          <w:rFonts w:ascii="Arial" w:hAnsi="Arial" w:cs="Arial"/>
        </w:rPr>
        <w:t xml:space="preserve"> (IEA, 2023). </w:t>
      </w:r>
    </w:p>
    <w:p w14:paraId="266E4AE3" w14:textId="77777777" w:rsidR="00072FBB" w:rsidRPr="00C9062A" w:rsidRDefault="00072FBB" w:rsidP="00C9062A">
      <w:pPr>
        <w:numPr>
          <w:ilvl w:val="0"/>
          <w:numId w:val="6"/>
        </w:numPr>
        <w:spacing w:line="360" w:lineRule="auto"/>
        <w:jc w:val="both"/>
        <w:rPr>
          <w:rFonts w:ascii="Arial" w:hAnsi="Arial" w:cs="Arial"/>
        </w:rPr>
      </w:pPr>
      <w:r w:rsidRPr="00C9062A">
        <w:rPr>
          <w:rFonts w:ascii="Arial" w:hAnsi="Arial" w:cs="Arial"/>
          <w:b/>
          <w:bCs/>
        </w:rPr>
        <w:t xml:space="preserve">AI-driven </w:t>
      </w:r>
      <w:proofErr w:type="spellStart"/>
      <w:r w:rsidRPr="00C9062A">
        <w:rPr>
          <w:rFonts w:ascii="Arial" w:hAnsi="Arial" w:cs="Arial"/>
          <w:b/>
          <w:bCs/>
        </w:rPr>
        <w:t>Optimisation</w:t>
      </w:r>
      <w:proofErr w:type="spellEnd"/>
      <w:r w:rsidRPr="00C9062A">
        <w:rPr>
          <w:rFonts w:ascii="Arial" w:hAnsi="Arial" w:cs="Arial"/>
          <w:b/>
          <w:bCs/>
        </w:rPr>
        <w:t>:</w:t>
      </w:r>
      <w:r w:rsidRPr="00C9062A">
        <w:rPr>
          <w:rFonts w:ascii="Arial" w:hAnsi="Arial" w:cs="Arial"/>
        </w:rPr>
        <w:t xml:space="preserve"> Advanced energy management systems can reduce household energy costs by approximately </w:t>
      </w:r>
      <w:r w:rsidRPr="00C9062A">
        <w:rPr>
          <w:rFonts w:ascii="Arial" w:hAnsi="Arial" w:cs="Arial"/>
          <w:bCs/>
        </w:rPr>
        <w:t>20%</w:t>
      </w:r>
      <w:r w:rsidRPr="00C9062A">
        <w:rPr>
          <w:rFonts w:ascii="Arial" w:hAnsi="Arial" w:cs="Arial"/>
        </w:rPr>
        <w:t>, enhancing value for consumers (McKinsey</w:t>
      </w:r>
      <w:r w:rsidR="008D220D">
        <w:rPr>
          <w:rFonts w:ascii="Arial" w:hAnsi="Arial" w:cs="Arial"/>
        </w:rPr>
        <w:t xml:space="preserve"> </w:t>
      </w:r>
      <w:r w:rsidR="008D220D" w:rsidRPr="00C9062A">
        <w:rPr>
          <w:rFonts w:ascii="Arial" w:hAnsi="Arial" w:cs="Arial"/>
        </w:rPr>
        <w:t>&amp; Company</w:t>
      </w:r>
      <w:r w:rsidRPr="00C9062A">
        <w:rPr>
          <w:rFonts w:ascii="Arial" w:hAnsi="Arial" w:cs="Arial"/>
        </w:rPr>
        <w:t xml:space="preserve">, 2023). </w:t>
      </w:r>
    </w:p>
    <w:p w14:paraId="703BBAC2"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Critically, this differentiation reflects a </w:t>
      </w:r>
      <w:r w:rsidRPr="00C9062A">
        <w:rPr>
          <w:rFonts w:ascii="Arial" w:hAnsi="Arial" w:cs="Arial"/>
          <w:bCs/>
        </w:rPr>
        <w:t>cost leadership and sustainability hybrid strategy</w:t>
      </w:r>
      <w:r w:rsidRPr="00C9062A">
        <w:rPr>
          <w:rFonts w:ascii="Arial" w:hAnsi="Arial" w:cs="Arial"/>
        </w:rPr>
        <w:t>, allowing BYD to compete on both affordability and environmental performance. However, challenges remain, particularly in competing with established premium brands and overcoming consumer trust barriers in Western markets.</w:t>
      </w:r>
    </w:p>
    <w:p w14:paraId="3E788B94" w14:textId="77777777" w:rsidR="00072FBB" w:rsidRPr="00C9062A" w:rsidRDefault="00072FBB" w:rsidP="00C9062A">
      <w:pPr>
        <w:pStyle w:val="Heading2"/>
      </w:pPr>
      <w:bookmarkStart w:id="7" w:name="_Toc228296619"/>
      <w:r w:rsidRPr="00C9062A">
        <w:t>2.4 Positioning Strategy</w:t>
      </w:r>
      <w:bookmarkEnd w:id="7"/>
    </w:p>
    <w:p w14:paraId="318F8435" w14:textId="77777777" w:rsidR="00072FBB" w:rsidRPr="00C9062A" w:rsidRDefault="00072FBB" w:rsidP="00C9062A">
      <w:pPr>
        <w:spacing w:line="360" w:lineRule="auto"/>
        <w:jc w:val="both"/>
        <w:rPr>
          <w:rFonts w:ascii="Arial" w:hAnsi="Arial" w:cs="Arial"/>
        </w:rPr>
      </w:pPr>
      <w:r w:rsidRPr="00C9062A">
        <w:rPr>
          <w:rFonts w:ascii="Arial" w:hAnsi="Arial" w:cs="Arial"/>
        </w:rPr>
        <w:t>The BYD Smart Home Energy Ecosystem is positioned as:</w:t>
      </w:r>
    </w:p>
    <w:p w14:paraId="69CFBE1E" w14:textId="77777777" w:rsidR="00072FBB" w:rsidRPr="00C9062A" w:rsidRDefault="00072FBB" w:rsidP="00C9062A">
      <w:pPr>
        <w:spacing w:line="360" w:lineRule="auto"/>
        <w:jc w:val="both"/>
        <w:rPr>
          <w:rFonts w:ascii="Arial" w:hAnsi="Arial" w:cs="Arial"/>
        </w:rPr>
      </w:pPr>
      <w:r w:rsidRPr="00C9062A">
        <w:rPr>
          <w:rFonts w:ascii="Arial" w:hAnsi="Arial" w:cs="Arial"/>
          <w:b/>
          <w:bCs/>
        </w:rPr>
        <w:t>“An affordable, integrated clean energy solution enabling sustainable and self-sufficient living.”</w:t>
      </w:r>
    </w:p>
    <w:p w14:paraId="61BD6F12"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This positioning differentiates BYD from premium competitors such as Tesla, which focus on high-end energy solutions. Instead, BYD targets a broader market by </w:t>
      </w:r>
      <w:proofErr w:type="spellStart"/>
      <w:r w:rsidRPr="00C9062A">
        <w:rPr>
          <w:rFonts w:ascii="Arial" w:hAnsi="Arial" w:cs="Arial"/>
        </w:rPr>
        <w:t>emphasising</w:t>
      </w:r>
      <w:proofErr w:type="spellEnd"/>
      <w:r w:rsidRPr="00C9062A">
        <w:rPr>
          <w:rFonts w:ascii="Arial" w:hAnsi="Arial" w:cs="Arial"/>
        </w:rPr>
        <w:t xml:space="preserve"> affordability, accessibility, and sustainability.</w:t>
      </w:r>
    </w:p>
    <w:p w14:paraId="3B5AEE24"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From a perceptual standpoint, the product occupies a space between </w:t>
      </w:r>
      <w:r w:rsidRPr="00C9062A">
        <w:rPr>
          <w:rFonts w:ascii="Arial" w:hAnsi="Arial" w:cs="Arial"/>
          <w:bCs/>
        </w:rPr>
        <w:t>cost-efficient solutions and advanced smart energy systems</w:t>
      </w:r>
      <w:r w:rsidRPr="00C9062A">
        <w:rPr>
          <w:rFonts w:ascii="Arial" w:hAnsi="Arial" w:cs="Arial"/>
        </w:rPr>
        <w:t xml:space="preserve">, offering both value and functionality. As shown in </w:t>
      </w:r>
      <w:r w:rsidRPr="00C9062A">
        <w:rPr>
          <w:rFonts w:ascii="Arial" w:hAnsi="Arial" w:cs="Arial"/>
          <w:bCs/>
        </w:rPr>
        <w:t>Table 1</w:t>
      </w:r>
      <w:r w:rsidRPr="00C9062A">
        <w:rPr>
          <w:rFonts w:ascii="Arial" w:hAnsi="Arial" w:cs="Arial"/>
        </w:rPr>
        <w:t>, this positioning aligns with the needs of environmentally conscious consumers seeking long-term cost savings and energy independence.</w:t>
      </w:r>
    </w:p>
    <w:p w14:paraId="2A6EA46F"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Furthermore, the global smart energy market is projected to exceed </w:t>
      </w:r>
      <w:r w:rsidRPr="00C9062A">
        <w:rPr>
          <w:rFonts w:ascii="Arial" w:hAnsi="Arial" w:cs="Arial"/>
          <w:bCs/>
        </w:rPr>
        <w:t>$1 trillion by 2030</w:t>
      </w:r>
      <w:r w:rsidRPr="00C9062A">
        <w:rPr>
          <w:rFonts w:ascii="Arial" w:hAnsi="Arial" w:cs="Arial"/>
        </w:rPr>
        <w:t>, driven by increasing electrification and renewable adoption (McKinsey</w:t>
      </w:r>
      <w:r w:rsidR="008D220D">
        <w:rPr>
          <w:rFonts w:ascii="Arial" w:hAnsi="Arial" w:cs="Arial"/>
        </w:rPr>
        <w:t xml:space="preserve"> </w:t>
      </w:r>
      <w:r w:rsidR="008D220D" w:rsidRPr="00C9062A">
        <w:rPr>
          <w:rFonts w:ascii="Arial" w:hAnsi="Arial" w:cs="Arial"/>
        </w:rPr>
        <w:t>&amp; Company</w:t>
      </w:r>
      <w:r w:rsidRPr="00C9062A">
        <w:rPr>
          <w:rFonts w:ascii="Arial" w:hAnsi="Arial" w:cs="Arial"/>
        </w:rPr>
        <w:t>, 2023). This reinforces the strategic relevance of BYD’s positioning within a high-growth industry.</w:t>
      </w:r>
    </w:p>
    <w:p w14:paraId="71A7097E" w14:textId="77777777" w:rsidR="00072FBB" w:rsidRPr="00C9062A" w:rsidRDefault="00072FBB" w:rsidP="00C9062A">
      <w:pPr>
        <w:pStyle w:val="Heading2"/>
      </w:pPr>
      <w:bookmarkStart w:id="8" w:name="_Toc228296620"/>
      <w:r w:rsidRPr="00C9062A">
        <w:lastRenderedPageBreak/>
        <w:t>Critical Evaluation</w:t>
      </w:r>
      <w:bookmarkEnd w:id="8"/>
    </w:p>
    <w:p w14:paraId="30241871" w14:textId="77777777" w:rsidR="00072FBB" w:rsidRPr="00C9062A" w:rsidRDefault="00072FBB" w:rsidP="00C9062A">
      <w:pPr>
        <w:spacing w:line="360" w:lineRule="auto"/>
        <w:jc w:val="both"/>
        <w:rPr>
          <w:rFonts w:ascii="Arial" w:hAnsi="Arial" w:cs="Arial"/>
        </w:rPr>
      </w:pPr>
      <w:r w:rsidRPr="00C9062A">
        <w:rPr>
          <w:rFonts w:ascii="Arial" w:hAnsi="Arial" w:cs="Arial"/>
        </w:rPr>
        <w:t>The STDP strategy demonstrates strong alignment between market trends and BYD’s capabilities. The segmentation effectively identifies high-potential consumers, while the targeting strategy focuses on a financially viable and environmentally motivated segment. Differentiation through vertical integration and ecosystem synergy provides a clear competitive advantage.</w:t>
      </w:r>
    </w:p>
    <w:p w14:paraId="73CA6FA7" w14:textId="77777777" w:rsidR="00072FBB" w:rsidRDefault="00072FBB" w:rsidP="00C9062A">
      <w:pPr>
        <w:spacing w:line="360" w:lineRule="auto"/>
        <w:jc w:val="both"/>
        <w:rPr>
          <w:rFonts w:ascii="Arial" w:hAnsi="Arial" w:cs="Arial"/>
        </w:rPr>
      </w:pPr>
      <w:r w:rsidRPr="00C9062A">
        <w:rPr>
          <w:rFonts w:ascii="Arial" w:hAnsi="Arial" w:cs="Arial"/>
        </w:rPr>
        <w:t>However, limitations exist. Market adoption may be constrained by high initial installation costs and regulatory differences across regions. Additionally, strong competition from established brands such as Tesla Energy may challenge BYD’s positioning in premium markets. Despite these challenges, BYD’s cost advantage and sustainability focus provide a solid foundation for long-term growth.</w:t>
      </w:r>
    </w:p>
    <w:p w14:paraId="6B00885A" w14:textId="31DD2223" w:rsidR="009B48A1" w:rsidRPr="00DC577C" w:rsidRDefault="009B48A1" w:rsidP="009B48A1">
      <w:pPr>
        <w:spacing w:line="360" w:lineRule="auto"/>
        <w:jc w:val="both"/>
        <w:rPr>
          <w:rFonts w:ascii="Arial" w:hAnsi="Arial" w:cs="Arial"/>
          <w:color w:val="000000" w:themeColor="text1"/>
          <w:lang w:val="en-IN"/>
        </w:rPr>
      </w:pPr>
      <w:r w:rsidRPr="00DC577C">
        <w:rPr>
          <w:rFonts w:ascii="Arial" w:hAnsi="Arial" w:cs="Arial"/>
          <w:color w:val="000000" w:themeColor="text1"/>
          <w:lang w:val="en-IN"/>
        </w:rPr>
        <w:t xml:space="preserve">On the other hand, positioning can be improved with a more distinct comparative market approach. Although BYD highlights its low cost and integrative nature, rival firms like Tesla use premium positioning based on innovation and brand prestige. Thus, BYD has the potential to create a position as a “value-innovation leader” </w:t>
      </w:r>
      <w:proofErr w:type="gramStart"/>
      <w:r w:rsidRPr="00DC577C">
        <w:rPr>
          <w:rFonts w:ascii="Arial" w:hAnsi="Arial" w:cs="Arial"/>
          <w:color w:val="000000" w:themeColor="text1"/>
          <w:lang w:val="en-IN"/>
        </w:rPr>
        <w:t>in order to</w:t>
      </w:r>
      <w:proofErr w:type="gramEnd"/>
      <w:r w:rsidRPr="00DC577C">
        <w:rPr>
          <w:rFonts w:ascii="Arial" w:hAnsi="Arial" w:cs="Arial"/>
          <w:color w:val="000000" w:themeColor="text1"/>
          <w:lang w:val="en-IN"/>
        </w:rPr>
        <w:t xml:space="preserve"> balance between expensive premium products and fragmented low-cost </w:t>
      </w:r>
      <w:r w:rsidR="00443372" w:rsidRPr="00DC577C">
        <w:rPr>
          <w:rFonts w:ascii="Arial" w:hAnsi="Arial" w:cs="Arial"/>
          <w:color w:val="000000" w:themeColor="text1"/>
          <w:lang w:val="en-IN"/>
        </w:rPr>
        <w:t xml:space="preserve">offerings </w:t>
      </w:r>
      <w:r w:rsidR="00443372" w:rsidRPr="00DC577C">
        <w:rPr>
          <w:rFonts w:ascii="Arial" w:hAnsi="Arial" w:cs="Arial"/>
          <w:color w:val="000000" w:themeColor="text1"/>
        </w:rPr>
        <w:t>(Di Maro, 2025)</w:t>
      </w:r>
      <w:r w:rsidRPr="00DC577C">
        <w:rPr>
          <w:rFonts w:ascii="Arial" w:hAnsi="Arial" w:cs="Arial"/>
          <w:color w:val="000000" w:themeColor="text1"/>
          <w:lang w:val="en-IN"/>
        </w:rPr>
        <w:t>. On the other hand, the chosen position may become a threat for BYD since customers tend to assume that cheaper products have low quality. Therefore, BYD should support its position with effective marketing efforts, including branding and customer experience management.</w:t>
      </w:r>
    </w:p>
    <w:p w14:paraId="4870A1B1" w14:textId="77777777" w:rsidR="009B48A1" w:rsidRPr="00C9062A" w:rsidRDefault="009B48A1" w:rsidP="00C9062A">
      <w:pPr>
        <w:spacing w:line="360" w:lineRule="auto"/>
        <w:jc w:val="both"/>
        <w:rPr>
          <w:rFonts w:ascii="Arial" w:hAnsi="Arial" w:cs="Arial"/>
        </w:rPr>
      </w:pPr>
    </w:p>
    <w:p w14:paraId="382A5A3F" w14:textId="77777777" w:rsidR="00072FBB" w:rsidRPr="00C9062A" w:rsidRDefault="00072FBB" w:rsidP="00C9062A">
      <w:pPr>
        <w:spacing w:line="360" w:lineRule="auto"/>
        <w:jc w:val="both"/>
        <w:rPr>
          <w:rFonts w:ascii="Arial" w:hAnsi="Arial" w:cs="Arial"/>
        </w:rPr>
      </w:pPr>
    </w:p>
    <w:p w14:paraId="4BD4F109" w14:textId="77777777" w:rsidR="00072FBB" w:rsidRPr="00C9062A" w:rsidRDefault="00072FBB" w:rsidP="00C9062A">
      <w:pPr>
        <w:spacing w:line="360" w:lineRule="auto"/>
        <w:jc w:val="both"/>
        <w:rPr>
          <w:rFonts w:ascii="Arial" w:hAnsi="Arial" w:cs="Arial"/>
        </w:rPr>
      </w:pPr>
      <w:r w:rsidRPr="00C9062A">
        <w:rPr>
          <w:rFonts w:ascii="Arial" w:hAnsi="Arial" w:cs="Arial"/>
        </w:rPr>
        <w:br w:type="page"/>
      </w:r>
    </w:p>
    <w:p w14:paraId="432FD16B" w14:textId="77777777" w:rsidR="00072FBB" w:rsidRPr="00C9062A" w:rsidRDefault="00072FBB" w:rsidP="00C9062A">
      <w:pPr>
        <w:pStyle w:val="Heading1"/>
      </w:pPr>
      <w:bookmarkStart w:id="9" w:name="_Toc228296621"/>
      <w:r w:rsidRPr="00C9062A">
        <w:lastRenderedPageBreak/>
        <w:t>References</w:t>
      </w:r>
      <w:r w:rsidR="00352360" w:rsidRPr="00C9062A">
        <w:t xml:space="preserve"> (Element 2)</w:t>
      </w:r>
      <w:bookmarkEnd w:id="9"/>
    </w:p>
    <w:p w14:paraId="1C81C5F9" w14:textId="77777777" w:rsidR="000E1C2D" w:rsidRDefault="000E1C2D" w:rsidP="00C9062A">
      <w:pPr>
        <w:spacing w:line="360" w:lineRule="auto"/>
        <w:jc w:val="both"/>
        <w:rPr>
          <w:rFonts w:ascii="Arial" w:hAnsi="Arial" w:cs="Arial"/>
        </w:rPr>
      </w:pPr>
      <w:r w:rsidRPr="000E1C2D">
        <w:rPr>
          <w:rFonts w:ascii="Arial" w:hAnsi="Arial" w:cs="Arial"/>
        </w:rPr>
        <w:t xml:space="preserve">BYD (2024) Annual Report and Sustainability Overview. Available at: </w:t>
      </w:r>
      <w:hyperlink r:id="rId13" w:history="1">
        <w:r w:rsidRPr="00A32A31">
          <w:rPr>
            <w:rStyle w:val="Hyperlink"/>
            <w:rFonts w:ascii="Arial" w:hAnsi="Arial" w:cs="Arial"/>
          </w:rPr>
          <w:t>http://annualreports.ai/company/hong-kong/commerce-industry/byd-company/</w:t>
        </w:r>
      </w:hyperlink>
      <w:r>
        <w:rPr>
          <w:rFonts w:ascii="Arial" w:hAnsi="Arial" w:cs="Arial"/>
        </w:rPr>
        <w:t xml:space="preserve"> (Accessed: 1 April 2026) </w:t>
      </w:r>
    </w:p>
    <w:p w14:paraId="39949B9A" w14:textId="77777777" w:rsidR="007B002E" w:rsidRPr="00C9062A" w:rsidRDefault="00072FBB" w:rsidP="00C9062A">
      <w:pPr>
        <w:spacing w:line="360" w:lineRule="auto"/>
        <w:jc w:val="both"/>
        <w:rPr>
          <w:rFonts w:ascii="Arial" w:hAnsi="Arial" w:cs="Arial"/>
        </w:rPr>
      </w:pPr>
      <w:r w:rsidRPr="00C9062A">
        <w:rPr>
          <w:rFonts w:ascii="Arial" w:hAnsi="Arial" w:cs="Arial"/>
        </w:rPr>
        <w:t xml:space="preserve">Deloitte (2023) </w:t>
      </w:r>
      <w:r w:rsidRPr="00C9062A">
        <w:rPr>
          <w:rFonts w:ascii="Arial" w:hAnsi="Arial" w:cs="Arial"/>
          <w:i/>
          <w:iCs/>
        </w:rPr>
        <w:t>Global Consumer Sustainability Trends Report</w:t>
      </w:r>
      <w:r w:rsidRPr="00C9062A">
        <w:rPr>
          <w:rFonts w:ascii="Arial" w:hAnsi="Arial" w:cs="Arial"/>
        </w:rPr>
        <w:t>.</w:t>
      </w:r>
      <w:r w:rsidR="00352360" w:rsidRPr="00C9062A">
        <w:rPr>
          <w:rFonts w:ascii="Arial" w:hAnsi="Arial" w:cs="Arial"/>
        </w:rPr>
        <w:t xml:space="preserve"> Available at: </w:t>
      </w:r>
      <w:hyperlink r:id="rId14" w:history="1">
        <w:r w:rsidR="00352360" w:rsidRPr="00C9062A">
          <w:rPr>
            <w:rStyle w:val="Hyperlink"/>
            <w:rFonts w:ascii="Arial" w:hAnsi="Arial" w:cs="Arial"/>
          </w:rPr>
          <w:t>https://www.deloitte.com/content/dam/assets-shared/docs/industries/consumer/2023/gx-consumer-creating-value-from-sustainable-products-aoda.pdf</w:t>
        </w:r>
      </w:hyperlink>
      <w:r w:rsidR="00352360" w:rsidRPr="00C9062A">
        <w:rPr>
          <w:rFonts w:ascii="Arial" w:hAnsi="Arial" w:cs="Arial"/>
        </w:rPr>
        <w:t xml:space="preserve"> (Accessed: 1 April 2026)</w:t>
      </w:r>
    </w:p>
    <w:p w14:paraId="15223AFD" w14:textId="77777777" w:rsidR="000E1C2D" w:rsidRDefault="007B002E" w:rsidP="00C9062A">
      <w:pPr>
        <w:spacing w:line="360" w:lineRule="auto"/>
        <w:jc w:val="both"/>
        <w:rPr>
          <w:rFonts w:ascii="Arial" w:hAnsi="Arial" w:cs="Arial"/>
        </w:rPr>
      </w:pPr>
      <w:r w:rsidRPr="00C9062A">
        <w:rPr>
          <w:rFonts w:ascii="Arial" w:hAnsi="Arial" w:cs="Arial"/>
        </w:rPr>
        <w:t xml:space="preserve">Di Maro, A., 2025. Business Model Innovation in the Renewable Energy Storage Market: An Empirical Analysis of Leading Global Battery Energy Storage System Companies (Doctoral dissertation, </w:t>
      </w:r>
      <w:proofErr w:type="spellStart"/>
      <w:r w:rsidRPr="00C9062A">
        <w:rPr>
          <w:rFonts w:ascii="Arial" w:hAnsi="Arial" w:cs="Arial"/>
        </w:rPr>
        <w:t>Politecnico</w:t>
      </w:r>
      <w:proofErr w:type="spellEnd"/>
      <w:r w:rsidRPr="00C9062A">
        <w:rPr>
          <w:rFonts w:ascii="Arial" w:hAnsi="Arial" w:cs="Arial"/>
        </w:rPr>
        <w:t xml:space="preserve"> di Torino).</w:t>
      </w:r>
    </w:p>
    <w:p w14:paraId="5D3DBFCB" w14:textId="77777777" w:rsidR="000E1C2D" w:rsidRDefault="000E1C2D" w:rsidP="000E1C2D">
      <w:pPr>
        <w:spacing w:line="360" w:lineRule="auto"/>
        <w:jc w:val="both"/>
        <w:rPr>
          <w:rFonts w:ascii="Arial" w:hAnsi="Arial" w:cs="Arial"/>
        </w:rPr>
      </w:pPr>
      <w:r w:rsidRPr="000E1C2D">
        <w:rPr>
          <w:rFonts w:ascii="Arial" w:hAnsi="Arial" w:cs="Arial"/>
        </w:rPr>
        <w:t xml:space="preserve">IEA (2023) Renewables 2023: Global Energy Market Report. Available at: </w:t>
      </w:r>
      <w:hyperlink r:id="rId15" w:history="1">
        <w:r w:rsidRPr="00A32A31">
          <w:rPr>
            <w:rStyle w:val="Hyperlink"/>
            <w:rFonts w:ascii="Arial" w:hAnsi="Arial" w:cs="Arial"/>
          </w:rPr>
          <w:t>https://www.iea.org/reports/renewables-2023</w:t>
        </w:r>
      </w:hyperlink>
      <w:r>
        <w:rPr>
          <w:rFonts w:ascii="Arial" w:hAnsi="Arial" w:cs="Arial"/>
        </w:rPr>
        <w:t xml:space="preserve"> </w:t>
      </w:r>
      <w:r w:rsidRPr="000E1C2D">
        <w:rPr>
          <w:rFonts w:ascii="Arial" w:hAnsi="Arial" w:cs="Arial"/>
        </w:rPr>
        <w:t xml:space="preserve">(Accessed: 1 April 2026) </w:t>
      </w:r>
    </w:p>
    <w:p w14:paraId="24F3BE51" w14:textId="77777777" w:rsidR="007F0978" w:rsidRPr="000E1C2D" w:rsidRDefault="007F0978" w:rsidP="000E1C2D">
      <w:pPr>
        <w:spacing w:line="360" w:lineRule="auto"/>
        <w:jc w:val="both"/>
        <w:rPr>
          <w:rFonts w:ascii="Arial" w:hAnsi="Arial" w:cs="Arial"/>
        </w:rPr>
      </w:pPr>
      <w:r w:rsidRPr="00C9062A">
        <w:rPr>
          <w:rFonts w:ascii="Arial" w:hAnsi="Arial" w:cs="Arial"/>
        </w:rPr>
        <w:t xml:space="preserve">IEA (2024) </w:t>
      </w:r>
      <w:r w:rsidRPr="00C9062A">
        <w:rPr>
          <w:rFonts w:ascii="Arial" w:hAnsi="Arial" w:cs="Arial"/>
          <w:i/>
          <w:iCs/>
        </w:rPr>
        <w:t>Global EV Outlook 2024</w:t>
      </w:r>
      <w:r w:rsidRPr="00C9062A">
        <w:rPr>
          <w:rFonts w:ascii="Arial" w:hAnsi="Arial" w:cs="Arial"/>
        </w:rPr>
        <w:t xml:space="preserve">. Available at: </w:t>
      </w:r>
      <w:hyperlink r:id="rId16" w:history="1">
        <w:r w:rsidRPr="00C9062A">
          <w:rPr>
            <w:rStyle w:val="Hyperlink"/>
            <w:rFonts w:ascii="Arial" w:hAnsi="Arial" w:cs="Arial"/>
          </w:rPr>
          <w:t>https://www.iea.org/reports/global-ev-outlook-2024</w:t>
        </w:r>
      </w:hyperlink>
      <w:r w:rsidRPr="00C9062A">
        <w:rPr>
          <w:rFonts w:ascii="Arial" w:hAnsi="Arial" w:cs="Arial"/>
        </w:rPr>
        <w:t xml:space="preserve"> (Accessed: 1 April 2026)</w:t>
      </w:r>
    </w:p>
    <w:p w14:paraId="35D8EEA9" w14:textId="77777777" w:rsidR="000E1C2D" w:rsidRPr="000E1C2D" w:rsidRDefault="000E1C2D" w:rsidP="000E1C2D">
      <w:pPr>
        <w:spacing w:line="360" w:lineRule="auto"/>
        <w:jc w:val="both"/>
        <w:rPr>
          <w:rFonts w:ascii="Arial" w:hAnsi="Arial" w:cs="Arial"/>
        </w:rPr>
      </w:pPr>
      <w:r w:rsidRPr="000E1C2D">
        <w:rPr>
          <w:rFonts w:ascii="Arial" w:hAnsi="Arial" w:cs="Arial"/>
        </w:rPr>
        <w:t xml:space="preserve">McKinsey &amp; Company (2023) The Future of Energy Systems and Electrification. Available at: </w:t>
      </w:r>
      <w:hyperlink r:id="rId17" w:history="1">
        <w:r w:rsidRPr="00A32A31">
          <w:rPr>
            <w:rStyle w:val="Hyperlink"/>
            <w:rFonts w:ascii="Arial" w:hAnsi="Arial" w:cs="Arial"/>
          </w:rPr>
          <w:t>https://www.mckinsey.com/industries/oil-and-gas/our-insights/global-energy-perspective-2023</w:t>
        </w:r>
      </w:hyperlink>
      <w:r>
        <w:rPr>
          <w:rFonts w:ascii="Arial" w:hAnsi="Arial" w:cs="Arial"/>
        </w:rPr>
        <w:t xml:space="preserve"> </w:t>
      </w:r>
      <w:r w:rsidRPr="000E1C2D">
        <w:rPr>
          <w:rFonts w:ascii="Arial" w:hAnsi="Arial" w:cs="Arial"/>
        </w:rPr>
        <w:t xml:space="preserve">(Accessed: 1 April 2026) </w:t>
      </w:r>
    </w:p>
    <w:p w14:paraId="5E489CF0" w14:textId="77777777" w:rsidR="007B002E" w:rsidRPr="00C9062A" w:rsidRDefault="000E1C2D" w:rsidP="000E1C2D">
      <w:pPr>
        <w:spacing w:line="360" w:lineRule="auto"/>
        <w:jc w:val="both"/>
        <w:rPr>
          <w:rFonts w:ascii="Arial" w:hAnsi="Arial" w:cs="Arial"/>
        </w:rPr>
      </w:pPr>
      <w:r w:rsidRPr="000E1C2D">
        <w:rPr>
          <w:rFonts w:ascii="Arial" w:hAnsi="Arial" w:cs="Arial"/>
        </w:rPr>
        <w:t xml:space="preserve">Melnyk, T., </w:t>
      </w:r>
      <w:proofErr w:type="spellStart"/>
      <w:r w:rsidRPr="000E1C2D">
        <w:rPr>
          <w:rFonts w:ascii="Arial" w:hAnsi="Arial" w:cs="Arial"/>
        </w:rPr>
        <w:t>Demkiv</w:t>
      </w:r>
      <w:proofErr w:type="spellEnd"/>
      <w:r w:rsidRPr="000E1C2D">
        <w:rPr>
          <w:rFonts w:ascii="Arial" w:hAnsi="Arial" w:cs="Arial"/>
        </w:rPr>
        <w:t xml:space="preserve">, Y. and </w:t>
      </w:r>
      <w:proofErr w:type="spellStart"/>
      <w:r w:rsidRPr="000E1C2D">
        <w:rPr>
          <w:rFonts w:ascii="Arial" w:hAnsi="Arial" w:cs="Arial"/>
        </w:rPr>
        <w:t>Salamatin</w:t>
      </w:r>
      <w:proofErr w:type="spellEnd"/>
      <w:r w:rsidRPr="000E1C2D">
        <w:rPr>
          <w:rFonts w:ascii="Arial" w:hAnsi="Arial" w:cs="Arial"/>
        </w:rPr>
        <w:t>, K., 2024. Specifics of Pricing Policy in the Global Energy Market in Context of Energy Transitions.</w:t>
      </w:r>
    </w:p>
    <w:p w14:paraId="22B99156" w14:textId="77777777" w:rsidR="00072FBB" w:rsidRPr="00C9062A" w:rsidRDefault="007B002E" w:rsidP="00C9062A">
      <w:pPr>
        <w:spacing w:line="360" w:lineRule="auto"/>
        <w:jc w:val="both"/>
        <w:rPr>
          <w:rFonts w:ascii="Arial" w:hAnsi="Arial" w:cs="Arial"/>
        </w:rPr>
      </w:pPr>
      <w:r w:rsidRPr="00C9062A">
        <w:rPr>
          <w:rFonts w:ascii="Arial" w:hAnsi="Arial" w:cs="Arial"/>
        </w:rPr>
        <w:t xml:space="preserve">Recurrent Auto (2024) EV adoption projection chart (based on BCG forecast) [image]. Available at: </w:t>
      </w:r>
      <w:hyperlink r:id="rId18" w:history="1">
        <w:r w:rsidR="00C9062A" w:rsidRPr="00C9062A">
          <w:rPr>
            <w:rStyle w:val="Hyperlink"/>
            <w:rFonts w:ascii="Arial" w:hAnsi="Arial" w:cs="Arial"/>
          </w:rPr>
          <w:t>https://www.recurrentauto.com/research/ev-adoption-us</w:t>
        </w:r>
      </w:hyperlink>
      <w:r w:rsidR="00C9062A" w:rsidRPr="00C9062A">
        <w:rPr>
          <w:rFonts w:ascii="Arial" w:hAnsi="Arial" w:cs="Arial"/>
        </w:rPr>
        <w:t xml:space="preserve"> </w:t>
      </w:r>
      <w:r w:rsidRPr="00C9062A">
        <w:rPr>
          <w:rFonts w:ascii="Arial" w:hAnsi="Arial" w:cs="Arial"/>
        </w:rPr>
        <w:t xml:space="preserve">(Accessed: </w:t>
      </w:r>
      <w:r w:rsidR="00C9062A" w:rsidRPr="00C9062A">
        <w:rPr>
          <w:rFonts w:ascii="Arial" w:hAnsi="Arial" w:cs="Arial"/>
        </w:rPr>
        <w:t>1</w:t>
      </w:r>
      <w:r w:rsidRPr="00C9062A">
        <w:rPr>
          <w:rFonts w:ascii="Arial" w:hAnsi="Arial" w:cs="Arial"/>
        </w:rPr>
        <w:t xml:space="preserve"> </w:t>
      </w:r>
      <w:r w:rsidR="00C9062A" w:rsidRPr="00C9062A">
        <w:rPr>
          <w:rFonts w:ascii="Arial" w:hAnsi="Arial" w:cs="Arial"/>
        </w:rPr>
        <w:t>April</w:t>
      </w:r>
      <w:r w:rsidRPr="00C9062A">
        <w:rPr>
          <w:rFonts w:ascii="Arial" w:hAnsi="Arial" w:cs="Arial"/>
        </w:rPr>
        <w:t xml:space="preserve"> 2026).</w:t>
      </w:r>
      <w:r w:rsidR="00072FBB" w:rsidRPr="00C9062A">
        <w:rPr>
          <w:rFonts w:ascii="Arial" w:hAnsi="Arial" w:cs="Arial"/>
        </w:rPr>
        <w:br/>
      </w:r>
      <w:r w:rsidR="00072FBB" w:rsidRPr="00C9062A">
        <w:rPr>
          <w:rFonts w:ascii="Arial" w:hAnsi="Arial" w:cs="Arial"/>
        </w:rPr>
        <w:br/>
      </w:r>
    </w:p>
    <w:p w14:paraId="4409442B" w14:textId="77777777" w:rsidR="00072FBB" w:rsidRPr="00C9062A" w:rsidRDefault="00072FBB" w:rsidP="00C9062A">
      <w:pPr>
        <w:spacing w:line="360" w:lineRule="auto"/>
        <w:jc w:val="both"/>
        <w:rPr>
          <w:rFonts w:ascii="Arial" w:hAnsi="Arial" w:cs="Arial"/>
        </w:rPr>
      </w:pPr>
      <w:r w:rsidRPr="00C9062A">
        <w:rPr>
          <w:rFonts w:ascii="Arial" w:hAnsi="Arial" w:cs="Arial"/>
        </w:rPr>
        <w:br w:type="page"/>
      </w:r>
    </w:p>
    <w:p w14:paraId="3288FABE" w14:textId="77777777" w:rsidR="00072FBB" w:rsidRPr="00C9062A" w:rsidRDefault="00072FBB" w:rsidP="00C9062A">
      <w:pPr>
        <w:pStyle w:val="Heading1"/>
      </w:pPr>
      <w:bookmarkStart w:id="10" w:name="_Toc228296622"/>
      <w:r w:rsidRPr="00C9062A">
        <w:lastRenderedPageBreak/>
        <w:t>Element 3: Marketing Mix (4Ps) – BYD Smart Home Energy Ecosystem</w:t>
      </w:r>
      <w:bookmarkEnd w:id="10"/>
    </w:p>
    <w:p w14:paraId="4C080BB0" w14:textId="77777777" w:rsidR="00072FBB" w:rsidRPr="00C9062A" w:rsidRDefault="00072FBB" w:rsidP="00C9062A">
      <w:pPr>
        <w:pStyle w:val="Heading2"/>
      </w:pPr>
      <w:bookmarkStart w:id="11" w:name="_Toc228296623"/>
      <w:r w:rsidRPr="00C9062A">
        <w:t>3.1 Product Strategy</w:t>
      </w:r>
      <w:bookmarkEnd w:id="11"/>
    </w:p>
    <w:p w14:paraId="6BB52F68"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The BYD Smart Home Energy Ecosystem represents a </w:t>
      </w:r>
      <w:r w:rsidRPr="00C9062A">
        <w:rPr>
          <w:rFonts w:ascii="Arial" w:hAnsi="Arial" w:cs="Arial"/>
          <w:bCs/>
        </w:rPr>
        <w:t>comprehensive clean energy solution</w:t>
      </w:r>
      <w:r w:rsidRPr="00C9062A">
        <w:rPr>
          <w:rFonts w:ascii="Arial" w:hAnsi="Arial" w:cs="Arial"/>
        </w:rPr>
        <w:t xml:space="preserve">, integrating solar panels, home battery storage, and EV charging infrastructure into a unified platform. From a theoretical perspective, this aligns with </w:t>
      </w:r>
      <w:r w:rsidRPr="00C9062A">
        <w:rPr>
          <w:rFonts w:ascii="Arial" w:hAnsi="Arial" w:cs="Arial"/>
          <w:bCs/>
        </w:rPr>
        <w:t>Kotler’s three levels of product</w:t>
      </w:r>
      <w:r w:rsidRPr="00C9062A">
        <w:rPr>
          <w:rFonts w:ascii="Arial" w:hAnsi="Arial" w:cs="Arial"/>
        </w:rPr>
        <w:t xml:space="preserve">, where the core product is energy independence, the actual product is the integrated system, and the augmented product includes AI-based energy </w:t>
      </w:r>
      <w:proofErr w:type="spellStart"/>
      <w:r w:rsidRPr="00C9062A">
        <w:rPr>
          <w:rFonts w:ascii="Arial" w:hAnsi="Arial" w:cs="Arial"/>
        </w:rPr>
        <w:t>optimisation</w:t>
      </w:r>
      <w:proofErr w:type="spellEnd"/>
      <w:r w:rsidRPr="00C9062A">
        <w:rPr>
          <w:rFonts w:ascii="Arial" w:hAnsi="Arial" w:cs="Arial"/>
        </w:rPr>
        <w:t xml:space="preserve"> and after-sales services (Kotler </w:t>
      </w:r>
      <w:r w:rsidR="008D220D" w:rsidRPr="00C9062A">
        <w:rPr>
          <w:rFonts w:ascii="Arial" w:hAnsi="Arial" w:cs="Arial"/>
        </w:rPr>
        <w:t>and Keller</w:t>
      </w:r>
      <w:r w:rsidRPr="00C9062A">
        <w:rPr>
          <w:rFonts w:ascii="Arial" w:hAnsi="Arial" w:cs="Arial"/>
        </w:rPr>
        <w:t>, 2022).</w:t>
      </w:r>
    </w:p>
    <w:p w14:paraId="20E8AC22"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The product directly responds to the rapid expansion of the global renewable energy market, which is projected to grow by over </w:t>
      </w:r>
      <w:r w:rsidRPr="00C9062A">
        <w:rPr>
          <w:rFonts w:ascii="Arial" w:hAnsi="Arial" w:cs="Arial"/>
          <w:bCs/>
        </w:rPr>
        <w:t>60% by 2030</w:t>
      </w:r>
      <w:r w:rsidRPr="00C9062A">
        <w:rPr>
          <w:rFonts w:ascii="Arial" w:hAnsi="Arial" w:cs="Arial"/>
        </w:rPr>
        <w:t xml:space="preserve"> (IEA, 2023). Unlike fragmented solutions offered by competitors, BYD’s vertically integrated system enables seamless interaction between components, improving efficiency and reducing energy waste. For instance, vehicle-to-home (V2H) technology allows EV batteries to supply electricity back to households, enhancing energy resilience.</w:t>
      </w:r>
    </w:p>
    <w:p w14:paraId="192057DD"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Strategically, BYD adopts a </w:t>
      </w:r>
      <w:r w:rsidRPr="00C9062A">
        <w:rPr>
          <w:rFonts w:ascii="Arial" w:hAnsi="Arial" w:cs="Arial"/>
          <w:bCs/>
        </w:rPr>
        <w:t>product system innovation approach</w:t>
      </w:r>
      <w:r w:rsidRPr="00C9062A">
        <w:rPr>
          <w:rFonts w:ascii="Arial" w:hAnsi="Arial" w:cs="Arial"/>
        </w:rPr>
        <w:t xml:space="preserve">, combining multiple technologies into one ecosystem. This creates higher customer value and </w:t>
      </w:r>
      <w:proofErr w:type="gramStart"/>
      <w:r w:rsidRPr="00C9062A">
        <w:rPr>
          <w:rFonts w:ascii="Arial" w:hAnsi="Arial" w:cs="Arial"/>
        </w:rPr>
        <w:t>switching</w:t>
      </w:r>
      <w:proofErr w:type="gramEnd"/>
      <w:r w:rsidRPr="00C9062A">
        <w:rPr>
          <w:rFonts w:ascii="Arial" w:hAnsi="Arial" w:cs="Arial"/>
        </w:rPr>
        <w:t xml:space="preserve"> costs, reinforcing long-term adoption. However, the complexity of installation and system integration may present barriers, particularly for first-time users.</w:t>
      </w:r>
    </w:p>
    <w:p w14:paraId="08D78604" w14:textId="77777777" w:rsidR="00072FBB" w:rsidRPr="00C9062A" w:rsidRDefault="00072FBB" w:rsidP="00C9062A">
      <w:pPr>
        <w:pStyle w:val="Heading2"/>
      </w:pPr>
      <w:bookmarkStart w:id="12" w:name="_Toc228296624"/>
      <w:r w:rsidRPr="00C9062A">
        <w:t>3.2 Price Strategy</w:t>
      </w:r>
      <w:bookmarkEnd w:id="12"/>
    </w:p>
    <w:p w14:paraId="4F3CFAEE"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BYD is expected to implement a </w:t>
      </w:r>
      <w:r w:rsidRPr="00C9062A">
        <w:rPr>
          <w:rFonts w:ascii="Arial" w:hAnsi="Arial" w:cs="Arial"/>
          <w:bCs/>
        </w:rPr>
        <w:t>value-based pricing strategy</w:t>
      </w:r>
      <w:r w:rsidRPr="00C9062A">
        <w:rPr>
          <w:rFonts w:ascii="Arial" w:hAnsi="Arial" w:cs="Arial"/>
        </w:rPr>
        <w:t xml:space="preserve">, balancing affordability with long-term economic benefits. The average cost of residential solar systems ranges in </w:t>
      </w:r>
      <w:r w:rsidRPr="00C9062A">
        <w:rPr>
          <w:rFonts w:ascii="Arial" w:hAnsi="Arial" w:cs="Arial"/>
          <w:bCs/>
        </w:rPr>
        <w:t>$10,000–$25,000</w:t>
      </w:r>
      <w:r w:rsidRPr="00C9062A">
        <w:rPr>
          <w:rFonts w:ascii="Arial" w:hAnsi="Arial" w:cs="Arial"/>
        </w:rPr>
        <w:t xml:space="preserve">, while home battery systems can add an additional </w:t>
      </w:r>
      <w:r w:rsidRPr="00C9062A">
        <w:rPr>
          <w:rFonts w:ascii="Arial" w:hAnsi="Arial" w:cs="Arial"/>
          <w:bCs/>
        </w:rPr>
        <w:t>$5,000–$10,000</w:t>
      </w:r>
      <w:r w:rsidRPr="00C9062A">
        <w:rPr>
          <w:rFonts w:ascii="Arial" w:hAnsi="Arial" w:cs="Arial"/>
        </w:rPr>
        <w:t xml:space="preserve"> (IEA, 2023). However, these upfront costs are offset by long-term savings, with households potentially reducing energy bills by </w:t>
      </w:r>
      <w:r w:rsidRPr="00C9062A">
        <w:rPr>
          <w:rFonts w:ascii="Arial" w:hAnsi="Arial" w:cs="Arial"/>
          <w:bCs/>
        </w:rPr>
        <w:t>15–25% annually</w:t>
      </w:r>
      <w:r w:rsidRPr="00C9062A">
        <w:rPr>
          <w:rFonts w:ascii="Arial" w:hAnsi="Arial" w:cs="Arial"/>
        </w:rPr>
        <w:t xml:space="preserve"> (McKinsey</w:t>
      </w:r>
      <w:r w:rsidR="008D220D">
        <w:rPr>
          <w:rFonts w:ascii="Arial" w:hAnsi="Arial" w:cs="Arial"/>
        </w:rPr>
        <w:t xml:space="preserve"> </w:t>
      </w:r>
      <w:r w:rsidR="008D220D" w:rsidRPr="00C9062A">
        <w:rPr>
          <w:rFonts w:ascii="Arial" w:hAnsi="Arial" w:cs="Arial"/>
        </w:rPr>
        <w:t>&amp; Company</w:t>
      </w:r>
      <w:r w:rsidRPr="00C9062A">
        <w:rPr>
          <w:rFonts w:ascii="Arial" w:hAnsi="Arial" w:cs="Arial"/>
        </w:rPr>
        <w:t>, 2023).</w:t>
      </w:r>
    </w:p>
    <w:p w14:paraId="71734E21" w14:textId="77777777" w:rsidR="00072FBB" w:rsidRPr="00C9062A" w:rsidRDefault="00072FBB" w:rsidP="00C9062A">
      <w:pPr>
        <w:spacing w:line="360" w:lineRule="auto"/>
        <w:jc w:val="both"/>
        <w:rPr>
          <w:rFonts w:ascii="Arial" w:hAnsi="Arial" w:cs="Arial"/>
        </w:rPr>
      </w:pPr>
    </w:p>
    <w:p w14:paraId="6F8947BD" w14:textId="77777777" w:rsidR="00072FBB" w:rsidRPr="00C9062A" w:rsidRDefault="00072FBB" w:rsidP="00C9062A">
      <w:pPr>
        <w:spacing w:line="360" w:lineRule="auto"/>
        <w:jc w:val="both"/>
        <w:rPr>
          <w:rFonts w:ascii="Arial" w:hAnsi="Arial" w:cs="Arial"/>
        </w:rPr>
      </w:pPr>
    </w:p>
    <w:p w14:paraId="00921254" w14:textId="77777777" w:rsidR="00072FBB" w:rsidRPr="00C9062A" w:rsidRDefault="00072FBB" w:rsidP="00C9062A">
      <w:pPr>
        <w:spacing w:line="360" w:lineRule="auto"/>
        <w:jc w:val="both"/>
        <w:rPr>
          <w:rFonts w:ascii="Arial" w:hAnsi="Arial" w:cs="Arial"/>
        </w:rPr>
      </w:pPr>
    </w:p>
    <w:p w14:paraId="7ED5CCF2" w14:textId="77777777" w:rsidR="00072FBB" w:rsidRPr="00C9062A" w:rsidRDefault="00072FBB" w:rsidP="00C9062A">
      <w:pPr>
        <w:spacing w:line="360" w:lineRule="auto"/>
        <w:jc w:val="both"/>
        <w:rPr>
          <w:rFonts w:ascii="Arial" w:hAnsi="Arial" w:cs="Arial"/>
          <w:b/>
          <w:bCs/>
        </w:rPr>
      </w:pPr>
      <w:r w:rsidRPr="00C9062A">
        <w:rPr>
          <w:rFonts w:ascii="Arial" w:hAnsi="Arial" w:cs="Arial"/>
          <w:b/>
          <w:bCs/>
        </w:rPr>
        <w:lastRenderedPageBreak/>
        <w:t>Table 2: Comparative Pricing in Smart Energy Market</w:t>
      </w:r>
    </w:p>
    <w:tbl>
      <w:tblPr>
        <w:tblStyle w:val="TableGrid"/>
        <w:tblW w:w="0" w:type="auto"/>
        <w:tblLook w:val="04A0" w:firstRow="1" w:lastRow="0" w:firstColumn="1" w:lastColumn="0" w:noHBand="0" w:noVBand="1"/>
      </w:tblPr>
      <w:tblGrid>
        <w:gridCol w:w="3911"/>
        <w:gridCol w:w="2764"/>
        <w:gridCol w:w="2003"/>
      </w:tblGrid>
      <w:tr w:rsidR="00072FBB" w:rsidRPr="00C9062A" w14:paraId="6B41117C" w14:textId="77777777" w:rsidTr="00040FCD">
        <w:tc>
          <w:tcPr>
            <w:tcW w:w="0" w:type="auto"/>
            <w:hideMark/>
          </w:tcPr>
          <w:p w14:paraId="6B24551A" w14:textId="77777777" w:rsidR="00072FBB" w:rsidRPr="00C9062A" w:rsidRDefault="00072FBB" w:rsidP="00C9062A">
            <w:pPr>
              <w:spacing w:after="160" w:line="360" w:lineRule="auto"/>
              <w:jc w:val="both"/>
              <w:rPr>
                <w:rFonts w:ascii="Arial" w:hAnsi="Arial" w:cs="Arial"/>
                <w:b/>
                <w:bCs/>
              </w:rPr>
            </w:pPr>
            <w:r w:rsidRPr="00C9062A">
              <w:rPr>
                <w:rFonts w:ascii="Arial" w:hAnsi="Arial" w:cs="Arial"/>
                <w:b/>
                <w:bCs/>
              </w:rPr>
              <w:t>Brand/System</w:t>
            </w:r>
          </w:p>
        </w:tc>
        <w:tc>
          <w:tcPr>
            <w:tcW w:w="0" w:type="auto"/>
            <w:hideMark/>
          </w:tcPr>
          <w:p w14:paraId="6BE1AF1E" w14:textId="77777777" w:rsidR="00072FBB" w:rsidRPr="00C9062A" w:rsidRDefault="00072FBB" w:rsidP="00C9062A">
            <w:pPr>
              <w:spacing w:after="160" w:line="360" w:lineRule="auto"/>
              <w:jc w:val="both"/>
              <w:rPr>
                <w:rFonts w:ascii="Arial" w:hAnsi="Arial" w:cs="Arial"/>
                <w:b/>
                <w:bCs/>
              </w:rPr>
            </w:pPr>
            <w:r w:rsidRPr="00C9062A">
              <w:rPr>
                <w:rFonts w:ascii="Arial" w:hAnsi="Arial" w:cs="Arial"/>
                <w:b/>
                <w:bCs/>
              </w:rPr>
              <w:t>Estimated Cost Range</w:t>
            </w:r>
          </w:p>
        </w:tc>
        <w:tc>
          <w:tcPr>
            <w:tcW w:w="0" w:type="auto"/>
            <w:hideMark/>
          </w:tcPr>
          <w:p w14:paraId="4C0808A9" w14:textId="77777777" w:rsidR="00072FBB" w:rsidRPr="00C9062A" w:rsidRDefault="00072FBB" w:rsidP="00C9062A">
            <w:pPr>
              <w:spacing w:after="160" w:line="360" w:lineRule="auto"/>
              <w:jc w:val="both"/>
              <w:rPr>
                <w:rFonts w:ascii="Arial" w:hAnsi="Arial" w:cs="Arial"/>
                <w:b/>
                <w:bCs/>
              </w:rPr>
            </w:pPr>
            <w:r w:rsidRPr="00C9062A">
              <w:rPr>
                <w:rFonts w:ascii="Arial" w:hAnsi="Arial" w:cs="Arial"/>
                <w:b/>
                <w:bCs/>
              </w:rPr>
              <w:t>Market Position</w:t>
            </w:r>
          </w:p>
        </w:tc>
      </w:tr>
      <w:tr w:rsidR="00072FBB" w:rsidRPr="00C9062A" w14:paraId="7A17B83B" w14:textId="77777777" w:rsidTr="00040FCD">
        <w:tc>
          <w:tcPr>
            <w:tcW w:w="0" w:type="auto"/>
            <w:hideMark/>
          </w:tcPr>
          <w:p w14:paraId="3A48B6F0" w14:textId="77777777" w:rsidR="00072FBB" w:rsidRPr="00C9062A" w:rsidRDefault="00072FBB" w:rsidP="00C9062A">
            <w:pPr>
              <w:spacing w:after="160" w:line="360" w:lineRule="auto"/>
              <w:jc w:val="both"/>
              <w:rPr>
                <w:rFonts w:ascii="Arial" w:hAnsi="Arial" w:cs="Arial"/>
              </w:rPr>
            </w:pPr>
            <w:r w:rsidRPr="00C9062A">
              <w:rPr>
                <w:rFonts w:ascii="Arial" w:hAnsi="Arial" w:cs="Arial"/>
              </w:rPr>
              <w:t>Tesla Powerwall + Solar</w:t>
            </w:r>
          </w:p>
        </w:tc>
        <w:tc>
          <w:tcPr>
            <w:tcW w:w="0" w:type="auto"/>
            <w:hideMark/>
          </w:tcPr>
          <w:p w14:paraId="129ED674" w14:textId="77777777" w:rsidR="00072FBB" w:rsidRPr="00C9062A" w:rsidRDefault="00072FBB" w:rsidP="00C9062A">
            <w:pPr>
              <w:spacing w:after="160" w:line="360" w:lineRule="auto"/>
              <w:jc w:val="both"/>
              <w:rPr>
                <w:rFonts w:ascii="Arial" w:hAnsi="Arial" w:cs="Arial"/>
              </w:rPr>
            </w:pPr>
            <w:r w:rsidRPr="00C9062A">
              <w:rPr>
                <w:rFonts w:ascii="Arial" w:hAnsi="Arial" w:cs="Arial"/>
              </w:rPr>
              <w:t>$15,000–$30,000</w:t>
            </w:r>
          </w:p>
        </w:tc>
        <w:tc>
          <w:tcPr>
            <w:tcW w:w="0" w:type="auto"/>
            <w:hideMark/>
          </w:tcPr>
          <w:p w14:paraId="7295DBA2" w14:textId="77777777" w:rsidR="00072FBB" w:rsidRPr="00C9062A" w:rsidRDefault="00072FBB" w:rsidP="00C9062A">
            <w:pPr>
              <w:spacing w:after="160" w:line="360" w:lineRule="auto"/>
              <w:jc w:val="both"/>
              <w:rPr>
                <w:rFonts w:ascii="Arial" w:hAnsi="Arial" w:cs="Arial"/>
              </w:rPr>
            </w:pPr>
            <w:r w:rsidRPr="00C9062A">
              <w:rPr>
                <w:rFonts w:ascii="Arial" w:hAnsi="Arial" w:cs="Arial"/>
              </w:rPr>
              <w:t>Premium</w:t>
            </w:r>
          </w:p>
        </w:tc>
      </w:tr>
      <w:tr w:rsidR="00072FBB" w:rsidRPr="00C9062A" w14:paraId="2130773C" w14:textId="77777777" w:rsidTr="00040FCD">
        <w:tc>
          <w:tcPr>
            <w:tcW w:w="0" w:type="auto"/>
            <w:hideMark/>
          </w:tcPr>
          <w:p w14:paraId="7B039C4D" w14:textId="77777777" w:rsidR="00072FBB" w:rsidRPr="00C9062A" w:rsidRDefault="00072FBB" w:rsidP="00C9062A">
            <w:pPr>
              <w:spacing w:after="160" w:line="360" w:lineRule="auto"/>
              <w:jc w:val="both"/>
              <w:rPr>
                <w:rFonts w:ascii="Arial" w:hAnsi="Arial" w:cs="Arial"/>
              </w:rPr>
            </w:pPr>
            <w:r w:rsidRPr="00C9062A">
              <w:rPr>
                <w:rFonts w:ascii="Arial" w:hAnsi="Arial" w:cs="Arial"/>
              </w:rPr>
              <w:t>LG Energy Solution</w:t>
            </w:r>
          </w:p>
        </w:tc>
        <w:tc>
          <w:tcPr>
            <w:tcW w:w="0" w:type="auto"/>
            <w:hideMark/>
          </w:tcPr>
          <w:p w14:paraId="54903354" w14:textId="77777777" w:rsidR="00072FBB" w:rsidRPr="00C9062A" w:rsidRDefault="00072FBB" w:rsidP="00C9062A">
            <w:pPr>
              <w:spacing w:after="160" w:line="360" w:lineRule="auto"/>
              <w:jc w:val="both"/>
              <w:rPr>
                <w:rFonts w:ascii="Arial" w:hAnsi="Arial" w:cs="Arial"/>
              </w:rPr>
            </w:pPr>
            <w:r w:rsidRPr="00C9062A">
              <w:rPr>
                <w:rFonts w:ascii="Arial" w:hAnsi="Arial" w:cs="Arial"/>
              </w:rPr>
              <w:t>$10,000–$20,000</w:t>
            </w:r>
          </w:p>
        </w:tc>
        <w:tc>
          <w:tcPr>
            <w:tcW w:w="0" w:type="auto"/>
            <w:hideMark/>
          </w:tcPr>
          <w:p w14:paraId="3B0DF302" w14:textId="77777777" w:rsidR="00072FBB" w:rsidRPr="00C9062A" w:rsidRDefault="00072FBB" w:rsidP="00C9062A">
            <w:pPr>
              <w:spacing w:after="160" w:line="360" w:lineRule="auto"/>
              <w:jc w:val="both"/>
              <w:rPr>
                <w:rFonts w:ascii="Arial" w:hAnsi="Arial" w:cs="Arial"/>
              </w:rPr>
            </w:pPr>
            <w:r w:rsidRPr="00C9062A">
              <w:rPr>
                <w:rFonts w:ascii="Arial" w:hAnsi="Arial" w:cs="Arial"/>
              </w:rPr>
              <w:t>Mid–Premium</w:t>
            </w:r>
          </w:p>
        </w:tc>
      </w:tr>
      <w:tr w:rsidR="00072FBB" w:rsidRPr="00C9062A" w14:paraId="1E9F9FAE" w14:textId="77777777" w:rsidTr="00040FCD">
        <w:tc>
          <w:tcPr>
            <w:tcW w:w="0" w:type="auto"/>
            <w:hideMark/>
          </w:tcPr>
          <w:p w14:paraId="5B5AF4AA" w14:textId="77777777" w:rsidR="00072FBB" w:rsidRPr="00C9062A" w:rsidRDefault="00072FBB" w:rsidP="00C9062A">
            <w:pPr>
              <w:spacing w:after="160" w:line="360" w:lineRule="auto"/>
              <w:jc w:val="both"/>
              <w:rPr>
                <w:rFonts w:ascii="Arial" w:hAnsi="Arial" w:cs="Arial"/>
              </w:rPr>
            </w:pPr>
            <w:r w:rsidRPr="00C9062A">
              <w:rPr>
                <w:rFonts w:ascii="Arial" w:hAnsi="Arial" w:cs="Arial"/>
              </w:rPr>
              <w:t>BYD Smart Ecosystem (Proposed)</w:t>
            </w:r>
          </w:p>
        </w:tc>
        <w:tc>
          <w:tcPr>
            <w:tcW w:w="0" w:type="auto"/>
            <w:hideMark/>
          </w:tcPr>
          <w:p w14:paraId="4B68FC9E" w14:textId="77777777" w:rsidR="00072FBB" w:rsidRPr="00C9062A" w:rsidRDefault="00072FBB" w:rsidP="00C9062A">
            <w:pPr>
              <w:spacing w:after="160" w:line="360" w:lineRule="auto"/>
              <w:jc w:val="both"/>
              <w:rPr>
                <w:rFonts w:ascii="Arial" w:hAnsi="Arial" w:cs="Arial"/>
              </w:rPr>
            </w:pPr>
            <w:r w:rsidRPr="00C9062A">
              <w:rPr>
                <w:rFonts w:ascii="Arial" w:hAnsi="Arial" w:cs="Arial"/>
              </w:rPr>
              <w:t>$12,000–$22,000</w:t>
            </w:r>
          </w:p>
        </w:tc>
        <w:tc>
          <w:tcPr>
            <w:tcW w:w="0" w:type="auto"/>
            <w:hideMark/>
          </w:tcPr>
          <w:p w14:paraId="15B01198" w14:textId="77777777" w:rsidR="00072FBB" w:rsidRPr="00C9062A" w:rsidRDefault="00072FBB" w:rsidP="00C9062A">
            <w:pPr>
              <w:spacing w:after="160" w:line="360" w:lineRule="auto"/>
              <w:jc w:val="both"/>
              <w:rPr>
                <w:rFonts w:ascii="Arial" w:hAnsi="Arial" w:cs="Arial"/>
              </w:rPr>
            </w:pPr>
            <w:r w:rsidRPr="00C9062A">
              <w:rPr>
                <w:rFonts w:ascii="Arial" w:hAnsi="Arial" w:cs="Arial"/>
              </w:rPr>
              <w:t>Value–Premium</w:t>
            </w:r>
          </w:p>
        </w:tc>
      </w:tr>
    </w:tbl>
    <w:p w14:paraId="6CBD972C"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As shown in </w:t>
      </w:r>
      <w:r w:rsidRPr="00C9062A">
        <w:rPr>
          <w:rFonts w:ascii="Arial" w:hAnsi="Arial" w:cs="Arial"/>
          <w:bCs/>
        </w:rPr>
        <w:t>Table 2</w:t>
      </w:r>
      <w:r w:rsidRPr="00C9062A">
        <w:rPr>
          <w:rFonts w:ascii="Arial" w:hAnsi="Arial" w:cs="Arial"/>
        </w:rPr>
        <w:t xml:space="preserve">, BYD is positioned within a </w:t>
      </w:r>
      <w:r w:rsidRPr="00C9062A">
        <w:rPr>
          <w:rFonts w:ascii="Arial" w:hAnsi="Arial" w:cs="Arial"/>
          <w:bCs/>
        </w:rPr>
        <w:t>value-premium segment</w:t>
      </w:r>
      <w:r w:rsidRPr="00C9062A">
        <w:rPr>
          <w:rFonts w:ascii="Arial" w:hAnsi="Arial" w:cs="Arial"/>
        </w:rPr>
        <w:t xml:space="preserve">, offering competitive pricing compared to premium competitors such as Tesla. This strategy leverages BYD’s cost advantage through vertical integration, enabling it to reduce production costs by up to </w:t>
      </w:r>
      <w:r w:rsidRPr="00C9062A">
        <w:rPr>
          <w:rFonts w:ascii="Arial" w:hAnsi="Arial" w:cs="Arial"/>
          <w:bCs/>
        </w:rPr>
        <w:t>15–20%</w:t>
      </w:r>
      <w:r w:rsidRPr="00C9062A">
        <w:rPr>
          <w:rFonts w:ascii="Arial" w:hAnsi="Arial" w:cs="Arial"/>
        </w:rPr>
        <w:t xml:space="preserve"> (</w:t>
      </w:r>
      <w:r w:rsidR="007B002E" w:rsidRPr="00C9062A">
        <w:rPr>
          <w:rFonts w:ascii="Arial" w:hAnsi="Arial" w:cs="Arial"/>
        </w:rPr>
        <w:t>Di Maro, 2025</w:t>
      </w:r>
      <w:r w:rsidRPr="00C9062A">
        <w:rPr>
          <w:rFonts w:ascii="Arial" w:hAnsi="Arial" w:cs="Arial"/>
        </w:rPr>
        <w:t>).</w:t>
      </w:r>
    </w:p>
    <w:p w14:paraId="405D5F55" w14:textId="77777777" w:rsidR="00072FBB" w:rsidRDefault="00072FBB" w:rsidP="00C9062A">
      <w:pPr>
        <w:spacing w:line="360" w:lineRule="auto"/>
        <w:jc w:val="both"/>
        <w:rPr>
          <w:rFonts w:ascii="Arial" w:hAnsi="Arial" w:cs="Arial"/>
        </w:rPr>
      </w:pPr>
      <w:r w:rsidRPr="00C9062A">
        <w:rPr>
          <w:rFonts w:ascii="Arial" w:hAnsi="Arial" w:cs="Arial"/>
        </w:rPr>
        <w:t>Critically, while value-based pricing enhances accessibility, high initial investment remains a barrier for mass adoption. To address this, BYD may adopt financing options and government subsidy integration, particularly in regions promoting renewable energy adoption.</w:t>
      </w:r>
    </w:p>
    <w:p w14:paraId="68D86EB8" w14:textId="7C97DBA5" w:rsidR="00B4663D" w:rsidRPr="00A25B3D" w:rsidRDefault="00B4663D" w:rsidP="00C9062A">
      <w:pPr>
        <w:spacing w:line="360" w:lineRule="auto"/>
        <w:jc w:val="both"/>
        <w:rPr>
          <w:rFonts w:ascii="Arial" w:hAnsi="Arial" w:cs="Arial"/>
          <w:color w:val="000000" w:themeColor="text1"/>
        </w:rPr>
      </w:pPr>
      <w:r w:rsidRPr="00A25B3D">
        <w:rPr>
          <w:rFonts w:ascii="Arial" w:hAnsi="Arial" w:cs="Arial"/>
          <w:color w:val="000000" w:themeColor="text1"/>
        </w:rPr>
        <w:t xml:space="preserve">Strategically speaking, the pricing decision should </w:t>
      </w:r>
      <w:proofErr w:type="gramStart"/>
      <w:r w:rsidRPr="00A25B3D">
        <w:rPr>
          <w:rFonts w:ascii="Arial" w:hAnsi="Arial" w:cs="Arial"/>
          <w:color w:val="000000" w:themeColor="text1"/>
        </w:rPr>
        <w:t>take into account</w:t>
      </w:r>
      <w:proofErr w:type="gramEnd"/>
      <w:r w:rsidRPr="00A25B3D">
        <w:rPr>
          <w:rFonts w:ascii="Arial" w:hAnsi="Arial" w:cs="Arial"/>
          <w:color w:val="000000" w:themeColor="text1"/>
        </w:rPr>
        <w:t xml:space="preserve"> more than the short-term costs and focus on long-term considerations as well. The concept of Total Cost of Ownership assumes particular significance especially when customers are increasingly evaluating various options for energy provision from an economic and ecological standpoint. In this regard, it could be useful for BYD to present the Return on Investment that is possible with its solutions by presenting figures regarding savings on energy and the extent of independence from outside power sources</w:t>
      </w:r>
      <w:r w:rsidR="005A2F0D" w:rsidRPr="00A25B3D">
        <w:rPr>
          <w:rFonts w:ascii="Arial" w:hAnsi="Arial" w:cs="Arial"/>
          <w:color w:val="000000" w:themeColor="text1"/>
        </w:rPr>
        <w:t xml:space="preserve"> (Deloitte, 2023)</w:t>
      </w:r>
      <w:r w:rsidRPr="00A25B3D">
        <w:rPr>
          <w:rFonts w:ascii="Arial" w:hAnsi="Arial" w:cs="Arial"/>
          <w:color w:val="000000" w:themeColor="text1"/>
        </w:rPr>
        <w:t>. Another potential idea would be offering installment schemes or leases to increase the affordability of such systems.</w:t>
      </w:r>
    </w:p>
    <w:p w14:paraId="591F0C88" w14:textId="77777777" w:rsidR="00072FBB" w:rsidRPr="00C9062A" w:rsidRDefault="00072FBB" w:rsidP="00C9062A">
      <w:pPr>
        <w:pStyle w:val="Heading2"/>
      </w:pPr>
      <w:bookmarkStart w:id="13" w:name="_Toc228296625"/>
      <w:r w:rsidRPr="00C9062A">
        <w:t>3.3 Place (Distribution) Strategy</w:t>
      </w:r>
      <w:bookmarkEnd w:id="13"/>
    </w:p>
    <w:p w14:paraId="17309048"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BYD employs a </w:t>
      </w:r>
      <w:r w:rsidRPr="00C9062A">
        <w:rPr>
          <w:rFonts w:ascii="Arial" w:hAnsi="Arial" w:cs="Arial"/>
          <w:bCs/>
        </w:rPr>
        <w:t>hybrid distribution strategy</w:t>
      </w:r>
      <w:r w:rsidRPr="00C9062A">
        <w:rPr>
          <w:rFonts w:ascii="Arial" w:hAnsi="Arial" w:cs="Arial"/>
        </w:rPr>
        <w:t xml:space="preserve">, combining direct sales, partnerships, and digital platforms. The ecosystem will be distributed through </w:t>
      </w:r>
      <w:proofErr w:type="spellStart"/>
      <w:r w:rsidRPr="00C9062A">
        <w:rPr>
          <w:rFonts w:ascii="Arial" w:hAnsi="Arial" w:cs="Arial"/>
        </w:rPr>
        <w:t>authorised</w:t>
      </w:r>
      <w:proofErr w:type="spellEnd"/>
      <w:r w:rsidRPr="00C9062A">
        <w:rPr>
          <w:rFonts w:ascii="Arial" w:hAnsi="Arial" w:cs="Arial"/>
        </w:rPr>
        <w:t xml:space="preserve"> dealers, energy solution providers, and online platforms across key markets such as China, Europe, and North America.</w:t>
      </w:r>
    </w:p>
    <w:p w14:paraId="3D1BC996" w14:textId="77777777" w:rsidR="00072FBB" w:rsidRPr="00C9062A" w:rsidRDefault="00072FBB" w:rsidP="00C9062A">
      <w:pPr>
        <w:spacing w:line="360" w:lineRule="auto"/>
        <w:jc w:val="both"/>
        <w:rPr>
          <w:rFonts w:ascii="Arial" w:hAnsi="Arial" w:cs="Arial"/>
        </w:rPr>
      </w:pPr>
      <w:r w:rsidRPr="00C9062A">
        <w:rPr>
          <w:rFonts w:ascii="Arial" w:hAnsi="Arial" w:cs="Arial"/>
        </w:rPr>
        <w:lastRenderedPageBreak/>
        <w:t xml:space="preserve">The global shift towards digital platforms is significant, with over </w:t>
      </w:r>
      <w:r w:rsidRPr="00C9062A">
        <w:rPr>
          <w:rFonts w:ascii="Arial" w:hAnsi="Arial" w:cs="Arial"/>
          <w:bCs/>
        </w:rPr>
        <w:t>65% of consumers researching energy solutions online before purchase</w:t>
      </w:r>
      <w:r w:rsidRPr="00C9062A">
        <w:rPr>
          <w:rFonts w:ascii="Arial" w:hAnsi="Arial" w:cs="Arial"/>
        </w:rPr>
        <w:t xml:space="preserve"> (Deloitte, 2023). This highlights the importance of integrating e-commerce with physical installation services. Additionally, partnerships with construction firms and smart home providers can enhance market penetration.</w:t>
      </w:r>
    </w:p>
    <w:p w14:paraId="6E115881"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From a strategic perspective, BYD’s distribution aligns with an </w:t>
      </w:r>
      <w:r w:rsidRPr="00C9062A">
        <w:rPr>
          <w:rFonts w:ascii="Arial" w:hAnsi="Arial" w:cs="Arial"/>
          <w:bCs/>
        </w:rPr>
        <w:t>omnichannel approach</w:t>
      </w:r>
      <w:r w:rsidRPr="00C9062A">
        <w:rPr>
          <w:rFonts w:ascii="Arial" w:hAnsi="Arial" w:cs="Arial"/>
        </w:rPr>
        <w:t>, ensuring accessibility while maintaining control over brand experience. However, infrastructure limitations and regulatory differences across countries may impact distribution efficiency.</w:t>
      </w:r>
    </w:p>
    <w:p w14:paraId="2A7D44FA" w14:textId="77777777" w:rsidR="00072FBB" w:rsidRPr="00C9062A" w:rsidRDefault="00072FBB" w:rsidP="00C9062A">
      <w:pPr>
        <w:pStyle w:val="Heading2"/>
      </w:pPr>
      <w:bookmarkStart w:id="14" w:name="_Toc228296626"/>
      <w:r w:rsidRPr="00C9062A">
        <w:t>3.4 Promotion Strategy</w:t>
      </w:r>
      <w:bookmarkEnd w:id="14"/>
    </w:p>
    <w:p w14:paraId="22CBE4E4"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BYD’s promotion strategy is </w:t>
      </w:r>
      <w:proofErr w:type="spellStart"/>
      <w:r w:rsidRPr="00C9062A">
        <w:rPr>
          <w:rFonts w:ascii="Arial" w:hAnsi="Arial" w:cs="Arial"/>
        </w:rPr>
        <w:t>centred</w:t>
      </w:r>
      <w:proofErr w:type="spellEnd"/>
      <w:r w:rsidRPr="00C9062A">
        <w:rPr>
          <w:rFonts w:ascii="Arial" w:hAnsi="Arial" w:cs="Arial"/>
        </w:rPr>
        <w:t xml:space="preserve"> on </w:t>
      </w:r>
      <w:r w:rsidRPr="00C9062A">
        <w:rPr>
          <w:rFonts w:ascii="Arial" w:hAnsi="Arial" w:cs="Arial"/>
          <w:bCs/>
        </w:rPr>
        <w:t>integrated marketing communications (IMC)</w:t>
      </w:r>
      <w:r w:rsidRPr="00C9062A">
        <w:rPr>
          <w:rFonts w:ascii="Arial" w:hAnsi="Arial" w:cs="Arial"/>
        </w:rPr>
        <w:t xml:space="preserve">, combining digital engagement, sustainability messaging, and strategic partnerships. The global clean energy transition has increased consumer awareness, with over </w:t>
      </w:r>
      <w:r w:rsidRPr="00C9062A">
        <w:rPr>
          <w:rFonts w:ascii="Arial" w:hAnsi="Arial" w:cs="Arial"/>
          <w:bCs/>
        </w:rPr>
        <w:t>70% of consumers considering sustainability in purchasing decisions</w:t>
      </w:r>
      <w:r w:rsidRPr="00C9062A">
        <w:rPr>
          <w:rFonts w:ascii="Arial" w:hAnsi="Arial" w:cs="Arial"/>
        </w:rPr>
        <w:t xml:space="preserve"> (Deloitte, 2023).</w:t>
      </w:r>
    </w:p>
    <w:p w14:paraId="0318CFE8" w14:textId="77777777" w:rsidR="00072FBB" w:rsidRPr="00C9062A" w:rsidRDefault="00072FBB" w:rsidP="00C9062A">
      <w:pPr>
        <w:spacing w:line="360" w:lineRule="auto"/>
        <w:jc w:val="both"/>
        <w:rPr>
          <w:rFonts w:ascii="Arial" w:hAnsi="Arial" w:cs="Arial"/>
        </w:rPr>
      </w:pPr>
      <w:r w:rsidRPr="00C9062A">
        <w:rPr>
          <w:rFonts w:ascii="Arial" w:hAnsi="Arial" w:cs="Arial"/>
        </w:rPr>
        <w:t>Key promotional approaches include:</w:t>
      </w:r>
    </w:p>
    <w:p w14:paraId="69EC98EC" w14:textId="77777777" w:rsidR="00072FBB" w:rsidRPr="00C9062A" w:rsidRDefault="00072FBB" w:rsidP="00C9062A">
      <w:pPr>
        <w:numPr>
          <w:ilvl w:val="0"/>
          <w:numId w:val="7"/>
        </w:numPr>
        <w:spacing w:line="360" w:lineRule="auto"/>
        <w:jc w:val="both"/>
        <w:rPr>
          <w:rFonts w:ascii="Arial" w:hAnsi="Arial" w:cs="Arial"/>
        </w:rPr>
      </w:pPr>
      <w:r w:rsidRPr="00C9062A">
        <w:rPr>
          <w:rFonts w:ascii="Arial" w:hAnsi="Arial" w:cs="Arial"/>
          <w:b/>
          <w:bCs/>
        </w:rPr>
        <w:t>Digital Marketing:</w:t>
      </w:r>
      <w:r w:rsidRPr="00C9062A">
        <w:rPr>
          <w:rFonts w:ascii="Arial" w:hAnsi="Arial" w:cs="Arial"/>
        </w:rPr>
        <w:t xml:space="preserve"> Leveraging platforms such as YouTube, LinkedIn, and Google Ads to target environmentally conscious consumers. Digital channels influence over </w:t>
      </w:r>
      <w:r w:rsidRPr="00C9062A">
        <w:rPr>
          <w:rFonts w:ascii="Arial" w:hAnsi="Arial" w:cs="Arial"/>
          <w:b/>
          <w:bCs/>
        </w:rPr>
        <w:t>60% of purchasing decisions</w:t>
      </w:r>
      <w:r w:rsidRPr="00C9062A">
        <w:rPr>
          <w:rFonts w:ascii="Arial" w:hAnsi="Arial" w:cs="Arial"/>
        </w:rPr>
        <w:t xml:space="preserve"> in technology markets (</w:t>
      </w:r>
      <w:r w:rsidR="00352360" w:rsidRPr="00C9062A">
        <w:rPr>
          <w:rFonts w:ascii="Arial" w:hAnsi="Arial" w:cs="Arial"/>
        </w:rPr>
        <w:t>Melnyk et al., 2024</w:t>
      </w:r>
      <w:r w:rsidRPr="00C9062A">
        <w:rPr>
          <w:rFonts w:ascii="Arial" w:hAnsi="Arial" w:cs="Arial"/>
        </w:rPr>
        <w:t xml:space="preserve">). </w:t>
      </w:r>
    </w:p>
    <w:p w14:paraId="34B384EE" w14:textId="77777777" w:rsidR="00072FBB" w:rsidRPr="00C9062A" w:rsidRDefault="00072FBB" w:rsidP="00C9062A">
      <w:pPr>
        <w:numPr>
          <w:ilvl w:val="0"/>
          <w:numId w:val="7"/>
        </w:numPr>
        <w:spacing w:line="360" w:lineRule="auto"/>
        <w:jc w:val="both"/>
        <w:rPr>
          <w:rFonts w:ascii="Arial" w:hAnsi="Arial" w:cs="Arial"/>
        </w:rPr>
      </w:pPr>
      <w:r w:rsidRPr="00C9062A">
        <w:rPr>
          <w:rFonts w:ascii="Arial" w:hAnsi="Arial" w:cs="Arial"/>
          <w:b/>
          <w:bCs/>
        </w:rPr>
        <w:t>Sustainability Campaigns:</w:t>
      </w:r>
      <w:r w:rsidRPr="00C9062A">
        <w:rPr>
          <w:rFonts w:ascii="Arial" w:hAnsi="Arial" w:cs="Arial"/>
        </w:rPr>
        <w:t xml:space="preserve"> </w:t>
      </w:r>
      <w:proofErr w:type="spellStart"/>
      <w:r w:rsidRPr="00C9062A">
        <w:rPr>
          <w:rFonts w:ascii="Arial" w:hAnsi="Arial" w:cs="Arial"/>
        </w:rPr>
        <w:t>Emphasising</w:t>
      </w:r>
      <w:proofErr w:type="spellEnd"/>
      <w:r w:rsidRPr="00C9062A">
        <w:rPr>
          <w:rFonts w:ascii="Arial" w:hAnsi="Arial" w:cs="Arial"/>
        </w:rPr>
        <w:t xml:space="preserve"> carbon reduction and energy independence aligns with global net-zero goals, strengthening brand perception. </w:t>
      </w:r>
    </w:p>
    <w:p w14:paraId="65FF7E38" w14:textId="77777777" w:rsidR="00072FBB" w:rsidRPr="00C9062A" w:rsidRDefault="00072FBB" w:rsidP="00C9062A">
      <w:pPr>
        <w:numPr>
          <w:ilvl w:val="0"/>
          <w:numId w:val="7"/>
        </w:numPr>
        <w:spacing w:line="360" w:lineRule="auto"/>
        <w:jc w:val="both"/>
        <w:rPr>
          <w:rFonts w:ascii="Arial" w:hAnsi="Arial" w:cs="Arial"/>
        </w:rPr>
      </w:pPr>
      <w:r w:rsidRPr="00C9062A">
        <w:rPr>
          <w:rFonts w:ascii="Arial" w:hAnsi="Arial" w:cs="Arial"/>
          <w:b/>
          <w:bCs/>
        </w:rPr>
        <w:t>Strategic Partnerships:</w:t>
      </w:r>
      <w:r w:rsidRPr="00C9062A">
        <w:rPr>
          <w:rFonts w:ascii="Arial" w:hAnsi="Arial" w:cs="Arial"/>
        </w:rPr>
        <w:t xml:space="preserve"> Collaborations with governments and energy providers enhance credibility and support large-scale adoption. </w:t>
      </w:r>
    </w:p>
    <w:p w14:paraId="159A096E"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BYD’s promotional strategy reflects a </w:t>
      </w:r>
      <w:r w:rsidRPr="00C9062A">
        <w:rPr>
          <w:rFonts w:ascii="Arial" w:hAnsi="Arial" w:cs="Arial"/>
          <w:bCs/>
        </w:rPr>
        <w:t>pull marketing approach</w:t>
      </w:r>
      <w:r w:rsidRPr="00C9062A">
        <w:rPr>
          <w:rFonts w:ascii="Arial" w:hAnsi="Arial" w:cs="Arial"/>
        </w:rPr>
        <w:t>, focusing on educating consumers rather than aggressive selling. However, compared to established global brands, BYD may need to invest more in brand awareness, particularly in Western markets.</w:t>
      </w:r>
    </w:p>
    <w:p w14:paraId="516887B1" w14:textId="77777777" w:rsidR="00072FBB" w:rsidRPr="00C9062A" w:rsidRDefault="00072FBB" w:rsidP="00C9062A">
      <w:pPr>
        <w:pStyle w:val="Heading2"/>
      </w:pPr>
      <w:bookmarkStart w:id="15" w:name="_Toc228296627"/>
      <w:r w:rsidRPr="00C9062A">
        <w:t>3.5 Critical Evaluation of Marketing Mix</w:t>
      </w:r>
      <w:bookmarkEnd w:id="15"/>
    </w:p>
    <w:p w14:paraId="322A7D20" w14:textId="77777777" w:rsidR="00072FBB" w:rsidRPr="00C9062A" w:rsidRDefault="00072FBB" w:rsidP="00C9062A">
      <w:pPr>
        <w:spacing w:line="360" w:lineRule="auto"/>
        <w:jc w:val="both"/>
        <w:rPr>
          <w:rFonts w:ascii="Arial" w:hAnsi="Arial" w:cs="Arial"/>
        </w:rPr>
      </w:pPr>
      <w:r w:rsidRPr="00C9062A">
        <w:rPr>
          <w:rFonts w:ascii="Arial" w:hAnsi="Arial" w:cs="Arial"/>
        </w:rPr>
        <w:lastRenderedPageBreak/>
        <w:t>The 4Ps strategy demonstrates strong alignment with BYD’s brand extension objectives. The product strategy leverages innovation and integration, while pricing reflects a balance between affordability and value. Distribution ensures accessibility through multiple channels, and promotion effectively communicates sustainability benefits.</w:t>
      </w:r>
    </w:p>
    <w:p w14:paraId="230EF6B7" w14:textId="77777777" w:rsidR="00072FBB" w:rsidRPr="00C9062A" w:rsidRDefault="00072FBB" w:rsidP="00C9062A">
      <w:pPr>
        <w:spacing w:line="360" w:lineRule="auto"/>
        <w:jc w:val="both"/>
        <w:rPr>
          <w:rFonts w:ascii="Arial" w:hAnsi="Arial" w:cs="Arial"/>
        </w:rPr>
      </w:pPr>
      <w:r w:rsidRPr="00C9062A">
        <w:rPr>
          <w:rFonts w:ascii="Arial" w:hAnsi="Arial" w:cs="Arial"/>
        </w:rPr>
        <w:t>However, several challenges remain. High initial costs may limit adoption among lower-income consumers, while regulatory complexities can affect market entry. Additionally, strong competition from companies such as Tesla may require continuous differentiation.</w:t>
      </w:r>
    </w:p>
    <w:p w14:paraId="101B85E7" w14:textId="77777777" w:rsidR="007F0978" w:rsidRDefault="00072FBB" w:rsidP="00C9062A">
      <w:pPr>
        <w:spacing w:line="360" w:lineRule="auto"/>
        <w:jc w:val="both"/>
        <w:rPr>
          <w:rFonts w:ascii="Arial" w:hAnsi="Arial" w:cs="Arial"/>
        </w:rPr>
      </w:pPr>
      <w:r w:rsidRPr="00C9062A">
        <w:rPr>
          <w:rFonts w:ascii="Arial" w:hAnsi="Arial" w:cs="Arial"/>
        </w:rPr>
        <w:t xml:space="preserve">Despite these limitations, BYD’s vertical integration, cost advantage, and sustainability positioning provide a </w:t>
      </w:r>
      <w:r w:rsidRPr="00C9062A">
        <w:rPr>
          <w:rFonts w:ascii="Arial" w:hAnsi="Arial" w:cs="Arial"/>
          <w:bCs/>
        </w:rPr>
        <w:t>sustainable competitive advantage</w:t>
      </w:r>
      <w:r w:rsidRPr="00C9062A">
        <w:rPr>
          <w:rFonts w:ascii="Arial" w:hAnsi="Arial" w:cs="Arial"/>
        </w:rPr>
        <w:t xml:space="preserve">. The marketing mix effectively supports </w:t>
      </w:r>
      <w:proofErr w:type="gramStart"/>
      <w:r w:rsidRPr="00C9062A">
        <w:rPr>
          <w:rFonts w:ascii="Arial" w:hAnsi="Arial" w:cs="Arial"/>
        </w:rPr>
        <w:t>the brand</w:t>
      </w:r>
      <w:proofErr w:type="gramEnd"/>
      <w:r w:rsidRPr="00C9062A">
        <w:rPr>
          <w:rFonts w:ascii="Arial" w:hAnsi="Arial" w:cs="Arial"/>
        </w:rPr>
        <w:t xml:space="preserve"> extension by aligning technological innovation with evolving consumer demands and global energy trends.</w:t>
      </w:r>
    </w:p>
    <w:p w14:paraId="0AECA3F9" w14:textId="77777777" w:rsidR="007F0978" w:rsidRDefault="007F0978">
      <w:pPr>
        <w:rPr>
          <w:rFonts w:ascii="Arial" w:hAnsi="Arial" w:cs="Arial"/>
        </w:rPr>
      </w:pPr>
      <w:r>
        <w:rPr>
          <w:rFonts w:ascii="Arial" w:hAnsi="Arial" w:cs="Arial"/>
        </w:rPr>
        <w:br w:type="page"/>
      </w:r>
    </w:p>
    <w:p w14:paraId="335B2BA6" w14:textId="77777777" w:rsidR="008D220D" w:rsidRDefault="008D220D" w:rsidP="008D220D">
      <w:pPr>
        <w:pStyle w:val="Heading1"/>
      </w:pPr>
      <w:bookmarkStart w:id="16" w:name="_Toc228296628"/>
      <w:r>
        <w:lastRenderedPageBreak/>
        <w:t>References (</w:t>
      </w:r>
      <w:r w:rsidRPr="008D220D">
        <w:t>Element 3)</w:t>
      </w:r>
      <w:bookmarkEnd w:id="16"/>
    </w:p>
    <w:p w14:paraId="4BA64EE1" w14:textId="77777777" w:rsidR="007F0978" w:rsidRPr="007F0978" w:rsidRDefault="007F0978" w:rsidP="007F0978">
      <w:pPr>
        <w:spacing w:line="360" w:lineRule="auto"/>
        <w:jc w:val="both"/>
        <w:rPr>
          <w:rFonts w:ascii="Arial" w:hAnsi="Arial" w:cs="Arial"/>
          <w:b/>
          <w:bCs/>
        </w:rPr>
      </w:pPr>
      <w:r w:rsidRPr="000E1C2D">
        <w:rPr>
          <w:rFonts w:ascii="Arial" w:hAnsi="Arial" w:cs="Arial"/>
        </w:rPr>
        <w:t xml:space="preserve">BYD (2024) Annual Report and Sustainability Overview. Available at: </w:t>
      </w:r>
      <w:hyperlink r:id="rId19" w:history="1">
        <w:r w:rsidRPr="00A32A31">
          <w:rPr>
            <w:rStyle w:val="Hyperlink"/>
            <w:rFonts w:ascii="Arial" w:hAnsi="Arial" w:cs="Arial"/>
          </w:rPr>
          <w:t>http://annualreports.ai/company/hong-kong/commerce-industry/byd-company/</w:t>
        </w:r>
      </w:hyperlink>
      <w:r>
        <w:rPr>
          <w:rFonts w:ascii="Arial" w:hAnsi="Arial" w:cs="Arial"/>
        </w:rPr>
        <w:t xml:space="preserve"> (Accessed: 1 April 2026) </w:t>
      </w:r>
    </w:p>
    <w:p w14:paraId="462CE3D5" w14:textId="77777777" w:rsidR="007F0978" w:rsidRPr="00C9062A" w:rsidRDefault="007F0978" w:rsidP="007F0978">
      <w:pPr>
        <w:spacing w:line="360" w:lineRule="auto"/>
        <w:jc w:val="both"/>
        <w:rPr>
          <w:rFonts w:ascii="Arial" w:hAnsi="Arial" w:cs="Arial"/>
        </w:rPr>
      </w:pPr>
      <w:r w:rsidRPr="00C9062A">
        <w:rPr>
          <w:rFonts w:ascii="Arial" w:hAnsi="Arial" w:cs="Arial"/>
        </w:rPr>
        <w:t xml:space="preserve">Deloitte (2023) </w:t>
      </w:r>
      <w:r w:rsidRPr="00C9062A">
        <w:rPr>
          <w:rFonts w:ascii="Arial" w:hAnsi="Arial" w:cs="Arial"/>
          <w:i/>
          <w:iCs/>
        </w:rPr>
        <w:t>Global Consumer Sustainability Trends Report</w:t>
      </w:r>
      <w:r w:rsidRPr="00C9062A">
        <w:rPr>
          <w:rFonts w:ascii="Arial" w:hAnsi="Arial" w:cs="Arial"/>
        </w:rPr>
        <w:t xml:space="preserve">. Available at: </w:t>
      </w:r>
      <w:hyperlink r:id="rId20" w:history="1">
        <w:r w:rsidRPr="00C9062A">
          <w:rPr>
            <w:rStyle w:val="Hyperlink"/>
            <w:rFonts w:ascii="Arial" w:hAnsi="Arial" w:cs="Arial"/>
          </w:rPr>
          <w:t>https://www.deloitte.com/content/dam/assets-shared/docs/industries/consumer/2023/gx-consumer-creating-value-from-sustainable-products-aoda.pdf</w:t>
        </w:r>
      </w:hyperlink>
      <w:r w:rsidRPr="00C9062A">
        <w:rPr>
          <w:rFonts w:ascii="Arial" w:hAnsi="Arial" w:cs="Arial"/>
        </w:rPr>
        <w:t xml:space="preserve"> (Accessed: 1 April 2026)</w:t>
      </w:r>
    </w:p>
    <w:p w14:paraId="432D30E7" w14:textId="77777777" w:rsidR="007F0978" w:rsidRDefault="007F0978" w:rsidP="007F0978">
      <w:pPr>
        <w:spacing w:line="360" w:lineRule="auto"/>
        <w:jc w:val="both"/>
        <w:rPr>
          <w:rFonts w:ascii="Arial" w:hAnsi="Arial" w:cs="Arial"/>
        </w:rPr>
      </w:pPr>
      <w:r w:rsidRPr="00C9062A">
        <w:rPr>
          <w:rFonts w:ascii="Arial" w:hAnsi="Arial" w:cs="Arial"/>
        </w:rPr>
        <w:t xml:space="preserve">Di Maro, A., 2025. Business Model Innovation in the Renewable Energy Storage Market: An Empirical Analysis of Leading Global Battery Energy Storage System Companies (Doctoral dissertation, </w:t>
      </w:r>
      <w:proofErr w:type="spellStart"/>
      <w:r w:rsidRPr="00C9062A">
        <w:rPr>
          <w:rFonts w:ascii="Arial" w:hAnsi="Arial" w:cs="Arial"/>
        </w:rPr>
        <w:t>Politecnico</w:t>
      </w:r>
      <w:proofErr w:type="spellEnd"/>
      <w:r w:rsidRPr="00C9062A">
        <w:rPr>
          <w:rFonts w:ascii="Arial" w:hAnsi="Arial" w:cs="Arial"/>
        </w:rPr>
        <w:t xml:space="preserve"> di Torino).</w:t>
      </w:r>
    </w:p>
    <w:p w14:paraId="37B9F58B" w14:textId="77777777" w:rsidR="007F0978" w:rsidRDefault="007F0978" w:rsidP="007F0978">
      <w:pPr>
        <w:spacing w:line="360" w:lineRule="auto"/>
        <w:jc w:val="both"/>
        <w:rPr>
          <w:rFonts w:ascii="Arial" w:hAnsi="Arial" w:cs="Arial"/>
        </w:rPr>
      </w:pPr>
      <w:r w:rsidRPr="000E1C2D">
        <w:rPr>
          <w:rFonts w:ascii="Arial" w:hAnsi="Arial" w:cs="Arial"/>
        </w:rPr>
        <w:t xml:space="preserve">IEA (2023) Renewables 2023: Global Energy Market Report. Available at: </w:t>
      </w:r>
      <w:hyperlink r:id="rId21" w:history="1">
        <w:r w:rsidRPr="00A32A31">
          <w:rPr>
            <w:rStyle w:val="Hyperlink"/>
            <w:rFonts w:ascii="Arial" w:hAnsi="Arial" w:cs="Arial"/>
          </w:rPr>
          <w:t>https://www.iea.org/reports/renewables-2023</w:t>
        </w:r>
      </w:hyperlink>
      <w:r>
        <w:rPr>
          <w:rFonts w:ascii="Arial" w:hAnsi="Arial" w:cs="Arial"/>
        </w:rPr>
        <w:t xml:space="preserve"> </w:t>
      </w:r>
      <w:r w:rsidRPr="000E1C2D">
        <w:rPr>
          <w:rFonts w:ascii="Arial" w:hAnsi="Arial" w:cs="Arial"/>
        </w:rPr>
        <w:t xml:space="preserve">(Accessed: 1 April 2026) </w:t>
      </w:r>
    </w:p>
    <w:p w14:paraId="740DB759" w14:textId="77777777" w:rsidR="007F0978" w:rsidRPr="000E1C2D" w:rsidRDefault="007F0978" w:rsidP="007F0978">
      <w:pPr>
        <w:spacing w:line="360" w:lineRule="auto"/>
        <w:jc w:val="both"/>
        <w:rPr>
          <w:rFonts w:ascii="Arial" w:hAnsi="Arial" w:cs="Arial"/>
        </w:rPr>
      </w:pPr>
      <w:r w:rsidRPr="00C9062A">
        <w:rPr>
          <w:rFonts w:ascii="Arial" w:hAnsi="Arial" w:cs="Arial"/>
        </w:rPr>
        <w:t xml:space="preserve">Kotler, P. and Keller, K.L. (2022) </w:t>
      </w:r>
      <w:r w:rsidRPr="00C9062A">
        <w:rPr>
          <w:rFonts w:ascii="Arial" w:hAnsi="Arial" w:cs="Arial"/>
          <w:i/>
          <w:iCs/>
        </w:rPr>
        <w:t>Marketing Management</w:t>
      </w:r>
      <w:r w:rsidRPr="00C9062A">
        <w:rPr>
          <w:rFonts w:ascii="Arial" w:hAnsi="Arial" w:cs="Arial"/>
        </w:rPr>
        <w:t xml:space="preserve">. 16th </w:t>
      </w:r>
      <w:proofErr w:type="spellStart"/>
      <w:r w:rsidRPr="00C9062A">
        <w:rPr>
          <w:rFonts w:ascii="Arial" w:hAnsi="Arial" w:cs="Arial"/>
        </w:rPr>
        <w:t>edn</w:t>
      </w:r>
      <w:proofErr w:type="spellEnd"/>
      <w:r w:rsidRPr="00C9062A">
        <w:rPr>
          <w:rFonts w:ascii="Arial" w:hAnsi="Arial" w:cs="Arial"/>
        </w:rPr>
        <w:t>. Pearson.</w:t>
      </w:r>
      <w:r>
        <w:rPr>
          <w:rFonts w:ascii="Arial" w:hAnsi="Arial" w:cs="Arial"/>
        </w:rPr>
        <w:t xml:space="preserve"> Available at: </w:t>
      </w:r>
      <w:hyperlink r:id="rId22" w:history="1">
        <w:r w:rsidRPr="00A32A31">
          <w:rPr>
            <w:rStyle w:val="Hyperlink"/>
            <w:rFonts w:ascii="Arial" w:hAnsi="Arial" w:cs="Arial"/>
          </w:rPr>
          <w:t>https://studylib.net/doc/27749324/kotler--</w:t>
        </w:r>
        <w:proofErr w:type="spellStart"/>
        <w:r w:rsidRPr="00A32A31">
          <w:rPr>
            <w:rStyle w:val="Hyperlink"/>
            <w:rFonts w:ascii="Arial" w:hAnsi="Arial" w:cs="Arial"/>
          </w:rPr>
          <w:t>keller</w:t>
        </w:r>
        <w:proofErr w:type="spellEnd"/>
        <w:r w:rsidRPr="00A32A31">
          <w:rPr>
            <w:rStyle w:val="Hyperlink"/>
            <w:rFonts w:ascii="Arial" w:hAnsi="Arial" w:cs="Arial"/>
          </w:rPr>
          <w:t>---</w:t>
        </w:r>
        <w:proofErr w:type="spellStart"/>
        <w:r w:rsidRPr="00A32A31">
          <w:rPr>
            <w:rStyle w:val="Hyperlink"/>
            <w:rFonts w:ascii="Arial" w:hAnsi="Arial" w:cs="Arial"/>
          </w:rPr>
          <w:t>chernev</w:t>
        </w:r>
        <w:proofErr w:type="spellEnd"/>
        <w:r w:rsidRPr="00A32A31">
          <w:rPr>
            <w:rStyle w:val="Hyperlink"/>
            <w:rFonts w:ascii="Arial" w:hAnsi="Arial" w:cs="Arial"/>
          </w:rPr>
          <w:t>---16th-ed-edits</w:t>
        </w:r>
      </w:hyperlink>
      <w:r>
        <w:rPr>
          <w:rFonts w:ascii="Arial" w:hAnsi="Arial" w:cs="Arial"/>
        </w:rPr>
        <w:t xml:space="preserve"> </w:t>
      </w:r>
      <w:r w:rsidRPr="000E1C2D">
        <w:rPr>
          <w:rFonts w:ascii="Arial" w:hAnsi="Arial" w:cs="Arial"/>
        </w:rPr>
        <w:t>(Accessed: 1 April 2026)</w:t>
      </w:r>
    </w:p>
    <w:p w14:paraId="4D3FDA13" w14:textId="77777777" w:rsidR="007F0978" w:rsidRPr="000E1C2D" w:rsidRDefault="007F0978" w:rsidP="007F0978">
      <w:pPr>
        <w:spacing w:line="360" w:lineRule="auto"/>
        <w:jc w:val="both"/>
        <w:rPr>
          <w:rFonts w:ascii="Arial" w:hAnsi="Arial" w:cs="Arial"/>
        </w:rPr>
      </w:pPr>
      <w:r w:rsidRPr="000E1C2D">
        <w:rPr>
          <w:rFonts w:ascii="Arial" w:hAnsi="Arial" w:cs="Arial"/>
        </w:rPr>
        <w:t xml:space="preserve">McKinsey &amp; Company (2023) The Future of Energy Systems and Electrification. Available at: </w:t>
      </w:r>
      <w:hyperlink r:id="rId23" w:history="1">
        <w:r w:rsidRPr="00A32A31">
          <w:rPr>
            <w:rStyle w:val="Hyperlink"/>
            <w:rFonts w:ascii="Arial" w:hAnsi="Arial" w:cs="Arial"/>
          </w:rPr>
          <w:t>https://www.mckinsey.com/industries/oil-and-gas/our-insights/global-energy-perspective-2023</w:t>
        </w:r>
      </w:hyperlink>
      <w:r>
        <w:rPr>
          <w:rFonts w:ascii="Arial" w:hAnsi="Arial" w:cs="Arial"/>
        </w:rPr>
        <w:t xml:space="preserve"> </w:t>
      </w:r>
      <w:r w:rsidRPr="000E1C2D">
        <w:rPr>
          <w:rFonts w:ascii="Arial" w:hAnsi="Arial" w:cs="Arial"/>
        </w:rPr>
        <w:t xml:space="preserve">(Accessed: 1 April 2026) </w:t>
      </w:r>
    </w:p>
    <w:p w14:paraId="259DF7C6" w14:textId="77777777" w:rsidR="00072FBB" w:rsidRPr="00C9062A" w:rsidRDefault="007F0978" w:rsidP="007F0978">
      <w:pPr>
        <w:spacing w:line="360" w:lineRule="auto"/>
        <w:jc w:val="both"/>
        <w:rPr>
          <w:rFonts w:ascii="Arial" w:hAnsi="Arial" w:cs="Arial"/>
        </w:rPr>
      </w:pPr>
      <w:r w:rsidRPr="000E1C2D">
        <w:rPr>
          <w:rFonts w:ascii="Arial" w:hAnsi="Arial" w:cs="Arial"/>
        </w:rPr>
        <w:t xml:space="preserve">Melnyk, T., </w:t>
      </w:r>
      <w:proofErr w:type="spellStart"/>
      <w:r w:rsidRPr="000E1C2D">
        <w:rPr>
          <w:rFonts w:ascii="Arial" w:hAnsi="Arial" w:cs="Arial"/>
        </w:rPr>
        <w:t>Demkiv</w:t>
      </w:r>
      <w:proofErr w:type="spellEnd"/>
      <w:r w:rsidRPr="000E1C2D">
        <w:rPr>
          <w:rFonts w:ascii="Arial" w:hAnsi="Arial" w:cs="Arial"/>
        </w:rPr>
        <w:t xml:space="preserve">, Y. and </w:t>
      </w:r>
      <w:proofErr w:type="spellStart"/>
      <w:r w:rsidRPr="000E1C2D">
        <w:rPr>
          <w:rFonts w:ascii="Arial" w:hAnsi="Arial" w:cs="Arial"/>
        </w:rPr>
        <w:t>Salamatin</w:t>
      </w:r>
      <w:proofErr w:type="spellEnd"/>
      <w:r w:rsidRPr="000E1C2D">
        <w:rPr>
          <w:rFonts w:ascii="Arial" w:hAnsi="Arial" w:cs="Arial"/>
        </w:rPr>
        <w:t>, K., 2024. Specifics of Pricing Policy in the Global Energy Market in Context of Energy Transitions.</w:t>
      </w:r>
    </w:p>
    <w:p w14:paraId="38373DD9" w14:textId="77777777" w:rsidR="007F0978" w:rsidRPr="00C9062A" w:rsidRDefault="007F0978" w:rsidP="007F0978">
      <w:pPr>
        <w:spacing w:line="360" w:lineRule="auto"/>
        <w:jc w:val="both"/>
        <w:rPr>
          <w:rFonts w:ascii="Arial" w:hAnsi="Arial" w:cs="Arial"/>
        </w:rPr>
      </w:pPr>
    </w:p>
    <w:p w14:paraId="3A4C7C48" w14:textId="77777777" w:rsidR="00072FBB" w:rsidRPr="00C9062A" w:rsidRDefault="00072FBB" w:rsidP="007F0978">
      <w:pPr>
        <w:spacing w:line="360" w:lineRule="auto"/>
        <w:jc w:val="both"/>
        <w:rPr>
          <w:rFonts w:ascii="Arial" w:hAnsi="Arial" w:cs="Arial"/>
        </w:rPr>
      </w:pPr>
      <w:r w:rsidRPr="00C9062A">
        <w:rPr>
          <w:rFonts w:ascii="Arial" w:hAnsi="Arial" w:cs="Arial"/>
        </w:rPr>
        <w:br/>
      </w:r>
    </w:p>
    <w:p w14:paraId="2348B6D1" w14:textId="77777777" w:rsidR="00072FBB" w:rsidRPr="00C9062A" w:rsidRDefault="00072FBB" w:rsidP="00C9062A">
      <w:pPr>
        <w:spacing w:line="360" w:lineRule="auto"/>
        <w:jc w:val="both"/>
        <w:rPr>
          <w:rFonts w:ascii="Arial" w:hAnsi="Arial" w:cs="Arial"/>
        </w:rPr>
      </w:pPr>
      <w:r w:rsidRPr="00C9062A">
        <w:rPr>
          <w:rFonts w:ascii="Arial" w:hAnsi="Arial" w:cs="Arial"/>
        </w:rPr>
        <w:br w:type="page"/>
      </w:r>
    </w:p>
    <w:p w14:paraId="379A2F8A" w14:textId="77777777" w:rsidR="00072FBB" w:rsidRPr="00C9062A" w:rsidRDefault="00072FBB" w:rsidP="00C9062A">
      <w:pPr>
        <w:pStyle w:val="Heading1"/>
      </w:pPr>
      <w:bookmarkStart w:id="17" w:name="_Toc228296629"/>
      <w:r w:rsidRPr="00C9062A">
        <w:lastRenderedPageBreak/>
        <w:t>Element 4: Reflection</w:t>
      </w:r>
      <w:bookmarkEnd w:id="17"/>
    </w:p>
    <w:p w14:paraId="311EA324"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The development of the BYD Smart Home Energy Ecosystem provided a valuable opportunity to apply advanced marketing theories within a contemporary and highly dynamic industry context. This process significantly enhanced my understanding of how brand extension strategies can be used not only for business growth but also to address global challenges such as sustainability and energy transition. By integrating frameworks such as STDP and the marketing mix, I was able to move beyond descriptive analysis and engage in critical evaluation of how </w:t>
      </w:r>
      <w:proofErr w:type="spellStart"/>
      <w:r w:rsidRPr="00C9062A">
        <w:rPr>
          <w:rFonts w:ascii="Arial" w:hAnsi="Arial" w:cs="Arial"/>
        </w:rPr>
        <w:t>organisations</w:t>
      </w:r>
      <w:proofErr w:type="spellEnd"/>
      <w:r w:rsidRPr="00C9062A">
        <w:rPr>
          <w:rFonts w:ascii="Arial" w:hAnsi="Arial" w:cs="Arial"/>
        </w:rPr>
        <w:t xml:space="preserve"> align consumer needs with strategic capabilities (</w:t>
      </w:r>
      <w:r w:rsidR="008D220D" w:rsidRPr="00C9062A">
        <w:rPr>
          <w:rFonts w:ascii="Arial" w:hAnsi="Arial" w:cs="Arial"/>
        </w:rPr>
        <w:t>Kotler and Keller, 2022</w:t>
      </w:r>
      <w:r w:rsidRPr="00C9062A">
        <w:rPr>
          <w:rFonts w:ascii="Arial" w:hAnsi="Arial" w:cs="Arial"/>
        </w:rPr>
        <w:t>).</w:t>
      </w:r>
    </w:p>
    <w:p w14:paraId="7F656607"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One of the key insights gained from this project is the importance of aligning brand extensions with core </w:t>
      </w:r>
      <w:proofErr w:type="spellStart"/>
      <w:r w:rsidRPr="00C9062A">
        <w:rPr>
          <w:rFonts w:ascii="Arial" w:hAnsi="Arial" w:cs="Arial"/>
        </w:rPr>
        <w:t>organisational</w:t>
      </w:r>
      <w:proofErr w:type="spellEnd"/>
      <w:r w:rsidRPr="00C9062A">
        <w:rPr>
          <w:rFonts w:ascii="Arial" w:hAnsi="Arial" w:cs="Arial"/>
        </w:rPr>
        <w:t xml:space="preserve"> competencies. BYD’s strength in battery technology and vertical integration enabled the development of a realistic and strategically coherent extension. This reflects academic arguments that successful brand extensions must leverage existing brand equity while simultaneously creating new value propositions (Aaker and Keller, 1990). Furthermore, the use of market data, such as renewable energy growth projections and EV adoption rates, reinforced the importance of evidence-based decision-making in strategic marketing (IEA, 2023). This strengthened my ability to critically evaluate market opportunities rather than relying on assumptions.</w:t>
      </w:r>
    </w:p>
    <w:p w14:paraId="70082575" w14:textId="77777777" w:rsidR="00072FBB" w:rsidRPr="00C9062A" w:rsidRDefault="00072FBB" w:rsidP="00C9062A">
      <w:pPr>
        <w:spacing w:line="360" w:lineRule="auto"/>
        <w:jc w:val="both"/>
        <w:rPr>
          <w:rFonts w:ascii="Arial" w:hAnsi="Arial" w:cs="Arial"/>
        </w:rPr>
      </w:pPr>
      <w:r w:rsidRPr="00C9062A">
        <w:rPr>
          <w:rFonts w:ascii="Arial" w:hAnsi="Arial" w:cs="Arial"/>
        </w:rPr>
        <w:t xml:space="preserve">The process of designing the poster presentation further contributed to the development of my communication skills. Unlike traditional academic writing, the poster required concise and visually engaging content, encouraging me to </w:t>
      </w:r>
      <w:proofErr w:type="spellStart"/>
      <w:r w:rsidRPr="00C9062A">
        <w:rPr>
          <w:rFonts w:ascii="Arial" w:hAnsi="Arial" w:cs="Arial"/>
        </w:rPr>
        <w:t>prioritise</w:t>
      </w:r>
      <w:proofErr w:type="spellEnd"/>
      <w:r w:rsidRPr="00C9062A">
        <w:rPr>
          <w:rFonts w:ascii="Arial" w:hAnsi="Arial" w:cs="Arial"/>
        </w:rPr>
        <w:t xml:space="preserve"> clarity, relevance, and impact. This aligns with professional marketing practices, where complex ideas must often be communicated quickly and effectively to diverse stakeholders (Fill and Turnbull, 2019). The experience improved my ability to translate theoretical concepts into practical and accessible formats, which is essential in real-world business environments.</w:t>
      </w:r>
    </w:p>
    <w:p w14:paraId="0391F0B8" w14:textId="77777777" w:rsidR="00072FBB" w:rsidRDefault="00072FBB" w:rsidP="00C9062A">
      <w:pPr>
        <w:spacing w:line="360" w:lineRule="auto"/>
        <w:jc w:val="both"/>
        <w:rPr>
          <w:rFonts w:ascii="Arial" w:hAnsi="Arial" w:cs="Arial"/>
        </w:rPr>
      </w:pPr>
      <w:r w:rsidRPr="00C9062A">
        <w:rPr>
          <w:rFonts w:ascii="Arial" w:hAnsi="Arial" w:cs="Arial"/>
        </w:rPr>
        <w:t xml:space="preserve">However, the project also highlighted areas for improvement. While the analysis incorporated relevant theories and data, greater depth could have been achieved by exploring potential risks such as regulatory barriers and consumer adoption challenges in different regions. Additionally, time management emerged as a limitation, particularly in balancing detailed research with the need for concise presentation. Future projects would </w:t>
      </w:r>
      <w:r w:rsidRPr="00C9062A">
        <w:rPr>
          <w:rFonts w:ascii="Arial" w:hAnsi="Arial" w:cs="Arial"/>
        </w:rPr>
        <w:lastRenderedPageBreak/>
        <w:t>benefit from a more structured planning approach, allowing sufficient time for both critical analysis and refinement of outputs.</w:t>
      </w:r>
    </w:p>
    <w:p w14:paraId="042BB53D" w14:textId="28D6E6F5" w:rsidR="00847691" w:rsidRPr="007E42B1" w:rsidRDefault="00847691" w:rsidP="00C9062A">
      <w:pPr>
        <w:spacing w:line="360" w:lineRule="auto"/>
        <w:jc w:val="both"/>
        <w:rPr>
          <w:rFonts w:ascii="Arial" w:hAnsi="Arial" w:cs="Arial"/>
          <w:color w:val="000000" w:themeColor="text1"/>
          <w:lang w:val="en-IN"/>
        </w:rPr>
      </w:pPr>
      <w:r w:rsidRPr="007E42B1">
        <w:rPr>
          <w:rFonts w:ascii="Arial" w:hAnsi="Arial" w:cs="Arial"/>
          <w:color w:val="000000" w:themeColor="text1"/>
          <w:lang w:val="en-IN"/>
        </w:rPr>
        <w:t xml:space="preserve">Another aspect to consider in terms of personal development involves the ability to develop critical thinking and evaluate strategically. It was clear throughout the assignment that good marketing strategies go beyond simply using theoretical tools and require an ability to critically think about the situation and identify problems and solutions. In the case of the proposed brand extension, although its success seems </w:t>
      </w:r>
      <w:proofErr w:type="gramStart"/>
      <w:r w:rsidRPr="007E42B1">
        <w:rPr>
          <w:rFonts w:ascii="Arial" w:hAnsi="Arial" w:cs="Arial"/>
          <w:color w:val="000000" w:themeColor="text1"/>
          <w:lang w:val="en-IN"/>
        </w:rPr>
        <w:t>quite obvious</w:t>
      </w:r>
      <w:proofErr w:type="gramEnd"/>
      <w:r w:rsidRPr="007E42B1">
        <w:rPr>
          <w:rFonts w:ascii="Arial" w:hAnsi="Arial" w:cs="Arial"/>
          <w:color w:val="000000" w:themeColor="text1"/>
          <w:lang w:val="en-IN"/>
        </w:rPr>
        <w:t xml:space="preserve"> from the perspective of the theoretical model, there may be many barriers to successful implementation that need to be addressed. Such experience will allow me to become a better strategist in the future and be able to critically evaluate marketing plans.</w:t>
      </w:r>
    </w:p>
    <w:p w14:paraId="10CC7606" w14:textId="77777777" w:rsidR="00072FBB" w:rsidRPr="00C9062A" w:rsidRDefault="00072FBB" w:rsidP="00C9062A">
      <w:pPr>
        <w:spacing w:line="360" w:lineRule="auto"/>
        <w:jc w:val="both"/>
        <w:rPr>
          <w:rFonts w:ascii="Arial" w:hAnsi="Arial" w:cs="Arial"/>
        </w:rPr>
      </w:pPr>
      <w:r w:rsidRPr="00C9062A">
        <w:rPr>
          <w:rFonts w:ascii="Arial" w:hAnsi="Arial" w:cs="Arial"/>
        </w:rPr>
        <w:t>Overall, this assignment has contributed significantly to my personal and professional development. It enhanced my analytical thinking, strategic planning, and ability to apply marketing theories to real-world scenarios. Moreover, it reinforced the importance of sustainability as a central consideration in modern business strategy. Moving forward, I aim to further develop my critical evaluation skills and incorporate a wider range of academic and industry sources to strengthen the robustness of my analysis. This will enable me to produce more comprehensive and impactful marketing strategies in future academic and professional contexts.</w:t>
      </w:r>
    </w:p>
    <w:p w14:paraId="0ED879FB" w14:textId="77777777" w:rsidR="008D220D" w:rsidRDefault="008D220D" w:rsidP="00C9062A">
      <w:pPr>
        <w:spacing w:line="360" w:lineRule="auto"/>
        <w:jc w:val="both"/>
        <w:rPr>
          <w:rFonts w:ascii="Arial" w:hAnsi="Arial" w:cs="Arial"/>
        </w:rPr>
      </w:pPr>
    </w:p>
    <w:p w14:paraId="21CC55B2" w14:textId="77777777" w:rsidR="008D220D" w:rsidRDefault="008D220D">
      <w:pPr>
        <w:rPr>
          <w:rFonts w:ascii="Arial" w:hAnsi="Arial" w:cs="Arial"/>
        </w:rPr>
      </w:pPr>
      <w:r>
        <w:rPr>
          <w:rFonts w:ascii="Arial" w:hAnsi="Arial" w:cs="Arial"/>
        </w:rPr>
        <w:br w:type="page"/>
      </w:r>
    </w:p>
    <w:p w14:paraId="37005A64" w14:textId="77777777" w:rsidR="008D220D" w:rsidRPr="00C9062A" w:rsidRDefault="008D220D" w:rsidP="008D220D">
      <w:pPr>
        <w:pStyle w:val="Heading1"/>
      </w:pPr>
      <w:bookmarkStart w:id="18" w:name="_Toc228296630"/>
      <w:r w:rsidRPr="00C9062A">
        <w:lastRenderedPageBreak/>
        <w:t>References</w:t>
      </w:r>
      <w:r>
        <w:t xml:space="preserve"> (Element 4)</w:t>
      </w:r>
      <w:bookmarkEnd w:id="18"/>
    </w:p>
    <w:p w14:paraId="2398882B" w14:textId="77777777" w:rsidR="008D220D" w:rsidRDefault="008D220D" w:rsidP="008D220D">
      <w:pPr>
        <w:spacing w:line="360" w:lineRule="auto"/>
        <w:jc w:val="both"/>
        <w:rPr>
          <w:rFonts w:ascii="Arial" w:hAnsi="Arial" w:cs="Arial"/>
        </w:rPr>
      </w:pPr>
      <w:r w:rsidRPr="008D220D">
        <w:rPr>
          <w:rFonts w:ascii="Arial" w:hAnsi="Arial" w:cs="Arial"/>
        </w:rPr>
        <w:t>Aaker, D.A. and Keller, K.L., 1990. Consumer evaluations of brand extensions. Journal of marketing, 54(1), pp.27-41.</w:t>
      </w:r>
      <w:r w:rsidRPr="00C9062A">
        <w:rPr>
          <w:rFonts w:ascii="Arial" w:hAnsi="Arial" w:cs="Arial"/>
        </w:rPr>
        <w:br/>
      </w:r>
      <w:r w:rsidRPr="008D220D">
        <w:rPr>
          <w:rFonts w:ascii="Arial" w:hAnsi="Arial" w:cs="Arial"/>
        </w:rPr>
        <w:t>Fill, C. and Turnbull, S., 2019. Marketing communications. Pearson UK.</w:t>
      </w:r>
      <w:r w:rsidRPr="00C9062A">
        <w:rPr>
          <w:rFonts w:ascii="Arial" w:hAnsi="Arial" w:cs="Arial"/>
        </w:rPr>
        <w:br/>
      </w:r>
      <w:r w:rsidRPr="000E1C2D">
        <w:rPr>
          <w:rFonts w:ascii="Arial" w:hAnsi="Arial" w:cs="Arial"/>
        </w:rPr>
        <w:t xml:space="preserve">IEA (2023) Renewables 2023: Global Energy Market Report. Available at: </w:t>
      </w:r>
      <w:hyperlink r:id="rId24" w:history="1">
        <w:r w:rsidRPr="00A32A31">
          <w:rPr>
            <w:rStyle w:val="Hyperlink"/>
            <w:rFonts w:ascii="Arial" w:hAnsi="Arial" w:cs="Arial"/>
          </w:rPr>
          <w:t>https://www.iea.org/reports/renewables-2023</w:t>
        </w:r>
      </w:hyperlink>
      <w:r>
        <w:rPr>
          <w:rFonts w:ascii="Arial" w:hAnsi="Arial" w:cs="Arial"/>
        </w:rPr>
        <w:t xml:space="preserve"> </w:t>
      </w:r>
      <w:r w:rsidRPr="000E1C2D">
        <w:rPr>
          <w:rFonts w:ascii="Arial" w:hAnsi="Arial" w:cs="Arial"/>
        </w:rPr>
        <w:t xml:space="preserve">(Accessed: 1 April 2026) </w:t>
      </w:r>
    </w:p>
    <w:p w14:paraId="2DACAB4B" w14:textId="77777777" w:rsidR="008D220D" w:rsidRPr="000E1C2D" w:rsidRDefault="008D220D" w:rsidP="008D220D">
      <w:pPr>
        <w:spacing w:line="360" w:lineRule="auto"/>
        <w:jc w:val="both"/>
        <w:rPr>
          <w:rFonts w:ascii="Arial" w:hAnsi="Arial" w:cs="Arial"/>
        </w:rPr>
      </w:pPr>
      <w:r w:rsidRPr="00C9062A">
        <w:rPr>
          <w:rFonts w:ascii="Arial" w:hAnsi="Arial" w:cs="Arial"/>
        </w:rPr>
        <w:t xml:space="preserve">Kotler, P. and Keller, K.L. (2022) </w:t>
      </w:r>
      <w:r w:rsidRPr="00C9062A">
        <w:rPr>
          <w:rFonts w:ascii="Arial" w:hAnsi="Arial" w:cs="Arial"/>
          <w:i/>
          <w:iCs/>
        </w:rPr>
        <w:t>Marketing Management</w:t>
      </w:r>
      <w:r w:rsidRPr="00C9062A">
        <w:rPr>
          <w:rFonts w:ascii="Arial" w:hAnsi="Arial" w:cs="Arial"/>
        </w:rPr>
        <w:t xml:space="preserve">. 16th </w:t>
      </w:r>
      <w:proofErr w:type="spellStart"/>
      <w:r w:rsidRPr="00C9062A">
        <w:rPr>
          <w:rFonts w:ascii="Arial" w:hAnsi="Arial" w:cs="Arial"/>
        </w:rPr>
        <w:t>edn</w:t>
      </w:r>
      <w:proofErr w:type="spellEnd"/>
      <w:r w:rsidRPr="00C9062A">
        <w:rPr>
          <w:rFonts w:ascii="Arial" w:hAnsi="Arial" w:cs="Arial"/>
        </w:rPr>
        <w:t>. Pearson.</w:t>
      </w:r>
      <w:r>
        <w:rPr>
          <w:rFonts w:ascii="Arial" w:hAnsi="Arial" w:cs="Arial"/>
        </w:rPr>
        <w:t xml:space="preserve"> Available at: </w:t>
      </w:r>
      <w:hyperlink r:id="rId25" w:history="1">
        <w:r w:rsidRPr="00A32A31">
          <w:rPr>
            <w:rStyle w:val="Hyperlink"/>
            <w:rFonts w:ascii="Arial" w:hAnsi="Arial" w:cs="Arial"/>
          </w:rPr>
          <w:t>https://studylib.net/doc/27749324/kotler--</w:t>
        </w:r>
        <w:proofErr w:type="spellStart"/>
        <w:r w:rsidRPr="00A32A31">
          <w:rPr>
            <w:rStyle w:val="Hyperlink"/>
            <w:rFonts w:ascii="Arial" w:hAnsi="Arial" w:cs="Arial"/>
          </w:rPr>
          <w:t>keller</w:t>
        </w:r>
        <w:proofErr w:type="spellEnd"/>
        <w:r w:rsidRPr="00A32A31">
          <w:rPr>
            <w:rStyle w:val="Hyperlink"/>
            <w:rFonts w:ascii="Arial" w:hAnsi="Arial" w:cs="Arial"/>
          </w:rPr>
          <w:t>---</w:t>
        </w:r>
        <w:proofErr w:type="spellStart"/>
        <w:r w:rsidRPr="00A32A31">
          <w:rPr>
            <w:rStyle w:val="Hyperlink"/>
            <w:rFonts w:ascii="Arial" w:hAnsi="Arial" w:cs="Arial"/>
          </w:rPr>
          <w:t>chernev</w:t>
        </w:r>
        <w:proofErr w:type="spellEnd"/>
        <w:r w:rsidRPr="00A32A31">
          <w:rPr>
            <w:rStyle w:val="Hyperlink"/>
            <w:rFonts w:ascii="Arial" w:hAnsi="Arial" w:cs="Arial"/>
          </w:rPr>
          <w:t>---16th-ed-edits</w:t>
        </w:r>
      </w:hyperlink>
      <w:r>
        <w:rPr>
          <w:rFonts w:ascii="Arial" w:hAnsi="Arial" w:cs="Arial"/>
        </w:rPr>
        <w:t xml:space="preserve"> </w:t>
      </w:r>
      <w:r w:rsidRPr="000E1C2D">
        <w:rPr>
          <w:rFonts w:ascii="Arial" w:hAnsi="Arial" w:cs="Arial"/>
        </w:rPr>
        <w:t>(Accessed: 1 April 2026)</w:t>
      </w:r>
    </w:p>
    <w:p w14:paraId="543435A2" w14:textId="77777777" w:rsidR="00072FBB" w:rsidRPr="00C9062A" w:rsidRDefault="00072FBB" w:rsidP="00C9062A">
      <w:pPr>
        <w:spacing w:line="360" w:lineRule="auto"/>
        <w:jc w:val="both"/>
        <w:rPr>
          <w:rFonts w:ascii="Arial" w:hAnsi="Arial" w:cs="Arial"/>
        </w:rPr>
      </w:pPr>
    </w:p>
    <w:p w14:paraId="71FA7C70" w14:textId="77777777" w:rsidR="00072FBB" w:rsidRPr="00C9062A" w:rsidRDefault="00072FBB" w:rsidP="00C9062A">
      <w:pPr>
        <w:spacing w:line="360" w:lineRule="auto"/>
        <w:jc w:val="both"/>
        <w:rPr>
          <w:rFonts w:ascii="Arial" w:hAnsi="Arial" w:cs="Arial"/>
        </w:rPr>
      </w:pPr>
      <w:r w:rsidRPr="00C9062A">
        <w:rPr>
          <w:rFonts w:ascii="Arial" w:hAnsi="Arial" w:cs="Arial"/>
        </w:rPr>
        <w:br w:type="page"/>
      </w:r>
    </w:p>
    <w:p w14:paraId="3184C6CE" w14:textId="77777777" w:rsidR="00072FBB" w:rsidRPr="00C9062A" w:rsidRDefault="00072FBB" w:rsidP="00C9062A">
      <w:pPr>
        <w:pStyle w:val="Heading1"/>
      </w:pPr>
      <w:bookmarkStart w:id="19" w:name="_Toc228296631"/>
      <w:r w:rsidRPr="00C9062A">
        <w:lastRenderedPageBreak/>
        <w:t>Conclusion</w:t>
      </w:r>
      <w:bookmarkEnd w:id="19"/>
    </w:p>
    <w:p w14:paraId="4DCB98E3" w14:textId="77777777" w:rsidR="002C459C" w:rsidRDefault="00072FBB" w:rsidP="00C9062A">
      <w:pPr>
        <w:spacing w:line="360" w:lineRule="auto"/>
        <w:jc w:val="both"/>
        <w:rPr>
          <w:rFonts w:ascii="Arial" w:hAnsi="Arial" w:cs="Arial"/>
        </w:rPr>
      </w:pPr>
      <w:r w:rsidRPr="00C9062A">
        <w:rPr>
          <w:rFonts w:ascii="Arial" w:hAnsi="Arial" w:cs="Arial"/>
        </w:rPr>
        <w:t>The analysis demonstrates that BYD’s Smart Home Energy Ecosystem offers strong strategic potential by aligning innovation with sustainability trends. However, high initial costs and competitive pressures remain key challenges. Long-term success will depend on effective execution, market adaptation, and continuous technological advancement to sustain competitive advantage in the global energy transition.</w:t>
      </w:r>
    </w:p>
    <w:p w14:paraId="16B52451" w14:textId="77777777" w:rsidR="002C459C" w:rsidRDefault="002C459C">
      <w:pPr>
        <w:rPr>
          <w:rFonts w:ascii="Arial" w:hAnsi="Arial" w:cs="Arial"/>
        </w:rPr>
      </w:pPr>
      <w:r>
        <w:rPr>
          <w:rFonts w:ascii="Arial" w:hAnsi="Arial" w:cs="Arial"/>
        </w:rPr>
        <w:br w:type="page"/>
      </w:r>
    </w:p>
    <w:p w14:paraId="3E3F07D3" w14:textId="77777777" w:rsidR="002C459C" w:rsidRPr="00C9062A" w:rsidRDefault="002C459C" w:rsidP="007052FA">
      <w:pPr>
        <w:pStyle w:val="Heading1"/>
      </w:pPr>
      <w:bookmarkStart w:id="20" w:name="_Toc228296632"/>
      <w:r>
        <w:lastRenderedPageBreak/>
        <w:t>Appendix</w:t>
      </w:r>
      <w:bookmarkEnd w:id="20"/>
    </w:p>
    <w:p w14:paraId="131BFFAC" w14:textId="77777777" w:rsidR="00E85AB9" w:rsidRPr="00C9062A" w:rsidRDefault="00704A36" w:rsidP="007052FA">
      <w:pPr>
        <w:spacing w:line="360" w:lineRule="auto"/>
        <w:jc w:val="center"/>
        <w:rPr>
          <w:rFonts w:ascii="Arial" w:hAnsi="Arial" w:cs="Arial"/>
        </w:rPr>
      </w:pPr>
      <w:r w:rsidRPr="00704A36">
        <w:rPr>
          <w:rFonts w:ascii="Arial" w:hAnsi="Arial" w:cs="Arial"/>
          <w:noProof/>
        </w:rPr>
        <w:drawing>
          <wp:inline distT="0" distB="0" distL="0" distR="0" wp14:anchorId="342C310B" wp14:editId="1E623862">
            <wp:extent cx="5422900" cy="7833077"/>
            <wp:effectExtent l="0" t="0" r="6350" b="0"/>
            <wp:docPr id="2" name="Picture 2" descr="E:\Office\Pesonal Network\March 2026\Zain\New folder\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Office\Pesonal Network\March 2026\Zain\New folder\P.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435751" cy="7851640"/>
                    </a:xfrm>
                    <a:prstGeom prst="rect">
                      <a:avLst/>
                    </a:prstGeom>
                    <a:noFill/>
                    <a:ln>
                      <a:noFill/>
                    </a:ln>
                  </pic:spPr>
                </pic:pic>
              </a:graphicData>
            </a:graphic>
          </wp:inline>
        </w:drawing>
      </w:r>
    </w:p>
    <w:sectPr w:rsidR="00E85AB9" w:rsidRPr="00C9062A" w:rsidSect="00A47D42">
      <w:footerReference w:type="default" r:id="rId2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54E99" w14:textId="77777777" w:rsidR="00AA5409" w:rsidRDefault="00AA5409" w:rsidP="00FE36EA">
      <w:pPr>
        <w:spacing w:after="0" w:line="240" w:lineRule="auto"/>
      </w:pPr>
      <w:r>
        <w:separator/>
      </w:r>
    </w:p>
  </w:endnote>
  <w:endnote w:type="continuationSeparator" w:id="0">
    <w:p w14:paraId="11EC945E" w14:textId="77777777" w:rsidR="00AA5409" w:rsidRDefault="00AA5409" w:rsidP="00FE3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796909"/>
      <w:docPartObj>
        <w:docPartGallery w:val="Page Numbers (Bottom of Page)"/>
        <w:docPartUnique/>
      </w:docPartObj>
    </w:sdtPr>
    <w:sdtEndPr>
      <w:rPr>
        <w:color w:val="7F7F7F" w:themeColor="background1" w:themeShade="7F"/>
        <w:spacing w:val="60"/>
      </w:rPr>
    </w:sdtEndPr>
    <w:sdtContent>
      <w:p w14:paraId="73D2DD4D" w14:textId="77777777" w:rsidR="00FE36EA" w:rsidRDefault="00FE36EA">
        <w:pPr>
          <w:pStyle w:val="Footer"/>
          <w:pBdr>
            <w:top w:val="single" w:sz="4" w:space="1" w:color="D9D9D9" w:themeColor="background1" w:themeShade="D9"/>
          </w:pBdr>
          <w:jc w:val="right"/>
        </w:pPr>
        <w:r>
          <w:fldChar w:fldCharType="begin"/>
        </w:r>
        <w:r>
          <w:instrText xml:space="preserve"> PAGE   \* MERGEFORMAT </w:instrText>
        </w:r>
        <w:r>
          <w:fldChar w:fldCharType="separate"/>
        </w:r>
        <w:r w:rsidR="001C3365">
          <w:rPr>
            <w:noProof/>
          </w:rPr>
          <w:t>4</w:t>
        </w:r>
        <w:r>
          <w:rPr>
            <w:noProof/>
          </w:rPr>
          <w:fldChar w:fldCharType="end"/>
        </w:r>
        <w:r>
          <w:t xml:space="preserve"> | </w:t>
        </w:r>
        <w:r>
          <w:rPr>
            <w:color w:val="7F7F7F" w:themeColor="background1" w:themeShade="7F"/>
            <w:spacing w:val="60"/>
          </w:rPr>
          <w:t>Page</w:t>
        </w:r>
      </w:p>
    </w:sdtContent>
  </w:sdt>
  <w:p w14:paraId="7B80BB92" w14:textId="77777777" w:rsidR="00FE36EA" w:rsidRDefault="00FE3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A2283" w14:textId="77777777" w:rsidR="00AA5409" w:rsidRDefault="00AA5409" w:rsidP="00FE36EA">
      <w:pPr>
        <w:spacing w:after="0" w:line="240" w:lineRule="auto"/>
      </w:pPr>
      <w:r>
        <w:separator/>
      </w:r>
    </w:p>
  </w:footnote>
  <w:footnote w:type="continuationSeparator" w:id="0">
    <w:p w14:paraId="3491883E" w14:textId="77777777" w:rsidR="00AA5409" w:rsidRDefault="00AA5409" w:rsidP="00FE3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25994"/>
    <w:multiLevelType w:val="multilevel"/>
    <w:tmpl w:val="8302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666E30"/>
    <w:multiLevelType w:val="multilevel"/>
    <w:tmpl w:val="D158D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4D72A2"/>
    <w:multiLevelType w:val="hybridMultilevel"/>
    <w:tmpl w:val="D9AC5B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5B7A52"/>
    <w:multiLevelType w:val="multilevel"/>
    <w:tmpl w:val="FDFE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D179BD"/>
    <w:multiLevelType w:val="multilevel"/>
    <w:tmpl w:val="59D8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75016"/>
    <w:multiLevelType w:val="multilevel"/>
    <w:tmpl w:val="54465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834E8B"/>
    <w:multiLevelType w:val="hybridMultilevel"/>
    <w:tmpl w:val="ED5A3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02549587">
    <w:abstractNumId w:val="3"/>
  </w:num>
  <w:num w:numId="2" w16cid:durableId="1183397254">
    <w:abstractNumId w:val="6"/>
  </w:num>
  <w:num w:numId="3" w16cid:durableId="1208446203">
    <w:abstractNumId w:val="4"/>
  </w:num>
  <w:num w:numId="4" w16cid:durableId="1741560792">
    <w:abstractNumId w:val="0"/>
  </w:num>
  <w:num w:numId="5" w16cid:durableId="2039309301">
    <w:abstractNumId w:val="2"/>
  </w:num>
  <w:num w:numId="6" w16cid:durableId="2127312638">
    <w:abstractNumId w:val="1"/>
  </w:num>
  <w:num w:numId="7" w16cid:durableId="376266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1BF"/>
    <w:rsid w:val="00045033"/>
    <w:rsid w:val="00072FBB"/>
    <w:rsid w:val="00092A4D"/>
    <w:rsid w:val="00095443"/>
    <w:rsid w:val="000E1C2D"/>
    <w:rsid w:val="00134407"/>
    <w:rsid w:val="0015077D"/>
    <w:rsid w:val="001815C7"/>
    <w:rsid w:val="00182E68"/>
    <w:rsid w:val="001C3365"/>
    <w:rsid w:val="00263AF1"/>
    <w:rsid w:val="002851E6"/>
    <w:rsid w:val="00293363"/>
    <w:rsid w:val="002C459C"/>
    <w:rsid w:val="002D7218"/>
    <w:rsid w:val="00305116"/>
    <w:rsid w:val="00325873"/>
    <w:rsid w:val="00352360"/>
    <w:rsid w:val="0036609E"/>
    <w:rsid w:val="003D77B7"/>
    <w:rsid w:val="00404BE3"/>
    <w:rsid w:val="00424F88"/>
    <w:rsid w:val="00443372"/>
    <w:rsid w:val="00523386"/>
    <w:rsid w:val="00533CD0"/>
    <w:rsid w:val="005350E8"/>
    <w:rsid w:val="005956CC"/>
    <w:rsid w:val="005A2F0D"/>
    <w:rsid w:val="00704A36"/>
    <w:rsid w:val="007052FA"/>
    <w:rsid w:val="007371E3"/>
    <w:rsid w:val="007371FE"/>
    <w:rsid w:val="007768BB"/>
    <w:rsid w:val="007B002E"/>
    <w:rsid w:val="007B3868"/>
    <w:rsid w:val="007E42B1"/>
    <w:rsid w:val="007F0978"/>
    <w:rsid w:val="00820D38"/>
    <w:rsid w:val="00820D88"/>
    <w:rsid w:val="00847691"/>
    <w:rsid w:val="008A7B74"/>
    <w:rsid w:val="008B5589"/>
    <w:rsid w:val="008D220D"/>
    <w:rsid w:val="00923EE4"/>
    <w:rsid w:val="009573DF"/>
    <w:rsid w:val="009B48A1"/>
    <w:rsid w:val="009C061C"/>
    <w:rsid w:val="009D424E"/>
    <w:rsid w:val="00A25B3D"/>
    <w:rsid w:val="00A373C4"/>
    <w:rsid w:val="00A457A2"/>
    <w:rsid w:val="00A47D42"/>
    <w:rsid w:val="00A96CA9"/>
    <w:rsid w:val="00AA5409"/>
    <w:rsid w:val="00AD4FE6"/>
    <w:rsid w:val="00B03C7A"/>
    <w:rsid w:val="00B418DD"/>
    <w:rsid w:val="00B4663D"/>
    <w:rsid w:val="00BE21BF"/>
    <w:rsid w:val="00C512C6"/>
    <w:rsid w:val="00C663F3"/>
    <w:rsid w:val="00C717CC"/>
    <w:rsid w:val="00C803C1"/>
    <w:rsid w:val="00C878D5"/>
    <w:rsid w:val="00C9062A"/>
    <w:rsid w:val="00CF2945"/>
    <w:rsid w:val="00D11D44"/>
    <w:rsid w:val="00D40B73"/>
    <w:rsid w:val="00D732E8"/>
    <w:rsid w:val="00DC577C"/>
    <w:rsid w:val="00E5578C"/>
    <w:rsid w:val="00E70776"/>
    <w:rsid w:val="00E85AB9"/>
    <w:rsid w:val="00E9578F"/>
    <w:rsid w:val="00F70BCB"/>
    <w:rsid w:val="00F82E0D"/>
    <w:rsid w:val="00FC60FD"/>
    <w:rsid w:val="00FE36EA"/>
    <w:rsid w:val="00FE7E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53A18"/>
  <w15:chartTrackingRefBased/>
  <w15:docId w15:val="{F3723F83-5007-44FD-B49F-4D66D22BF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71FE"/>
    <w:pPr>
      <w:spacing w:line="360" w:lineRule="auto"/>
      <w:jc w:val="both"/>
      <w:outlineLvl w:val="0"/>
    </w:pPr>
    <w:rPr>
      <w:rFonts w:ascii="Arial" w:hAnsi="Arial" w:cs="Arial"/>
      <w:b/>
      <w:bCs/>
    </w:rPr>
  </w:style>
  <w:style w:type="paragraph" w:styleId="Heading2">
    <w:name w:val="heading 2"/>
    <w:basedOn w:val="Normal"/>
    <w:next w:val="Normal"/>
    <w:link w:val="Heading2Char"/>
    <w:uiPriority w:val="9"/>
    <w:unhideWhenUsed/>
    <w:qFormat/>
    <w:rsid w:val="007371FE"/>
    <w:pPr>
      <w:spacing w:line="360" w:lineRule="auto"/>
      <w:jc w:val="both"/>
      <w:outlineLvl w:val="1"/>
    </w:pPr>
    <w:rPr>
      <w:rFonts w:ascii="Arial" w:hAnsi="Arial" w:cs="Arial"/>
      <w:b/>
      <w:bCs/>
    </w:rPr>
  </w:style>
  <w:style w:type="paragraph" w:styleId="Heading3">
    <w:name w:val="heading 3"/>
    <w:basedOn w:val="Normal"/>
    <w:next w:val="Normal"/>
    <w:link w:val="Heading3Char"/>
    <w:uiPriority w:val="9"/>
    <w:semiHidden/>
    <w:unhideWhenUsed/>
    <w:qFormat/>
    <w:rsid w:val="008A7B74"/>
    <w:pPr>
      <w:keepNext/>
      <w:keepLines/>
      <w:spacing w:before="40" w:after="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73DF"/>
    <w:pPr>
      <w:ind w:left="720"/>
      <w:contextualSpacing/>
    </w:pPr>
  </w:style>
  <w:style w:type="character" w:styleId="Strong">
    <w:name w:val="Strong"/>
    <w:basedOn w:val="DefaultParagraphFont"/>
    <w:uiPriority w:val="22"/>
    <w:qFormat/>
    <w:rsid w:val="00F82E0D"/>
    <w:rPr>
      <w:b/>
      <w:bCs/>
    </w:rPr>
  </w:style>
  <w:style w:type="paragraph" w:styleId="NoSpacing">
    <w:name w:val="No Spacing"/>
    <w:link w:val="NoSpacingChar"/>
    <w:uiPriority w:val="1"/>
    <w:qFormat/>
    <w:rsid w:val="00A47D42"/>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47D42"/>
    <w:rPr>
      <w:rFonts w:eastAsiaTheme="minorEastAsia"/>
      <w:kern w:val="0"/>
      <w:sz w:val="22"/>
      <w:szCs w:val="22"/>
      <w14:ligatures w14:val="none"/>
    </w:rPr>
  </w:style>
  <w:style w:type="paragraph" w:customStyle="1" w:styleId="TableParagraph">
    <w:name w:val="Table Paragraph"/>
    <w:basedOn w:val="Normal"/>
    <w:uiPriority w:val="1"/>
    <w:qFormat/>
    <w:rsid w:val="00A47D42"/>
    <w:pPr>
      <w:widowControl w:val="0"/>
      <w:autoSpaceDE w:val="0"/>
      <w:autoSpaceDN w:val="0"/>
      <w:spacing w:after="0" w:line="240" w:lineRule="auto"/>
      <w:ind w:left="107"/>
    </w:pPr>
    <w:rPr>
      <w:rFonts w:ascii="Arial MT" w:eastAsia="Arial MT" w:hAnsi="Arial MT" w:cs="Arial MT"/>
      <w:kern w:val="0"/>
      <w:sz w:val="22"/>
      <w:szCs w:val="22"/>
      <w14:ligatures w14:val="none"/>
    </w:rPr>
  </w:style>
  <w:style w:type="character" w:styleId="Hyperlink">
    <w:name w:val="Hyperlink"/>
    <w:basedOn w:val="DefaultParagraphFont"/>
    <w:uiPriority w:val="99"/>
    <w:unhideWhenUsed/>
    <w:rsid w:val="00A47D42"/>
    <w:rPr>
      <w:color w:val="467886" w:themeColor="hyperlink"/>
      <w:u w:val="single"/>
    </w:rPr>
  </w:style>
  <w:style w:type="character" w:customStyle="1" w:styleId="Heading1Char">
    <w:name w:val="Heading 1 Char"/>
    <w:basedOn w:val="DefaultParagraphFont"/>
    <w:link w:val="Heading1"/>
    <w:uiPriority w:val="9"/>
    <w:rsid w:val="007371FE"/>
    <w:rPr>
      <w:rFonts w:ascii="Arial" w:hAnsi="Arial" w:cs="Arial"/>
      <w:b/>
      <w:bCs/>
    </w:rPr>
  </w:style>
  <w:style w:type="character" w:customStyle="1" w:styleId="Heading2Char">
    <w:name w:val="Heading 2 Char"/>
    <w:basedOn w:val="DefaultParagraphFont"/>
    <w:link w:val="Heading2"/>
    <w:uiPriority w:val="9"/>
    <w:rsid w:val="007371FE"/>
    <w:rPr>
      <w:rFonts w:ascii="Arial" w:hAnsi="Arial" w:cs="Arial"/>
      <w:b/>
      <w:bCs/>
    </w:rPr>
  </w:style>
  <w:style w:type="table" w:styleId="GridTable5Dark-Accent6">
    <w:name w:val="Grid Table 5 Dark Accent 6"/>
    <w:basedOn w:val="TableNormal"/>
    <w:uiPriority w:val="50"/>
    <w:rsid w:val="007371F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paragraph" w:styleId="TOCHeading">
    <w:name w:val="TOC Heading"/>
    <w:basedOn w:val="Heading1"/>
    <w:next w:val="Normal"/>
    <w:uiPriority w:val="39"/>
    <w:unhideWhenUsed/>
    <w:qFormat/>
    <w:rsid w:val="002851E6"/>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2851E6"/>
    <w:pPr>
      <w:spacing w:after="100"/>
    </w:pPr>
  </w:style>
  <w:style w:type="paragraph" w:styleId="TOC2">
    <w:name w:val="toc 2"/>
    <w:basedOn w:val="Normal"/>
    <w:next w:val="Normal"/>
    <w:autoRedefine/>
    <w:uiPriority w:val="39"/>
    <w:unhideWhenUsed/>
    <w:rsid w:val="002851E6"/>
    <w:pPr>
      <w:spacing w:after="100"/>
      <w:ind w:left="240"/>
    </w:pPr>
  </w:style>
  <w:style w:type="paragraph" w:styleId="Header">
    <w:name w:val="header"/>
    <w:basedOn w:val="Normal"/>
    <w:link w:val="HeaderChar"/>
    <w:uiPriority w:val="99"/>
    <w:unhideWhenUsed/>
    <w:rsid w:val="00FE36E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6EA"/>
  </w:style>
  <w:style w:type="paragraph" w:styleId="Footer">
    <w:name w:val="footer"/>
    <w:basedOn w:val="Normal"/>
    <w:link w:val="FooterChar"/>
    <w:uiPriority w:val="99"/>
    <w:unhideWhenUsed/>
    <w:rsid w:val="00FE36E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6EA"/>
  </w:style>
  <w:style w:type="character" w:customStyle="1" w:styleId="Heading3Char">
    <w:name w:val="Heading 3 Char"/>
    <w:basedOn w:val="DefaultParagraphFont"/>
    <w:link w:val="Heading3"/>
    <w:uiPriority w:val="9"/>
    <w:semiHidden/>
    <w:rsid w:val="008A7B74"/>
    <w:rPr>
      <w:rFonts w:asciiTheme="majorHAnsi" w:eastAsiaTheme="majorEastAsia" w:hAnsiTheme="majorHAnsi" w:cstheme="majorBidi"/>
      <w:color w:val="0A2F40" w:themeColor="accent1" w:themeShade="7F"/>
    </w:rPr>
  </w:style>
  <w:style w:type="table" w:styleId="TableGrid">
    <w:name w:val="Table Grid"/>
    <w:basedOn w:val="TableNormal"/>
    <w:uiPriority w:val="39"/>
    <w:rsid w:val="008A7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7077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18439">
      <w:bodyDiv w:val="1"/>
      <w:marLeft w:val="0"/>
      <w:marRight w:val="0"/>
      <w:marTop w:val="0"/>
      <w:marBottom w:val="0"/>
      <w:divBdr>
        <w:top w:val="none" w:sz="0" w:space="0" w:color="auto"/>
        <w:left w:val="none" w:sz="0" w:space="0" w:color="auto"/>
        <w:bottom w:val="none" w:sz="0" w:space="0" w:color="auto"/>
        <w:right w:val="none" w:sz="0" w:space="0" w:color="auto"/>
      </w:divBdr>
      <w:divsChild>
        <w:div w:id="1081374149">
          <w:marLeft w:val="0"/>
          <w:marRight w:val="0"/>
          <w:marTop w:val="0"/>
          <w:marBottom w:val="0"/>
          <w:divBdr>
            <w:top w:val="none" w:sz="0" w:space="0" w:color="auto"/>
            <w:left w:val="none" w:sz="0" w:space="0" w:color="auto"/>
            <w:bottom w:val="none" w:sz="0" w:space="0" w:color="auto"/>
            <w:right w:val="none" w:sz="0" w:space="0" w:color="auto"/>
          </w:divBdr>
          <w:divsChild>
            <w:div w:id="315571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41100">
      <w:bodyDiv w:val="1"/>
      <w:marLeft w:val="0"/>
      <w:marRight w:val="0"/>
      <w:marTop w:val="0"/>
      <w:marBottom w:val="0"/>
      <w:divBdr>
        <w:top w:val="none" w:sz="0" w:space="0" w:color="auto"/>
        <w:left w:val="none" w:sz="0" w:space="0" w:color="auto"/>
        <w:bottom w:val="none" w:sz="0" w:space="0" w:color="auto"/>
        <w:right w:val="none" w:sz="0" w:space="0" w:color="auto"/>
      </w:divBdr>
    </w:div>
    <w:div w:id="140074131">
      <w:bodyDiv w:val="1"/>
      <w:marLeft w:val="0"/>
      <w:marRight w:val="0"/>
      <w:marTop w:val="0"/>
      <w:marBottom w:val="0"/>
      <w:divBdr>
        <w:top w:val="none" w:sz="0" w:space="0" w:color="auto"/>
        <w:left w:val="none" w:sz="0" w:space="0" w:color="auto"/>
        <w:bottom w:val="none" w:sz="0" w:space="0" w:color="auto"/>
        <w:right w:val="none" w:sz="0" w:space="0" w:color="auto"/>
      </w:divBdr>
      <w:divsChild>
        <w:div w:id="267661473">
          <w:marLeft w:val="0"/>
          <w:marRight w:val="0"/>
          <w:marTop w:val="0"/>
          <w:marBottom w:val="0"/>
          <w:divBdr>
            <w:top w:val="none" w:sz="0" w:space="0" w:color="auto"/>
            <w:left w:val="none" w:sz="0" w:space="0" w:color="auto"/>
            <w:bottom w:val="none" w:sz="0" w:space="0" w:color="auto"/>
            <w:right w:val="none" w:sz="0" w:space="0" w:color="auto"/>
          </w:divBdr>
          <w:divsChild>
            <w:div w:id="145000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8635">
      <w:bodyDiv w:val="1"/>
      <w:marLeft w:val="0"/>
      <w:marRight w:val="0"/>
      <w:marTop w:val="0"/>
      <w:marBottom w:val="0"/>
      <w:divBdr>
        <w:top w:val="none" w:sz="0" w:space="0" w:color="auto"/>
        <w:left w:val="none" w:sz="0" w:space="0" w:color="auto"/>
        <w:bottom w:val="none" w:sz="0" w:space="0" w:color="auto"/>
        <w:right w:val="none" w:sz="0" w:space="0" w:color="auto"/>
      </w:divBdr>
    </w:div>
    <w:div w:id="580143830">
      <w:bodyDiv w:val="1"/>
      <w:marLeft w:val="0"/>
      <w:marRight w:val="0"/>
      <w:marTop w:val="0"/>
      <w:marBottom w:val="0"/>
      <w:divBdr>
        <w:top w:val="none" w:sz="0" w:space="0" w:color="auto"/>
        <w:left w:val="none" w:sz="0" w:space="0" w:color="auto"/>
        <w:bottom w:val="none" w:sz="0" w:space="0" w:color="auto"/>
        <w:right w:val="none" w:sz="0" w:space="0" w:color="auto"/>
      </w:divBdr>
      <w:divsChild>
        <w:div w:id="358626202">
          <w:marLeft w:val="0"/>
          <w:marRight w:val="0"/>
          <w:marTop w:val="0"/>
          <w:marBottom w:val="0"/>
          <w:divBdr>
            <w:top w:val="none" w:sz="0" w:space="0" w:color="auto"/>
            <w:left w:val="none" w:sz="0" w:space="0" w:color="auto"/>
            <w:bottom w:val="none" w:sz="0" w:space="0" w:color="auto"/>
            <w:right w:val="none" w:sz="0" w:space="0" w:color="auto"/>
          </w:divBdr>
          <w:divsChild>
            <w:div w:id="78135591">
              <w:marLeft w:val="0"/>
              <w:marRight w:val="0"/>
              <w:marTop w:val="0"/>
              <w:marBottom w:val="0"/>
              <w:divBdr>
                <w:top w:val="none" w:sz="0" w:space="0" w:color="auto"/>
                <w:left w:val="none" w:sz="0" w:space="0" w:color="auto"/>
                <w:bottom w:val="none" w:sz="0" w:space="0" w:color="auto"/>
                <w:right w:val="none" w:sz="0" w:space="0" w:color="auto"/>
              </w:divBdr>
              <w:divsChild>
                <w:div w:id="1114206990">
                  <w:marLeft w:val="0"/>
                  <w:marRight w:val="0"/>
                  <w:marTop w:val="0"/>
                  <w:marBottom w:val="0"/>
                  <w:divBdr>
                    <w:top w:val="none" w:sz="0" w:space="0" w:color="auto"/>
                    <w:left w:val="none" w:sz="0" w:space="0" w:color="auto"/>
                    <w:bottom w:val="none" w:sz="0" w:space="0" w:color="auto"/>
                    <w:right w:val="none" w:sz="0" w:space="0" w:color="auto"/>
                  </w:divBdr>
                  <w:divsChild>
                    <w:div w:id="103159034">
                      <w:marLeft w:val="0"/>
                      <w:marRight w:val="0"/>
                      <w:marTop w:val="0"/>
                      <w:marBottom w:val="0"/>
                      <w:divBdr>
                        <w:top w:val="none" w:sz="0" w:space="0" w:color="auto"/>
                        <w:left w:val="none" w:sz="0" w:space="0" w:color="auto"/>
                        <w:bottom w:val="none" w:sz="0" w:space="0" w:color="auto"/>
                        <w:right w:val="none" w:sz="0" w:space="0" w:color="auto"/>
                      </w:divBdr>
                      <w:divsChild>
                        <w:div w:id="1249579840">
                          <w:marLeft w:val="0"/>
                          <w:marRight w:val="0"/>
                          <w:marTop w:val="0"/>
                          <w:marBottom w:val="0"/>
                          <w:divBdr>
                            <w:top w:val="none" w:sz="0" w:space="0" w:color="auto"/>
                            <w:left w:val="none" w:sz="0" w:space="0" w:color="auto"/>
                            <w:bottom w:val="none" w:sz="0" w:space="0" w:color="auto"/>
                            <w:right w:val="none" w:sz="0" w:space="0" w:color="auto"/>
                          </w:divBdr>
                          <w:divsChild>
                            <w:div w:id="1240748200">
                              <w:marLeft w:val="0"/>
                              <w:marRight w:val="0"/>
                              <w:marTop w:val="0"/>
                              <w:marBottom w:val="0"/>
                              <w:divBdr>
                                <w:top w:val="none" w:sz="0" w:space="0" w:color="auto"/>
                                <w:left w:val="none" w:sz="0" w:space="0" w:color="auto"/>
                                <w:bottom w:val="none" w:sz="0" w:space="0" w:color="auto"/>
                                <w:right w:val="none" w:sz="0" w:space="0" w:color="auto"/>
                              </w:divBdr>
                              <w:divsChild>
                                <w:div w:id="168860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713330">
      <w:bodyDiv w:val="1"/>
      <w:marLeft w:val="0"/>
      <w:marRight w:val="0"/>
      <w:marTop w:val="0"/>
      <w:marBottom w:val="0"/>
      <w:divBdr>
        <w:top w:val="none" w:sz="0" w:space="0" w:color="auto"/>
        <w:left w:val="none" w:sz="0" w:space="0" w:color="auto"/>
        <w:bottom w:val="none" w:sz="0" w:space="0" w:color="auto"/>
        <w:right w:val="none" w:sz="0" w:space="0" w:color="auto"/>
      </w:divBdr>
      <w:divsChild>
        <w:div w:id="408843510">
          <w:marLeft w:val="0"/>
          <w:marRight w:val="0"/>
          <w:marTop w:val="0"/>
          <w:marBottom w:val="0"/>
          <w:divBdr>
            <w:top w:val="none" w:sz="0" w:space="0" w:color="auto"/>
            <w:left w:val="none" w:sz="0" w:space="0" w:color="auto"/>
            <w:bottom w:val="none" w:sz="0" w:space="0" w:color="auto"/>
            <w:right w:val="none" w:sz="0" w:space="0" w:color="auto"/>
          </w:divBdr>
          <w:divsChild>
            <w:div w:id="339284690">
              <w:marLeft w:val="0"/>
              <w:marRight w:val="0"/>
              <w:marTop w:val="0"/>
              <w:marBottom w:val="0"/>
              <w:divBdr>
                <w:top w:val="none" w:sz="0" w:space="0" w:color="auto"/>
                <w:left w:val="none" w:sz="0" w:space="0" w:color="auto"/>
                <w:bottom w:val="none" w:sz="0" w:space="0" w:color="auto"/>
                <w:right w:val="none" w:sz="0" w:space="0" w:color="auto"/>
              </w:divBdr>
              <w:divsChild>
                <w:div w:id="14812528">
                  <w:marLeft w:val="0"/>
                  <w:marRight w:val="0"/>
                  <w:marTop w:val="0"/>
                  <w:marBottom w:val="0"/>
                  <w:divBdr>
                    <w:top w:val="none" w:sz="0" w:space="0" w:color="auto"/>
                    <w:left w:val="none" w:sz="0" w:space="0" w:color="auto"/>
                    <w:bottom w:val="none" w:sz="0" w:space="0" w:color="auto"/>
                    <w:right w:val="none" w:sz="0" w:space="0" w:color="auto"/>
                  </w:divBdr>
                  <w:divsChild>
                    <w:div w:id="209391443">
                      <w:marLeft w:val="0"/>
                      <w:marRight w:val="0"/>
                      <w:marTop w:val="0"/>
                      <w:marBottom w:val="0"/>
                      <w:divBdr>
                        <w:top w:val="none" w:sz="0" w:space="0" w:color="auto"/>
                        <w:left w:val="none" w:sz="0" w:space="0" w:color="auto"/>
                        <w:bottom w:val="none" w:sz="0" w:space="0" w:color="auto"/>
                        <w:right w:val="none" w:sz="0" w:space="0" w:color="auto"/>
                      </w:divBdr>
                      <w:divsChild>
                        <w:div w:id="988823990">
                          <w:marLeft w:val="0"/>
                          <w:marRight w:val="0"/>
                          <w:marTop w:val="0"/>
                          <w:marBottom w:val="0"/>
                          <w:divBdr>
                            <w:top w:val="none" w:sz="0" w:space="0" w:color="auto"/>
                            <w:left w:val="none" w:sz="0" w:space="0" w:color="auto"/>
                            <w:bottom w:val="none" w:sz="0" w:space="0" w:color="auto"/>
                            <w:right w:val="none" w:sz="0" w:space="0" w:color="auto"/>
                          </w:divBdr>
                          <w:divsChild>
                            <w:div w:id="1397582417">
                              <w:marLeft w:val="0"/>
                              <w:marRight w:val="0"/>
                              <w:marTop w:val="0"/>
                              <w:marBottom w:val="0"/>
                              <w:divBdr>
                                <w:top w:val="none" w:sz="0" w:space="0" w:color="auto"/>
                                <w:left w:val="none" w:sz="0" w:space="0" w:color="auto"/>
                                <w:bottom w:val="none" w:sz="0" w:space="0" w:color="auto"/>
                                <w:right w:val="none" w:sz="0" w:space="0" w:color="auto"/>
                              </w:divBdr>
                              <w:divsChild>
                                <w:div w:id="150543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734474">
      <w:bodyDiv w:val="1"/>
      <w:marLeft w:val="0"/>
      <w:marRight w:val="0"/>
      <w:marTop w:val="0"/>
      <w:marBottom w:val="0"/>
      <w:divBdr>
        <w:top w:val="none" w:sz="0" w:space="0" w:color="auto"/>
        <w:left w:val="none" w:sz="0" w:space="0" w:color="auto"/>
        <w:bottom w:val="none" w:sz="0" w:space="0" w:color="auto"/>
        <w:right w:val="none" w:sz="0" w:space="0" w:color="auto"/>
      </w:divBdr>
      <w:divsChild>
        <w:div w:id="147719063">
          <w:marLeft w:val="0"/>
          <w:marRight w:val="0"/>
          <w:marTop w:val="0"/>
          <w:marBottom w:val="0"/>
          <w:divBdr>
            <w:top w:val="none" w:sz="0" w:space="0" w:color="auto"/>
            <w:left w:val="none" w:sz="0" w:space="0" w:color="auto"/>
            <w:bottom w:val="none" w:sz="0" w:space="0" w:color="auto"/>
            <w:right w:val="none" w:sz="0" w:space="0" w:color="auto"/>
          </w:divBdr>
          <w:divsChild>
            <w:div w:id="1120565086">
              <w:marLeft w:val="0"/>
              <w:marRight w:val="0"/>
              <w:marTop w:val="0"/>
              <w:marBottom w:val="0"/>
              <w:divBdr>
                <w:top w:val="none" w:sz="0" w:space="0" w:color="auto"/>
                <w:left w:val="none" w:sz="0" w:space="0" w:color="auto"/>
                <w:bottom w:val="none" w:sz="0" w:space="0" w:color="auto"/>
                <w:right w:val="none" w:sz="0" w:space="0" w:color="auto"/>
              </w:divBdr>
              <w:divsChild>
                <w:div w:id="1211962601">
                  <w:marLeft w:val="0"/>
                  <w:marRight w:val="0"/>
                  <w:marTop w:val="0"/>
                  <w:marBottom w:val="0"/>
                  <w:divBdr>
                    <w:top w:val="none" w:sz="0" w:space="0" w:color="auto"/>
                    <w:left w:val="none" w:sz="0" w:space="0" w:color="auto"/>
                    <w:bottom w:val="none" w:sz="0" w:space="0" w:color="auto"/>
                    <w:right w:val="none" w:sz="0" w:space="0" w:color="auto"/>
                  </w:divBdr>
                  <w:divsChild>
                    <w:div w:id="355082264">
                      <w:marLeft w:val="0"/>
                      <w:marRight w:val="0"/>
                      <w:marTop w:val="0"/>
                      <w:marBottom w:val="0"/>
                      <w:divBdr>
                        <w:top w:val="none" w:sz="0" w:space="0" w:color="auto"/>
                        <w:left w:val="none" w:sz="0" w:space="0" w:color="auto"/>
                        <w:bottom w:val="none" w:sz="0" w:space="0" w:color="auto"/>
                        <w:right w:val="none" w:sz="0" w:space="0" w:color="auto"/>
                      </w:divBdr>
                      <w:divsChild>
                        <w:div w:id="599875101">
                          <w:marLeft w:val="0"/>
                          <w:marRight w:val="0"/>
                          <w:marTop w:val="0"/>
                          <w:marBottom w:val="0"/>
                          <w:divBdr>
                            <w:top w:val="none" w:sz="0" w:space="0" w:color="auto"/>
                            <w:left w:val="none" w:sz="0" w:space="0" w:color="auto"/>
                            <w:bottom w:val="none" w:sz="0" w:space="0" w:color="auto"/>
                            <w:right w:val="none" w:sz="0" w:space="0" w:color="auto"/>
                          </w:divBdr>
                          <w:divsChild>
                            <w:div w:id="494496930">
                              <w:marLeft w:val="0"/>
                              <w:marRight w:val="0"/>
                              <w:marTop w:val="0"/>
                              <w:marBottom w:val="0"/>
                              <w:divBdr>
                                <w:top w:val="none" w:sz="0" w:space="0" w:color="auto"/>
                                <w:left w:val="none" w:sz="0" w:space="0" w:color="auto"/>
                                <w:bottom w:val="none" w:sz="0" w:space="0" w:color="auto"/>
                                <w:right w:val="none" w:sz="0" w:space="0" w:color="auto"/>
                              </w:divBdr>
                              <w:divsChild>
                                <w:div w:id="74599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7022508">
      <w:bodyDiv w:val="1"/>
      <w:marLeft w:val="0"/>
      <w:marRight w:val="0"/>
      <w:marTop w:val="0"/>
      <w:marBottom w:val="0"/>
      <w:divBdr>
        <w:top w:val="none" w:sz="0" w:space="0" w:color="auto"/>
        <w:left w:val="none" w:sz="0" w:space="0" w:color="auto"/>
        <w:bottom w:val="none" w:sz="0" w:space="0" w:color="auto"/>
        <w:right w:val="none" w:sz="0" w:space="0" w:color="auto"/>
      </w:divBdr>
      <w:divsChild>
        <w:div w:id="1747920997">
          <w:marLeft w:val="0"/>
          <w:marRight w:val="0"/>
          <w:marTop w:val="0"/>
          <w:marBottom w:val="0"/>
          <w:divBdr>
            <w:top w:val="none" w:sz="0" w:space="0" w:color="auto"/>
            <w:left w:val="none" w:sz="0" w:space="0" w:color="auto"/>
            <w:bottom w:val="none" w:sz="0" w:space="0" w:color="auto"/>
            <w:right w:val="none" w:sz="0" w:space="0" w:color="auto"/>
          </w:divBdr>
          <w:divsChild>
            <w:div w:id="168428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099699">
      <w:bodyDiv w:val="1"/>
      <w:marLeft w:val="0"/>
      <w:marRight w:val="0"/>
      <w:marTop w:val="0"/>
      <w:marBottom w:val="0"/>
      <w:divBdr>
        <w:top w:val="none" w:sz="0" w:space="0" w:color="auto"/>
        <w:left w:val="none" w:sz="0" w:space="0" w:color="auto"/>
        <w:bottom w:val="none" w:sz="0" w:space="0" w:color="auto"/>
        <w:right w:val="none" w:sz="0" w:space="0" w:color="auto"/>
      </w:divBdr>
    </w:div>
    <w:div w:id="1346320945">
      <w:bodyDiv w:val="1"/>
      <w:marLeft w:val="0"/>
      <w:marRight w:val="0"/>
      <w:marTop w:val="0"/>
      <w:marBottom w:val="0"/>
      <w:divBdr>
        <w:top w:val="none" w:sz="0" w:space="0" w:color="auto"/>
        <w:left w:val="none" w:sz="0" w:space="0" w:color="auto"/>
        <w:bottom w:val="none" w:sz="0" w:space="0" w:color="auto"/>
        <w:right w:val="none" w:sz="0" w:space="0" w:color="auto"/>
      </w:divBdr>
    </w:div>
    <w:div w:id="1398936039">
      <w:bodyDiv w:val="1"/>
      <w:marLeft w:val="0"/>
      <w:marRight w:val="0"/>
      <w:marTop w:val="0"/>
      <w:marBottom w:val="0"/>
      <w:divBdr>
        <w:top w:val="none" w:sz="0" w:space="0" w:color="auto"/>
        <w:left w:val="none" w:sz="0" w:space="0" w:color="auto"/>
        <w:bottom w:val="none" w:sz="0" w:space="0" w:color="auto"/>
        <w:right w:val="none" w:sz="0" w:space="0" w:color="auto"/>
      </w:divBdr>
    </w:div>
    <w:div w:id="1452703564">
      <w:bodyDiv w:val="1"/>
      <w:marLeft w:val="0"/>
      <w:marRight w:val="0"/>
      <w:marTop w:val="0"/>
      <w:marBottom w:val="0"/>
      <w:divBdr>
        <w:top w:val="none" w:sz="0" w:space="0" w:color="auto"/>
        <w:left w:val="none" w:sz="0" w:space="0" w:color="auto"/>
        <w:bottom w:val="none" w:sz="0" w:space="0" w:color="auto"/>
        <w:right w:val="none" w:sz="0" w:space="0" w:color="auto"/>
      </w:divBdr>
    </w:div>
    <w:div w:id="1596746488">
      <w:bodyDiv w:val="1"/>
      <w:marLeft w:val="0"/>
      <w:marRight w:val="0"/>
      <w:marTop w:val="0"/>
      <w:marBottom w:val="0"/>
      <w:divBdr>
        <w:top w:val="none" w:sz="0" w:space="0" w:color="auto"/>
        <w:left w:val="none" w:sz="0" w:space="0" w:color="auto"/>
        <w:bottom w:val="none" w:sz="0" w:space="0" w:color="auto"/>
        <w:right w:val="none" w:sz="0" w:space="0" w:color="auto"/>
      </w:divBdr>
      <w:divsChild>
        <w:div w:id="1787116571">
          <w:marLeft w:val="0"/>
          <w:marRight w:val="0"/>
          <w:marTop w:val="0"/>
          <w:marBottom w:val="0"/>
          <w:divBdr>
            <w:top w:val="none" w:sz="0" w:space="0" w:color="auto"/>
            <w:left w:val="none" w:sz="0" w:space="0" w:color="auto"/>
            <w:bottom w:val="none" w:sz="0" w:space="0" w:color="auto"/>
            <w:right w:val="none" w:sz="0" w:space="0" w:color="auto"/>
          </w:divBdr>
          <w:divsChild>
            <w:div w:id="1462963574">
              <w:marLeft w:val="0"/>
              <w:marRight w:val="0"/>
              <w:marTop w:val="0"/>
              <w:marBottom w:val="0"/>
              <w:divBdr>
                <w:top w:val="none" w:sz="0" w:space="0" w:color="auto"/>
                <w:left w:val="none" w:sz="0" w:space="0" w:color="auto"/>
                <w:bottom w:val="none" w:sz="0" w:space="0" w:color="auto"/>
                <w:right w:val="none" w:sz="0" w:space="0" w:color="auto"/>
              </w:divBdr>
              <w:divsChild>
                <w:div w:id="1971667528">
                  <w:marLeft w:val="0"/>
                  <w:marRight w:val="0"/>
                  <w:marTop w:val="0"/>
                  <w:marBottom w:val="0"/>
                  <w:divBdr>
                    <w:top w:val="none" w:sz="0" w:space="0" w:color="auto"/>
                    <w:left w:val="none" w:sz="0" w:space="0" w:color="auto"/>
                    <w:bottom w:val="none" w:sz="0" w:space="0" w:color="auto"/>
                    <w:right w:val="none" w:sz="0" w:space="0" w:color="auto"/>
                  </w:divBdr>
                  <w:divsChild>
                    <w:div w:id="1261717912">
                      <w:marLeft w:val="0"/>
                      <w:marRight w:val="0"/>
                      <w:marTop w:val="0"/>
                      <w:marBottom w:val="0"/>
                      <w:divBdr>
                        <w:top w:val="none" w:sz="0" w:space="0" w:color="auto"/>
                        <w:left w:val="none" w:sz="0" w:space="0" w:color="auto"/>
                        <w:bottom w:val="none" w:sz="0" w:space="0" w:color="auto"/>
                        <w:right w:val="none" w:sz="0" w:space="0" w:color="auto"/>
                      </w:divBdr>
                      <w:divsChild>
                        <w:div w:id="1041592016">
                          <w:marLeft w:val="0"/>
                          <w:marRight w:val="0"/>
                          <w:marTop w:val="0"/>
                          <w:marBottom w:val="0"/>
                          <w:divBdr>
                            <w:top w:val="none" w:sz="0" w:space="0" w:color="auto"/>
                            <w:left w:val="none" w:sz="0" w:space="0" w:color="auto"/>
                            <w:bottom w:val="none" w:sz="0" w:space="0" w:color="auto"/>
                            <w:right w:val="none" w:sz="0" w:space="0" w:color="auto"/>
                          </w:divBdr>
                          <w:divsChild>
                            <w:div w:id="45672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754995">
      <w:bodyDiv w:val="1"/>
      <w:marLeft w:val="0"/>
      <w:marRight w:val="0"/>
      <w:marTop w:val="0"/>
      <w:marBottom w:val="0"/>
      <w:divBdr>
        <w:top w:val="none" w:sz="0" w:space="0" w:color="auto"/>
        <w:left w:val="none" w:sz="0" w:space="0" w:color="auto"/>
        <w:bottom w:val="none" w:sz="0" w:space="0" w:color="auto"/>
        <w:right w:val="none" w:sz="0" w:space="0" w:color="auto"/>
      </w:divBdr>
      <w:divsChild>
        <w:div w:id="322199378">
          <w:marLeft w:val="0"/>
          <w:marRight w:val="0"/>
          <w:marTop w:val="0"/>
          <w:marBottom w:val="0"/>
          <w:divBdr>
            <w:top w:val="none" w:sz="0" w:space="0" w:color="auto"/>
            <w:left w:val="none" w:sz="0" w:space="0" w:color="auto"/>
            <w:bottom w:val="none" w:sz="0" w:space="0" w:color="auto"/>
            <w:right w:val="none" w:sz="0" w:space="0" w:color="auto"/>
          </w:divBdr>
          <w:divsChild>
            <w:div w:id="1628004883">
              <w:marLeft w:val="0"/>
              <w:marRight w:val="0"/>
              <w:marTop w:val="0"/>
              <w:marBottom w:val="0"/>
              <w:divBdr>
                <w:top w:val="none" w:sz="0" w:space="0" w:color="auto"/>
                <w:left w:val="none" w:sz="0" w:space="0" w:color="auto"/>
                <w:bottom w:val="none" w:sz="0" w:space="0" w:color="auto"/>
                <w:right w:val="none" w:sz="0" w:space="0" w:color="auto"/>
              </w:divBdr>
              <w:divsChild>
                <w:div w:id="363865497">
                  <w:marLeft w:val="0"/>
                  <w:marRight w:val="0"/>
                  <w:marTop w:val="0"/>
                  <w:marBottom w:val="0"/>
                  <w:divBdr>
                    <w:top w:val="none" w:sz="0" w:space="0" w:color="auto"/>
                    <w:left w:val="none" w:sz="0" w:space="0" w:color="auto"/>
                    <w:bottom w:val="none" w:sz="0" w:space="0" w:color="auto"/>
                    <w:right w:val="none" w:sz="0" w:space="0" w:color="auto"/>
                  </w:divBdr>
                  <w:divsChild>
                    <w:div w:id="115492582">
                      <w:marLeft w:val="0"/>
                      <w:marRight w:val="0"/>
                      <w:marTop w:val="0"/>
                      <w:marBottom w:val="0"/>
                      <w:divBdr>
                        <w:top w:val="none" w:sz="0" w:space="0" w:color="auto"/>
                        <w:left w:val="none" w:sz="0" w:space="0" w:color="auto"/>
                        <w:bottom w:val="none" w:sz="0" w:space="0" w:color="auto"/>
                        <w:right w:val="none" w:sz="0" w:space="0" w:color="auto"/>
                      </w:divBdr>
                      <w:divsChild>
                        <w:div w:id="243223667">
                          <w:marLeft w:val="0"/>
                          <w:marRight w:val="0"/>
                          <w:marTop w:val="0"/>
                          <w:marBottom w:val="0"/>
                          <w:divBdr>
                            <w:top w:val="none" w:sz="0" w:space="0" w:color="auto"/>
                            <w:left w:val="none" w:sz="0" w:space="0" w:color="auto"/>
                            <w:bottom w:val="none" w:sz="0" w:space="0" w:color="auto"/>
                            <w:right w:val="none" w:sz="0" w:space="0" w:color="auto"/>
                          </w:divBdr>
                          <w:divsChild>
                            <w:div w:id="1736472761">
                              <w:marLeft w:val="0"/>
                              <w:marRight w:val="0"/>
                              <w:marTop w:val="0"/>
                              <w:marBottom w:val="0"/>
                              <w:divBdr>
                                <w:top w:val="none" w:sz="0" w:space="0" w:color="auto"/>
                                <w:left w:val="none" w:sz="0" w:space="0" w:color="auto"/>
                                <w:bottom w:val="none" w:sz="0" w:space="0" w:color="auto"/>
                                <w:right w:val="none" w:sz="0" w:space="0" w:color="auto"/>
                              </w:divBdr>
                              <w:divsChild>
                                <w:div w:id="40202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9544757">
      <w:bodyDiv w:val="1"/>
      <w:marLeft w:val="0"/>
      <w:marRight w:val="0"/>
      <w:marTop w:val="0"/>
      <w:marBottom w:val="0"/>
      <w:divBdr>
        <w:top w:val="none" w:sz="0" w:space="0" w:color="auto"/>
        <w:left w:val="none" w:sz="0" w:space="0" w:color="auto"/>
        <w:bottom w:val="none" w:sz="0" w:space="0" w:color="auto"/>
        <w:right w:val="none" w:sz="0" w:space="0" w:color="auto"/>
      </w:divBdr>
    </w:div>
    <w:div w:id="1886716894">
      <w:bodyDiv w:val="1"/>
      <w:marLeft w:val="0"/>
      <w:marRight w:val="0"/>
      <w:marTop w:val="0"/>
      <w:marBottom w:val="0"/>
      <w:divBdr>
        <w:top w:val="none" w:sz="0" w:space="0" w:color="auto"/>
        <w:left w:val="none" w:sz="0" w:space="0" w:color="auto"/>
        <w:bottom w:val="none" w:sz="0" w:space="0" w:color="auto"/>
        <w:right w:val="none" w:sz="0" w:space="0" w:color="auto"/>
      </w:divBdr>
      <w:divsChild>
        <w:div w:id="357201548">
          <w:marLeft w:val="0"/>
          <w:marRight w:val="0"/>
          <w:marTop w:val="0"/>
          <w:marBottom w:val="0"/>
          <w:divBdr>
            <w:top w:val="none" w:sz="0" w:space="0" w:color="auto"/>
            <w:left w:val="none" w:sz="0" w:space="0" w:color="auto"/>
            <w:bottom w:val="none" w:sz="0" w:space="0" w:color="auto"/>
            <w:right w:val="none" w:sz="0" w:space="0" w:color="auto"/>
          </w:divBdr>
          <w:divsChild>
            <w:div w:id="1802771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34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nnualreports.ai/company/hong-kong/commerce-industry/byd-company/" TargetMode="External"/><Relationship Id="rId18" Type="http://schemas.openxmlformats.org/officeDocument/2006/relationships/hyperlink" Target="https://www.recurrentauto.com/research/ev-adoption-us"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www.iea.org/reports/renewables-2023"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mckinsey.com/industries/oil-and-gas/our-insights/global-energy-perspective-2023" TargetMode="External"/><Relationship Id="rId25" Type="http://schemas.openxmlformats.org/officeDocument/2006/relationships/hyperlink" Target="https://studylib.net/doc/27749324/kotler--keller---chernev---16th-ed-edits" TargetMode="External"/><Relationship Id="rId2" Type="http://schemas.openxmlformats.org/officeDocument/2006/relationships/numbering" Target="numbering.xml"/><Relationship Id="rId16" Type="http://schemas.openxmlformats.org/officeDocument/2006/relationships/hyperlink" Target="https://www.iea.org/reports/global-ev-outlook-2024" TargetMode="External"/><Relationship Id="rId20" Type="http://schemas.openxmlformats.org/officeDocument/2006/relationships/hyperlink" Target="https://www.deloitte.com/content/dam/assets-shared/docs/industries/consumer/2023/gx-consumer-creating-value-from-sustainable-products-aoda.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ckinsey.com/industries/oil-and-gas/our-insights/global-energy-perspective-2023" TargetMode="External"/><Relationship Id="rId24" Type="http://schemas.openxmlformats.org/officeDocument/2006/relationships/hyperlink" Target="https://www.iea.org/reports/renewables-2023" TargetMode="External"/><Relationship Id="rId5" Type="http://schemas.openxmlformats.org/officeDocument/2006/relationships/webSettings" Target="webSettings.xml"/><Relationship Id="rId15" Type="http://schemas.openxmlformats.org/officeDocument/2006/relationships/hyperlink" Target="https://www.iea.org/reports/renewables-2023" TargetMode="External"/><Relationship Id="rId23" Type="http://schemas.openxmlformats.org/officeDocument/2006/relationships/hyperlink" Target="https://www.mckinsey.com/industries/oil-and-gas/our-insights/global-energy-perspective-2023" TargetMode="External"/><Relationship Id="rId28" Type="http://schemas.openxmlformats.org/officeDocument/2006/relationships/fontTable" Target="fontTable.xml"/><Relationship Id="rId10" Type="http://schemas.openxmlformats.org/officeDocument/2006/relationships/hyperlink" Target="https://www.iea.org/reports/renewables-2023" TargetMode="External"/><Relationship Id="rId19" Type="http://schemas.openxmlformats.org/officeDocument/2006/relationships/hyperlink" Target="http://annualreports.ai/company/hong-kong/commerce-industry/byd-company/" TargetMode="External"/><Relationship Id="rId4" Type="http://schemas.openxmlformats.org/officeDocument/2006/relationships/settings" Target="settings.xml"/><Relationship Id="rId9" Type="http://schemas.openxmlformats.org/officeDocument/2006/relationships/hyperlink" Target="http://annualreports.ai/company/hong-kong/commerce-industry/byd-company/" TargetMode="External"/><Relationship Id="rId14" Type="http://schemas.openxmlformats.org/officeDocument/2006/relationships/hyperlink" Target="https://www.deloitte.com/content/dam/assets-shared/docs/industries/consumer/2023/gx-consumer-creating-value-from-sustainable-products-aoda.pdf" TargetMode="External"/><Relationship Id="rId22" Type="http://schemas.openxmlformats.org/officeDocument/2006/relationships/hyperlink" Target="https://studylib.net/doc/27749324/kotler--keller---chernev---16th-ed-edit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0AE50-5291-4ECA-B505-8A4F55A56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20</Pages>
  <Words>4181</Words>
  <Characters>23834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Uttam Devshibhai Vaghamashi (2520138)</cp:lastModifiedBy>
  <cp:revision>51</cp:revision>
  <dcterms:created xsi:type="dcterms:W3CDTF">2026-03-22T10:16:00Z</dcterms:created>
  <dcterms:modified xsi:type="dcterms:W3CDTF">2026-04-30T23:57:00Z</dcterms:modified>
</cp:coreProperties>
</file>