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3C82" w:rsidRPr="008C3C82" w:rsidRDefault="00DE5D3F" w:rsidP="008C3C82">
      <w:pPr>
        <w:jc w:val="center"/>
        <w:rPr>
          <w:rFonts w:ascii="Elephant" w:hAnsi="Elephant" w:cs="Arial"/>
          <w:sz w:val="52"/>
        </w:rPr>
      </w:pPr>
      <w:r>
        <w:rPr>
          <w:noProof/>
          <w:lang w:eastAsia="en-GB"/>
        </w:rPr>
        <w:drawing>
          <wp:anchor distT="0" distB="0" distL="114300" distR="114300" simplePos="0" relativeHeight="251718656" behindDoc="0" locked="0" layoutInCell="1" allowOverlap="1">
            <wp:simplePos x="0" y="0"/>
            <wp:positionH relativeFrom="column">
              <wp:posOffset>916940</wp:posOffset>
            </wp:positionH>
            <wp:positionV relativeFrom="paragraph">
              <wp:posOffset>2699660</wp:posOffset>
            </wp:positionV>
            <wp:extent cx="4105686" cy="3080468"/>
            <wp:effectExtent l="0" t="0" r="9525" b="5715"/>
            <wp:wrapSquare wrapText="bothSides"/>
            <wp:docPr id="27" name="Picture 27" descr="Image result for tomb of nebam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omb of nebamu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5686" cy="3080468"/>
                    </a:xfrm>
                    <a:prstGeom prst="rect">
                      <a:avLst/>
                    </a:prstGeom>
                    <a:noFill/>
                    <a:ln>
                      <a:noFill/>
                    </a:ln>
                  </pic:spPr>
                </pic:pic>
              </a:graphicData>
            </a:graphic>
          </wp:anchor>
        </w:drawing>
      </w:r>
      <w:r>
        <w:rPr>
          <w:noProof/>
        </w:rPr>
        <mc:AlternateContent>
          <mc:Choice Requires="wps">
            <w:drawing>
              <wp:anchor distT="0" distB="0" distL="114300" distR="114300" simplePos="0" relativeHeight="251720704" behindDoc="0" locked="0" layoutInCell="1" allowOverlap="1" wp14:anchorId="4A471978" wp14:editId="24A8F4ED">
                <wp:simplePos x="0" y="0"/>
                <wp:positionH relativeFrom="column">
                  <wp:posOffset>-133350</wp:posOffset>
                </wp:positionH>
                <wp:positionV relativeFrom="paragraph">
                  <wp:posOffset>0</wp:posOffset>
                </wp:positionV>
                <wp:extent cx="6276975" cy="2581275"/>
                <wp:effectExtent l="0" t="0" r="0" b="9525"/>
                <wp:wrapSquare wrapText="bothSides"/>
                <wp:docPr id="28" name="Text Box 28"/>
                <wp:cNvGraphicFramePr/>
                <a:graphic xmlns:a="http://schemas.openxmlformats.org/drawingml/2006/main">
                  <a:graphicData uri="http://schemas.microsoft.com/office/word/2010/wordprocessingShape">
                    <wps:wsp>
                      <wps:cNvSpPr txBox="1"/>
                      <wps:spPr>
                        <a:xfrm>
                          <a:off x="0" y="0"/>
                          <a:ext cx="6276975" cy="2581275"/>
                        </a:xfrm>
                        <a:prstGeom prst="rect">
                          <a:avLst/>
                        </a:prstGeom>
                        <a:noFill/>
                        <a:ln>
                          <a:noFill/>
                        </a:ln>
                        <a:effectLst/>
                      </wps:spPr>
                      <wps:txbx>
                        <w:txbxContent>
                          <w:p w:rsidR="00FB2511" w:rsidRPr="008C3C82" w:rsidRDefault="00FB2511" w:rsidP="00DE5D3F">
                            <w:pPr>
                              <w:jc w:val="center"/>
                              <w:rPr>
                                <w:rFonts w:ascii="Elephant" w:hAnsi="Elephant" w:cs="Arial"/>
                                <w:b/>
                                <w:color w:val="FFC000" w:themeColor="accent4"/>
                                <w:sz w:val="56"/>
                                <w:szCs w:val="56"/>
                                <w14:textOutline w14:w="0" w14:cap="flat" w14:cmpd="sng" w14:algn="ctr">
                                  <w14:noFill/>
                                  <w14:prstDash w14:val="solid"/>
                                  <w14:round/>
                                </w14:textOutline>
                                <w14:props3d w14:extrusionH="57150" w14:contourW="0" w14:prstMaterial="softEdge">
                                  <w14:bevelT w14:w="69850" w14:h="38100" w14:prst="cross"/>
                                </w14:props3d>
                              </w:rPr>
                            </w:pPr>
                            <w:r w:rsidRPr="008C3C82">
                              <w:rPr>
                                <w:rFonts w:ascii="Elephant" w:hAnsi="Elephant" w:cs="Arial"/>
                                <w:b/>
                                <w:color w:val="FFC000" w:themeColor="accent4"/>
                                <w:sz w:val="56"/>
                                <w:szCs w:val="56"/>
                                <w14:textOutline w14:w="0" w14:cap="flat" w14:cmpd="sng" w14:algn="ctr">
                                  <w14:noFill/>
                                  <w14:prstDash w14:val="solid"/>
                                  <w14:round/>
                                </w14:textOutline>
                                <w14:props3d w14:extrusionH="57150" w14:contourW="0" w14:prstMaterial="softEdge">
                                  <w14:bevelT w14:w="69850" w14:h="38100" w14:prst="cross"/>
                                </w14:props3d>
                              </w:rPr>
                              <w:t>Dreams of an Ancient Matriarchy: Wives, Priestesses, Goddesses, Pharaohs and Harlots, the Reality of a Female “Privilege” in Ancient Egypt</w:t>
                            </w:r>
                          </w:p>
                          <w:p w:rsidR="00FB2511" w:rsidRDefault="00FB2511" w:rsidP="00DE5D3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prst="cross"/>
                        </a:sp3d>
                      </wps:bodyPr>
                    </wps:wsp>
                  </a:graphicData>
                </a:graphic>
                <wp14:sizeRelH relativeFrom="margin">
                  <wp14:pctWidth>0</wp14:pctWidth>
                </wp14:sizeRelH>
                <wp14:sizeRelV relativeFrom="margin">
                  <wp14:pctHeight>0</wp14:pctHeight>
                </wp14:sizeRelV>
              </wp:anchor>
            </w:drawing>
          </mc:Choice>
          <mc:Fallback>
            <w:pict>
              <v:shapetype w14:anchorId="4A471978" id="_x0000_t202" coordsize="21600,21600" o:spt="202" path="m,l,21600r21600,l21600,xe">
                <v:stroke joinstyle="miter"/>
                <v:path gradientshapeok="t" o:connecttype="rect"/>
              </v:shapetype>
              <v:shape id="Text Box 28" o:spid="_x0000_s1026" type="#_x0000_t202" style="position:absolute;left:0;text-align:left;margin-left:-10.5pt;margin-top:0;width:494.25pt;height:203.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" filled="f" stroked="f">
                <v:fill o:detectmouseclick="t"/>
                <v:textbox>
                  <w:txbxContent>
                    <w:p w:rsidR="00FB2511" w:rsidRPr="008C3C82" w:rsidRDefault="00FB2511" w:rsidP="00DE5D3F">
                      <w:pPr>
                        <w:jc w:val="center"/>
                        <w:rPr>
                          <w:rFonts w:ascii="Elephant" w:hAnsi="Elephant" w:cs="Arial"/>
                          <w:b/>
                          <w:color w:val="FFC000" w:themeColor="accent4"/>
                          <w:sz w:val="56"/>
                          <w:szCs w:val="56"/>
                          <w14:textOutline w14:w="0" w14:cap="flat" w14:cmpd="sng" w14:algn="ctr">
                            <w14:noFill/>
                            <w14:prstDash w14:val="solid"/>
                            <w14:round/>
                          </w14:textOutline>
                          <w14:props3d w14:extrusionH="57150" w14:contourW="0" w14:prstMaterial="softEdge">
                            <w14:bevelT w14:w="69850" w14:h="38100" w14:prst="cross"/>
                          </w14:props3d>
                        </w:rPr>
                      </w:pPr>
                      <w:r w:rsidRPr="008C3C82">
                        <w:rPr>
                          <w:rFonts w:ascii="Elephant" w:hAnsi="Elephant" w:cs="Arial"/>
                          <w:b/>
                          <w:color w:val="FFC000" w:themeColor="accent4"/>
                          <w:sz w:val="56"/>
                          <w:szCs w:val="56"/>
                          <w14:textOutline w14:w="0" w14:cap="flat" w14:cmpd="sng" w14:algn="ctr">
                            <w14:noFill/>
                            <w14:prstDash w14:val="solid"/>
                            <w14:round/>
                          </w14:textOutline>
                          <w14:props3d w14:extrusionH="57150" w14:contourW="0" w14:prstMaterial="softEdge">
                            <w14:bevelT w14:w="69850" w14:h="38100" w14:prst="cross"/>
                          </w14:props3d>
                        </w:rPr>
                        <w:t>Dreams of an Ancient Matriarchy: Wives, Priestesses, Goddesses, Pharaohs and Harlots, the Reality of a Female “Privilege” in Ancient Egypt</w:t>
                      </w:r>
                    </w:p>
                    <w:p w:rsidR="00FB2511" w:rsidRDefault="00FB2511" w:rsidP="00DE5D3F">
                      <w:pPr>
                        <w:jc w:val="center"/>
                      </w:pPr>
                    </w:p>
                  </w:txbxContent>
                </v:textbox>
                <w10:wrap type="square"/>
              </v:shape>
            </w:pict>
          </mc:Fallback>
        </mc:AlternateContent>
      </w:r>
    </w:p>
    <w:p w:rsidR="008C3C82" w:rsidRDefault="008C3C82" w:rsidP="00ED49BC"/>
    <w:p w:rsidR="008C3C82" w:rsidRPr="008C3C82" w:rsidRDefault="008C3C82" w:rsidP="008C3C82"/>
    <w:p w:rsidR="008C3C82" w:rsidRPr="008C3C82" w:rsidRDefault="008C3C82" w:rsidP="008C3C82"/>
    <w:p w:rsidR="008C3C82" w:rsidRPr="008C3C82" w:rsidRDefault="008C3C82" w:rsidP="008C3C82"/>
    <w:p w:rsidR="008C3C82" w:rsidRPr="008C3C82" w:rsidRDefault="008C3C82" w:rsidP="008C3C82"/>
    <w:p w:rsidR="008C3C82" w:rsidRPr="008C3C82" w:rsidRDefault="008C3C82" w:rsidP="008C3C82"/>
    <w:p w:rsidR="008C3C82" w:rsidRPr="008C3C82" w:rsidRDefault="008C3C82" w:rsidP="008C3C82"/>
    <w:p w:rsidR="008C3C82" w:rsidRDefault="008C3C82" w:rsidP="008C3C82">
      <w:pPr>
        <w:jc w:val="center"/>
        <w:rPr>
          <w:rFonts w:ascii="Elephant" w:hAnsi="Elephant"/>
          <w:sz w:val="52"/>
        </w:rPr>
      </w:pPr>
    </w:p>
    <w:p w:rsidR="00DE5D3F" w:rsidRPr="00D17529" w:rsidRDefault="00D17529" w:rsidP="00DE5D3F">
      <w:pPr>
        <w:jc w:val="center"/>
        <w:rPr>
          <w:rFonts w:ascii="Elephant" w:hAnsi="Elephant" w:cs="Arial"/>
          <w:sz w:val="30"/>
          <w:szCs w:val="30"/>
        </w:rPr>
      </w:pPr>
      <w:r>
        <w:rPr>
          <w:rFonts w:ascii="Elephant" w:hAnsi="Elephant" w:cs="Arial"/>
          <w:sz w:val="32"/>
        </w:rPr>
        <w:br/>
      </w:r>
      <w:r w:rsidR="00DE5D3F" w:rsidRPr="00D17529">
        <w:rPr>
          <w:rFonts w:ascii="Elephant" w:hAnsi="Elephant" w:cs="Arial"/>
          <w:sz w:val="30"/>
          <w:szCs w:val="30"/>
        </w:rPr>
        <w:t xml:space="preserve">Hannah Elise Pickering </w:t>
      </w:r>
    </w:p>
    <w:p w:rsidR="00DE5D3F" w:rsidRPr="00D17529" w:rsidRDefault="00DE5D3F" w:rsidP="00DE5D3F">
      <w:pPr>
        <w:jc w:val="center"/>
        <w:rPr>
          <w:rFonts w:ascii="Elephant" w:hAnsi="Elephant" w:cs="Arial"/>
          <w:sz w:val="30"/>
          <w:szCs w:val="30"/>
        </w:rPr>
      </w:pPr>
      <w:r w:rsidRPr="00D17529">
        <w:rPr>
          <w:rFonts w:ascii="Elephant" w:hAnsi="Elephant" w:cs="Arial"/>
          <w:sz w:val="30"/>
          <w:szCs w:val="30"/>
        </w:rPr>
        <w:t>1500261</w:t>
      </w:r>
    </w:p>
    <w:p w:rsidR="00DE5D3F" w:rsidRPr="00D17529" w:rsidRDefault="00DE5D3F" w:rsidP="00DE5D3F">
      <w:pPr>
        <w:jc w:val="center"/>
        <w:rPr>
          <w:rFonts w:ascii="Elephant" w:hAnsi="Elephant" w:cs="Arial"/>
          <w:sz w:val="30"/>
          <w:szCs w:val="30"/>
        </w:rPr>
      </w:pPr>
    </w:p>
    <w:p w:rsidR="00DE5D3F" w:rsidRPr="00D17529" w:rsidRDefault="00DE5D3F" w:rsidP="00DE5D3F">
      <w:pPr>
        <w:jc w:val="center"/>
        <w:rPr>
          <w:rFonts w:ascii="Elephant" w:hAnsi="Elephant" w:cs="Arial"/>
          <w:sz w:val="30"/>
          <w:szCs w:val="30"/>
        </w:rPr>
      </w:pPr>
      <w:r w:rsidRPr="00D17529">
        <w:rPr>
          <w:rFonts w:ascii="Elephant" w:hAnsi="Elephant" w:cs="Arial"/>
          <w:sz w:val="30"/>
          <w:szCs w:val="30"/>
        </w:rPr>
        <w:t xml:space="preserve">Dissertation submitted in partial fulfilment in B.A. (Hons) Ancient Civilisations </w:t>
      </w:r>
    </w:p>
    <w:p w:rsidR="00DE5D3F" w:rsidRPr="00D17529" w:rsidRDefault="00DE5D3F" w:rsidP="00DE5D3F">
      <w:pPr>
        <w:jc w:val="center"/>
        <w:rPr>
          <w:rFonts w:ascii="Elephant" w:hAnsi="Elephant" w:cs="Arial"/>
          <w:sz w:val="30"/>
          <w:szCs w:val="30"/>
        </w:rPr>
      </w:pPr>
    </w:p>
    <w:p w:rsidR="00DE5D3F" w:rsidRPr="00D17529" w:rsidRDefault="00DE5D3F" w:rsidP="00DE5D3F">
      <w:pPr>
        <w:jc w:val="center"/>
        <w:rPr>
          <w:rFonts w:ascii="Elephant" w:hAnsi="Elephant" w:cs="Arial"/>
          <w:sz w:val="30"/>
          <w:szCs w:val="30"/>
        </w:rPr>
      </w:pPr>
      <w:r w:rsidRPr="00D17529">
        <w:rPr>
          <w:rFonts w:ascii="Elephant" w:hAnsi="Elephant" w:cs="Arial"/>
          <w:sz w:val="30"/>
          <w:szCs w:val="30"/>
        </w:rPr>
        <w:t xml:space="preserve">University of Wales Trinity St. David </w:t>
      </w:r>
    </w:p>
    <w:p w:rsidR="00ED49BC" w:rsidRDefault="00A01C2F" w:rsidP="00DE5D3F">
      <w:pPr>
        <w:jc w:val="center"/>
      </w:pPr>
      <w:r>
        <w:rPr>
          <w:rFonts w:ascii="Elephant" w:hAnsi="Elephant" w:cs="Arial"/>
          <w:sz w:val="30"/>
          <w:szCs w:val="30"/>
        </w:rPr>
        <w:t>Word Count: 10, 714</w:t>
      </w:r>
      <w:r w:rsidR="00930CC5" w:rsidRPr="008C3C82">
        <w:br w:type="page"/>
      </w:r>
      <w:r w:rsidR="00ED49BC">
        <w:lastRenderedPageBreak/>
        <w:t>DECLARATION</w:t>
      </w:r>
    </w:p>
    <w:p w:rsidR="00ED49BC" w:rsidRDefault="00ED49BC" w:rsidP="00ED49BC">
      <w:r>
        <w:t>This work has not previously been accepted in substance for any degree and is not being concurrently submitted for candidature for any degree</w:t>
      </w:r>
    </w:p>
    <w:p w:rsidR="00ED49BC" w:rsidRDefault="00ED49BC" w:rsidP="00ED49BC"/>
    <w:p w:rsidR="00ED49BC" w:rsidRDefault="00ED49BC" w:rsidP="00ED49BC">
      <w:r>
        <w:t>Singed………………………………………….. (</w:t>
      </w:r>
      <w:proofErr w:type="gramStart"/>
      <w:r>
        <w:t>candidate</w:t>
      </w:r>
      <w:proofErr w:type="gramEnd"/>
      <w:r>
        <w:t>)</w:t>
      </w:r>
    </w:p>
    <w:p w:rsidR="00ED49BC" w:rsidRDefault="00ED49BC" w:rsidP="00ED49BC">
      <w:r>
        <w:t>Date…………………………………………….</w:t>
      </w:r>
    </w:p>
    <w:p w:rsidR="00ED49BC" w:rsidRDefault="00ED49BC" w:rsidP="00ED49BC"/>
    <w:p w:rsidR="00ED49BC" w:rsidRDefault="00ED49BC" w:rsidP="00ED49BC"/>
    <w:p w:rsidR="00ED49BC" w:rsidRDefault="00ED49BC"/>
    <w:p w:rsidR="00ED49BC" w:rsidRDefault="00ED49BC">
      <w:r>
        <w:br w:type="page"/>
      </w:r>
    </w:p>
    <w:p w:rsidR="00ED49BC" w:rsidRDefault="00ED49BC" w:rsidP="00ED49BC">
      <w:pPr>
        <w:pStyle w:val="NormalWeb"/>
        <w:spacing w:before="0" w:beforeAutospacing="0" w:after="0" w:afterAutospacing="0"/>
        <w:ind w:left="-180" w:right="-334"/>
        <w:rPr>
          <w:rFonts w:ascii="Trebuchet MS" w:hAnsi="Trebuchet MS" w:cs="Tahoma"/>
          <w:sz w:val="24"/>
          <w:szCs w:val="24"/>
        </w:rPr>
      </w:pPr>
      <w:r>
        <w:rPr>
          <w:noProof/>
          <w:lang w:eastAsia="en-GB"/>
        </w:rPr>
        <w:lastRenderedPageBreak/>
        <w:drawing>
          <wp:inline distT="0" distB="0" distL="0" distR="0" wp14:anchorId="63E8AB81" wp14:editId="700859FD">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D49BC" w:rsidRDefault="00ED49BC" w:rsidP="00ED49BC">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rsidR="00ED49BC" w:rsidRPr="002E67CE" w:rsidRDefault="00ED49BC" w:rsidP="00ED49BC">
      <w:pPr>
        <w:rPr>
          <w:lang w:val="cy-GB"/>
        </w:rPr>
      </w:pPr>
    </w:p>
    <w:p w:rsidR="00ED49BC" w:rsidRDefault="00ED49BC" w:rsidP="00ED49BC">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135"/>
        <w:gridCol w:w="400"/>
        <w:gridCol w:w="274"/>
        <w:gridCol w:w="1106"/>
        <w:gridCol w:w="261"/>
        <w:gridCol w:w="1751"/>
      </w:tblGrid>
      <w:tr w:rsidR="00ED49BC" w:rsidRPr="002F467C" w:rsidTr="008979C9">
        <w:trPr>
          <w:trHeight w:val="614"/>
        </w:trPr>
        <w:tc>
          <w:tcPr>
            <w:tcW w:w="7927" w:type="dxa"/>
            <w:gridSpan w:val="6"/>
          </w:tcPr>
          <w:p w:rsidR="00ED49BC" w:rsidRPr="002F467C" w:rsidRDefault="00ED49BC" w:rsidP="005C7AB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ED49BC" w:rsidRPr="002F467C" w:rsidTr="008979C9">
        <w:trPr>
          <w:trHeight w:val="718"/>
        </w:trPr>
        <w:tc>
          <w:tcPr>
            <w:tcW w:w="7927" w:type="dxa"/>
            <w:gridSpan w:val="6"/>
          </w:tcPr>
          <w:p w:rsidR="00ED49BC" w:rsidRPr="00DD7DEB" w:rsidRDefault="00ED49BC" w:rsidP="005C7AB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Name:</w:t>
            </w:r>
            <w:r>
              <w:rPr>
                <w:rFonts w:ascii="Calibri" w:hAnsi="Calibri" w:cs="Tahoma"/>
                <w:i/>
                <w:sz w:val="24"/>
                <w:szCs w:val="24"/>
              </w:rPr>
              <w:t xml:space="preserve"> </w:t>
            </w:r>
            <w:r>
              <w:rPr>
                <w:rFonts w:ascii="Calibri" w:hAnsi="Calibri" w:cs="Tahoma"/>
                <w:sz w:val="24"/>
                <w:szCs w:val="24"/>
              </w:rPr>
              <w:t>Hannah Elise Pickering</w:t>
            </w:r>
          </w:p>
          <w:p w:rsidR="00ED49BC" w:rsidRDefault="00ED49BC" w:rsidP="005C7ABB">
            <w:pPr>
              <w:pStyle w:val="NormalWeb"/>
              <w:spacing w:before="0" w:beforeAutospacing="0" w:after="0" w:afterAutospacing="0"/>
              <w:ind w:right="34"/>
              <w:rPr>
                <w:rFonts w:ascii="Calibri" w:hAnsi="Calibri" w:cs="Tahoma"/>
                <w:i/>
                <w:sz w:val="24"/>
                <w:szCs w:val="24"/>
              </w:rPr>
            </w:pPr>
          </w:p>
          <w:p w:rsidR="00ED49BC" w:rsidRPr="00DD7DEB" w:rsidRDefault="00ED49BC" w:rsidP="005C7AB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 xml:space="preserve"> </w:t>
            </w:r>
            <w:r>
              <w:rPr>
                <w:rFonts w:ascii="Calibri" w:hAnsi="Calibri" w:cs="Tahoma"/>
                <w:sz w:val="24"/>
                <w:szCs w:val="24"/>
              </w:rPr>
              <w:t xml:space="preserve"> </w:t>
            </w:r>
            <w:hyperlink r:id="rId10" w:history="1">
              <w:r w:rsidR="004F0432" w:rsidRPr="00DB2CC0">
                <w:rPr>
                  <w:rStyle w:val="Hyperlink"/>
                  <w:rFonts w:ascii="Calibri" w:hAnsi="Calibri" w:cs="Tahoma"/>
                  <w:sz w:val="24"/>
                  <w:szCs w:val="24"/>
                </w:rPr>
                <w:t>1500261@student.uwtsd.ac.uk</w:t>
              </w:r>
            </w:hyperlink>
          </w:p>
        </w:tc>
      </w:tr>
      <w:tr w:rsidR="00ED49BC" w:rsidRPr="002F467C" w:rsidTr="008979C9">
        <w:trPr>
          <w:trHeight w:val="849"/>
        </w:trPr>
        <w:tc>
          <w:tcPr>
            <w:tcW w:w="4135" w:type="dxa"/>
          </w:tcPr>
          <w:p w:rsidR="00ED49BC" w:rsidRDefault="00ED49BC" w:rsidP="005C7ABB">
            <w:pPr>
              <w:pStyle w:val="NormalWeb"/>
              <w:spacing w:before="0" w:beforeAutospacing="0" w:after="0" w:afterAutospacing="0"/>
              <w:ind w:right="34"/>
              <w:rPr>
                <w:rFonts w:ascii="Calibri" w:hAnsi="Calibri" w:cs="Tahoma"/>
                <w:i/>
                <w:sz w:val="24"/>
                <w:szCs w:val="24"/>
              </w:rPr>
            </w:pPr>
          </w:p>
          <w:p w:rsidR="00ED49BC" w:rsidRPr="00DD7DEB" w:rsidRDefault="00ED49BC" w:rsidP="005C7AB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Pr>
                <w:rFonts w:ascii="Calibri" w:hAnsi="Calibri" w:cs="Tahoma"/>
                <w:i/>
                <w:sz w:val="24"/>
                <w:szCs w:val="24"/>
              </w:rPr>
              <w:t xml:space="preserve"> </w:t>
            </w:r>
            <w:r>
              <w:rPr>
                <w:rFonts w:ascii="Calibri" w:hAnsi="Calibri" w:cs="Tahoma"/>
                <w:sz w:val="24"/>
                <w:szCs w:val="24"/>
              </w:rPr>
              <w:t>AHSK6002</w:t>
            </w:r>
          </w:p>
        </w:tc>
        <w:tc>
          <w:tcPr>
            <w:tcW w:w="2041" w:type="dxa"/>
            <w:gridSpan w:val="4"/>
          </w:tcPr>
          <w:p w:rsidR="00ED49BC" w:rsidRDefault="00ED49BC" w:rsidP="005C7AB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ED49BC" w:rsidRPr="00DD7DEB" w:rsidRDefault="00ED49BC" w:rsidP="005C7ABB">
            <w:pPr>
              <w:pStyle w:val="NormalWeb"/>
              <w:spacing w:before="0" w:beforeAutospacing="0" w:after="0" w:afterAutospacing="0"/>
              <w:ind w:right="34"/>
              <w:rPr>
                <w:rFonts w:ascii="Calibri" w:hAnsi="Calibri" w:cs="Tahoma"/>
                <w:sz w:val="24"/>
                <w:szCs w:val="24"/>
              </w:rPr>
            </w:pPr>
            <w:r>
              <w:rPr>
                <w:rFonts w:ascii="Calibri" w:hAnsi="Calibri" w:cs="Tahoma"/>
                <w:sz w:val="24"/>
                <w:szCs w:val="24"/>
              </w:rPr>
              <w:t>1500261</w:t>
            </w:r>
          </w:p>
        </w:tc>
        <w:tc>
          <w:tcPr>
            <w:tcW w:w="1751" w:type="dxa"/>
          </w:tcPr>
          <w:p w:rsidR="00ED49BC" w:rsidRPr="002F467C" w:rsidRDefault="00ED49BC" w:rsidP="005C7AB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ED49BC" w:rsidRPr="002F467C" w:rsidRDefault="00ED49BC" w:rsidP="005C7ABB">
            <w:pPr>
              <w:pStyle w:val="NormalWeb"/>
              <w:spacing w:before="0" w:beforeAutospacing="0" w:after="0" w:afterAutospacing="0"/>
              <w:ind w:right="34"/>
              <w:rPr>
                <w:rFonts w:ascii="Calibri" w:hAnsi="Calibri" w:cs="Tahoma"/>
                <w:i/>
                <w:sz w:val="24"/>
                <w:szCs w:val="24"/>
              </w:rPr>
            </w:pPr>
            <w:r w:rsidRPr="00DD7DEB">
              <w:rPr>
                <w:rFonts w:ascii="Calibri" w:hAnsi="Calibri" w:cs="Tahoma"/>
                <w:i/>
                <w:strike/>
                <w:sz w:val="24"/>
                <w:szCs w:val="24"/>
              </w:rPr>
              <w:t>Yes</w:t>
            </w:r>
            <w:r w:rsidRPr="002F467C">
              <w:rPr>
                <w:rFonts w:ascii="Calibri" w:hAnsi="Calibri" w:cs="Tahoma"/>
                <w:i/>
                <w:sz w:val="24"/>
                <w:szCs w:val="24"/>
              </w:rPr>
              <w:t>/No</w:t>
            </w:r>
          </w:p>
        </w:tc>
      </w:tr>
      <w:tr w:rsidR="00ED49BC" w:rsidRPr="002F467C" w:rsidTr="008979C9">
        <w:trPr>
          <w:trHeight w:val="820"/>
        </w:trPr>
        <w:tc>
          <w:tcPr>
            <w:tcW w:w="7927" w:type="dxa"/>
            <w:gridSpan w:val="6"/>
          </w:tcPr>
          <w:p w:rsidR="00ED49BC" w:rsidRPr="00DD7DEB" w:rsidRDefault="00ED49BC" w:rsidP="005C7AB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Dissertation title: </w:t>
            </w:r>
            <w:r>
              <w:rPr>
                <w:rFonts w:ascii="Calibri" w:hAnsi="Calibri" w:cs="Tahoma"/>
                <w:sz w:val="24"/>
                <w:szCs w:val="24"/>
              </w:rPr>
              <w:t>Dreams of an Ancient Matriarchy: Wives, Priestesses, Goddesses, Pharaohs and Harlots, the Reality of a Female “Privilege” in Ancient Egypt</w:t>
            </w:r>
          </w:p>
        </w:tc>
      </w:tr>
      <w:tr w:rsidR="00ED49BC" w:rsidRPr="002F467C" w:rsidTr="008979C9">
        <w:trPr>
          <w:trHeight w:val="539"/>
        </w:trPr>
        <w:tc>
          <w:tcPr>
            <w:tcW w:w="4809" w:type="dxa"/>
            <w:gridSpan w:val="3"/>
            <w:tcBorders>
              <w:bottom w:val="single" w:sz="4" w:space="0" w:color="000000"/>
            </w:tcBorders>
          </w:tcPr>
          <w:p w:rsidR="00ED49BC" w:rsidRPr="00DD7DEB" w:rsidRDefault="00ED49BC" w:rsidP="005C7AB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w:t>
            </w:r>
            <w:r>
              <w:rPr>
                <w:rFonts w:ascii="Calibri" w:hAnsi="Calibri" w:cs="Tahoma"/>
                <w:sz w:val="24"/>
                <w:szCs w:val="24"/>
              </w:rPr>
              <w:t xml:space="preserve"> </w:t>
            </w:r>
            <w:r w:rsidR="00FC04B3">
              <w:rPr>
                <w:rFonts w:ascii="Calibri" w:hAnsi="Calibri" w:cs="Tahoma"/>
                <w:sz w:val="24"/>
                <w:szCs w:val="24"/>
              </w:rPr>
              <w:t>Katharina Zinn</w:t>
            </w:r>
            <w:bookmarkStart w:id="0" w:name="_GoBack"/>
            <w:bookmarkEnd w:id="0"/>
          </w:p>
        </w:tc>
        <w:tc>
          <w:tcPr>
            <w:tcW w:w="3118" w:type="dxa"/>
            <w:gridSpan w:val="3"/>
            <w:tcBorders>
              <w:bottom w:val="single" w:sz="4" w:space="0" w:color="000000"/>
            </w:tcBorders>
          </w:tcPr>
          <w:p w:rsidR="00ED49BC" w:rsidRPr="00BA20F4" w:rsidRDefault="00ED49BC" w:rsidP="005C7AB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t:</w:t>
            </w:r>
            <w:r w:rsidR="00BA20F4">
              <w:rPr>
                <w:rFonts w:ascii="Calibri" w:hAnsi="Calibri" w:cs="Tahoma"/>
                <w:i/>
                <w:sz w:val="24"/>
                <w:szCs w:val="24"/>
              </w:rPr>
              <w:t xml:space="preserve"> </w:t>
            </w:r>
            <w:r w:rsidR="00A01C2F">
              <w:rPr>
                <w:rFonts w:ascii="Calibri" w:hAnsi="Calibri" w:cs="Tahoma"/>
                <w:sz w:val="24"/>
                <w:szCs w:val="24"/>
              </w:rPr>
              <w:t>10,714</w:t>
            </w:r>
          </w:p>
        </w:tc>
      </w:tr>
      <w:tr w:rsidR="00ED49BC" w:rsidRPr="002F467C" w:rsidTr="008979C9">
        <w:trPr>
          <w:trHeight w:val="978"/>
        </w:trPr>
        <w:tc>
          <w:tcPr>
            <w:tcW w:w="7927" w:type="dxa"/>
            <w:gridSpan w:val="6"/>
            <w:shd w:val="clear" w:color="auto" w:fill="D9D9D9"/>
          </w:tcPr>
          <w:p w:rsidR="00ED49BC" w:rsidRPr="002F467C" w:rsidRDefault="00ED49BC" w:rsidP="005C7ABB">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rsidR="00ED49BC" w:rsidRPr="002F467C" w:rsidRDefault="00ED49BC" w:rsidP="005C7ABB">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p>
        </w:tc>
      </w:tr>
      <w:tr w:rsidR="00ED49BC" w:rsidRPr="002F467C" w:rsidTr="008979C9">
        <w:trPr>
          <w:trHeight w:val="3972"/>
        </w:trPr>
        <w:tc>
          <w:tcPr>
            <w:tcW w:w="7927" w:type="dxa"/>
            <w:gridSpan w:val="6"/>
          </w:tcPr>
          <w:p w:rsidR="00ED49BC" w:rsidRPr="002F467C" w:rsidRDefault="00ED49BC" w:rsidP="005C7ABB">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ED49BC" w:rsidRDefault="00ED49BC" w:rsidP="005C7ABB">
            <w:pPr>
              <w:pStyle w:val="NormalWeb"/>
              <w:rPr>
                <w:rFonts w:ascii="Calibri" w:hAnsi="Calibri" w:cs="Tahoma"/>
                <w:i/>
                <w:sz w:val="24"/>
                <w:szCs w:val="24"/>
              </w:rPr>
            </w:pPr>
            <w:r w:rsidRPr="002F467C">
              <w:rPr>
                <w:rFonts w:ascii="Calibri" w:hAnsi="Calibri" w:cs="Tahoma"/>
                <w:i/>
                <w:sz w:val="24"/>
                <w:szCs w:val="24"/>
              </w:rPr>
              <w:t>Comments:</w:t>
            </w:r>
          </w:p>
          <w:p w:rsidR="00ED49BC" w:rsidRDefault="00ED49BC" w:rsidP="005C7ABB">
            <w:pPr>
              <w:pStyle w:val="NormalWeb"/>
              <w:rPr>
                <w:rFonts w:ascii="Calibri" w:hAnsi="Calibri" w:cs="Tahoma"/>
                <w:i/>
                <w:sz w:val="24"/>
                <w:szCs w:val="24"/>
              </w:rPr>
            </w:pPr>
          </w:p>
          <w:p w:rsidR="00ED49BC" w:rsidRDefault="00ED49BC" w:rsidP="005C7ABB">
            <w:pPr>
              <w:pStyle w:val="NormalWeb"/>
              <w:rPr>
                <w:rFonts w:ascii="Calibri" w:hAnsi="Calibri" w:cs="Tahoma"/>
                <w:i/>
                <w:sz w:val="24"/>
                <w:szCs w:val="24"/>
              </w:rPr>
            </w:pPr>
          </w:p>
          <w:p w:rsidR="00ED49BC" w:rsidRDefault="00ED49BC" w:rsidP="005C7ABB">
            <w:pPr>
              <w:pStyle w:val="NormalWeb"/>
              <w:rPr>
                <w:rFonts w:ascii="Calibri" w:hAnsi="Calibri" w:cs="Tahoma"/>
                <w:i/>
                <w:sz w:val="24"/>
                <w:szCs w:val="24"/>
              </w:rPr>
            </w:pPr>
          </w:p>
          <w:p w:rsidR="00ED49BC" w:rsidRDefault="00ED49BC" w:rsidP="005C7ABB">
            <w:pPr>
              <w:pStyle w:val="NormalWeb"/>
              <w:rPr>
                <w:rFonts w:ascii="Calibri" w:hAnsi="Calibri" w:cs="Tahoma"/>
                <w:i/>
                <w:sz w:val="24"/>
                <w:szCs w:val="24"/>
              </w:rPr>
            </w:pPr>
          </w:p>
          <w:p w:rsidR="00ED49BC" w:rsidRDefault="00ED49BC" w:rsidP="005C7ABB">
            <w:pPr>
              <w:pStyle w:val="NormalWeb"/>
              <w:rPr>
                <w:rFonts w:ascii="Calibri" w:hAnsi="Calibri" w:cs="Tahoma"/>
                <w:i/>
                <w:sz w:val="24"/>
                <w:szCs w:val="24"/>
              </w:rPr>
            </w:pPr>
          </w:p>
          <w:p w:rsidR="00ED49BC" w:rsidRDefault="00ED49BC" w:rsidP="005C7ABB">
            <w:pPr>
              <w:pStyle w:val="NormalWeb"/>
              <w:rPr>
                <w:rFonts w:ascii="Calibri" w:hAnsi="Calibri" w:cs="Tahoma"/>
                <w:i/>
                <w:sz w:val="24"/>
                <w:szCs w:val="24"/>
              </w:rPr>
            </w:pPr>
          </w:p>
          <w:p w:rsidR="00ED49BC" w:rsidRPr="002F467C" w:rsidRDefault="00ED49BC" w:rsidP="005C7ABB">
            <w:pPr>
              <w:pStyle w:val="NormalWeb"/>
              <w:rPr>
                <w:rFonts w:ascii="Calibri" w:hAnsi="Calibri" w:cs="Tahoma"/>
                <w:i/>
                <w:sz w:val="24"/>
                <w:szCs w:val="24"/>
              </w:rPr>
            </w:pPr>
          </w:p>
        </w:tc>
      </w:tr>
      <w:tr w:rsidR="00ED49BC" w:rsidRPr="002F467C" w:rsidTr="008979C9">
        <w:trPr>
          <w:trHeight w:val="492"/>
        </w:trPr>
        <w:tc>
          <w:tcPr>
            <w:tcW w:w="5915" w:type="dxa"/>
            <w:gridSpan w:val="4"/>
          </w:tcPr>
          <w:p w:rsidR="00ED49BC" w:rsidRPr="00B12C4F" w:rsidRDefault="00ED49BC" w:rsidP="005C7ABB">
            <w:pPr>
              <w:pStyle w:val="NormalWeb"/>
              <w:ind w:left="142" w:right="34"/>
              <w:rPr>
                <w:rFonts w:ascii="Calibri" w:hAnsi="Calibri" w:cs="Tahoma"/>
                <w:sz w:val="24"/>
                <w:szCs w:val="24"/>
              </w:rPr>
            </w:pPr>
            <w:r w:rsidRPr="00B12C4F">
              <w:rPr>
                <w:rFonts w:ascii="Calibri" w:hAnsi="Calibri" w:cs="Tahoma"/>
                <w:sz w:val="24"/>
                <w:szCs w:val="24"/>
              </w:rPr>
              <w:t>First Marker’s Mark:</w:t>
            </w:r>
          </w:p>
          <w:p w:rsidR="00ED49BC" w:rsidRPr="002F467C" w:rsidRDefault="00ED49BC" w:rsidP="005C7ABB">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2012" w:type="dxa"/>
            <w:gridSpan w:val="2"/>
          </w:tcPr>
          <w:p w:rsidR="00ED49BC" w:rsidRPr="002F467C" w:rsidRDefault="00ED49BC" w:rsidP="008979C9">
            <w:pPr>
              <w:pStyle w:val="NormalWeb"/>
              <w:ind w:left="142" w:right="34"/>
              <w:rPr>
                <w:rFonts w:ascii="Calibri" w:hAnsi="Calibri" w:cs="Tahoma"/>
                <w:i/>
                <w:sz w:val="24"/>
                <w:szCs w:val="24"/>
              </w:rPr>
            </w:pPr>
            <w:r w:rsidRPr="002F467C">
              <w:rPr>
                <w:rFonts w:ascii="Calibri" w:hAnsi="Calibri" w:cs="Tahoma"/>
                <w:i/>
                <w:sz w:val="24"/>
                <w:szCs w:val="24"/>
              </w:rPr>
              <w:t>Date:</w:t>
            </w:r>
          </w:p>
        </w:tc>
      </w:tr>
      <w:tr w:rsidR="00ED49BC" w:rsidRPr="002F467C" w:rsidTr="008979C9">
        <w:tc>
          <w:tcPr>
            <w:tcW w:w="7927" w:type="dxa"/>
            <w:gridSpan w:val="6"/>
          </w:tcPr>
          <w:p w:rsidR="00ED49BC" w:rsidRPr="002F467C" w:rsidRDefault="00ED49BC" w:rsidP="005C7ABB">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tc>
      </w:tr>
      <w:tr w:rsidR="00ED49BC" w:rsidRPr="002F467C" w:rsidTr="008979C9">
        <w:trPr>
          <w:trHeight w:val="720"/>
        </w:trPr>
        <w:tc>
          <w:tcPr>
            <w:tcW w:w="4535" w:type="dxa"/>
            <w:gridSpan w:val="2"/>
          </w:tcPr>
          <w:p w:rsidR="00ED49BC" w:rsidRDefault="00ED49BC" w:rsidP="005C7AB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rsidR="00ED49BC" w:rsidRPr="002F467C" w:rsidRDefault="00ED49BC" w:rsidP="005C7AB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392" w:type="dxa"/>
            <w:gridSpan w:val="4"/>
          </w:tcPr>
          <w:p w:rsidR="00ED49BC" w:rsidRPr="002F467C" w:rsidRDefault="00ED49BC" w:rsidP="005C7ABB">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ED49BC" w:rsidRPr="002F467C" w:rsidTr="008979C9">
        <w:trPr>
          <w:trHeight w:val="720"/>
        </w:trPr>
        <w:tc>
          <w:tcPr>
            <w:tcW w:w="7927" w:type="dxa"/>
            <w:gridSpan w:val="6"/>
          </w:tcPr>
          <w:p w:rsidR="00ED49BC" w:rsidRPr="00C87244" w:rsidRDefault="00ED49BC" w:rsidP="005C7ABB">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rsidR="00ED49BC" w:rsidRPr="00C87244" w:rsidRDefault="00ED49BC" w:rsidP="005C7ABB">
            <w:pPr>
              <w:pStyle w:val="NormalWeb"/>
              <w:spacing w:before="0" w:beforeAutospacing="0" w:after="0" w:afterAutospacing="0"/>
              <w:ind w:left="142" w:right="34"/>
              <w:rPr>
                <w:rFonts w:ascii="Calibri" w:hAnsi="Calibri" w:cs="Tahoma"/>
                <w:b/>
                <w:i/>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tc>
      </w:tr>
    </w:tbl>
    <w:p w:rsidR="00ED49BC" w:rsidRDefault="00ED49BC" w:rsidP="00ED49BC">
      <w:pPr>
        <w:pStyle w:val="NormalWeb"/>
        <w:spacing w:before="0" w:beforeAutospacing="0" w:after="0" w:afterAutospacing="0"/>
        <w:ind w:right="-334"/>
        <w:rPr>
          <w:rFonts w:ascii="Trebuchet MS" w:hAnsi="Trebuchet MS" w:cs="Tahoma"/>
          <w:bCs/>
          <w:sz w:val="24"/>
          <w:szCs w:val="24"/>
        </w:rPr>
      </w:pPr>
    </w:p>
    <w:p w:rsidR="00ED49BC" w:rsidRDefault="00ED49BC" w:rsidP="00ED49BC">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933"/>
      </w:tblGrid>
      <w:tr w:rsidR="00ED49BC" w:rsidRPr="002F467C" w:rsidTr="00CF72C4">
        <w:tc>
          <w:tcPr>
            <w:tcW w:w="7933" w:type="dxa"/>
          </w:tcPr>
          <w:p w:rsidR="00ED49BC" w:rsidRPr="002F467C" w:rsidRDefault="00ED49BC" w:rsidP="005C7ABB">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sidRPr="002F467C">
              <w:rPr>
                <w:rFonts w:ascii="Calibri" w:hAnsi="Calibri" w:cs="Tahoma"/>
                <w:bCs/>
                <w:sz w:val="24"/>
                <w:szCs w:val="24"/>
              </w:rPr>
              <w:t>:</w:t>
            </w: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Default="00ED49BC" w:rsidP="005C7AB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ED49BC" w:rsidRDefault="00ED49BC" w:rsidP="005C7ABB">
            <w:pPr>
              <w:pStyle w:val="NormalWeb"/>
              <w:spacing w:before="0" w:beforeAutospacing="0" w:after="0" w:afterAutospacing="0"/>
              <w:ind w:right="-334"/>
              <w:rPr>
                <w:rFonts w:ascii="Calibri" w:hAnsi="Calibri" w:cs="Tahoma"/>
                <w:bCs/>
                <w:sz w:val="24"/>
                <w:szCs w:val="24"/>
              </w:rPr>
            </w:pPr>
          </w:p>
          <w:p w:rsidR="00ED49BC" w:rsidRPr="002F467C" w:rsidRDefault="00ED49BC" w:rsidP="005C7AB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ED49BC" w:rsidRPr="002F467C" w:rsidRDefault="00ED49BC" w:rsidP="005C7ABB">
            <w:pPr>
              <w:pStyle w:val="NormalWeb"/>
              <w:spacing w:before="0" w:beforeAutospacing="0" w:after="0" w:afterAutospacing="0"/>
              <w:ind w:right="-334"/>
              <w:rPr>
                <w:rFonts w:ascii="Calibri" w:hAnsi="Calibri" w:cs="Tahoma"/>
                <w:bCs/>
                <w:sz w:val="24"/>
                <w:szCs w:val="24"/>
              </w:rPr>
            </w:pPr>
          </w:p>
        </w:tc>
      </w:tr>
      <w:tr w:rsidR="00ED49BC" w:rsidRPr="002F467C" w:rsidTr="00CF72C4">
        <w:trPr>
          <w:trHeight w:val="720"/>
        </w:trPr>
        <w:tc>
          <w:tcPr>
            <w:tcW w:w="7933" w:type="dxa"/>
          </w:tcPr>
          <w:p w:rsidR="00ED49BC" w:rsidRPr="002F467C" w:rsidRDefault="00ED49BC" w:rsidP="005C7ABB">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rsidR="00ED49BC" w:rsidRPr="00D67BF8" w:rsidRDefault="00ED49BC" w:rsidP="00ED49BC">
      <w:pPr>
        <w:pStyle w:val="NormalWeb"/>
        <w:spacing w:before="0" w:beforeAutospacing="0" w:after="0" w:afterAutospacing="0"/>
        <w:ind w:right="-334"/>
        <w:rPr>
          <w:rFonts w:ascii="Trebuchet MS" w:hAnsi="Trebuchet MS" w:cs="Tahoma"/>
          <w:bCs/>
          <w:sz w:val="24"/>
          <w:szCs w:val="24"/>
        </w:rPr>
      </w:pPr>
    </w:p>
    <w:p w:rsidR="003D67CA" w:rsidRDefault="003D67CA"/>
    <w:p w:rsidR="00D17529" w:rsidRDefault="00D17529" w:rsidP="00896E7B">
      <w:pPr>
        <w:spacing w:line="480" w:lineRule="auto"/>
        <w:rPr>
          <w:rFonts w:ascii="Arial" w:hAnsi="Arial" w:cs="Arial"/>
          <w:b/>
        </w:rPr>
      </w:pPr>
    </w:p>
    <w:p w:rsidR="00896E7B" w:rsidRDefault="00896E7B" w:rsidP="00896E7B">
      <w:pPr>
        <w:spacing w:line="480" w:lineRule="auto"/>
        <w:rPr>
          <w:rFonts w:ascii="Arial" w:hAnsi="Arial" w:cs="Arial"/>
          <w:b/>
        </w:rPr>
      </w:pPr>
      <w:r>
        <w:rPr>
          <w:rFonts w:ascii="Arial" w:hAnsi="Arial" w:cs="Arial"/>
          <w:b/>
        </w:rPr>
        <w:lastRenderedPageBreak/>
        <w:t>Table of Contents</w:t>
      </w:r>
    </w:p>
    <w:p w:rsidR="000858FF" w:rsidRDefault="000858FF" w:rsidP="00896E7B">
      <w:pPr>
        <w:spacing w:line="480" w:lineRule="auto"/>
        <w:rPr>
          <w:rFonts w:ascii="Arial" w:hAnsi="Arial" w:cs="Arial"/>
        </w:rPr>
      </w:pPr>
      <w:r>
        <w:rPr>
          <w:rFonts w:ascii="Arial" w:hAnsi="Arial" w:cs="Arial"/>
        </w:rPr>
        <w:t>Acknowledgements………………………………………………………………i</w:t>
      </w:r>
    </w:p>
    <w:p w:rsidR="00896E7B" w:rsidRDefault="00896E7B" w:rsidP="00896E7B">
      <w:pPr>
        <w:spacing w:line="480" w:lineRule="auto"/>
        <w:rPr>
          <w:rFonts w:ascii="Arial" w:hAnsi="Arial" w:cs="Arial"/>
        </w:rPr>
      </w:pPr>
      <w:r>
        <w:rPr>
          <w:rFonts w:ascii="Arial" w:hAnsi="Arial" w:cs="Arial"/>
        </w:rPr>
        <w:t>List of Illustration</w:t>
      </w:r>
      <w:r w:rsidR="008979C9">
        <w:rPr>
          <w:rFonts w:ascii="Arial" w:hAnsi="Arial" w:cs="Arial"/>
        </w:rPr>
        <w:t>s ……………………………………………………………….</w:t>
      </w:r>
      <w:r w:rsidR="000858FF">
        <w:rPr>
          <w:rFonts w:ascii="Arial" w:hAnsi="Arial" w:cs="Arial"/>
        </w:rPr>
        <w:t>ii</w:t>
      </w:r>
    </w:p>
    <w:p w:rsidR="00896E7B" w:rsidRDefault="00896E7B" w:rsidP="00896E7B">
      <w:pPr>
        <w:spacing w:line="480" w:lineRule="auto"/>
        <w:rPr>
          <w:rFonts w:ascii="Arial" w:hAnsi="Arial" w:cs="Arial"/>
        </w:rPr>
      </w:pPr>
      <w:r>
        <w:rPr>
          <w:rFonts w:ascii="Arial" w:hAnsi="Arial" w:cs="Arial"/>
        </w:rPr>
        <w:t>Abstract …</w:t>
      </w:r>
      <w:r w:rsidR="008979C9">
        <w:rPr>
          <w:rFonts w:ascii="Arial" w:hAnsi="Arial" w:cs="Arial"/>
        </w:rPr>
        <w:t>……………………………………………………………………….</w:t>
      </w:r>
      <w:r w:rsidR="00F45F86">
        <w:rPr>
          <w:rFonts w:ascii="Arial" w:hAnsi="Arial" w:cs="Arial"/>
        </w:rPr>
        <w:t>iv</w:t>
      </w:r>
    </w:p>
    <w:p w:rsidR="00896E7B" w:rsidRDefault="00896E7B" w:rsidP="00896E7B">
      <w:pPr>
        <w:spacing w:line="480" w:lineRule="auto"/>
        <w:rPr>
          <w:rFonts w:ascii="Arial" w:hAnsi="Arial" w:cs="Arial"/>
        </w:rPr>
      </w:pPr>
      <w:r>
        <w:rPr>
          <w:rFonts w:ascii="Arial" w:hAnsi="Arial" w:cs="Arial"/>
        </w:rPr>
        <w:t xml:space="preserve">Introduction </w:t>
      </w:r>
      <w:r w:rsidR="008979C9">
        <w:rPr>
          <w:rFonts w:ascii="Arial" w:hAnsi="Arial" w:cs="Arial"/>
        </w:rPr>
        <w:t>………………………………………………………………………</w:t>
      </w:r>
      <w:r w:rsidR="000858FF">
        <w:rPr>
          <w:rFonts w:ascii="Arial" w:hAnsi="Arial" w:cs="Arial"/>
        </w:rPr>
        <w:t>1</w:t>
      </w:r>
    </w:p>
    <w:p w:rsidR="00896E7B" w:rsidRDefault="00896E7B" w:rsidP="00896E7B">
      <w:pPr>
        <w:spacing w:line="480" w:lineRule="auto"/>
        <w:rPr>
          <w:rFonts w:ascii="Arial" w:hAnsi="Arial" w:cs="Arial"/>
        </w:rPr>
      </w:pPr>
      <w:r>
        <w:rPr>
          <w:rFonts w:ascii="Arial" w:hAnsi="Arial" w:cs="Arial"/>
        </w:rPr>
        <w:t>Mistress of the House (Wives</w:t>
      </w:r>
      <w:r w:rsidR="008979C9">
        <w:rPr>
          <w:rFonts w:ascii="Arial" w:hAnsi="Arial" w:cs="Arial"/>
        </w:rPr>
        <w:t xml:space="preserve"> and Mothers) …………………………………</w:t>
      </w:r>
      <w:r w:rsidR="000858FF">
        <w:rPr>
          <w:rFonts w:ascii="Arial" w:hAnsi="Arial" w:cs="Arial"/>
        </w:rPr>
        <w:t>2</w:t>
      </w:r>
    </w:p>
    <w:p w:rsidR="00896E7B" w:rsidRDefault="00896E7B" w:rsidP="00896E7B">
      <w:pPr>
        <w:spacing w:line="480" w:lineRule="auto"/>
        <w:rPr>
          <w:rFonts w:ascii="Arial" w:hAnsi="Arial" w:cs="Arial"/>
        </w:rPr>
      </w:pPr>
      <w:r>
        <w:rPr>
          <w:rFonts w:ascii="Arial" w:hAnsi="Arial" w:cs="Arial"/>
        </w:rPr>
        <w:t>Lady of the Two Lands (Pharaohs a</w:t>
      </w:r>
      <w:r w:rsidR="00FD081E">
        <w:rPr>
          <w:rFonts w:ascii="Arial" w:hAnsi="Arial" w:cs="Arial"/>
        </w:rPr>
        <w:t>nd Women in P</w:t>
      </w:r>
      <w:r w:rsidR="008979C9">
        <w:rPr>
          <w:rFonts w:ascii="Arial" w:hAnsi="Arial" w:cs="Arial"/>
        </w:rPr>
        <w:t>ower) …………………</w:t>
      </w:r>
      <w:r w:rsidR="009B2B7B">
        <w:rPr>
          <w:rFonts w:ascii="Arial" w:hAnsi="Arial" w:cs="Arial"/>
        </w:rPr>
        <w:t>9</w:t>
      </w:r>
    </w:p>
    <w:p w:rsidR="00896E7B" w:rsidRDefault="00896E7B" w:rsidP="00896E7B">
      <w:pPr>
        <w:spacing w:line="480" w:lineRule="auto"/>
        <w:rPr>
          <w:rFonts w:ascii="Arial" w:hAnsi="Arial" w:cs="Arial"/>
        </w:rPr>
      </w:pPr>
      <w:r>
        <w:rPr>
          <w:rFonts w:ascii="Arial" w:hAnsi="Arial" w:cs="Arial"/>
        </w:rPr>
        <w:t xml:space="preserve">The Citizeness (Women in Work </w:t>
      </w:r>
      <w:r w:rsidR="008979C9">
        <w:rPr>
          <w:rFonts w:ascii="Arial" w:hAnsi="Arial" w:cs="Arial"/>
        </w:rPr>
        <w:t>and Education) ………………………….</w:t>
      </w:r>
      <w:r w:rsidR="009B2B7B">
        <w:rPr>
          <w:rFonts w:ascii="Arial" w:hAnsi="Arial" w:cs="Arial"/>
        </w:rPr>
        <w:t>18</w:t>
      </w:r>
    </w:p>
    <w:p w:rsidR="00896E7B" w:rsidRDefault="00896E7B" w:rsidP="00896E7B">
      <w:pPr>
        <w:spacing w:line="480" w:lineRule="auto"/>
        <w:rPr>
          <w:rFonts w:ascii="Arial" w:hAnsi="Arial" w:cs="Arial"/>
        </w:rPr>
      </w:pPr>
      <w:r>
        <w:rPr>
          <w:rFonts w:ascii="Arial" w:hAnsi="Arial" w:cs="Arial"/>
        </w:rPr>
        <w:t xml:space="preserve">The Temptress (Women and </w:t>
      </w:r>
      <w:r w:rsidR="008979C9">
        <w:rPr>
          <w:rFonts w:ascii="Arial" w:hAnsi="Arial" w:cs="Arial"/>
        </w:rPr>
        <w:t>Sexuality) …………………………………….</w:t>
      </w:r>
      <w:r w:rsidR="009B2B7B">
        <w:rPr>
          <w:rFonts w:ascii="Arial" w:hAnsi="Arial" w:cs="Arial"/>
        </w:rPr>
        <w:t>26</w:t>
      </w:r>
    </w:p>
    <w:p w:rsidR="00896E7B" w:rsidRDefault="00896E7B" w:rsidP="00896E7B">
      <w:pPr>
        <w:spacing w:line="480" w:lineRule="auto"/>
        <w:rPr>
          <w:rFonts w:ascii="Arial" w:hAnsi="Arial" w:cs="Arial"/>
        </w:rPr>
      </w:pPr>
      <w:r>
        <w:rPr>
          <w:rFonts w:ascii="Arial" w:hAnsi="Arial" w:cs="Arial"/>
        </w:rPr>
        <w:t>The Protectress (Goddesses and W</w:t>
      </w:r>
      <w:r w:rsidR="00930CC5">
        <w:rPr>
          <w:rFonts w:ascii="Arial" w:hAnsi="Arial" w:cs="Arial"/>
        </w:rPr>
        <w:t>omen in Religion)</w:t>
      </w:r>
      <w:r w:rsidR="008979C9">
        <w:rPr>
          <w:rFonts w:ascii="Arial" w:hAnsi="Arial" w:cs="Arial"/>
        </w:rPr>
        <w:t xml:space="preserve"> ……………………</w:t>
      </w:r>
      <w:r w:rsidR="009B2B7B">
        <w:rPr>
          <w:rFonts w:ascii="Arial" w:hAnsi="Arial" w:cs="Arial"/>
        </w:rPr>
        <w:t>35</w:t>
      </w:r>
    </w:p>
    <w:p w:rsidR="006E0A9D" w:rsidRDefault="006E0A9D" w:rsidP="00896E7B">
      <w:pPr>
        <w:spacing w:line="480" w:lineRule="auto"/>
        <w:rPr>
          <w:rFonts w:ascii="Arial" w:hAnsi="Arial" w:cs="Arial"/>
        </w:rPr>
      </w:pPr>
      <w:r>
        <w:rPr>
          <w:rFonts w:ascii="Arial" w:hAnsi="Arial" w:cs="Arial"/>
        </w:rPr>
        <w:t xml:space="preserve">Conclusion </w:t>
      </w:r>
      <w:r w:rsidR="008979C9">
        <w:rPr>
          <w:rFonts w:ascii="Arial" w:hAnsi="Arial" w:cs="Arial"/>
        </w:rPr>
        <w:t>……………………………………………………………………..</w:t>
      </w:r>
      <w:r w:rsidR="006152F5">
        <w:rPr>
          <w:rFonts w:ascii="Arial" w:hAnsi="Arial" w:cs="Arial"/>
        </w:rPr>
        <w:t>49</w:t>
      </w:r>
    </w:p>
    <w:p w:rsidR="00930CC5" w:rsidRDefault="00930CC5" w:rsidP="00896E7B">
      <w:pPr>
        <w:spacing w:line="480" w:lineRule="auto"/>
        <w:rPr>
          <w:rFonts w:ascii="Arial" w:hAnsi="Arial" w:cs="Arial"/>
        </w:rPr>
      </w:pPr>
      <w:r>
        <w:rPr>
          <w:rFonts w:ascii="Arial" w:hAnsi="Arial" w:cs="Arial"/>
        </w:rPr>
        <w:t>Appendix 1……………………………………………………………………</w:t>
      </w:r>
      <w:r w:rsidR="008979C9">
        <w:rPr>
          <w:rFonts w:ascii="Arial" w:hAnsi="Arial" w:cs="Arial"/>
        </w:rPr>
        <w:t>...</w:t>
      </w:r>
      <w:r w:rsidR="006152F5">
        <w:rPr>
          <w:rFonts w:ascii="Arial" w:hAnsi="Arial" w:cs="Arial"/>
        </w:rPr>
        <w:t>51</w:t>
      </w:r>
    </w:p>
    <w:p w:rsidR="00896E7B" w:rsidRPr="009B1EF4" w:rsidRDefault="00896E7B" w:rsidP="00896E7B">
      <w:pPr>
        <w:spacing w:line="480" w:lineRule="auto"/>
        <w:rPr>
          <w:rFonts w:ascii="Arial" w:hAnsi="Arial" w:cs="Arial"/>
        </w:rPr>
      </w:pPr>
      <w:r>
        <w:rPr>
          <w:rFonts w:ascii="Arial" w:hAnsi="Arial" w:cs="Arial"/>
        </w:rPr>
        <w:t>Bibliography …</w:t>
      </w:r>
      <w:r w:rsidR="008979C9">
        <w:rPr>
          <w:rFonts w:ascii="Arial" w:hAnsi="Arial" w:cs="Arial"/>
        </w:rPr>
        <w:t>…………………………………………………………………</w:t>
      </w:r>
      <w:r w:rsidR="006152F5">
        <w:rPr>
          <w:rFonts w:ascii="Arial" w:hAnsi="Arial" w:cs="Arial"/>
        </w:rPr>
        <w:t>55</w:t>
      </w:r>
    </w:p>
    <w:p w:rsidR="00896E7B" w:rsidRDefault="00896E7B" w:rsidP="00896E7B">
      <w:pPr>
        <w:rPr>
          <w:rFonts w:ascii="Arial" w:hAnsi="Arial" w:cs="Arial"/>
          <w:b/>
        </w:rPr>
      </w:pPr>
      <w:r>
        <w:rPr>
          <w:rFonts w:ascii="Arial" w:hAnsi="Arial" w:cs="Arial"/>
          <w:b/>
        </w:rPr>
        <w:br w:type="page"/>
      </w:r>
    </w:p>
    <w:p w:rsidR="000858FF" w:rsidRDefault="000858FF" w:rsidP="00ED49BC">
      <w:pPr>
        <w:spacing w:line="480" w:lineRule="auto"/>
        <w:rPr>
          <w:rFonts w:ascii="Arial" w:hAnsi="Arial" w:cs="Arial"/>
          <w:b/>
        </w:rPr>
        <w:sectPr w:rsidR="000858FF" w:rsidSect="00DE5D3F">
          <w:footerReference w:type="default" r:id="rId11"/>
          <w:pgSz w:w="11906" w:h="16838"/>
          <w:pgMar w:top="1440" w:right="1440" w:bottom="1440" w:left="1440" w:header="708" w:footer="708" w:gutter="0"/>
          <w:pgNumType w:start="1"/>
          <w:cols w:space="708"/>
          <w:docGrid w:linePitch="360"/>
        </w:sectPr>
      </w:pPr>
    </w:p>
    <w:p w:rsidR="003D67CA" w:rsidRDefault="00930CC5" w:rsidP="00ED49BC">
      <w:pPr>
        <w:spacing w:line="480" w:lineRule="auto"/>
        <w:rPr>
          <w:rFonts w:ascii="Arial" w:hAnsi="Arial" w:cs="Arial"/>
          <w:b/>
        </w:rPr>
      </w:pPr>
      <w:r>
        <w:rPr>
          <w:rFonts w:ascii="Arial" w:hAnsi="Arial" w:cs="Arial"/>
          <w:b/>
        </w:rPr>
        <w:lastRenderedPageBreak/>
        <w:t>Acknowledgements</w:t>
      </w:r>
    </w:p>
    <w:p w:rsidR="00930CC5" w:rsidRPr="00930CC5" w:rsidRDefault="00930CC5" w:rsidP="008979C9">
      <w:pPr>
        <w:spacing w:line="480" w:lineRule="auto"/>
        <w:rPr>
          <w:rFonts w:ascii="Arial" w:hAnsi="Arial" w:cs="Arial"/>
        </w:rPr>
      </w:pPr>
      <w:r>
        <w:rPr>
          <w:rFonts w:ascii="Arial" w:hAnsi="Arial" w:cs="Arial"/>
        </w:rPr>
        <w:t>First and foremost, I would like to thank the support of my tutor in allowing this dissertation to take place, pointing me in the right direction when needs be concerning research for this piece of work. Without this guidance and confidence I am unsure whether this paper would come to pass. Secondly, I would like to thank my parents for their unwavering confidence in me and my abilities, once again holding the outside confidence in me that was incredibly important when encouragement was needed at times when it seemed like a dissertation was too much to undertake. As well as this, a thank you to my parents is necessary for the tolerating of the loud music blaring from my workspace whilst w</w:t>
      </w:r>
      <w:r w:rsidR="00D17529">
        <w:rPr>
          <w:rFonts w:ascii="Arial" w:hAnsi="Arial" w:cs="Arial"/>
        </w:rPr>
        <w:t>aging on this essay.  A</w:t>
      </w:r>
      <w:r>
        <w:rPr>
          <w:rFonts w:ascii="Arial" w:hAnsi="Arial" w:cs="Arial"/>
        </w:rPr>
        <w:t xml:space="preserve"> thank you is </w:t>
      </w:r>
      <w:r w:rsidR="00D17529">
        <w:rPr>
          <w:rFonts w:ascii="Arial" w:hAnsi="Arial" w:cs="Arial"/>
        </w:rPr>
        <w:t xml:space="preserve">also </w:t>
      </w:r>
      <w:r>
        <w:rPr>
          <w:rFonts w:ascii="Arial" w:hAnsi="Arial" w:cs="Arial"/>
        </w:rPr>
        <w:t xml:space="preserve">deserved to my friends for bearing </w:t>
      </w:r>
      <w:r w:rsidR="00FD081E">
        <w:rPr>
          <w:rFonts w:ascii="Arial" w:hAnsi="Arial" w:cs="Arial"/>
        </w:rPr>
        <w:t>with my stress and me</w:t>
      </w:r>
      <w:r>
        <w:rPr>
          <w:rFonts w:ascii="Arial" w:hAnsi="Arial" w:cs="Arial"/>
        </w:rPr>
        <w:t xml:space="preserve">, and enduring </w:t>
      </w:r>
      <w:r w:rsidR="00C650E7">
        <w:rPr>
          <w:rFonts w:ascii="Arial" w:hAnsi="Arial" w:cs="Arial"/>
        </w:rPr>
        <w:t xml:space="preserve">my </w:t>
      </w:r>
      <w:r>
        <w:rPr>
          <w:rFonts w:ascii="Arial" w:hAnsi="Arial" w:cs="Arial"/>
        </w:rPr>
        <w:t xml:space="preserve">anxiety as the deadline began to loom. Not all would undertake such a task, but the appreciation is massive – allowing me space and encouragement when it became necessary. </w:t>
      </w:r>
      <w:r w:rsidR="00D17529">
        <w:rPr>
          <w:rFonts w:ascii="Arial" w:hAnsi="Arial" w:cs="Arial"/>
        </w:rPr>
        <w:t xml:space="preserve">Finally, I’d like to thank my past self, for having the initiative to start work many months ago, making the actual writing of this dissertation a much easier task than it could have been. </w:t>
      </w:r>
    </w:p>
    <w:p w:rsidR="003D67CA" w:rsidRDefault="003D67CA">
      <w:pPr>
        <w:rPr>
          <w:rFonts w:ascii="Arial" w:hAnsi="Arial" w:cs="Arial"/>
          <w:b/>
        </w:rPr>
      </w:pPr>
      <w:r>
        <w:rPr>
          <w:rFonts w:ascii="Arial" w:hAnsi="Arial" w:cs="Arial"/>
          <w:b/>
        </w:rPr>
        <w:br w:type="page"/>
      </w:r>
    </w:p>
    <w:p w:rsidR="000858FF" w:rsidRDefault="000858FF" w:rsidP="00ED49BC">
      <w:pPr>
        <w:spacing w:line="480" w:lineRule="auto"/>
        <w:rPr>
          <w:rFonts w:ascii="Arial" w:hAnsi="Arial" w:cs="Arial"/>
          <w:b/>
        </w:rPr>
        <w:sectPr w:rsidR="000858FF" w:rsidSect="008979C9">
          <w:footerReference w:type="default" r:id="rId12"/>
          <w:pgSz w:w="11906" w:h="16838" w:code="9"/>
          <w:pgMar w:top="1440" w:right="1701" w:bottom="1440" w:left="2268" w:header="709" w:footer="709" w:gutter="0"/>
          <w:pgNumType w:start="1"/>
          <w:cols w:space="708"/>
          <w:docGrid w:linePitch="360"/>
        </w:sectPr>
      </w:pPr>
    </w:p>
    <w:p w:rsidR="00896E7B" w:rsidRDefault="00896E7B" w:rsidP="00ED49BC">
      <w:pPr>
        <w:spacing w:line="480" w:lineRule="auto"/>
        <w:rPr>
          <w:rFonts w:ascii="Arial" w:hAnsi="Arial" w:cs="Arial"/>
          <w:b/>
        </w:rPr>
      </w:pPr>
      <w:r>
        <w:rPr>
          <w:rFonts w:ascii="Arial" w:hAnsi="Arial" w:cs="Arial"/>
          <w:b/>
        </w:rPr>
        <w:lastRenderedPageBreak/>
        <w:t>List of Illustrations</w:t>
      </w:r>
    </w:p>
    <w:p w:rsidR="00B568A1" w:rsidRDefault="00B568A1" w:rsidP="00896E7B">
      <w:pPr>
        <w:pStyle w:val="ListParagraph"/>
        <w:numPr>
          <w:ilvl w:val="0"/>
          <w:numId w:val="3"/>
        </w:numPr>
        <w:spacing w:line="480" w:lineRule="auto"/>
        <w:rPr>
          <w:rFonts w:ascii="Arial" w:hAnsi="Arial" w:cs="Arial"/>
        </w:rPr>
      </w:pPr>
      <w:r>
        <w:rPr>
          <w:rFonts w:ascii="Arial" w:hAnsi="Arial" w:cs="Arial"/>
        </w:rPr>
        <w:t xml:space="preserve">Cover Art: </w:t>
      </w:r>
      <w:r w:rsidR="00FA6783">
        <w:rPr>
          <w:rFonts w:ascii="Arial" w:hAnsi="Arial" w:cs="Arial"/>
        </w:rPr>
        <w:t>D</w:t>
      </w:r>
      <w:r w:rsidR="008B0B06">
        <w:rPr>
          <w:rFonts w:ascii="Arial" w:hAnsi="Arial" w:cs="Arial"/>
        </w:rPr>
        <w:t xml:space="preserve">etail, a feast for Nebamun, showing female guests at the feast, </w:t>
      </w:r>
      <w:r w:rsidR="008B0B06" w:rsidRPr="00A66E51">
        <w:rPr>
          <w:rFonts w:ascii="Arial" w:hAnsi="Arial" w:cs="Arial"/>
        </w:rPr>
        <w:t>©</w:t>
      </w:r>
      <w:r w:rsidR="008B0B06">
        <w:rPr>
          <w:rFonts w:ascii="Arial" w:hAnsi="Arial" w:cs="Arial"/>
        </w:rPr>
        <w:t xml:space="preserve"> Jamie Barras, 2009, London</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Fig. 1: Princess Sobeknakht Suckling a Prince, © Brooklyn Museum, Charles Edwin Wilbour Fund</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Fig. 2: Ostracon Nash 5, © British Museum, 2017, London</w:t>
      </w:r>
    </w:p>
    <w:p w:rsidR="00896E7B" w:rsidRPr="00A66E51" w:rsidRDefault="00AF52E0" w:rsidP="00896E7B">
      <w:pPr>
        <w:pStyle w:val="ListParagraph"/>
        <w:numPr>
          <w:ilvl w:val="0"/>
          <w:numId w:val="3"/>
        </w:numPr>
        <w:spacing w:line="480" w:lineRule="auto"/>
        <w:rPr>
          <w:rFonts w:ascii="Arial" w:hAnsi="Arial" w:cs="Arial"/>
        </w:rPr>
      </w:pPr>
      <w:r>
        <w:rPr>
          <w:rFonts w:ascii="Arial" w:hAnsi="Arial" w:cs="Arial"/>
        </w:rPr>
        <w:t>Fig. 3: H</w:t>
      </w:r>
      <w:r w:rsidR="00896E7B" w:rsidRPr="00A66E51">
        <w:rPr>
          <w:rFonts w:ascii="Arial" w:hAnsi="Arial" w:cs="Arial"/>
        </w:rPr>
        <w:t>ealed head injury, © J. Filer, 2013, Giza</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Fig. 4: Kneeling Statue of Hatshepsut © Metropolitan Museum of Art, Rodgers Fund, 23.3.1, New York</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 xml:space="preserve">Fig. 5: Statue of Sobekneferu, </w:t>
      </w:r>
      <w:r w:rsidR="00FA6783" w:rsidRPr="00A66E51">
        <w:rPr>
          <w:rFonts w:ascii="Arial" w:hAnsi="Arial" w:cs="Arial"/>
        </w:rPr>
        <w:t>©</w:t>
      </w:r>
      <w:r w:rsidR="00FA6783">
        <w:rPr>
          <w:rFonts w:ascii="Arial" w:hAnsi="Arial" w:cs="Arial"/>
        </w:rPr>
        <w:t xml:space="preserve"> </w:t>
      </w:r>
      <w:r w:rsidRPr="00A66E51">
        <w:rPr>
          <w:rFonts w:ascii="Arial" w:hAnsi="Arial" w:cs="Arial"/>
        </w:rPr>
        <w:t>Hedwig Fechheimer, 1914, Berlin Egyptian Museum</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Fig. 6: Scene from the antechamber of KV 14 showing the replacement of Two</w:t>
      </w:r>
      <w:r w:rsidR="00AF52E0">
        <w:rPr>
          <w:rFonts w:ascii="Arial" w:hAnsi="Arial" w:cs="Arial"/>
        </w:rPr>
        <w:t xml:space="preserve">sret’s image with a painted column </w:t>
      </w:r>
      <w:r w:rsidRPr="00A66E51">
        <w:rPr>
          <w:rFonts w:ascii="Arial" w:hAnsi="Arial" w:cs="Arial"/>
        </w:rPr>
        <w:t>containing Setnakht’s cartouches, titles, and epithets, © Heather McCarthy, 2008, Thebes</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 xml:space="preserve">Fig. 7: Hieroglyphs showing Thuthmose III on the left and Hatshepsut on the right, she having the trappings of the greater role, </w:t>
      </w:r>
      <w:r w:rsidR="00FA6783" w:rsidRPr="00A66E51">
        <w:rPr>
          <w:rFonts w:ascii="Arial" w:hAnsi="Arial" w:cs="Arial"/>
        </w:rPr>
        <w:t>©</w:t>
      </w:r>
      <w:r w:rsidR="00FA6783">
        <w:rPr>
          <w:rFonts w:ascii="Arial" w:hAnsi="Arial" w:cs="Arial"/>
        </w:rPr>
        <w:t xml:space="preserve"> </w:t>
      </w:r>
      <w:proofErr w:type="spellStart"/>
      <w:r w:rsidR="00FA6783">
        <w:rPr>
          <w:rFonts w:ascii="Arial" w:hAnsi="Arial" w:cs="Arial"/>
        </w:rPr>
        <w:t>Markh</w:t>
      </w:r>
      <w:proofErr w:type="spellEnd"/>
      <w:r w:rsidR="00FA6783">
        <w:rPr>
          <w:rFonts w:ascii="Arial" w:hAnsi="Arial" w:cs="Arial"/>
        </w:rPr>
        <w:t xml:space="preserve">, </w:t>
      </w:r>
      <w:r w:rsidRPr="00A66E51">
        <w:rPr>
          <w:rFonts w:ascii="Arial" w:hAnsi="Arial" w:cs="Arial"/>
        </w:rPr>
        <w:t>2006, Karnak</w:t>
      </w:r>
    </w:p>
    <w:p w:rsidR="00896E7B" w:rsidRPr="00A66E51" w:rsidRDefault="00896E7B" w:rsidP="00896E7B">
      <w:pPr>
        <w:pStyle w:val="ListParagraph"/>
        <w:numPr>
          <w:ilvl w:val="0"/>
          <w:numId w:val="3"/>
        </w:numPr>
        <w:spacing w:line="480" w:lineRule="auto"/>
        <w:rPr>
          <w:rFonts w:ascii="Arial" w:hAnsi="Arial" w:cs="Arial"/>
        </w:rPr>
      </w:pPr>
      <w:r w:rsidRPr="00A66E51">
        <w:rPr>
          <w:rFonts w:ascii="Arial" w:hAnsi="Arial" w:cs="Arial"/>
        </w:rPr>
        <w:t>Fig. 8: Heqt puts the breath of life into the nostrils of the newly created babe, © Emad Soly, The Ancient Egypt, 2016</w:t>
      </w:r>
    </w:p>
    <w:p w:rsidR="00896E7B" w:rsidRDefault="00896E7B" w:rsidP="00896E7B">
      <w:pPr>
        <w:pStyle w:val="ListParagraph"/>
        <w:numPr>
          <w:ilvl w:val="0"/>
          <w:numId w:val="3"/>
        </w:numPr>
        <w:spacing w:line="480" w:lineRule="auto"/>
        <w:rPr>
          <w:rFonts w:ascii="Arial" w:hAnsi="Arial" w:cs="Arial"/>
        </w:rPr>
      </w:pPr>
      <w:r w:rsidRPr="00A66E51">
        <w:rPr>
          <w:rFonts w:ascii="Arial" w:hAnsi="Arial" w:cs="Arial"/>
        </w:rPr>
        <w:t xml:space="preserve">Fig. 9: Nakht and Tawy Make an Offering, </w:t>
      </w:r>
      <w:r w:rsidR="00FA6783" w:rsidRPr="00A66E51">
        <w:rPr>
          <w:rFonts w:ascii="Arial" w:hAnsi="Arial" w:cs="Arial"/>
        </w:rPr>
        <w:t>©</w:t>
      </w:r>
      <w:r w:rsidR="00FA6783">
        <w:rPr>
          <w:rFonts w:ascii="Arial" w:hAnsi="Arial" w:cs="Arial"/>
        </w:rPr>
        <w:t xml:space="preserve"> </w:t>
      </w:r>
      <w:r w:rsidR="00F4690B">
        <w:rPr>
          <w:rFonts w:ascii="Arial" w:hAnsi="Arial" w:cs="Arial"/>
        </w:rPr>
        <w:t>Seidel. M, Shedid. A. G</w:t>
      </w:r>
      <w:r w:rsidR="00FA6783">
        <w:rPr>
          <w:rFonts w:ascii="Arial" w:hAnsi="Arial" w:cs="Arial"/>
        </w:rPr>
        <w:t xml:space="preserve">, </w:t>
      </w:r>
      <w:r w:rsidR="00F4690B">
        <w:rPr>
          <w:rFonts w:ascii="Arial" w:hAnsi="Arial" w:cs="Arial"/>
        </w:rPr>
        <w:t>1992</w:t>
      </w:r>
      <w:r w:rsidRPr="00A66E51">
        <w:rPr>
          <w:rFonts w:ascii="Arial" w:hAnsi="Arial" w:cs="Arial"/>
        </w:rPr>
        <w:t>, Luxor</w:t>
      </w:r>
    </w:p>
    <w:p w:rsidR="00896E7B" w:rsidRPr="00896E7B" w:rsidRDefault="00896E7B" w:rsidP="00D17529">
      <w:pPr>
        <w:pStyle w:val="ListParagraph"/>
        <w:numPr>
          <w:ilvl w:val="0"/>
          <w:numId w:val="3"/>
        </w:numPr>
        <w:spacing w:line="480" w:lineRule="auto"/>
        <w:rPr>
          <w:rFonts w:ascii="Arial" w:hAnsi="Arial" w:cs="Arial"/>
        </w:rPr>
      </w:pPr>
      <w:r w:rsidRPr="00896E7B">
        <w:rPr>
          <w:rFonts w:ascii="Arial" w:hAnsi="Arial" w:cs="Arial"/>
        </w:rPr>
        <w:t xml:space="preserve">Fig. 10: Youth GPI Value Globally Between the Years 2005-2013, © UNESCO, 2015 </w:t>
      </w:r>
      <w:r>
        <w:rPr>
          <w:rFonts w:ascii="Arial" w:hAnsi="Arial" w:cs="Arial"/>
        </w:rPr>
        <w:br/>
      </w:r>
    </w:p>
    <w:p w:rsidR="00FA6783" w:rsidRDefault="00FA6783" w:rsidP="00FA6783">
      <w:pPr>
        <w:pStyle w:val="ListParagraph"/>
        <w:numPr>
          <w:ilvl w:val="0"/>
          <w:numId w:val="3"/>
        </w:numPr>
        <w:spacing w:line="480" w:lineRule="auto"/>
        <w:rPr>
          <w:rFonts w:ascii="Arial" w:hAnsi="Arial" w:cs="Arial"/>
        </w:rPr>
        <w:sectPr w:rsidR="00FA6783" w:rsidSect="008979C9">
          <w:footerReference w:type="default" r:id="rId13"/>
          <w:pgSz w:w="11906" w:h="16838"/>
          <w:pgMar w:top="1440" w:right="1701" w:bottom="1440" w:left="2268" w:header="708" w:footer="708" w:gutter="0"/>
          <w:pgNumType w:start="1"/>
          <w:cols w:space="708"/>
          <w:docGrid w:linePitch="360"/>
        </w:sectPr>
      </w:pPr>
    </w:p>
    <w:p w:rsidR="00F45F86" w:rsidRPr="00FA6783" w:rsidRDefault="00896E7B" w:rsidP="00FA6783">
      <w:pPr>
        <w:pStyle w:val="ListParagraph"/>
        <w:numPr>
          <w:ilvl w:val="0"/>
          <w:numId w:val="3"/>
        </w:numPr>
        <w:spacing w:line="480" w:lineRule="auto"/>
        <w:rPr>
          <w:rFonts w:ascii="Arial" w:hAnsi="Arial" w:cs="Arial"/>
        </w:rPr>
      </w:pPr>
      <w:r w:rsidRPr="00A66E51">
        <w:rPr>
          <w:rFonts w:ascii="Arial" w:hAnsi="Arial" w:cs="Arial"/>
        </w:rPr>
        <w:lastRenderedPageBreak/>
        <w:t>Fig. 11: Papyrus D’Orbiney: “The Tale of the Two Brothers”, © the Trustees of the British Museum, 2017, London</w:t>
      </w:r>
    </w:p>
    <w:p w:rsidR="00FA6783" w:rsidRPr="00F45F86" w:rsidRDefault="00FA6783" w:rsidP="00FA6783">
      <w:pPr>
        <w:pStyle w:val="ListParagraph"/>
        <w:numPr>
          <w:ilvl w:val="0"/>
          <w:numId w:val="3"/>
        </w:numPr>
        <w:spacing w:line="480" w:lineRule="auto"/>
        <w:rPr>
          <w:rFonts w:ascii="Arial" w:hAnsi="Arial" w:cs="Arial"/>
        </w:rPr>
      </w:pPr>
      <w:r w:rsidRPr="00A66E51">
        <w:rPr>
          <w:rFonts w:ascii="Arial" w:hAnsi="Arial" w:cs="Arial"/>
        </w:rPr>
        <w:t>Fig. 12: Turin Erotic Papy</w:t>
      </w:r>
      <w:r>
        <w:rPr>
          <w:rFonts w:ascii="Arial" w:hAnsi="Arial" w:cs="Arial"/>
        </w:rPr>
        <w:t xml:space="preserve">rus, </w:t>
      </w:r>
      <w:r w:rsidRPr="00F45F86">
        <w:rPr>
          <w:rFonts w:ascii="Arial" w:hAnsi="Arial" w:cs="Arial"/>
        </w:rPr>
        <w:t>©</w:t>
      </w:r>
      <w:r>
        <w:rPr>
          <w:rFonts w:ascii="Arial" w:hAnsi="Arial" w:cs="Arial"/>
        </w:rPr>
        <w:t xml:space="preserve"> Robert Nieslen, 2015, Turin</w:t>
      </w:r>
    </w:p>
    <w:p w:rsidR="00FA6783" w:rsidRPr="00F45F86" w:rsidRDefault="00FA6783" w:rsidP="00FA6783">
      <w:pPr>
        <w:pStyle w:val="ListParagraph"/>
        <w:numPr>
          <w:ilvl w:val="0"/>
          <w:numId w:val="3"/>
        </w:numPr>
        <w:spacing w:line="480" w:lineRule="auto"/>
        <w:rPr>
          <w:rFonts w:ascii="Arial" w:hAnsi="Arial" w:cs="Arial"/>
        </w:rPr>
      </w:pPr>
      <w:r w:rsidRPr="00F45F86">
        <w:rPr>
          <w:rFonts w:ascii="Arial" w:hAnsi="Arial" w:cs="Arial"/>
        </w:rPr>
        <w:t>Fig. 13: Nebamun hunting in the Marshes, © the Trustees of the British Museum, 2017, London</w:t>
      </w:r>
    </w:p>
    <w:p w:rsidR="00FA6783" w:rsidRPr="00F45F86" w:rsidRDefault="00FA6783" w:rsidP="00FA6783">
      <w:pPr>
        <w:pStyle w:val="ListParagraph"/>
        <w:numPr>
          <w:ilvl w:val="0"/>
          <w:numId w:val="3"/>
        </w:numPr>
        <w:spacing w:line="480" w:lineRule="auto"/>
        <w:rPr>
          <w:rFonts w:ascii="Arial" w:hAnsi="Arial" w:cs="Arial"/>
        </w:rPr>
      </w:pPr>
      <w:r w:rsidRPr="00A66E51">
        <w:rPr>
          <w:rFonts w:ascii="Arial" w:hAnsi="Arial" w:cs="Arial"/>
        </w:rPr>
        <w:t xml:space="preserve">Fig. 14: Isis with Horus the child, </w:t>
      </w:r>
      <w:r w:rsidRPr="00F45F86">
        <w:rPr>
          <w:rFonts w:ascii="Arial" w:hAnsi="Arial" w:cs="Arial"/>
        </w:rPr>
        <w:t>©</w:t>
      </w:r>
      <w:r>
        <w:rPr>
          <w:rFonts w:ascii="Arial" w:hAnsi="Arial" w:cs="Arial"/>
        </w:rPr>
        <w:t xml:space="preserve"> </w:t>
      </w:r>
      <w:r w:rsidRPr="00A66E51">
        <w:rPr>
          <w:rFonts w:ascii="Arial" w:hAnsi="Arial" w:cs="Arial"/>
        </w:rPr>
        <w:t>the Walters Art Museum, 2018, Baltimore</w:t>
      </w:r>
    </w:p>
    <w:p w:rsidR="00FA6783" w:rsidRPr="00A66E51" w:rsidRDefault="00FA6783" w:rsidP="00FA6783">
      <w:pPr>
        <w:pStyle w:val="ListParagraph"/>
        <w:numPr>
          <w:ilvl w:val="0"/>
          <w:numId w:val="3"/>
        </w:numPr>
        <w:spacing w:line="480" w:lineRule="auto"/>
        <w:rPr>
          <w:rFonts w:ascii="Arial" w:hAnsi="Arial" w:cs="Arial"/>
        </w:rPr>
      </w:pPr>
      <w:r w:rsidRPr="00A66E51">
        <w:rPr>
          <w:rFonts w:ascii="Arial" w:hAnsi="Arial" w:cs="Arial"/>
        </w:rPr>
        <w:t>Fig. 15: I</w:t>
      </w:r>
      <w:r w:rsidR="00D17529">
        <w:rPr>
          <w:rFonts w:ascii="Arial" w:hAnsi="Arial" w:cs="Arial"/>
        </w:rPr>
        <w:t>con with Virgin Mary and Child,</w:t>
      </w:r>
      <w:r w:rsidRPr="00A66E51">
        <w:rPr>
          <w:rFonts w:ascii="Arial" w:hAnsi="Arial" w:cs="Arial"/>
        </w:rPr>
        <w:t xml:space="preserve"> © Trustees of the British Museum, 2017, London</w:t>
      </w:r>
    </w:p>
    <w:p w:rsidR="00FA6783" w:rsidRPr="00A66E51" w:rsidRDefault="00FA6783" w:rsidP="00FA6783">
      <w:pPr>
        <w:pStyle w:val="ListParagraph"/>
        <w:numPr>
          <w:ilvl w:val="0"/>
          <w:numId w:val="3"/>
        </w:numPr>
        <w:spacing w:line="480" w:lineRule="auto"/>
        <w:rPr>
          <w:rFonts w:ascii="Arial" w:hAnsi="Arial" w:cs="Arial"/>
        </w:rPr>
      </w:pPr>
      <w:r w:rsidRPr="00A66E51">
        <w:rPr>
          <w:rFonts w:ascii="Arial" w:hAnsi="Arial" w:cs="Arial"/>
        </w:rPr>
        <w:t>Fig.16: Statue of Egyptian Goddess Hathor, Luxor Museum, © Kim Bach 2004, Luxor</w:t>
      </w:r>
    </w:p>
    <w:p w:rsidR="00FA6783" w:rsidRPr="00A66E51" w:rsidRDefault="00FA6783" w:rsidP="00FA6783">
      <w:pPr>
        <w:pStyle w:val="ListParagraph"/>
        <w:numPr>
          <w:ilvl w:val="0"/>
          <w:numId w:val="3"/>
        </w:numPr>
        <w:spacing w:line="480" w:lineRule="auto"/>
        <w:rPr>
          <w:rFonts w:ascii="Arial" w:hAnsi="Arial" w:cs="Arial"/>
        </w:rPr>
      </w:pPr>
      <w:r w:rsidRPr="00A66E51">
        <w:rPr>
          <w:rFonts w:ascii="Arial" w:hAnsi="Arial" w:cs="Arial"/>
        </w:rPr>
        <w:t>Fig.17: Head and Upper Body of the goddess Sekhmet, Kelvingrove Art Gallery and Museum © Osama Shukir Muhammad Amin, 2013, Glasgow</w:t>
      </w:r>
    </w:p>
    <w:p w:rsidR="00FA6783" w:rsidRPr="00A66E51" w:rsidRDefault="00FA6783" w:rsidP="00FA6783">
      <w:pPr>
        <w:pStyle w:val="ListParagraph"/>
        <w:numPr>
          <w:ilvl w:val="0"/>
          <w:numId w:val="3"/>
        </w:numPr>
        <w:spacing w:line="480" w:lineRule="auto"/>
        <w:rPr>
          <w:rFonts w:ascii="Arial" w:hAnsi="Arial" w:cs="Arial"/>
        </w:rPr>
      </w:pPr>
      <w:r w:rsidRPr="00A66E51">
        <w:rPr>
          <w:rFonts w:ascii="Arial" w:hAnsi="Arial" w:cs="Arial"/>
        </w:rPr>
        <w:t>Fig. 18: Ani’s Judgement, Papyrus Ani © Trustees of the British Museum, 2017, London</w:t>
      </w:r>
    </w:p>
    <w:p w:rsidR="00FA6783" w:rsidRPr="00FA6783" w:rsidRDefault="00FA6783" w:rsidP="00FA6783">
      <w:pPr>
        <w:pStyle w:val="ListParagraph"/>
        <w:numPr>
          <w:ilvl w:val="0"/>
          <w:numId w:val="3"/>
        </w:numPr>
        <w:spacing w:line="480" w:lineRule="auto"/>
        <w:rPr>
          <w:rFonts w:ascii="Arial" w:hAnsi="Arial" w:cs="Arial"/>
        </w:rPr>
        <w:sectPr w:rsidR="00FA6783" w:rsidRPr="00FA6783" w:rsidSect="008979C9">
          <w:footerReference w:type="default" r:id="rId14"/>
          <w:pgSz w:w="11906" w:h="16838"/>
          <w:pgMar w:top="1440" w:right="1701" w:bottom="1440" w:left="2268" w:header="708" w:footer="708" w:gutter="0"/>
          <w:pgNumType w:start="1"/>
          <w:cols w:space="708"/>
          <w:docGrid w:linePitch="360"/>
        </w:sectPr>
      </w:pPr>
      <w:r w:rsidRPr="00A66E51">
        <w:rPr>
          <w:rFonts w:ascii="Arial" w:hAnsi="Arial" w:cs="Arial"/>
        </w:rPr>
        <w:t>Fig. 19: Geb, Nut, Shu, Greenfiled Papyrus © Trustees of the British Museum, 1995, London</w:t>
      </w:r>
    </w:p>
    <w:p w:rsidR="00ED49BC" w:rsidRDefault="00ED49BC" w:rsidP="00F45F86">
      <w:pPr>
        <w:rPr>
          <w:rFonts w:ascii="Arial" w:hAnsi="Arial" w:cs="Arial"/>
          <w:b/>
        </w:rPr>
      </w:pPr>
      <w:r>
        <w:rPr>
          <w:rFonts w:ascii="Arial" w:hAnsi="Arial" w:cs="Arial"/>
          <w:b/>
        </w:rPr>
        <w:lastRenderedPageBreak/>
        <w:t>Abstract</w:t>
      </w:r>
    </w:p>
    <w:p w:rsidR="008979C9" w:rsidRDefault="00BC0A96" w:rsidP="00ED49BC">
      <w:pPr>
        <w:spacing w:line="480" w:lineRule="auto"/>
        <w:rPr>
          <w:rFonts w:ascii="Arial" w:hAnsi="Arial" w:cs="Arial"/>
        </w:rPr>
        <w:sectPr w:rsidR="008979C9" w:rsidSect="008979C9">
          <w:footerReference w:type="default" r:id="rId15"/>
          <w:pgSz w:w="11906" w:h="16838"/>
          <w:pgMar w:top="1440" w:right="1701" w:bottom="1440" w:left="2268" w:header="708" w:footer="708" w:gutter="0"/>
          <w:pgNumType w:start="1"/>
          <w:cols w:space="708"/>
          <w:docGrid w:linePitch="360"/>
        </w:sectPr>
      </w:pPr>
      <w:r>
        <w:rPr>
          <w:rFonts w:ascii="Arial" w:hAnsi="Arial" w:cs="Arial"/>
        </w:rPr>
        <w:t xml:space="preserve">This research encapsulates the learning about the lives of women in Ancient Egypt, relating it to the lives that women have lived in modern history. </w:t>
      </w:r>
      <w:r w:rsidR="00A975CF">
        <w:rPr>
          <w:rFonts w:ascii="Arial" w:hAnsi="Arial" w:cs="Arial"/>
        </w:rPr>
        <w:t>T</w:t>
      </w:r>
      <w:r w:rsidR="00825E31">
        <w:rPr>
          <w:rFonts w:ascii="Arial" w:hAnsi="Arial" w:cs="Arial"/>
        </w:rPr>
        <w:t>hough this area is rather under</w:t>
      </w:r>
      <w:r w:rsidR="00A975CF">
        <w:rPr>
          <w:rFonts w:ascii="Arial" w:hAnsi="Arial" w:cs="Arial"/>
        </w:rPr>
        <w:t xml:space="preserve">studied in the realm of Egyptology, there is research being undertaken and the aim is to change the interpretation of this research. </w:t>
      </w:r>
      <w:r>
        <w:rPr>
          <w:rFonts w:ascii="Arial" w:hAnsi="Arial" w:cs="Arial"/>
        </w:rPr>
        <w:t>The goal of this dissertation is to argue that for the status of an ancient civilisation, the women in Ancient Egypt were able to live a fairly enlightened life in comparison to the live</w:t>
      </w:r>
      <w:r w:rsidR="00D35B58">
        <w:rPr>
          <w:rFonts w:ascii="Arial" w:hAnsi="Arial" w:cs="Arial"/>
        </w:rPr>
        <w:t xml:space="preserve">s of women from the present day; </w:t>
      </w:r>
      <w:r>
        <w:rPr>
          <w:rFonts w:ascii="Arial" w:hAnsi="Arial" w:cs="Arial"/>
        </w:rPr>
        <w:t>to around one hundred years in the past. This has been done by looking at examples of women from the ancient Egyptian archaeological record (Including literary papyri sources and material culture</w:t>
      </w:r>
      <w:r w:rsidR="00CD69B5">
        <w:rPr>
          <w:rFonts w:ascii="Arial" w:hAnsi="Arial" w:cs="Arial"/>
        </w:rPr>
        <w:t xml:space="preserve">, as well as secondary sources from authors specialising in the field of </w:t>
      </w:r>
      <w:r w:rsidR="005B2525">
        <w:rPr>
          <w:rFonts w:ascii="Arial" w:hAnsi="Arial" w:cs="Arial"/>
        </w:rPr>
        <w:t>Egyptology</w:t>
      </w:r>
      <w:r>
        <w:rPr>
          <w:rFonts w:ascii="Arial" w:hAnsi="Arial" w:cs="Arial"/>
        </w:rPr>
        <w:t xml:space="preserve">) </w:t>
      </w:r>
      <w:r w:rsidR="00D35B58">
        <w:rPr>
          <w:rFonts w:ascii="Arial" w:hAnsi="Arial" w:cs="Arial"/>
        </w:rPr>
        <w:t xml:space="preserve">and comparing them with </w:t>
      </w:r>
      <w:r>
        <w:rPr>
          <w:rFonts w:ascii="Arial" w:hAnsi="Arial" w:cs="Arial"/>
        </w:rPr>
        <w:t>modern statistics and data gather</w:t>
      </w:r>
      <w:r w:rsidR="00842C24">
        <w:rPr>
          <w:rFonts w:ascii="Arial" w:hAnsi="Arial" w:cs="Arial"/>
        </w:rPr>
        <w:t>ed from global NGOs, charities,</w:t>
      </w:r>
      <w:r>
        <w:rPr>
          <w:rFonts w:ascii="Arial" w:hAnsi="Arial" w:cs="Arial"/>
        </w:rPr>
        <w:t xml:space="preserve"> government records</w:t>
      </w:r>
      <w:r w:rsidR="00842C24">
        <w:rPr>
          <w:rFonts w:ascii="Arial" w:hAnsi="Arial" w:cs="Arial"/>
        </w:rPr>
        <w:t xml:space="preserve"> and </w:t>
      </w:r>
      <w:r w:rsidR="00724EC8">
        <w:rPr>
          <w:rFonts w:ascii="Arial" w:hAnsi="Arial" w:cs="Arial"/>
        </w:rPr>
        <w:t>first-hand</w:t>
      </w:r>
      <w:r w:rsidR="00842C24">
        <w:rPr>
          <w:rFonts w:ascii="Arial" w:hAnsi="Arial" w:cs="Arial"/>
        </w:rPr>
        <w:t xml:space="preserve"> accounts</w:t>
      </w:r>
      <w:r>
        <w:rPr>
          <w:rFonts w:ascii="Arial" w:hAnsi="Arial" w:cs="Arial"/>
        </w:rPr>
        <w:t xml:space="preserve">. Some of the ancient sources include stories of how women have been recorded to own land </w:t>
      </w:r>
      <w:r w:rsidR="00D35B58">
        <w:rPr>
          <w:rFonts w:ascii="Arial" w:hAnsi="Arial" w:cs="Arial"/>
        </w:rPr>
        <w:t>(</w:t>
      </w:r>
      <w:r>
        <w:rPr>
          <w:rFonts w:ascii="Arial" w:hAnsi="Arial" w:cs="Arial"/>
        </w:rPr>
        <w:t>Wilbour Papyrus</w:t>
      </w:r>
      <w:r w:rsidR="00D35B58">
        <w:rPr>
          <w:rFonts w:ascii="Arial" w:hAnsi="Arial" w:cs="Arial"/>
        </w:rPr>
        <w:t xml:space="preserve">), and how women were treated by their husbands (Ostracon Nash 5). More modern sources are comprised of UK pay inequality data (Office for National Statistics) and statistics of women in power globally (United Nations Women). When looking at sources such as these, it is easy to compare the lives of two very distant groups of women and show that they may not be as distant as one may be quick to assume. Through assessing the gender (in)equality that both modern and ancient women endure, I hope to highlight the importance of giving an ancient civilisation a new </w:t>
      </w:r>
    </w:p>
    <w:p w:rsidR="008979C9" w:rsidRDefault="00D35B58" w:rsidP="00ED49BC">
      <w:pPr>
        <w:spacing w:line="480" w:lineRule="auto"/>
        <w:rPr>
          <w:rFonts w:ascii="Arial" w:hAnsi="Arial" w:cs="Arial"/>
        </w:rPr>
      </w:pPr>
      <w:r>
        <w:rPr>
          <w:rFonts w:ascii="Arial" w:hAnsi="Arial" w:cs="Arial"/>
        </w:rPr>
        <w:lastRenderedPageBreak/>
        <w:t>interpretation, and to show how the lives of modern women over the glob</w:t>
      </w:r>
      <w:r w:rsidR="000858FF">
        <w:rPr>
          <w:rFonts w:ascii="Arial" w:hAnsi="Arial" w:cs="Arial"/>
        </w:rPr>
        <w:t>e have the capacity to improve.</w:t>
      </w:r>
    </w:p>
    <w:p w:rsidR="008979C9" w:rsidRPr="008979C9" w:rsidRDefault="008979C9" w:rsidP="008979C9">
      <w:pPr>
        <w:rPr>
          <w:rFonts w:ascii="Arial" w:hAnsi="Arial" w:cs="Arial"/>
        </w:rPr>
      </w:pPr>
    </w:p>
    <w:p w:rsidR="008979C9" w:rsidRPr="008979C9" w:rsidRDefault="008979C9" w:rsidP="008979C9">
      <w:pPr>
        <w:rPr>
          <w:rFonts w:ascii="Arial" w:hAnsi="Arial" w:cs="Arial"/>
        </w:rPr>
      </w:pPr>
    </w:p>
    <w:p w:rsidR="008979C9" w:rsidRPr="008979C9" w:rsidRDefault="008979C9" w:rsidP="008979C9">
      <w:pPr>
        <w:rPr>
          <w:rFonts w:ascii="Arial" w:hAnsi="Arial" w:cs="Arial"/>
        </w:rPr>
      </w:pPr>
    </w:p>
    <w:p w:rsidR="008979C9" w:rsidRPr="008979C9" w:rsidRDefault="008979C9" w:rsidP="008979C9">
      <w:pPr>
        <w:rPr>
          <w:rFonts w:ascii="Arial" w:hAnsi="Arial" w:cs="Arial"/>
        </w:rPr>
      </w:pPr>
    </w:p>
    <w:p w:rsidR="008979C9" w:rsidRDefault="008979C9" w:rsidP="008979C9">
      <w:pPr>
        <w:rPr>
          <w:rFonts w:ascii="Arial" w:hAnsi="Arial" w:cs="Arial"/>
        </w:rPr>
      </w:pPr>
    </w:p>
    <w:p w:rsidR="008979C9" w:rsidRDefault="008979C9" w:rsidP="008979C9">
      <w:pPr>
        <w:jc w:val="right"/>
        <w:rPr>
          <w:rFonts w:ascii="Arial" w:hAnsi="Arial" w:cs="Arial"/>
        </w:rPr>
      </w:pPr>
    </w:p>
    <w:p w:rsidR="008979C9" w:rsidRDefault="008979C9" w:rsidP="008979C9">
      <w:pPr>
        <w:rPr>
          <w:rFonts w:ascii="Arial" w:hAnsi="Arial" w:cs="Arial"/>
        </w:rPr>
      </w:pPr>
    </w:p>
    <w:p w:rsidR="000858FF" w:rsidRPr="008979C9" w:rsidRDefault="000858FF" w:rsidP="008979C9">
      <w:pPr>
        <w:rPr>
          <w:rFonts w:ascii="Arial" w:hAnsi="Arial" w:cs="Arial"/>
        </w:rPr>
        <w:sectPr w:rsidR="000858FF" w:rsidRPr="008979C9" w:rsidSect="008979C9">
          <w:footerReference w:type="default" r:id="rId16"/>
          <w:pgSz w:w="11906" w:h="16838"/>
          <w:pgMar w:top="1440" w:right="1701" w:bottom="1440" w:left="2268" w:header="708" w:footer="708" w:gutter="0"/>
          <w:pgNumType w:start="1"/>
          <w:cols w:space="708"/>
          <w:docGrid w:linePitch="360"/>
        </w:sectPr>
      </w:pPr>
    </w:p>
    <w:p w:rsidR="00896E7B" w:rsidRDefault="003E50FA" w:rsidP="00ED49BC">
      <w:pPr>
        <w:spacing w:line="480" w:lineRule="auto"/>
        <w:rPr>
          <w:rFonts w:ascii="Arial" w:hAnsi="Arial" w:cs="Arial"/>
          <w:b/>
        </w:rPr>
      </w:pPr>
      <w:r>
        <w:rPr>
          <w:rFonts w:ascii="Arial" w:hAnsi="Arial" w:cs="Arial"/>
          <w:b/>
        </w:rPr>
        <w:lastRenderedPageBreak/>
        <w:t xml:space="preserve">Introduction </w:t>
      </w:r>
    </w:p>
    <w:p w:rsidR="003E50FA" w:rsidRDefault="003E50FA" w:rsidP="00ED49BC">
      <w:pPr>
        <w:spacing w:line="480" w:lineRule="auto"/>
        <w:rPr>
          <w:rFonts w:ascii="Arial" w:hAnsi="Arial" w:cs="Arial"/>
        </w:rPr>
      </w:pPr>
      <w:r>
        <w:rPr>
          <w:rFonts w:ascii="Arial" w:hAnsi="Arial" w:cs="Arial"/>
        </w:rPr>
        <w:t>This dissertation aims to create the argument tha</w:t>
      </w:r>
      <w:r w:rsidR="007F3B06">
        <w:rPr>
          <w:rFonts w:ascii="Arial" w:hAnsi="Arial" w:cs="Arial"/>
        </w:rPr>
        <w:t>t women in Ancient Egypt were not</w:t>
      </w:r>
      <w:r>
        <w:rPr>
          <w:rFonts w:ascii="Arial" w:hAnsi="Arial" w:cs="Arial"/>
        </w:rPr>
        <w:t xml:space="preserve"> as unprivileged as a casual reader might assume them to be. Using data gathered from ancient literary papyri, texts, material culture, and secondary sources based in the realm of Egyptology</w:t>
      </w:r>
      <w:r w:rsidR="00CD69B5">
        <w:rPr>
          <w:rFonts w:ascii="Arial" w:hAnsi="Arial" w:cs="Arial"/>
        </w:rPr>
        <w:t>;</w:t>
      </w:r>
      <w:r>
        <w:rPr>
          <w:rFonts w:ascii="Arial" w:hAnsi="Arial" w:cs="Arial"/>
        </w:rPr>
        <w:t xml:space="preserve"> I aim to construct a comprehensive view of the lives of women throughout pharaonic history. This data will be compared against modern statistics of the lives of women in recent history (The present day – c.150 years ago) and information from the realms of gender studies, to create a fluid comparison throughout my research. To construct this comparison, ancient Egyptian women’s history will be gathered under headings of different themes (most of them listed in the title of this dissertation). Once this information has been gathered for each topic, I aim to use modern sources and data to compare the lives of two massively different groups of women</w:t>
      </w:r>
      <w:r w:rsidR="006A4C73">
        <w:rPr>
          <w:rFonts w:ascii="Arial" w:hAnsi="Arial" w:cs="Arial"/>
        </w:rPr>
        <w:t>. The conclusion will be</w:t>
      </w:r>
      <w:r>
        <w:rPr>
          <w:rFonts w:ascii="Arial" w:hAnsi="Arial" w:cs="Arial"/>
        </w:rPr>
        <w:t xml:space="preserve"> that for each category of women, the lives are either better in Ancient Egypt, or can be considered to be on a similar level to somewhere in the world in modern history. </w:t>
      </w:r>
      <w:r w:rsidR="00A975CF">
        <w:rPr>
          <w:rFonts w:ascii="Arial" w:hAnsi="Arial" w:cs="Arial"/>
        </w:rPr>
        <w:t xml:space="preserve">Yet, when this interpretation has been made it has to be taken with a pinch of salt, as the way in which we view the world today will be vastly different </w:t>
      </w:r>
      <w:r w:rsidR="00AF52E0">
        <w:rPr>
          <w:rFonts w:ascii="Arial" w:hAnsi="Arial" w:cs="Arial"/>
        </w:rPr>
        <w:t xml:space="preserve">than </w:t>
      </w:r>
      <w:r w:rsidR="00A975CF">
        <w:rPr>
          <w:rFonts w:ascii="Arial" w:hAnsi="Arial" w:cs="Arial"/>
        </w:rPr>
        <w:t xml:space="preserve">the </w:t>
      </w:r>
      <w:r w:rsidR="00825E31">
        <w:rPr>
          <w:rFonts w:ascii="Arial" w:hAnsi="Arial" w:cs="Arial"/>
        </w:rPr>
        <w:t>lens</w:t>
      </w:r>
      <w:r w:rsidR="00A975CF">
        <w:rPr>
          <w:rFonts w:ascii="Arial" w:hAnsi="Arial" w:cs="Arial"/>
        </w:rPr>
        <w:t xml:space="preserve"> that viewed the world of Ancient Egypt thousands of years ago. </w:t>
      </w:r>
      <w:r>
        <w:rPr>
          <w:rFonts w:ascii="Arial" w:hAnsi="Arial" w:cs="Arial"/>
        </w:rPr>
        <w:t xml:space="preserve">Though this is a rather large task and with the constraints faced in a 10,000 word dissertation, I hope to at least start the thought process that my argument is developing, and to persuade readers that the lives of women in the ancient world are not always the way that they may assume. </w:t>
      </w:r>
    </w:p>
    <w:p w:rsidR="00715C26" w:rsidRPr="00FC6B6E" w:rsidRDefault="0075037D" w:rsidP="00ED49BC">
      <w:pPr>
        <w:spacing w:line="480" w:lineRule="auto"/>
        <w:rPr>
          <w:rFonts w:ascii="Arial" w:hAnsi="Arial" w:cs="Arial"/>
          <w:b/>
        </w:rPr>
      </w:pPr>
      <w:r w:rsidRPr="00575D4D">
        <w:rPr>
          <w:rFonts w:ascii="Arial" w:hAnsi="Arial" w:cs="Arial"/>
          <w:noProof/>
          <w:lang w:eastAsia="en-GB"/>
        </w:rPr>
        <w:lastRenderedPageBreak/>
        <mc:AlternateContent>
          <mc:Choice Requires="wps">
            <w:drawing>
              <wp:anchor distT="45720" distB="45720" distL="114300" distR="114300" simplePos="0" relativeHeight="251667456" behindDoc="0" locked="0" layoutInCell="1" allowOverlap="1" wp14:anchorId="4527CB6E" wp14:editId="22B404FE">
                <wp:simplePos x="0" y="0"/>
                <wp:positionH relativeFrom="column">
                  <wp:posOffset>2867025</wp:posOffset>
                </wp:positionH>
                <wp:positionV relativeFrom="page">
                  <wp:posOffset>3600450</wp:posOffset>
                </wp:positionV>
                <wp:extent cx="2044065" cy="1066800"/>
                <wp:effectExtent l="0" t="0" r="1333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065" cy="1066800"/>
                        </a:xfrm>
                        <a:prstGeom prst="rect">
                          <a:avLst/>
                        </a:prstGeom>
                        <a:solidFill>
                          <a:srgbClr val="FFFFFF"/>
                        </a:solidFill>
                        <a:ln w="9525">
                          <a:solidFill>
                            <a:srgbClr val="000000"/>
                          </a:solidFill>
                          <a:miter lim="800000"/>
                          <a:headEnd/>
                          <a:tailEnd/>
                        </a:ln>
                      </wps:spPr>
                      <wps:txbx>
                        <w:txbxContent>
                          <w:p w:rsidR="00FB2511" w:rsidRPr="00575D4D" w:rsidRDefault="00FB2511" w:rsidP="00732718">
                            <w:pPr>
                              <w:jc w:val="center"/>
                              <w:rPr>
                                <w:rFonts w:ascii="Arial" w:hAnsi="Arial" w:cs="Arial"/>
                              </w:rPr>
                            </w:pPr>
                            <w:r>
                              <w:rPr>
                                <w:rFonts w:ascii="Arial" w:hAnsi="Arial" w:cs="Arial"/>
                              </w:rPr>
                              <w:t>Fig. 1: Princess Sobeknakht Suckling a Prince, © Brooklyn Museum, Charles Edwin Wilbour Fund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7CB6E" id="Text Box 2" o:spid="_x0000_s1027" type="#_x0000_t202" style="position:absolute;margin-left:225.75pt;margin-top:283.5pt;width:160.95pt;height:8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">
                <v:textbox>
                  <w:txbxContent>
                    <w:p w:rsidR="00FB2511" w:rsidRPr="00575D4D" w:rsidRDefault="00FB2511" w:rsidP="00732718">
                      <w:pPr>
                        <w:jc w:val="center"/>
                        <w:rPr>
                          <w:rFonts w:ascii="Arial" w:hAnsi="Arial" w:cs="Arial"/>
                        </w:rPr>
                      </w:pPr>
                      <w:r>
                        <w:rPr>
                          <w:rFonts w:ascii="Arial" w:hAnsi="Arial" w:cs="Arial"/>
                        </w:rPr>
                        <w:t>Fig. 1: Princess Sobeknakht Suckling a Prince, © Brooklyn Museum, Charles Edwin Wilbour Fund</w:t>
                      </w:r>
                    </w:p>
                  </w:txbxContent>
                </v:textbox>
                <w10:wrap type="square" anchory="page"/>
              </v:shape>
            </w:pict>
          </mc:Fallback>
        </mc:AlternateContent>
      </w:r>
      <w:r>
        <w:rPr>
          <w:noProof/>
          <w:lang w:eastAsia="en-GB"/>
        </w:rPr>
        <w:drawing>
          <wp:anchor distT="0" distB="0" distL="114300" distR="114300" simplePos="0" relativeHeight="251665408" behindDoc="0" locked="0" layoutInCell="1" allowOverlap="1">
            <wp:simplePos x="0" y="0"/>
            <wp:positionH relativeFrom="column">
              <wp:posOffset>2867025</wp:posOffset>
            </wp:positionH>
            <wp:positionV relativeFrom="page">
              <wp:posOffset>914400</wp:posOffset>
            </wp:positionV>
            <wp:extent cx="2044065" cy="2625725"/>
            <wp:effectExtent l="0" t="0" r="0" b="3175"/>
            <wp:wrapSquare wrapText="bothSides"/>
            <wp:docPr id="6" name="Picture 6" descr=" &lt;em&gt;Princess Sobeknakht Suckling a Prince&lt;/em&gt;, ca. 1700-after 1630 B.C.E. Copper alloy, 4 x 2 3/4 x 3 1/4 in. (10.2 x 7 x 8.3 cm). Brooklyn Museum, Charles Edwin Wilbour Fund, 43.137. Creative Commons-BY (Photo: Brooklyn Museum, 43.137_S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lt;em&gt;Princess Sobeknakht Suckling a Prince&lt;/em&gt;, ca. 1700-after 1630 B.C.E. Copper alloy, 4 x 2 3/4 x 3 1/4 in. (10.2 x 7 x 8.3 cm). Brooklyn Museum, Charles Edwin Wilbour Fund, 43.137. Creative Commons-BY (Photo: Brooklyn Museum, 43.137_SL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44065" cy="2625725"/>
                    </a:xfrm>
                    <a:prstGeom prst="rect">
                      <a:avLst/>
                    </a:prstGeom>
                    <a:noFill/>
                    <a:ln>
                      <a:noFill/>
                    </a:ln>
                  </pic:spPr>
                </pic:pic>
              </a:graphicData>
            </a:graphic>
            <wp14:sizeRelH relativeFrom="page">
              <wp14:pctWidth>0</wp14:pctWidth>
            </wp14:sizeRelH>
            <wp14:sizeRelV relativeFrom="page">
              <wp14:pctHeight>0</wp14:pctHeight>
            </wp14:sizeRelV>
          </wp:anchor>
        </w:drawing>
      </w:r>
      <w:r w:rsidR="0050177C">
        <w:rPr>
          <w:rFonts w:ascii="Arial" w:hAnsi="Arial" w:cs="Arial"/>
          <w:b/>
        </w:rPr>
        <w:t xml:space="preserve">Mistress of the House </w:t>
      </w:r>
      <w:r w:rsidR="00FC6B6E">
        <w:rPr>
          <w:rFonts w:ascii="Arial" w:hAnsi="Arial" w:cs="Arial"/>
          <w:b/>
        </w:rPr>
        <w:br/>
      </w:r>
      <w:r w:rsidR="00A975CF">
        <w:rPr>
          <w:rFonts w:ascii="Arial" w:hAnsi="Arial" w:cs="Arial"/>
        </w:rPr>
        <w:t xml:space="preserve">In the world of Ancient Egypt, the </w:t>
      </w:r>
      <w:r w:rsidR="00A975CF">
        <w:rPr>
          <w:rFonts w:ascii="Arial" w:hAnsi="Arial" w:cs="Arial"/>
          <w:i/>
        </w:rPr>
        <w:t>Mistress of the House</w:t>
      </w:r>
      <w:r w:rsidR="0050177C">
        <w:rPr>
          <w:rStyle w:val="FootnoteReference"/>
          <w:rFonts w:ascii="Arial" w:hAnsi="Arial" w:cs="Arial"/>
          <w:i/>
        </w:rPr>
        <w:footnoteReference w:id="1"/>
      </w:r>
      <w:r w:rsidR="00A975CF">
        <w:rPr>
          <w:rFonts w:ascii="Arial" w:hAnsi="Arial" w:cs="Arial"/>
          <w:i/>
        </w:rPr>
        <w:t xml:space="preserve"> </w:t>
      </w:r>
      <w:r w:rsidR="00825E31">
        <w:rPr>
          <w:rFonts w:ascii="Arial" w:hAnsi="Arial" w:cs="Arial"/>
        </w:rPr>
        <w:t>was</w:t>
      </w:r>
      <w:r w:rsidR="00A975CF">
        <w:rPr>
          <w:rFonts w:ascii="Arial" w:hAnsi="Arial" w:cs="Arial"/>
        </w:rPr>
        <w:t xml:space="preserve"> a woman with a considerable amount of power over the household and the family.</w:t>
      </w:r>
      <w:r w:rsidR="0050177C">
        <w:rPr>
          <w:rFonts w:ascii="Arial" w:hAnsi="Arial" w:cs="Arial"/>
        </w:rPr>
        <w:t xml:space="preserve"> This </w:t>
      </w:r>
      <w:r w:rsidR="00A975CF">
        <w:rPr>
          <w:rFonts w:ascii="Arial" w:hAnsi="Arial" w:cs="Arial"/>
        </w:rPr>
        <w:t xml:space="preserve">position </w:t>
      </w:r>
      <w:r w:rsidR="0050177C">
        <w:rPr>
          <w:rFonts w:ascii="Arial" w:hAnsi="Arial" w:cs="Arial"/>
        </w:rPr>
        <w:t xml:space="preserve">was seen to be the goal </w:t>
      </w:r>
      <w:r w:rsidR="00AF52E0">
        <w:rPr>
          <w:rFonts w:ascii="Arial" w:hAnsi="Arial" w:cs="Arial"/>
        </w:rPr>
        <w:t>for most women in ancient Egypt. D</w:t>
      </w:r>
      <w:r w:rsidR="00CB04D4">
        <w:rPr>
          <w:rFonts w:ascii="Arial" w:hAnsi="Arial" w:cs="Arial"/>
        </w:rPr>
        <w:t>aughters</w:t>
      </w:r>
      <w:r w:rsidR="003B3664">
        <w:rPr>
          <w:rFonts w:ascii="Arial" w:hAnsi="Arial" w:cs="Arial"/>
        </w:rPr>
        <w:t xml:space="preserve"> were raised to</w:t>
      </w:r>
      <w:r w:rsidR="003B3664">
        <w:rPr>
          <w:rStyle w:val="FootnoteReference"/>
          <w:rFonts w:ascii="Arial" w:hAnsi="Arial" w:cs="Arial"/>
        </w:rPr>
        <w:footnoteReference w:id="2"/>
      </w:r>
      <w:r w:rsidR="00CB04D4">
        <w:rPr>
          <w:rFonts w:ascii="Arial" w:hAnsi="Arial" w:cs="Arial"/>
        </w:rPr>
        <w:t xml:space="preserve"> </w:t>
      </w:r>
      <w:r w:rsidR="003B3664">
        <w:rPr>
          <w:rFonts w:ascii="Arial" w:hAnsi="Arial" w:cs="Arial"/>
        </w:rPr>
        <w:t xml:space="preserve">and </w:t>
      </w:r>
      <w:r w:rsidR="00CB04D4">
        <w:rPr>
          <w:rFonts w:ascii="Arial" w:hAnsi="Arial" w:cs="Arial"/>
        </w:rPr>
        <w:t>wanted</w:t>
      </w:r>
      <w:r w:rsidR="003B3664">
        <w:rPr>
          <w:rFonts w:ascii="Arial" w:hAnsi="Arial" w:cs="Arial"/>
        </w:rPr>
        <w:t xml:space="preserve"> </w:t>
      </w:r>
      <w:r w:rsidR="00CB04D4">
        <w:rPr>
          <w:rFonts w:ascii="Arial" w:hAnsi="Arial" w:cs="Arial"/>
        </w:rPr>
        <w:t>to lead lives similar to that of their mothers</w:t>
      </w:r>
      <w:r w:rsidR="003B3664">
        <w:rPr>
          <w:rFonts w:ascii="Arial" w:hAnsi="Arial" w:cs="Arial"/>
        </w:rPr>
        <w:t>,</w:t>
      </w:r>
      <w:r w:rsidR="00CB04D4">
        <w:rPr>
          <w:rStyle w:val="FootnoteReference"/>
          <w:rFonts w:ascii="Arial" w:hAnsi="Arial" w:cs="Arial"/>
        </w:rPr>
        <w:footnoteReference w:id="3"/>
      </w:r>
      <w:r w:rsidR="00CB04D4">
        <w:rPr>
          <w:rFonts w:ascii="Arial" w:hAnsi="Arial" w:cs="Arial"/>
        </w:rPr>
        <w:t xml:space="preserve"> </w:t>
      </w:r>
      <w:r w:rsidR="00AF52E0">
        <w:rPr>
          <w:rFonts w:ascii="Arial" w:hAnsi="Arial" w:cs="Arial"/>
        </w:rPr>
        <w:t xml:space="preserve">and this </w:t>
      </w:r>
      <w:r w:rsidR="0050177C">
        <w:rPr>
          <w:rFonts w:ascii="Arial" w:hAnsi="Arial" w:cs="Arial"/>
        </w:rPr>
        <w:t xml:space="preserve">was </w:t>
      </w:r>
      <w:r w:rsidR="00AF52E0">
        <w:rPr>
          <w:rFonts w:ascii="Arial" w:hAnsi="Arial" w:cs="Arial"/>
        </w:rPr>
        <w:t xml:space="preserve">also </w:t>
      </w:r>
      <w:r w:rsidR="0050177C">
        <w:rPr>
          <w:rFonts w:ascii="Arial" w:hAnsi="Arial" w:cs="Arial"/>
        </w:rPr>
        <w:t>expected of them</w:t>
      </w:r>
      <w:r w:rsidR="00CB04D4">
        <w:rPr>
          <w:rFonts w:ascii="Arial" w:hAnsi="Arial" w:cs="Arial"/>
        </w:rPr>
        <w:t>.</w:t>
      </w:r>
      <w:r w:rsidR="0050177C">
        <w:rPr>
          <w:rStyle w:val="FootnoteReference"/>
          <w:rFonts w:ascii="Arial" w:hAnsi="Arial" w:cs="Arial"/>
        </w:rPr>
        <w:footnoteReference w:id="4"/>
      </w:r>
      <w:r w:rsidR="00CB04D4">
        <w:rPr>
          <w:rFonts w:ascii="Arial" w:hAnsi="Arial" w:cs="Arial"/>
        </w:rPr>
        <w:t xml:space="preserve"> This continuity was often interpreted a</w:t>
      </w:r>
      <w:r w:rsidR="00AF52E0">
        <w:rPr>
          <w:rFonts w:ascii="Arial" w:hAnsi="Arial" w:cs="Arial"/>
        </w:rPr>
        <w:t>s a</w:t>
      </w:r>
      <w:r w:rsidR="00CB04D4">
        <w:rPr>
          <w:rFonts w:ascii="Arial" w:hAnsi="Arial" w:cs="Arial"/>
        </w:rPr>
        <w:t xml:space="preserve"> sign that cycles were continuing and the world was working as it should.</w:t>
      </w:r>
      <w:r w:rsidR="00CB04D4">
        <w:rPr>
          <w:rStyle w:val="FootnoteReference"/>
          <w:rFonts w:ascii="Arial" w:hAnsi="Arial" w:cs="Arial"/>
        </w:rPr>
        <w:footnoteReference w:id="5"/>
      </w:r>
      <w:r w:rsidR="00CB04D4">
        <w:rPr>
          <w:rFonts w:ascii="Arial" w:hAnsi="Arial" w:cs="Arial"/>
        </w:rPr>
        <w:t xml:space="preserve"> </w:t>
      </w:r>
      <w:r w:rsidR="0050177C">
        <w:rPr>
          <w:rFonts w:ascii="Arial" w:hAnsi="Arial" w:cs="Arial"/>
        </w:rPr>
        <w:t xml:space="preserve"> Marrying a man was usually the only way that women were able to move through the economic classes,</w:t>
      </w:r>
      <w:r w:rsidR="0050177C">
        <w:rPr>
          <w:rStyle w:val="FootnoteReference"/>
          <w:rFonts w:ascii="Arial" w:hAnsi="Arial" w:cs="Arial"/>
        </w:rPr>
        <w:footnoteReference w:id="6"/>
      </w:r>
      <w:r w:rsidR="00CB04D4">
        <w:rPr>
          <w:rFonts w:ascii="Arial" w:hAnsi="Arial" w:cs="Arial"/>
        </w:rPr>
        <w:t xml:space="preserve"> often being identified by the titles of their husband (previously their father before marriage) as this is where they derived their social status.</w:t>
      </w:r>
      <w:r w:rsidR="00CB04D4">
        <w:rPr>
          <w:rStyle w:val="FootnoteReference"/>
          <w:rFonts w:ascii="Arial" w:hAnsi="Arial" w:cs="Arial"/>
        </w:rPr>
        <w:footnoteReference w:id="7"/>
      </w:r>
      <w:r w:rsidR="00CB04D4">
        <w:rPr>
          <w:rFonts w:ascii="Arial" w:hAnsi="Arial" w:cs="Arial"/>
        </w:rPr>
        <w:t xml:space="preserve"> I</w:t>
      </w:r>
      <w:r w:rsidR="003B3664">
        <w:rPr>
          <w:rFonts w:ascii="Arial" w:hAnsi="Arial" w:cs="Arial"/>
        </w:rPr>
        <w:t>t was at the</w:t>
      </w:r>
      <w:r w:rsidR="0050177C">
        <w:rPr>
          <w:rFonts w:ascii="Arial" w:hAnsi="Arial" w:cs="Arial"/>
        </w:rPr>
        <w:t xml:space="preserve"> point</w:t>
      </w:r>
      <w:r w:rsidR="003B3664">
        <w:rPr>
          <w:rFonts w:ascii="Arial" w:hAnsi="Arial" w:cs="Arial"/>
        </w:rPr>
        <w:t xml:space="preserve"> of marriage</w:t>
      </w:r>
      <w:r w:rsidR="0050177C">
        <w:rPr>
          <w:rFonts w:ascii="Arial" w:hAnsi="Arial" w:cs="Arial"/>
        </w:rPr>
        <w:t xml:space="preserve"> that a girl could become a </w:t>
      </w:r>
      <w:r w:rsidR="00F35C02">
        <w:rPr>
          <w:rFonts w:ascii="Arial" w:hAnsi="Arial" w:cs="Arial"/>
        </w:rPr>
        <w:t>‘woman’</w:t>
      </w:r>
      <w:r w:rsidR="0050177C">
        <w:rPr>
          <w:rFonts w:ascii="Arial" w:hAnsi="Arial" w:cs="Arial"/>
        </w:rPr>
        <w:t>, even if she was married off incredibly young.</w:t>
      </w:r>
      <w:r w:rsidR="0050177C">
        <w:rPr>
          <w:rStyle w:val="FootnoteReference"/>
          <w:rFonts w:ascii="Arial" w:hAnsi="Arial" w:cs="Arial"/>
        </w:rPr>
        <w:footnoteReference w:id="8"/>
      </w:r>
      <w:r w:rsidR="00CB04D4">
        <w:rPr>
          <w:rFonts w:ascii="Arial" w:hAnsi="Arial" w:cs="Arial"/>
        </w:rPr>
        <w:t xml:space="preserve"> Mothers were known to have been held in high regard</w:t>
      </w:r>
      <w:r w:rsidR="0040791E">
        <w:rPr>
          <w:rFonts w:ascii="Arial" w:hAnsi="Arial" w:cs="Arial"/>
        </w:rPr>
        <w:t>,</w:t>
      </w:r>
      <w:r w:rsidR="003B3664">
        <w:rPr>
          <w:rStyle w:val="FootnoteReference"/>
          <w:rFonts w:ascii="Arial" w:hAnsi="Arial" w:cs="Arial"/>
        </w:rPr>
        <w:footnoteReference w:id="9"/>
      </w:r>
      <w:r w:rsidR="00CB04D4">
        <w:rPr>
          <w:rFonts w:ascii="Arial" w:hAnsi="Arial" w:cs="Arial"/>
        </w:rPr>
        <w:t xml:space="preserve"> and </w:t>
      </w:r>
      <w:r w:rsidR="003B3664">
        <w:rPr>
          <w:rFonts w:ascii="Arial" w:hAnsi="Arial" w:cs="Arial"/>
        </w:rPr>
        <w:t>were</w:t>
      </w:r>
      <w:r w:rsidR="00CB04D4">
        <w:rPr>
          <w:rFonts w:ascii="Arial" w:hAnsi="Arial" w:cs="Arial"/>
        </w:rPr>
        <w:t xml:space="preserve"> given mythic value by the existence of mother deities such as Isis and Nut.</w:t>
      </w:r>
      <w:r w:rsidR="00CB04D4">
        <w:rPr>
          <w:rStyle w:val="FootnoteReference"/>
          <w:rFonts w:ascii="Arial" w:hAnsi="Arial" w:cs="Arial"/>
        </w:rPr>
        <w:footnoteReference w:id="10"/>
      </w:r>
      <w:r w:rsidR="0050177C">
        <w:rPr>
          <w:rFonts w:ascii="Arial" w:hAnsi="Arial" w:cs="Arial"/>
        </w:rPr>
        <w:t xml:space="preserve"> </w:t>
      </w:r>
      <w:r w:rsidR="003B3664">
        <w:rPr>
          <w:rFonts w:ascii="Arial" w:hAnsi="Arial" w:cs="Arial"/>
        </w:rPr>
        <w:t xml:space="preserve">Representations of all classes of women </w:t>
      </w:r>
      <w:r w:rsidR="003B3664">
        <w:rPr>
          <w:rFonts w:ascii="Arial" w:hAnsi="Arial" w:cs="Arial"/>
        </w:rPr>
        <w:lastRenderedPageBreak/>
        <w:t>have examples of the nurturing</w:t>
      </w:r>
      <w:r w:rsidR="00065840">
        <w:rPr>
          <w:rFonts w:ascii="Arial" w:hAnsi="Arial" w:cs="Arial"/>
        </w:rPr>
        <w:t xml:space="preserve"> role of the mother</w:t>
      </w:r>
      <w:r w:rsidR="003B3664">
        <w:rPr>
          <w:rStyle w:val="FootnoteReference"/>
          <w:rFonts w:ascii="Arial" w:hAnsi="Arial" w:cs="Arial"/>
        </w:rPr>
        <w:footnoteReference w:id="11"/>
      </w:r>
      <w:r w:rsidR="00065840">
        <w:rPr>
          <w:rFonts w:ascii="Arial" w:hAnsi="Arial" w:cs="Arial"/>
        </w:rPr>
        <w:t xml:space="preserve"> (See Fig.1).</w:t>
      </w:r>
      <w:r w:rsidR="003B3664">
        <w:rPr>
          <w:rFonts w:ascii="Arial" w:hAnsi="Arial" w:cs="Arial"/>
        </w:rPr>
        <w:t xml:space="preserve"> Even in the concept of an ideal queen, her main job was to bear the pharaoh a son who would one day take his place.</w:t>
      </w:r>
      <w:r w:rsidR="003B3664">
        <w:rPr>
          <w:rStyle w:val="FootnoteReference"/>
          <w:rFonts w:ascii="Arial" w:hAnsi="Arial" w:cs="Arial"/>
        </w:rPr>
        <w:footnoteReference w:id="12"/>
      </w:r>
      <w:r w:rsidR="003B3664">
        <w:rPr>
          <w:rFonts w:ascii="Arial" w:hAnsi="Arial" w:cs="Arial"/>
        </w:rPr>
        <w:t xml:space="preserve"> </w:t>
      </w:r>
      <w:r w:rsidR="00CB04D4">
        <w:rPr>
          <w:rFonts w:ascii="Arial" w:hAnsi="Arial" w:cs="Arial"/>
        </w:rPr>
        <w:t>Though the role of wife was one of incredible importance, marriage in ancient Egypt was completely private</w:t>
      </w:r>
      <w:r w:rsidR="00FC6B6E">
        <w:rPr>
          <w:rFonts w:ascii="Arial" w:hAnsi="Arial" w:cs="Arial"/>
        </w:rPr>
        <w:t xml:space="preserve"> </w:t>
      </w:r>
      <w:r w:rsidR="00CB04D4">
        <w:rPr>
          <w:rFonts w:ascii="Arial" w:hAnsi="Arial" w:cs="Arial"/>
        </w:rPr>
        <w:t>and the state did not intervene.</w:t>
      </w:r>
      <w:r w:rsidR="00CB04D4">
        <w:rPr>
          <w:rStyle w:val="FootnoteReference"/>
          <w:rFonts w:ascii="Arial" w:hAnsi="Arial" w:cs="Arial"/>
        </w:rPr>
        <w:footnoteReference w:id="13"/>
      </w:r>
      <w:r w:rsidR="003B3664">
        <w:rPr>
          <w:rFonts w:ascii="Arial" w:hAnsi="Arial" w:cs="Arial"/>
        </w:rPr>
        <w:t xml:space="preserve"> All marriage was, was a practical bond</w:t>
      </w:r>
      <w:r w:rsidR="003B3664">
        <w:rPr>
          <w:rStyle w:val="FootnoteReference"/>
          <w:rFonts w:ascii="Arial" w:hAnsi="Arial" w:cs="Arial"/>
        </w:rPr>
        <w:footnoteReference w:id="14"/>
      </w:r>
      <w:r w:rsidR="00CB04D4">
        <w:rPr>
          <w:rFonts w:ascii="Arial" w:hAnsi="Arial" w:cs="Arial"/>
        </w:rPr>
        <w:t xml:space="preserve"> between two people and their families.</w:t>
      </w:r>
      <w:r w:rsidR="00CB04D4">
        <w:rPr>
          <w:rStyle w:val="FootnoteReference"/>
          <w:rFonts w:ascii="Arial" w:hAnsi="Arial" w:cs="Arial"/>
        </w:rPr>
        <w:footnoteReference w:id="15"/>
      </w:r>
      <w:r w:rsidR="00715C26">
        <w:rPr>
          <w:rFonts w:ascii="Arial" w:hAnsi="Arial" w:cs="Arial"/>
        </w:rPr>
        <w:t xml:space="preserve"> </w:t>
      </w:r>
    </w:p>
    <w:p w:rsidR="004935EC" w:rsidRDefault="007F3B06" w:rsidP="00ED49BC">
      <w:pPr>
        <w:spacing w:line="480" w:lineRule="auto"/>
        <w:rPr>
          <w:rFonts w:ascii="Arial" w:hAnsi="Arial" w:cs="Arial"/>
        </w:rPr>
      </w:pPr>
      <w:r>
        <w:rPr>
          <w:rFonts w:ascii="Arial" w:hAnsi="Arial" w:cs="Arial"/>
        </w:rPr>
        <w:t>The fact that marriage was not</w:t>
      </w:r>
      <w:r w:rsidR="003B3664">
        <w:rPr>
          <w:rFonts w:ascii="Arial" w:hAnsi="Arial" w:cs="Arial"/>
        </w:rPr>
        <w:t xml:space="preserve"> recognised legally, made the divorce circumstances incredibly interesting</w:t>
      </w:r>
      <w:r w:rsidR="000D5AC4">
        <w:rPr>
          <w:rFonts w:ascii="Arial" w:hAnsi="Arial" w:cs="Arial"/>
        </w:rPr>
        <w:t xml:space="preserve">. </w:t>
      </w:r>
      <w:r w:rsidR="00715C26">
        <w:rPr>
          <w:rFonts w:ascii="Arial" w:hAnsi="Arial" w:cs="Arial"/>
        </w:rPr>
        <w:t>Women had the ability to divorce their husbands</w:t>
      </w:r>
      <w:r w:rsidR="00715C26">
        <w:rPr>
          <w:rStyle w:val="FootnoteReference"/>
          <w:rFonts w:ascii="Arial" w:hAnsi="Arial" w:cs="Arial"/>
        </w:rPr>
        <w:footnoteReference w:id="16"/>
      </w:r>
      <w:r w:rsidR="00715C26">
        <w:rPr>
          <w:rFonts w:ascii="Arial" w:hAnsi="Arial" w:cs="Arial"/>
        </w:rPr>
        <w:t xml:space="preserve"> (though it was still more common for a man to do so – the ratio of men initiating divorces to women</w:t>
      </w:r>
      <w:r w:rsidR="00825E31">
        <w:rPr>
          <w:rFonts w:ascii="Arial" w:hAnsi="Arial" w:cs="Arial"/>
        </w:rPr>
        <w:t xml:space="preserve"> in discovered</w:t>
      </w:r>
      <w:r w:rsidR="00C00BA0">
        <w:rPr>
          <w:rFonts w:ascii="Arial" w:hAnsi="Arial" w:cs="Arial"/>
        </w:rPr>
        <w:t xml:space="preserve"> sources</w:t>
      </w:r>
      <w:r w:rsidR="00715C26">
        <w:rPr>
          <w:rFonts w:ascii="Arial" w:hAnsi="Arial" w:cs="Arial"/>
        </w:rPr>
        <w:t xml:space="preserve"> </w:t>
      </w:r>
      <w:r w:rsidR="00AF52E0">
        <w:rPr>
          <w:rFonts w:ascii="Arial" w:hAnsi="Arial" w:cs="Arial"/>
        </w:rPr>
        <w:t xml:space="preserve">was found to be </w:t>
      </w:r>
      <w:r w:rsidR="00715C26">
        <w:rPr>
          <w:rFonts w:ascii="Arial" w:hAnsi="Arial" w:cs="Arial"/>
        </w:rPr>
        <w:t>12:3</w:t>
      </w:r>
      <w:r w:rsidR="00715C26">
        <w:rPr>
          <w:rStyle w:val="FootnoteReference"/>
          <w:rFonts w:ascii="Arial" w:hAnsi="Arial" w:cs="Arial"/>
        </w:rPr>
        <w:footnoteReference w:id="17"/>
      </w:r>
      <w:r w:rsidR="00715C26">
        <w:rPr>
          <w:rFonts w:ascii="Arial" w:hAnsi="Arial" w:cs="Arial"/>
        </w:rPr>
        <w:t>). When it came to the division of property upon divorce, women were usually entitled to less than men.</w:t>
      </w:r>
      <w:r w:rsidR="00715C26">
        <w:rPr>
          <w:rStyle w:val="FootnoteReference"/>
          <w:rFonts w:ascii="Arial" w:hAnsi="Arial" w:cs="Arial"/>
        </w:rPr>
        <w:footnoteReference w:id="18"/>
      </w:r>
      <w:r w:rsidR="00715C26">
        <w:rPr>
          <w:rFonts w:ascii="Arial" w:hAnsi="Arial" w:cs="Arial"/>
        </w:rPr>
        <w:t xml:space="preserve"> Though, if a man divorced his wife, it was up to him to repay her dowry and to pay a fine,</w:t>
      </w:r>
      <w:r w:rsidR="00715C26">
        <w:rPr>
          <w:rStyle w:val="FootnoteReference"/>
          <w:rFonts w:ascii="Arial" w:hAnsi="Arial" w:cs="Arial"/>
        </w:rPr>
        <w:footnoteReference w:id="19"/>
      </w:r>
      <w:r w:rsidR="00715C26">
        <w:rPr>
          <w:rFonts w:ascii="Arial" w:hAnsi="Arial" w:cs="Arial"/>
        </w:rPr>
        <w:t xml:space="preserve"> and it was at that point that the divorce was completed and both parties were free to remarry.</w:t>
      </w:r>
      <w:r w:rsidR="00715C26">
        <w:rPr>
          <w:rStyle w:val="FootnoteReference"/>
          <w:rFonts w:ascii="Arial" w:hAnsi="Arial" w:cs="Arial"/>
        </w:rPr>
        <w:footnoteReference w:id="20"/>
      </w:r>
      <w:r w:rsidR="00715C26">
        <w:rPr>
          <w:rFonts w:ascii="Arial" w:hAnsi="Arial" w:cs="Arial"/>
        </w:rPr>
        <w:t xml:space="preserve"> </w:t>
      </w:r>
      <w:r w:rsidR="000D5AC4">
        <w:rPr>
          <w:rFonts w:ascii="Arial" w:hAnsi="Arial" w:cs="Arial"/>
        </w:rPr>
        <w:t>So though women were not liable to the same value o</w:t>
      </w:r>
      <w:r w:rsidR="00AF52E0">
        <w:rPr>
          <w:rFonts w:ascii="Arial" w:hAnsi="Arial" w:cs="Arial"/>
        </w:rPr>
        <w:t>f property as</w:t>
      </w:r>
      <w:r w:rsidR="000D5AC4">
        <w:rPr>
          <w:rFonts w:ascii="Arial" w:hAnsi="Arial" w:cs="Arial"/>
        </w:rPr>
        <w:t xml:space="preserve"> their husbands upon divorce, their legal status did not diminish</w:t>
      </w:r>
      <w:r w:rsidR="000D5AC4">
        <w:rPr>
          <w:rStyle w:val="FootnoteReference"/>
          <w:rFonts w:ascii="Arial" w:hAnsi="Arial" w:cs="Arial"/>
        </w:rPr>
        <w:footnoteReference w:id="21"/>
      </w:r>
      <w:r w:rsidR="000D5AC4">
        <w:rPr>
          <w:rFonts w:ascii="Arial" w:hAnsi="Arial" w:cs="Arial"/>
        </w:rPr>
        <w:t xml:space="preserve"> and they were free to be married once more. </w:t>
      </w:r>
      <w:r w:rsidR="000D5AC4">
        <w:rPr>
          <w:rFonts w:ascii="Arial" w:hAnsi="Arial" w:cs="Arial"/>
        </w:rPr>
        <w:br/>
        <w:t>When looking at more mo</w:t>
      </w:r>
      <w:r w:rsidR="00573856">
        <w:rPr>
          <w:rFonts w:ascii="Arial" w:hAnsi="Arial" w:cs="Arial"/>
        </w:rPr>
        <w:t>dern aspects of marriage and</w:t>
      </w:r>
      <w:r w:rsidR="000D5AC4">
        <w:rPr>
          <w:rFonts w:ascii="Arial" w:hAnsi="Arial" w:cs="Arial"/>
        </w:rPr>
        <w:t xml:space="preserve"> divorce in the world, divorce is much different. Globally, it is mainly a legal matter. When </w:t>
      </w:r>
      <w:r w:rsidR="000D5AC4">
        <w:rPr>
          <w:rFonts w:ascii="Arial" w:hAnsi="Arial" w:cs="Arial"/>
        </w:rPr>
        <w:lastRenderedPageBreak/>
        <w:t>initiating a divorce in the UK, there are conditions that need to be met and proven (such as adultery, unreasonable behaviour, and prior separation</w:t>
      </w:r>
      <w:r w:rsidR="000D5AC4">
        <w:rPr>
          <w:rStyle w:val="FootnoteReference"/>
          <w:rFonts w:ascii="Arial" w:hAnsi="Arial" w:cs="Arial"/>
        </w:rPr>
        <w:footnoteReference w:id="22"/>
      </w:r>
      <w:r w:rsidR="000D5AC4">
        <w:rPr>
          <w:rFonts w:ascii="Arial" w:hAnsi="Arial" w:cs="Arial"/>
        </w:rPr>
        <w:t>). Though a similarity that can be seen is the cost. In ancient Egypt men had to pay a fee, and in the UK the parties need to pay £550 in court fees.</w:t>
      </w:r>
      <w:r w:rsidR="000D5AC4">
        <w:rPr>
          <w:rStyle w:val="FootnoteReference"/>
          <w:rFonts w:ascii="Arial" w:hAnsi="Arial" w:cs="Arial"/>
        </w:rPr>
        <w:footnoteReference w:id="23"/>
      </w:r>
      <w:r w:rsidR="000D5AC4">
        <w:rPr>
          <w:rFonts w:ascii="Arial" w:hAnsi="Arial" w:cs="Arial"/>
        </w:rPr>
        <w:t xml:space="preserve"> An exceptional case study to look at for divorce is the circumstances in the Philippines, where divorce was outlawed in 1949.</w:t>
      </w:r>
      <w:r w:rsidR="000D5AC4">
        <w:rPr>
          <w:rStyle w:val="FootnoteReference"/>
          <w:rFonts w:ascii="Arial" w:hAnsi="Arial" w:cs="Arial"/>
        </w:rPr>
        <w:footnoteReference w:id="24"/>
      </w:r>
      <w:r w:rsidR="000D5AC4">
        <w:rPr>
          <w:rFonts w:ascii="Arial" w:hAnsi="Arial" w:cs="Arial"/>
        </w:rPr>
        <w:t xml:space="preserve"> Here, the only other option is annulment, where one person in the marriage has to be proven to be psychologically incapacitated to handle being married.</w:t>
      </w:r>
      <w:r w:rsidR="000D5AC4">
        <w:rPr>
          <w:rStyle w:val="FootnoteReference"/>
          <w:rFonts w:ascii="Arial" w:hAnsi="Arial" w:cs="Arial"/>
        </w:rPr>
        <w:footnoteReference w:id="25"/>
      </w:r>
      <w:r w:rsidR="000D5AC4">
        <w:rPr>
          <w:rFonts w:ascii="Arial" w:hAnsi="Arial" w:cs="Arial"/>
        </w:rPr>
        <w:t xml:space="preserve"> These two examples show how the state of</w:t>
      </w:r>
      <w:r>
        <w:rPr>
          <w:rFonts w:ascii="Arial" w:hAnsi="Arial" w:cs="Arial"/>
        </w:rPr>
        <w:t xml:space="preserve"> divorce in ancient Egypt is not </w:t>
      </w:r>
      <w:r w:rsidR="000D5AC4">
        <w:rPr>
          <w:rFonts w:ascii="Arial" w:hAnsi="Arial" w:cs="Arial"/>
        </w:rPr>
        <w:t>perfect, but yet, couples at this time had a type of freedom that in the modern Philippines, is not yet seen today</w:t>
      </w:r>
      <w:r w:rsidR="00CD69B5">
        <w:rPr>
          <w:rFonts w:ascii="Arial" w:hAnsi="Arial" w:cs="Arial"/>
        </w:rPr>
        <w:t>, but also somewhat</w:t>
      </w:r>
      <w:r w:rsidR="0040791E">
        <w:rPr>
          <w:rFonts w:ascii="Arial" w:hAnsi="Arial" w:cs="Arial"/>
        </w:rPr>
        <w:t xml:space="preserve"> </w:t>
      </w:r>
      <w:r w:rsidR="0040791E" w:rsidRPr="00825E31">
        <w:rPr>
          <w:rFonts w:ascii="Arial" w:hAnsi="Arial" w:cs="Arial"/>
          <w:i/>
        </w:rPr>
        <w:t>financially</w:t>
      </w:r>
      <w:r w:rsidR="00CD69B5" w:rsidRPr="00825E31">
        <w:rPr>
          <w:rFonts w:ascii="Arial" w:hAnsi="Arial" w:cs="Arial"/>
          <w:i/>
        </w:rPr>
        <w:t xml:space="preserve"> </w:t>
      </w:r>
      <w:r w:rsidR="00CD69B5">
        <w:rPr>
          <w:rFonts w:ascii="Arial" w:hAnsi="Arial" w:cs="Arial"/>
        </w:rPr>
        <w:t xml:space="preserve">similar to the state of divorce in the UK today. </w:t>
      </w:r>
      <w:r w:rsidR="00CD69B5">
        <w:rPr>
          <w:rFonts w:ascii="Arial" w:hAnsi="Arial" w:cs="Arial"/>
        </w:rPr>
        <w:br/>
        <w:t xml:space="preserve">Another aspect of life that has some exceptional similarities for women in ancient Egypt and women in the world today, are around the role of childbirth. Perhaps one of the most </w:t>
      </w:r>
      <w:r w:rsidR="00825E31">
        <w:rPr>
          <w:rFonts w:ascii="Arial" w:hAnsi="Arial" w:cs="Arial"/>
        </w:rPr>
        <w:t>curious</w:t>
      </w:r>
      <w:r w:rsidR="00CD69B5">
        <w:rPr>
          <w:rFonts w:ascii="Arial" w:hAnsi="Arial" w:cs="Arial"/>
        </w:rPr>
        <w:t xml:space="preserve"> aspects is the concept of a purification ritual. These were seen in ancient Egypt, as well as for women in modern history. In ancient Egypt, women had to endure a 14 day purification ritual.</w:t>
      </w:r>
      <w:r w:rsidR="00CD69B5">
        <w:rPr>
          <w:rStyle w:val="FootnoteReference"/>
          <w:rFonts w:ascii="Arial" w:hAnsi="Arial" w:cs="Arial"/>
        </w:rPr>
        <w:footnoteReference w:id="26"/>
      </w:r>
      <w:r w:rsidR="00E05493">
        <w:rPr>
          <w:rFonts w:ascii="Arial" w:hAnsi="Arial" w:cs="Arial"/>
        </w:rPr>
        <w:t xml:space="preserve"> Examples of purification rituals </w:t>
      </w:r>
      <w:r w:rsidR="00CD69B5">
        <w:rPr>
          <w:rFonts w:ascii="Arial" w:hAnsi="Arial" w:cs="Arial"/>
        </w:rPr>
        <w:t>are seen in the Middle Kingdom</w:t>
      </w:r>
      <w:r w:rsidR="00E05493">
        <w:rPr>
          <w:rFonts w:ascii="Arial" w:hAnsi="Arial" w:cs="Arial"/>
        </w:rPr>
        <w:t>,</w:t>
      </w:r>
      <w:r w:rsidR="00CD69B5">
        <w:rPr>
          <w:rStyle w:val="FootnoteReference"/>
          <w:rFonts w:ascii="Arial" w:hAnsi="Arial" w:cs="Arial"/>
        </w:rPr>
        <w:footnoteReference w:id="27"/>
      </w:r>
      <w:r w:rsidR="00E05493">
        <w:rPr>
          <w:rFonts w:ascii="Arial" w:hAnsi="Arial" w:cs="Arial"/>
        </w:rPr>
        <w:t xml:space="preserve"> but evidence from the New Kingdom</w:t>
      </w:r>
      <w:r w:rsidR="00A20C4C">
        <w:rPr>
          <w:rStyle w:val="FootnoteReference"/>
          <w:rFonts w:ascii="Arial" w:hAnsi="Arial" w:cs="Arial"/>
        </w:rPr>
        <w:footnoteReference w:id="28"/>
      </w:r>
      <w:r w:rsidR="00E05493">
        <w:rPr>
          <w:rFonts w:ascii="Arial" w:hAnsi="Arial" w:cs="Arial"/>
        </w:rPr>
        <w:t xml:space="preserve"> points to it occurring after a mother has given birth. During this time the woman was secluded from her usual duties, and could only go about them once again after this </w:t>
      </w:r>
      <w:r w:rsidR="00E05493">
        <w:rPr>
          <w:rFonts w:ascii="Arial" w:hAnsi="Arial" w:cs="Arial"/>
        </w:rPr>
        <w:lastRenderedPageBreak/>
        <w:t xml:space="preserve">period of time had passed and she was once again </w:t>
      </w:r>
      <w:r w:rsidR="00825E31">
        <w:rPr>
          <w:rFonts w:ascii="Arial" w:hAnsi="Arial" w:cs="Arial"/>
        </w:rPr>
        <w:t>“</w:t>
      </w:r>
      <w:r w:rsidR="00E05493">
        <w:rPr>
          <w:rFonts w:ascii="Arial" w:hAnsi="Arial" w:cs="Arial"/>
        </w:rPr>
        <w:t>pure</w:t>
      </w:r>
      <w:r w:rsidR="00825E31">
        <w:rPr>
          <w:rFonts w:ascii="Arial" w:hAnsi="Arial" w:cs="Arial"/>
        </w:rPr>
        <w:t>”</w:t>
      </w:r>
      <w:r w:rsidR="00E05493">
        <w:rPr>
          <w:rFonts w:ascii="Arial" w:hAnsi="Arial" w:cs="Arial"/>
        </w:rPr>
        <w:t>.</w:t>
      </w:r>
      <w:r w:rsidR="00E05493">
        <w:rPr>
          <w:rStyle w:val="FootnoteReference"/>
          <w:rFonts w:ascii="Arial" w:hAnsi="Arial" w:cs="Arial"/>
        </w:rPr>
        <w:footnoteReference w:id="29"/>
      </w:r>
      <w:r w:rsidR="00E05493">
        <w:rPr>
          <w:rFonts w:ascii="Arial" w:hAnsi="Arial" w:cs="Arial"/>
        </w:rPr>
        <w:t xml:space="preserve"> In the modern </w:t>
      </w:r>
      <w:r w:rsidR="008979C9">
        <w:rPr>
          <w:noProof/>
          <w:lang w:eastAsia="en-GB"/>
        </w:rPr>
        <w:drawing>
          <wp:anchor distT="0" distB="0" distL="114300" distR="114300" simplePos="0" relativeHeight="251662336" behindDoc="0" locked="0" layoutInCell="1" allowOverlap="1">
            <wp:simplePos x="0" y="0"/>
            <wp:positionH relativeFrom="column">
              <wp:posOffset>2667635</wp:posOffset>
            </wp:positionH>
            <wp:positionV relativeFrom="page">
              <wp:posOffset>942975</wp:posOffset>
            </wp:positionV>
            <wp:extent cx="2298700" cy="1971675"/>
            <wp:effectExtent l="0" t="0" r="6350" b="9525"/>
            <wp:wrapSquare wrapText="bothSides"/>
            <wp:docPr id="4" name="Picture 4" descr="Limestone ostracon: on one side only, five lines of text containing a duplicate of the 'Satire of Trades', P. Sallier II 10, 2-3 / part of 'Teaching of Khety'. Between line four and line five a date is written in 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mestone ostracon: on one side only, five lines of text containing a duplicate of the 'Satire of Trades', P. Sallier II 10, 2-3 / part of 'Teaching of Khety'. Between line four and line five a date is written in r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98700" cy="1971675"/>
                    </a:xfrm>
                    <a:prstGeom prst="rect">
                      <a:avLst/>
                    </a:prstGeom>
                    <a:noFill/>
                    <a:ln>
                      <a:noFill/>
                    </a:ln>
                  </pic:spPr>
                </pic:pic>
              </a:graphicData>
            </a:graphic>
            <wp14:sizeRelH relativeFrom="page">
              <wp14:pctWidth>0</wp14:pctWidth>
            </wp14:sizeRelH>
            <wp14:sizeRelV relativeFrom="page">
              <wp14:pctHeight>0</wp14:pctHeight>
            </wp14:sizeRelV>
          </wp:anchor>
        </w:drawing>
      </w:r>
      <w:r w:rsidR="00E05493">
        <w:rPr>
          <w:rFonts w:ascii="Arial" w:hAnsi="Arial" w:cs="Arial"/>
        </w:rPr>
        <w:t xml:space="preserve">world, evidence of purification rituals can be found in none other than the Bible. In the book of Leviticus the Lord tells Moses that women are unclean after giving birth, in the same </w:t>
      </w:r>
      <w:r w:rsidR="0075037D" w:rsidRPr="00575D4D">
        <w:rPr>
          <w:rFonts w:ascii="Arial" w:hAnsi="Arial" w:cs="Arial"/>
          <w:noProof/>
          <w:lang w:eastAsia="en-GB"/>
        </w:rPr>
        <mc:AlternateContent>
          <mc:Choice Requires="wps">
            <w:drawing>
              <wp:anchor distT="45720" distB="45720" distL="114300" distR="114300" simplePos="0" relativeHeight="251664384" behindDoc="0" locked="0" layoutInCell="1" allowOverlap="1" wp14:anchorId="41FEA562" wp14:editId="611B8454">
                <wp:simplePos x="0" y="0"/>
                <wp:positionH relativeFrom="column">
                  <wp:posOffset>2660015</wp:posOffset>
                </wp:positionH>
                <wp:positionV relativeFrom="page">
                  <wp:posOffset>3019425</wp:posOffset>
                </wp:positionV>
                <wp:extent cx="2305050" cy="4762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476250"/>
                        </a:xfrm>
                        <a:prstGeom prst="rect">
                          <a:avLst/>
                        </a:prstGeom>
                        <a:solidFill>
                          <a:srgbClr val="FFFFFF"/>
                        </a:solidFill>
                        <a:ln w="9525">
                          <a:solidFill>
                            <a:srgbClr val="000000"/>
                          </a:solidFill>
                          <a:miter lim="800000"/>
                          <a:headEnd/>
                          <a:tailEnd/>
                        </a:ln>
                      </wps:spPr>
                      <wps:txbx>
                        <w:txbxContent>
                          <w:p w:rsidR="00FB2511" w:rsidRPr="00575D4D" w:rsidRDefault="00FB2511" w:rsidP="005D0B19">
                            <w:pPr>
                              <w:jc w:val="center"/>
                              <w:rPr>
                                <w:rFonts w:ascii="Arial" w:hAnsi="Arial" w:cs="Arial"/>
                              </w:rPr>
                            </w:pPr>
                            <w:r>
                              <w:rPr>
                                <w:rFonts w:ascii="Arial" w:hAnsi="Arial" w:cs="Arial"/>
                              </w:rPr>
                              <w:t>Fig. 2: Ostracon Nash 5, © British Museum, 2017,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EA562" id="_x0000_s1028" type="#_x0000_t202" style="position:absolute;margin-left:209.45pt;margin-top:237.75pt;width:181.5pt;height:3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">
                <v:textbox>
                  <w:txbxContent>
                    <w:p w:rsidR="00FB2511" w:rsidRPr="00575D4D" w:rsidRDefault="00FB2511" w:rsidP="005D0B19">
                      <w:pPr>
                        <w:jc w:val="center"/>
                        <w:rPr>
                          <w:rFonts w:ascii="Arial" w:hAnsi="Arial" w:cs="Arial"/>
                        </w:rPr>
                      </w:pPr>
                      <w:r>
                        <w:rPr>
                          <w:rFonts w:ascii="Arial" w:hAnsi="Arial" w:cs="Arial"/>
                        </w:rPr>
                        <w:t>Fig. 2: Ostracon Nash 5, © British Museum, 2017, London</w:t>
                      </w:r>
                    </w:p>
                  </w:txbxContent>
                </v:textbox>
                <w10:wrap type="square" anchory="page"/>
              </v:shape>
            </w:pict>
          </mc:Fallback>
        </mc:AlternateContent>
      </w:r>
      <w:r w:rsidR="00E05493">
        <w:rPr>
          <w:rFonts w:ascii="Arial" w:hAnsi="Arial" w:cs="Arial"/>
        </w:rPr>
        <w:t>way that they are unclean during menstruation. Women are to wait either thirty-three or sixty-six days until they are clean again after birth (depending on the sex of her child), and it is only then that they are allowed to resume their religious commitments.</w:t>
      </w:r>
      <w:r w:rsidR="00E05493">
        <w:rPr>
          <w:rStyle w:val="FootnoteReference"/>
          <w:rFonts w:ascii="Arial" w:hAnsi="Arial" w:cs="Arial"/>
        </w:rPr>
        <w:footnoteReference w:id="30"/>
      </w:r>
      <w:r w:rsidR="004935EC">
        <w:rPr>
          <w:rFonts w:ascii="Arial" w:hAnsi="Arial" w:cs="Arial"/>
        </w:rPr>
        <w:t xml:space="preserve"> </w:t>
      </w:r>
      <w:r w:rsidR="00CF656D">
        <w:rPr>
          <w:rFonts w:ascii="Arial" w:hAnsi="Arial" w:cs="Arial"/>
        </w:rPr>
        <w:t>(See A1.1)</w:t>
      </w:r>
    </w:p>
    <w:p w:rsidR="00A20C4C" w:rsidRDefault="004935EC" w:rsidP="00CF656D">
      <w:pPr>
        <w:tabs>
          <w:tab w:val="left" w:pos="8931"/>
        </w:tabs>
        <w:spacing w:line="480" w:lineRule="auto"/>
        <w:ind w:right="95"/>
        <w:rPr>
          <w:rFonts w:ascii="Arial" w:hAnsi="Arial" w:cs="Arial"/>
        </w:rPr>
      </w:pPr>
      <w:r>
        <w:rPr>
          <w:rFonts w:ascii="Arial" w:hAnsi="Arial" w:cs="Arial"/>
        </w:rPr>
        <w:t>Arguments can be made whether Christians in the modern day choose to follow this section of the Bible or not, but, it cannot be denied that a similarity can be drawn between ancient Egypt and a scripture still used in religion in the modern day; however m</w:t>
      </w:r>
      <w:r w:rsidR="001363CF">
        <w:rPr>
          <w:rFonts w:ascii="Arial" w:hAnsi="Arial" w:cs="Arial"/>
        </w:rPr>
        <w:t>any</w:t>
      </w:r>
      <w:r>
        <w:rPr>
          <w:rFonts w:ascii="Arial" w:hAnsi="Arial" w:cs="Arial"/>
        </w:rPr>
        <w:t xml:space="preserve"> modern perspectives may point to purification rituals being a tool made by patriarchal structures to find ways to dominate </w:t>
      </w:r>
      <w:r w:rsidR="00741065">
        <w:rPr>
          <w:rFonts w:ascii="Arial" w:hAnsi="Arial" w:cs="Arial"/>
        </w:rPr>
        <w:t>and oppose the freedom of women,</w:t>
      </w:r>
      <w:r>
        <w:rPr>
          <w:rStyle w:val="FootnoteReference"/>
          <w:rFonts w:ascii="Arial" w:hAnsi="Arial" w:cs="Arial"/>
        </w:rPr>
        <w:footnoteReference w:id="31"/>
      </w:r>
      <w:r w:rsidR="00741065">
        <w:rPr>
          <w:rFonts w:ascii="Arial" w:hAnsi="Arial" w:cs="Arial"/>
        </w:rPr>
        <w:t xml:space="preserve"> as Weskott presents.</w:t>
      </w:r>
      <w:r>
        <w:rPr>
          <w:rFonts w:ascii="Arial" w:hAnsi="Arial" w:cs="Arial"/>
        </w:rPr>
        <w:br/>
      </w:r>
      <w:r w:rsidR="009C03FA">
        <w:rPr>
          <w:rFonts w:ascii="Arial" w:hAnsi="Arial" w:cs="Arial"/>
        </w:rPr>
        <w:t>The final theme being used in this chapter to bring a link between the lives of ancient Egyptian women and women in the modern world is that</w:t>
      </w:r>
      <w:r w:rsidR="00780FA9">
        <w:rPr>
          <w:rFonts w:ascii="Arial" w:hAnsi="Arial" w:cs="Arial"/>
        </w:rPr>
        <w:t xml:space="preserve"> of domestic violence</w:t>
      </w:r>
      <w:r w:rsidR="005D0B19">
        <w:rPr>
          <w:rFonts w:ascii="Arial" w:hAnsi="Arial" w:cs="Arial"/>
        </w:rPr>
        <w:t xml:space="preserve"> and violence against women</w:t>
      </w:r>
      <w:r w:rsidR="00780FA9">
        <w:rPr>
          <w:rFonts w:ascii="Arial" w:hAnsi="Arial" w:cs="Arial"/>
        </w:rPr>
        <w:t xml:space="preserve">. </w:t>
      </w:r>
      <w:r w:rsidR="00E616FC">
        <w:rPr>
          <w:rFonts w:ascii="Arial" w:hAnsi="Arial" w:cs="Arial"/>
        </w:rPr>
        <w:t>Ostracon Nash 5</w:t>
      </w:r>
      <w:r w:rsidR="00E616FC">
        <w:rPr>
          <w:rStyle w:val="FootnoteReference"/>
          <w:rFonts w:ascii="Arial" w:hAnsi="Arial" w:cs="Arial"/>
        </w:rPr>
        <w:footnoteReference w:id="32"/>
      </w:r>
      <w:r w:rsidR="00732718">
        <w:rPr>
          <w:rFonts w:ascii="Arial" w:hAnsi="Arial" w:cs="Arial"/>
        </w:rPr>
        <w:t xml:space="preserve"> </w:t>
      </w:r>
      <w:r w:rsidR="00732718">
        <w:rPr>
          <w:rFonts w:ascii="Arial" w:hAnsi="Arial" w:cs="Arial"/>
        </w:rPr>
        <w:lastRenderedPageBreak/>
        <w:t>(See Fig. 2</w:t>
      </w:r>
      <w:r w:rsidR="005D0B19">
        <w:rPr>
          <w:rFonts w:ascii="Arial" w:hAnsi="Arial" w:cs="Arial"/>
        </w:rPr>
        <w:t>)</w:t>
      </w:r>
      <w:r w:rsidR="00E616FC">
        <w:rPr>
          <w:rFonts w:ascii="Arial" w:hAnsi="Arial" w:cs="Arial"/>
        </w:rPr>
        <w:t xml:space="preserve"> recounts a court case in which a man was accused of </w:t>
      </w:r>
      <w:r w:rsidR="00CF656D">
        <w:rPr>
          <w:rFonts w:ascii="Arial" w:hAnsi="Arial" w:cs="Arial"/>
        </w:rPr>
        <w:t xml:space="preserve">beating his wife. (See A1.2) </w:t>
      </w:r>
      <w:r w:rsidR="00E616FC">
        <w:rPr>
          <w:rFonts w:ascii="Arial" w:hAnsi="Arial" w:cs="Arial"/>
        </w:rPr>
        <w:t xml:space="preserve">We do not know the outcome of the court case, but the fact that </w:t>
      </w:r>
      <w:r w:rsidR="0084528C">
        <w:rPr>
          <w:rFonts w:ascii="Arial" w:hAnsi="Arial" w:cs="Arial"/>
        </w:rPr>
        <w:t xml:space="preserve">a domestic violence case was taken to court is significant. </w:t>
      </w:r>
      <w:r w:rsidR="00741065">
        <w:rPr>
          <w:rFonts w:ascii="Arial" w:hAnsi="Arial" w:cs="Arial"/>
        </w:rPr>
        <w:t>Graves-Brown states</w:t>
      </w:r>
      <w:r w:rsidR="00E616FC">
        <w:rPr>
          <w:rFonts w:ascii="Arial" w:hAnsi="Arial" w:cs="Arial"/>
        </w:rPr>
        <w:t xml:space="preserve"> that some forms of domestic violence were accepted as a way to keep a woman in line</w:t>
      </w:r>
      <w:r w:rsidR="005D0B19">
        <w:rPr>
          <w:rFonts w:ascii="Arial" w:hAnsi="Arial" w:cs="Arial"/>
        </w:rPr>
        <w:t>.</w:t>
      </w:r>
      <w:r w:rsidR="00684D7B">
        <w:rPr>
          <w:rStyle w:val="FootnoteReference"/>
          <w:rFonts w:ascii="Arial" w:hAnsi="Arial" w:cs="Arial"/>
        </w:rPr>
        <w:footnoteReference w:id="33"/>
      </w:r>
      <w:r w:rsidR="005D0B19">
        <w:rPr>
          <w:rFonts w:ascii="Arial" w:hAnsi="Arial" w:cs="Arial"/>
        </w:rPr>
        <w:t xml:space="preserve"> The beating of a woman is also seen as an acceptable punishment by local communities, as shown in the British Museum Papyrus BM 10416,</w:t>
      </w:r>
      <w:r w:rsidR="005D0B19">
        <w:rPr>
          <w:rStyle w:val="FootnoteReference"/>
          <w:rFonts w:ascii="Arial" w:hAnsi="Arial" w:cs="Arial"/>
        </w:rPr>
        <w:footnoteReference w:id="34"/>
      </w:r>
      <w:r w:rsidR="005D0B19">
        <w:rPr>
          <w:rFonts w:ascii="Arial" w:hAnsi="Arial" w:cs="Arial"/>
        </w:rPr>
        <w:t xml:space="preserve"> where the public reaction to a man committing adultery is to threaten violence against the woman.</w:t>
      </w:r>
      <w:r w:rsidR="005D0B19">
        <w:rPr>
          <w:rStyle w:val="FootnoteReference"/>
          <w:rFonts w:ascii="Arial" w:hAnsi="Arial" w:cs="Arial"/>
        </w:rPr>
        <w:footnoteReference w:id="35"/>
      </w:r>
      <w:r w:rsidR="005D0B19">
        <w:rPr>
          <w:rFonts w:ascii="Arial" w:hAnsi="Arial" w:cs="Arial"/>
        </w:rPr>
        <w:t xml:space="preserve"> </w:t>
      </w:r>
      <w:r w:rsidR="00E616FC">
        <w:rPr>
          <w:rFonts w:ascii="Arial" w:hAnsi="Arial" w:cs="Arial"/>
        </w:rPr>
        <w:t>Ostracon Nash 5 could be seen as evidence that domestic violence in ancient Egypt could go too far and have the facility to be a legal offense.</w:t>
      </w:r>
      <w:r w:rsidR="00684D7B">
        <w:rPr>
          <w:rFonts w:ascii="Arial" w:hAnsi="Arial" w:cs="Arial"/>
        </w:rPr>
        <w:t xml:space="preserve"> As well as this, studies undertaken on skeletons by Brenda Baker (on a 4,000 year old skeleton from Abydos) and Joyce Filer </w:t>
      </w:r>
      <w:r w:rsidR="00472E68">
        <w:rPr>
          <w:rFonts w:ascii="Arial" w:hAnsi="Arial" w:cs="Arial"/>
        </w:rPr>
        <w:t>(On a variety of skeletal remains) show examples of what could be interpreted as domestic violenc</w:t>
      </w:r>
      <w:r w:rsidR="00EC3E4C">
        <w:rPr>
          <w:rFonts w:ascii="Arial" w:hAnsi="Arial" w:cs="Arial"/>
        </w:rPr>
        <w:t>e. Baker’s study found that a</w:t>
      </w:r>
      <w:r w:rsidR="00472E68">
        <w:rPr>
          <w:rFonts w:ascii="Arial" w:hAnsi="Arial" w:cs="Arial"/>
        </w:rPr>
        <w:t xml:space="preserve"> particular woman’s </w:t>
      </w:r>
      <w:r w:rsidR="00EC3E4C">
        <w:rPr>
          <w:noProof/>
          <w:lang w:eastAsia="en-GB"/>
        </w:rPr>
        <w:drawing>
          <wp:anchor distT="0" distB="0" distL="114300" distR="114300" simplePos="0" relativeHeight="251661312" behindDoc="0" locked="0" layoutInCell="1" allowOverlap="1">
            <wp:simplePos x="0" y="0"/>
            <wp:positionH relativeFrom="column">
              <wp:posOffset>2635250</wp:posOffset>
            </wp:positionH>
            <wp:positionV relativeFrom="page">
              <wp:posOffset>5923309</wp:posOffset>
            </wp:positionV>
            <wp:extent cx="2247900" cy="1962150"/>
            <wp:effectExtent l="0" t="0" r="0" b="0"/>
            <wp:wrapSquare wrapText="bothSides"/>
            <wp:docPr id="3" name="Picture 3" descr="https://joycefiler.files.wordpress.com/2013/04/sc000a8f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joycefiler.files.wordpress.com/2013/04/sc000a8fe00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47900" cy="1962150"/>
                    </a:xfrm>
                    <a:prstGeom prst="rect">
                      <a:avLst/>
                    </a:prstGeom>
                    <a:noFill/>
                    <a:ln>
                      <a:noFill/>
                    </a:ln>
                  </pic:spPr>
                </pic:pic>
              </a:graphicData>
            </a:graphic>
          </wp:anchor>
        </w:drawing>
      </w:r>
      <w:r w:rsidR="00472E68">
        <w:rPr>
          <w:rFonts w:ascii="Arial" w:hAnsi="Arial" w:cs="Arial"/>
        </w:rPr>
        <w:t xml:space="preserve">skeleton showed evidence of broken ribs, </w:t>
      </w:r>
      <w:r w:rsidR="0084528C">
        <w:rPr>
          <w:rFonts w:ascii="Arial" w:hAnsi="Arial" w:cs="Arial"/>
        </w:rPr>
        <w:t xml:space="preserve">a </w:t>
      </w:r>
      <w:r w:rsidR="00472E68">
        <w:rPr>
          <w:rFonts w:ascii="Arial" w:hAnsi="Arial" w:cs="Arial"/>
        </w:rPr>
        <w:t xml:space="preserve">hand, and </w:t>
      </w:r>
      <w:r w:rsidR="0084528C">
        <w:rPr>
          <w:rFonts w:ascii="Arial" w:hAnsi="Arial" w:cs="Arial"/>
        </w:rPr>
        <w:t xml:space="preserve">a </w:t>
      </w:r>
      <w:r w:rsidR="00472E68">
        <w:rPr>
          <w:rFonts w:ascii="Arial" w:hAnsi="Arial" w:cs="Arial"/>
        </w:rPr>
        <w:t>wrist</w:t>
      </w:r>
      <w:r w:rsidR="00575D4D">
        <w:rPr>
          <w:rFonts w:ascii="Arial" w:hAnsi="Arial" w:cs="Arial"/>
        </w:rPr>
        <w:t>, all injuries sustained before her death (the cause of her death being a stab wound in her back)</w:t>
      </w:r>
      <w:r w:rsidR="00472E68">
        <w:rPr>
          <w:rFonts w:ascii="Arial" w:hAnsi="Arial" w:cs="Arial"/>
        </w:rPr>
        <w:t>.</w:t>
      </w:r>
      <w:r w:rsidR="00472E68">
        <w:rPr>
          <w:rStyle w:val="FootnoteReference"/>
          <w:rFonts w:ascii="Arial" w:hAnsi="Arial" w:cs="Arial"/>
        </w:rPr>
        <w:footnoteReference w:id="36"/>
      </w:r>
      <w:r w:rsidR="00472E68">
        <w:rPr>
          <w:rFonts w:ascii="Arial" w:hAnsi="Arial" w:cs="Arial"/>
        </w:rPr>
        <w:t xml:space="preserve"> Filer’s study found that</w:t>
      </w:r>
      <w:r w:rsidR="00575D4D">
        <w:rPr>
          <w:rFonts w:ascii="Arial" w:hAnsi="Arial" w:cs="Arial"/>
        </w:rPr>
        <w:t xml:space="preserve"> there were a number of cases where</w:t>
      </w:r>
      <w:r w:rsidR="00472E68">
        <w:rPr>
          <w:rFonts w:ascii="Arial" w:hAnsi="Arial" w:cs="Arial"/>
        </w:rPr>
        <w:t xml:space="preserve"> female </w:t>
      </w:r>
      <w:r w:rsidR="00575D4D">
        <w:rPr>
          <w:rFonts w:ascii="Arial" w:hAnsi="Arial" w:cs="Arial"/>
        </w:rPr>
        <w:t xml:space="preserve">skulls were </w:t>
      </w:r>
      <w:r w:rsidR="0075037D" w:rsidRPr="00575D4D">
        <w:rPr>
          <w:rFonts w:ascii="Arial"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column">
                  <wp:posOffset>2638425</wp:posOffset>
                </wp:positionH>
                <wp:positionV relativeFrom="page">
                  <wp:posOffset>7962900</wp:posOffset>
                </wp:positionV>
                <wp:extent cx="224790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495300"/>
                        </a:xfrm>
                        <a:prstGeom prst="rect">
                          <a:avLst/>
                        </a:prstGeom>
                        <a:solidFill>
                          <a:srgbClr val="FFFFFF"/>
                        </a:solidFill>
                        <a:ln w="9525">
                          <a:solidFill>
                            <a:srgbClr val="000000"/>
                          </a:solidFill>
                          <a:miter lim="800000"/>
                          <a:headEnd/>
                          <a:tailEnd/>
                        </a:ln>
                      </wps:spPr>
                      <wps:txbx>
                        <w:txbxContent>
                          <w:p w:rsidR="00FB2511" w:rsidRPr="00575D4D" w:rsidRDefault="00FB2511" w:rsidP="00575D4D">
                            <w:pPr>
                              <w:jc w:val="center"/>
                              <w:rPr>
                                <w:rFonts w:ascii="Arial" w:hAnsi="Arial" w:cs="Arial"/>
                              </w:rPr>
                            </w:pPr>
                            <w:r>
                              <w:rPr>
                                <w:rFonts w:ascii="Arial" w:hAnsi="Arial" w:cs="Arial"/>
                              </w:rPr>
                              <w:t>Fig. 3</w:t>
                            </w:r>
                            <w:r w:rsidRPr="00575D4D">
                              <w:rPr>
                                <w:rFonts w:ascii="Arial" w:hAnsi="Arial" w:cs="Arial"/>
                              </w:rPr>
                              <w:t>: healed head injury,</w:t>
                            </w:r>
                            <w:r>
                              <w:rPr>
                                <w:rFonts w:ascii="Arial" w:hAnsi="Arial" w:cs="Arial"/>
                              </w:rPr>
                              <w:t xml:space="preserve"> ©</w:t>
                            </w:r>
                            <w:r w:rsidRPr="00575D4D">
                              <w:rPr>
                                <w:rFonts w:ascii="Arial" w:hAnsi="Arial" w:cs="Arial"/>
                              </w:rPr>
                              <w:t xml:space="preserve"> J. Filer, 2013, Giza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07.75pt;margin-top:627pt;width:177pt;height:3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">
                <v:textbox>
                  <w:txbxContent>
                    <w:p w:rsidR="00FB2511" w:rsidRPr="00575D4D" w:rsidRDefault="00FB2511" w:rsidP="00575D4D">
                      <w:pPr>
                        <w:jc w:val="center"/>
                        <w:rPr>
                          <w:rFonts w:ascii="Arial" w:hAnsi="Arial" w:cs="Arial"/>
                        </w:rPr>
                      </w:pPr>
                      <w:r>
                        <w:rPr>
                          <w:rFonts w:ascii="Arial" w:hAnsi="Arial" w:cs="Arial"/>
                        </w:rPr>
                        <w:t>Fig. 3</w:t>
                      </w:r>
                      <w:r w:rsidRPr="00575D4D">
                        <w:rPr>
                          <w:rFonts w:ascii="Arial" w:hAnsi="Arial" w:cs="Arial"/>
                        </w:rPr>
                        <w:t>: healed head injury,</w:t>
                      </w:r>
                      <w:r>
                        <w:rPr>
                          <w:rFonts w:ascii="Arial" w:hAnsi="Arial" w:cs="Arial"/>
                        </w:rPr>
                        <w:t xml:space="preserve"> ©</w:t>
                      </w:r>
                      <w:r w:rsidRPr="00575D4D">
                        <w:rPr>
                          <w:rFonts w:ascii="Arial" w:hAnsi="Arial" w:cs="Arial"/>
                        </w:rPr>
                        <w:t xml:space="preserve"> J. Filer, 2013, Giza</w:t>
                      </w:r>
                    </w:p>
                  </w:txbxContent>
                </v:textbox>
                <w10:wrap type="square" anchory="page"/>
              </v:shape>
            </w:pict>
          </mc:Fallback>
        </mc:AlternateContent>
      </w:r>
      <w:r w:rsidR="00575D4D">
        <w:rPr>
          <w:rFonts w:ascii="Arial" w:hAnsi="Arial" w:cs="Arial"/>
        </w:rPr>
        <w:t>found to have</w:t>
      </w:r>
      <w:r w:rsidR="00472E68">
        <w:rPr>
          <w:rFonts w:ascii="Arial" w:hAnsi="Arial" w:cs="Arial"/>
        </w:rPr>
        <w:t xml:space="preserve"> varying degrees of </w:t>
      </w:r>
      <w:r w:rsidR="00575D4D">
        <w:rPr>
          <w:rFonts w:ascii="Arial" w:hAnsi="Arial" w:cs="Arial"/>
        </w:rPr>
        <w:lastRenderedPageBreak/>
        <w:t>head injury, both healed (</w:t>
      </w:r>
      <w:r w:rsidR="00732718">
        <w:rPr>
          <w:rFonts w:ascii="Arial" w:hAnsi="Arial" w:cs="Arial"/>
        </w:rPr>
        <w:t>See Fig.3</w:t>
      </w:r>
      <w:r w:rsidR="00575D4D">
        <w:rPr>
          <w:rFonts w:ascii="Arial" w:hAnsi="Arial" w:cs="Arial"/>
        </w:rPr>
        <w:t>) and unhealed.</w:t>
      </w:r>
      <w:r w:rsidR="00472E68">
        <w:rPr>
          <w:rStyle w:val="FootnoteReference"/>
          <w:rFonts w:ascii="Arial" w:hAnsi="Arial" w:cs="Arial"/>
        </w:rPr>
        <w:footnoteReference w:id="37"/>
      </w:r>
      <w:r w:rsidR="00472E68">
        <w:rPr>
          <w:rFonts w:ascii="Arial" w:hAnsi="Arial" w:cs="Arial"/>
        </w:rPr>
        <w:t xml:space="preserve"> An interpretation she presents (though she does not believe it) </w:t>
      </w:r>
      <w:r w:rsidR="00575D4D">
        <w:rPr>
          <w:rFonts w:ascii="Arial" w:hAnsi="Arial" w:cs="Arial"/>
        </w:rPr>
        <w:t xml:space="preserve">is </w:t>
      </w:r>
      <w:r w:rsidR="00472E68">
        <w:rPr>
          <w:rFonts w:ascii="Arial" w:hAnsi="Arial" w:cs="Arial"/>
        </w:rPr>
        <w:t>that these are instances in which domestic violence has occurred</w:t>
      </w:r>
      <w:r w:rsidR="00472E68">
        <w:rPr>
          <w:rStyle w:val="FootnoteReference"/>
          <w:rFonts w:ascii="Arial" w:hAnsi="Arial" w:cs="Arial"/>
        </w:rPr>
        <w:footnoteReference w:id="38"/>
      </w:r>
      <w:r w:rsidR="00472E68">
        <w:rPr>
          <w:rFonts w:ascii="Arial" w:hAnsi="Arial" w:cs="Arial"/>
        </w:rPr>
        <w:t xml:space="preserve"> (Seeing as it was unlikely that these injuries were received in battle as women were barred from joining the army.</w:t>
      </w:r>
      <w:r w:rsidR="00472E68">
        <w:rPr>
          <w:rStyle w:val="FootnoteReference"/>
          <w:rFonts w:ascii="Arial" w:hAnsi="Arial" w:cs="Arial"/>
        </w:rPr>
        <w:footnoteReference w:id="39"/>
      </w:r>
      <w:r w:rsidR="00472E68">
        <w:rPr>
          <w:rFonts w:ascii="Arial" w:hAnsi="Arial" w:cs="Arial"/>
        </w:rPr>
        <w:t>)</w:t>
      </w:r>
      <w:r w:rsidR="00432D97">
        <w:rPr>
          <w:rFonts w:ascii="Arial" w:hAnsi="Arial" w:cs="Arial"/>
        </w:rPr>
        <w:t>.</w:t>
      </w:r>
      <w:r w:rsidR="00472E68">
        <w:rPr>
          <w:rFonts w:ascii="Arial" w:hAnsi="Arial" w:cs="Arial"/>
        </w:rPr>
        <w:t xml:space="preserve"> </w:t>
      </w:r>
      <w:r w:rsidR="0084528C">
        <w:rPr>
          <w:rFonts w:ascii="Arial" w:hAnsi="Arial" w:cs="Arial"/>
        </w:rPr>
        <w:t>I</w:t>
      </w:r>
      <w:r w:rsidR="00AF52E0">
        <w:rPr>
          <w:rFonts w:ascii="Arial" w:hAnsi="Arial" w:cs="Arial"/>
        </w:rPr>
        <w:t>,</w:t>
      </w:r>
      <w:r w:rsidR="0084528C">
        <w:rPr>
          <w:rFonts w:ascii="Arial" w:hAnsi="Arial" w:cs="Arial"/>
        </w:rPr>
        <w:t xml:space="preserve"> however</w:t>
      </w:r>
      <w:r w:rsidR="00AF52E0">
        <w:rPr>
          <w:rFonts w:ascii="Arial" w:hAnsi="Arial" w:cs="Arial"/>
        </w:rPr>
        <w:t>,</w:t>
      </w:r>
      <w:r w:rsidR="0084528C">
        <w:rPr>
          <w:rFonts w:ascii="Arial" w:hAnsi="Arial" w:cs="Arial"/>
        </w:rPr>
        <w:t xml:space="preserve"> do believe that for such a substantial injury, domestic violence is a likely cause. </w:t>
      </w:r>
      <w:r w:rsidR="00C00BA0">
        <w:rPr>
          <w:rFonts w:ascii="Arial" w:hAnsi="Arial" w:cs="Arial"/>
        </w:rPr>
        <w:br/>
      </w:r>
      <w:r w:rsidR="0084528C">
        <w:rPr>
          <w:rFonts w:ascii="Arial" w:hAnsi="Arial" w:cs="Arial"/>
        </w:rPr>
        <w:t>In the modern world, though there are laws against domestic violence, it is still a common social issue. Similarly to in ancient Egypt, in the 1800s in the U.S, the only domestic violence that was against the law was that which could endanger a woman’s life;</w:t>
      </w:r>
      <w:r w:rsidR="0084528C">
        <w:rPr>
          <w:rStyle w:val="FootnoteReference"/>
          <w:rFonts w:ascii="Arial" w:hAnsi="Arial" w:cs="Arial"/>
        </w:rPr>
        <w:footnoteReference w:id="40"/>
      </w:r>
      <w:r w:rsidR="0084528C">
        <w:rPr>
          <w:rFonts w:ascii="Arial" w:hAnsi="Arial" w:cs="Arial"/>
        </w:rPr>
        <w:t xml:space="preserve"> an almost perfect parallel to the interpretations presented of Ostracon Nash 5. But, it was only in 1975 that most U.S states allowed wives to prosecute a husband who inflicts injury upon her.</w:t>
      </w:r>
      <w:r w:rsidR="0084528C">
        <w:rPr>
          <w:rStyle w:val="FootnoteReference"/>
          <w:rFonts w:ascii="Arial" w:hAnsi="Arial" w:cs="Arial"/>
        </w:rPr>
        <w:footnoteReference w:id="41"/>
      </w:r>
      <w:r w:rsidR="0084528C">
        <w:rPr>
          <w:rFonts w:ascii="Arial" w:hAnsi="Arial" w:cs="Arial"/>
        </w:rPr>
        <w:t xml:space="preserve"> Though progress has been made in some countries, there are others w</w:t>
      </w:r>
      <w:r w:rsidR="0040791E">
        <w:rPr>
          <w:rFonts w:ascii="Arial" w:hAnsi="Arial" w:cs="Arial"/>
        </w:rPr>
        <w:t xml:space="preserve">here domestic violence is incredibly common </w:t>
      </w:r>
      <w:r w:rsidR="0084528C">
        <w:rPr>
          <w:rFonts w:ascii="Arial" w:hAnsi="Arial" w:cs="Arial"/>
        </w:rPr>
        <w:t xml:space="preserve">and </w:t>
      </w:r>
      <w:r w:rsidR="001312C7">
        <w:rPr>
          <w:rFonts w:ascii="Arial" w:hAnsi="Arial" w:cs="Arial"/>
        </w:rPr>
        <w:t xml:space="preserve">normalised in society, and </w:t>
      </w:r>
      <w:r w:rsidR="0084528C">
        <w:rPr>
          <w:rFonts w:ascii="Arial" w:hAnsi="Arial" w:cs="Arial"/>
        </w:rPr>
        <w:t>very little can be done</w:t>
      </w:r>
      <w:r w:rsidR="001312C7">
        <w:rPr>
          <w:rFonts w:ascii="Arial" w:hAnsi="Arial" w:cs="Arial"/>
        </w:rPr>
        <w:t xml:space="preserve"> in the eyes of the law for women</w:t>
      </w:r>
      <w:r w:rsidR="0084528C">
        <w:rPr>
          <w:rFonts w:ascii="Arial" w:hAnsi="Arial" w:cs="Arial"/>
        </w:rPr>
        <w:t xml:space="preserve">. </w:t>
      </w:r>
      <w:r w:rsidR="004674A2">
        <w:rPr>
          <w:rFonts w:ascii="Arial" w:hAnsi="Arial" w:cs="Arial"/>
        </w:rPr>
        <w:t>Amnesty International report that i</w:t>
      </w:r>
      <w:r w:rsidR="0084528C">
        <w:rPr>
          <w:rFonts w:ascii="Arial" w:hAnsi="Arial" w:cs="Arial"/>
        </w:rPr>
        <w:t>n Ye</w:t>
      </w:r>
      <w:r w:rsidR="00432D97">
        <w:rPr>
          <w:rFonts w:ascii="Arial" w:hAnsi="Arial" w:cs="Arial"/>
        </w:rPr>
        <w:t>men, forced marriages are widespread</w:t>
      </w:r>
      <w:r w:rsidR="0084528C">
        <w:rPr>
          <w:rFonts w:ascii="Arial" w:hAnsi="Arial" w:cs="Arial"/>
        </w:rPr>
        <w:t>, and it is in these circumstances that domestic violence is rampant.</w:t>
      </w:r>
      <w:r w:rsidR="0084528C">
        <w:rPr>
          <w:rStyle w:val="FootnoteReference"/>
          <w:rFonts w:ascii="Arial" w:hAnsi="Arial" w:cs="Arial"/>
        </w:rPr>
        <w:footnoteReference w:id="42"/>
      </w:r>
      <w:r w:rsidR="00C00BA0">
        <w:rPr>
          <w:rFonts w:ascii="Arial" w:hAnsi="Arial" w:cs="Arial"/>
        </w:rPr>
        <w:t xml:space="preserve"> There are no</w:t>
      </w:r>
      <w:r w:rsidR="0084528C">
        <w:rPr>
          <w:rFonts w:ascii="Arial" w:hAnsi="Arial" w:cs="Arial"/>
        </w:rPr>
        <w:t xml:space="preserve"> laws in Yemen that protect women and girls specifically from domestic violence</w:t>
      </w:r>
      <w:r w:rsidR="0040791E">
        <w:rPr>
          <w:rFonts w:ascii="Arial" w:hAnsi="Arial" w:cs="Arial"/>
        </w:rPr>
        <w:t xml:space="preserve">. </w:t>
      </w:r>
      <w:r w:rsidR="00964075">
        <w:rPr>
          <w:rFonts w:ascii="Arial" w:hAnsi="Arial" w:cs="Arial"/>
        </w:rPr>
        <w:t>It is a social norm for women and girls to be beaten by their male relatives</w:t>
      </w:r>
      <w:r w:rsidR="006412E8">
        <w:rPr>
          <w:rFonts w:ascii="Arial" w:hAnsi="Arial" w:cs="Arial"/>
        </w:rPr>
        <w:t>,</w:t>
      </w:r>
      <w:r w:rsidR="0040791E">
        <w:rPr>
          <w:rStyle w:val="FootnoteReference"/>
          <w:rFonts w:ascii="Arial" w:hAnsi="Arial" w:cs="Arial"/>
        </w:rPr>
        <w:footnoteReference w:id="43"/>
      </w:r>
      <w:r w:rsidR="00964075">
        <w:rPr>
          <w:rFonts w:ascii="Arial" w:hAnsi="Arial" w:cs="Arial"/>
        </w:rPr>
        <w:t xml:space="preserve"> </w:t>
      </w:r>
      <w:r w:rsidR="00432D97">
        <w:rPr>
          <w:rFonts w:ascii="Arial" w:hAnsi="Arial" w:cs="Arial"/>
        </w:rPr>
        <w:t>women tending to</w:t>
      </w:r>
      <w:r w:rsidR="0040791E">
        <w:rPr>
          <w:rFonts w:ascii="Arial" w:hAnsi="Arial" w:cs="Arial"/>
        </w:rPr>
        <w:t xml:space="preserve"> not have enough power to be able </w:t>
      </w:r>
      <w:r w:rsidR="00432D97">
        <w:rPr>
          <w:rFonts w:ascii="Arial" w:hAnsi="Arial" w:cs="Arial"/>
        </w:rPr>
        <w:t xml:space="preserve">to speak up for themselves, yet, </w:t>
      </w:r>
      <w:r w:rsidR="0040791E">
        <w:rPr>
          <w:rFonts w:ascii="Arial" w:hAnsi="Arial" w:cs="Arial"/>
        </w:rPr>
        <w:t xml:space="preserve">in the </w:t>
      </w:r>
      <w:r w:rsidR="0040791E">
        <w:rPr>
          <w:rFonts w:ascii="Arial" w:hAnsi="Arial" w:cs="Arial"/>
        </w:rPr>
        <w:lastRenderedPageBreak/>
        <w:t>circumstances in which they try, they face multiple obstacles</w:t>
      </w:r>
      <w:r w:rsidR="001312C7">
        <w:rPr>
          <w:rFonts w:ascii="Arial" w:hAnsi="Arial" w:cs="Arial"/>
        </w:rPr>
        <w:t xml:space="preserve">. Women here are often held in isolation by male-led authorities, and it is in these circumstances that they risk sexual abuse, rape, and even torture </w:t>
      </w:r>
      <w:r w:rsidR="0040791E">
        <w:rPr>
          <w:rFonts w:ascii="Arial" w:hAnsi="Arial" w:cs="Arial"/>
        </w:rPr>
        <w:t>when attempt</w:t>
      </w:r>
      <w:r w:rsidR="001312C7">
        <w:rPr>
          <w:rFonts w:ascii="Arial" w:hAnsi="Arial" w:cs="Arial"/>
        </w:rPr>
        <w:t>ing to gain any type of justice from the hands of the people who are meant to help them.</w:t>
      </w:r>
      <w:r w:rsidR="0040791E">
        <w:rPr>
          <w:rStyle w:val="FootnoteReference"/>
          <w:rFonts w:ascii="Arial" w:hAnsi="Arial" w:cs="Arial"/>
        </w:rPr>
        <w:footnoteReference w:id="44"/>
      </w:r>
      <w:r w:rsidR="0040791E">
        <w:rPr>
          <w:rFonts w:ascii="Arial" w:hAnsi="Arial" w:cs="Arial"/>
        </w:rPr>
        <w:t xml:space="preserve">  </w:t>
      </w:r>
      <w:r w:rsidR="0040791E">
        <w:rPr>
          <w:rFonts w:ascii="Arial" w:hAnsi="Arial" w:cs="Arial"/>
        </w:rPr>
        <w:br/>
        <w:t xml:space="preserve">So here, it shows how in some circumstances the lives of ancient Egyptian women are both regressive and progressive when relating them to the lives of women in the modern world. In the comparative cases that have been presented here, I believe that </w:t>
      </w:r>
      <w:r w:rsidR="00432D97">
        <w:rPr>
          <w:rFonts w:ascii="Arial" w:hAnsi="Arial" w:cs="Arial"/>
        </w:rPr>
        <w:t xml:space="preserve">the state of domestic violence in ancient Egypt </w:t>
      </w:r>
      <w:r w:rsidR="0040791E">
        <w:rPr>
          <w:rFonts w:ascii="Arial" w:hAnsi="Arial" w:cs="Arial"/>
        </w:rPr>
        <w:t>sit</w:t>
      </w:r>
      <w:r w:rsidR="00432D97">
        <w:rPr>
          <w:rFonts w:ascii="Arial" w:hAnsi="Arial" w:cs="Arial"/>
        </w:rPr>
        <w:t>s</w:t>
      </w:r>
      <w:r w:rsidR="0040791E">
        <w:rPr>
          <w:rFonts w:ascii="Arial" w:hAnsi="Arial" w:cs="Arial"/>
        </w:rPr>
        <w:t xml:space="preserve"> somewhere between those of the western world and places such as </w:t>
      </w:r>
      <w:r w:rsidR="00A20C4C">
        <w:rPr>
          <w:rFonts w:ascii="Arial" w:hAnsi="Arial" w:cs="Arial"/>
        </w:rPr>
        <w:t xml:space="preserve">the present state of </w:t>
      </w:r>
      <w:r w:rsidR="0040791E">
        <w:rPr>
          <w:rFonts w:ascii="Arial" w:hAnsi="Arial" w:cs="Arial"/>
        </w:rPr>
        <w:t xml:space="preserve">Yemen. </w:t>
      </w:r>
      <w:r w:rsidR="001312C7">
        <w:rPr>
          <w:rFonts w:ascii="Arial" w:hAnsi="Arial" w:cs="Arial"/>
        </w:rPr>
        <w:t>In more western countries, laws are at least attempted to be adhered by, but in the case of Yemen, the laws are largely ignored completely for the benefit of the male population. The status of women in Ancient Egypt could</w:t>
      </w:r>
      <w:r w:rsidR="0040791E">
        <w:rPr>
          <w:rFonts w:ascii="Arial" w:hAnsi="Arial" w:cs="Arial"/>
        </w:rPr>
        <w:t xml:space="preserve"> be vastly improved on, but also shows a more progressive state of being than some places in the world today. </w:t>
      </w:r>
    </w:p>
    <w:p w:rsidR="00077677" w:rsidRDefault="0075037D" w:rsidP="00E616FC">
      <w:pPr>
        <w:spacing w:line="480" w:lineRule="auto"/>
        <w:ind w:right="95"/>
        <w:rPr>
          <w:rFonts w:ascii="Arial" w:hAnsi="Arial" w:cs="Arial"/>
          <w:b/>
        </w:rPr>
      </w:pPr>
      <w:r w:rsidRPr="00077677">
        <w:rPr>
          <w:rFonts w:ascii="Arial" w:hAnsi="Arial" w:cs="Arial"/>
          <w:noProof/>
          <w:lang w:eastAsia="en-GB"/>
        </w:rPr>
        <w:lastRenderedPageBreak/>
        <w:drawing>
          <wp:anchor distT="0" distB="0" distL="114300" distR="114300" simplePos="0" relativeHeight="251668480" behindDoc="0" locked="0" layoutInCell="1" allowOverlap="1">
            <wp:simplePos x="0" y="0"/>
            <wp:positionH relativeFrom="column">
              <wp:posOffset>2750185</wp:posOffset>
            </wp:positionH>
            <wp:positionV relativeFrom="paragraph">
              <wp:posOffset>196850</wp:posOffset>
            </wp:positionV>
            <wp:extent cx="2209800" cy="3693160"/>
            <wp:effectExtent l="0" t="0" r="0" b="2540"/>
            <wp:wrapSquare wrapText="bothSides"/>
            <wp:docPr id="13314" name="Picture 2" descr="Kneeling statue of Hatshepsut, Granite,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 name="Picture 2" descr="Kneeling statue of Hatshepsut, Granite, pain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09800" cy="3693160"/>
                    </a:xfrm>
                    <a:prstGeom prst="rect">
                      <a:avLst/>
                    </a:prstGeom>
                    <a:noFill/>
                    <a:extLst/>
                  </pic:spPr>
                </pic:pic>
              </a:graphicData>
            </a:graphic>
            <wp14:sizeRelH relativeFrom="margin">
              <wp14:pctWidth>0</wp14:pctWidth>
            </wp14:sizeRelH>
            <wp14:sizeRelV relativeFrom="margin">
              <wp14:pctHeight>0</wp14:pctHeight>
            </wp14:sizeRelV>
          </wp:anchor>
        </w:drawing>
      </w:r>
      <w:r w:rsidR="00077677">
        <w:rPr>
          <w:rFonts w:ascii="Arial" w:hAnsi="Arial" w:cs="Arial"/>
          <w:b/>
        </w:rPr>
        <w:t>Lady of the Two Lands</w:t>
      </w:r>
    </w:p>
    <w:p w:rsidR="001363CF" w:rsidRDefault="007F2034" w:rsidP="001363CF">
      <w:pPr>
        <w:spacing w:line="480" w:lineRule="auto"/>
        <w:ind w:right="-23"/>
        <w:rPr>
          <w:rFonts w:ascii="Arial" w:hAnsi="Arial" w:cs="Arial"/>
        </w:rPr>
      </w:pPr>
      <w:r w:rsidRPr="00575D4D">
        <w:rPr>
          <w:rFonts w:ascii="Arial" w:hAnsi="Arial" w:cs="Arial"/>
          <w:noProof/>
          <w:lang w:eastAsia="en-GB"/>
        </w:rPr>
        <mc:AlternateContent>
          <mc:Choice Requires="wps">
            <w:drawing>
              <wp:anchor distT="45720" distB="45720" distL="114300" distR="114300" simplePos="0" relativeHeight="251670528" behindDoc="0" locked="0" layoutInCell="1" allowOverlap="1" wp14:anchorId="62A4EFE8" wp14:editId="6C948546">
                <wp:simplePos x="0" y="0"/>
                <wp:positionH relativeFrom="column">
                  <wp:posOffset>2781300</wp:posOffset>
                </wp:positionH>
                <wp:positionV relativeFrom="page">
                  <wp:posOffset>4863465</wp:posOffset>
                </wp:positionV>
                <wp:extent cx="2181225" cy="84772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847725"/>
                        </a:xfrm>
                        <a:prstGeom prst="rect">
                          <a:avLst/>
                        </a:prstGeom>
                        <a:solidFill>
                          <a:srgbClr val="FFFFFF"/>
                        </a:solidFill>
                        <a:ln w="9525">
                          <a:solidFill>
                            <a:srgbClr val="000000"/>
                          </a:solidFill>
                          <a:miter lim="800000"/>
                          <a:headEnd/>
                          <a:tailEnd/>
                        </a:ln>
                      </wps:spPr>
                      <wps:txbx>
                        <w:txbxContent>
                          <w:p w:rsidR="00FB2511" w:rsidRPr="00575D4D" w:rsidRDefault="00FB2511" w:rsidP="00077677">
                            <w:pPr>
                              <w:jc w:val="center"/>
                              <w:rPr>
                                <w:rFonts w:ascii="Arial" w:hAnsi="Arial" w:cs="Arial"/>
                              </w:rPr>
                            </w:pPr>
                            <w:r>
                              <w:rPr>
                                <w:rFonts w:ascii="Arial" w:hAnsi="Arial" w:cs="Arial"/>
                              </w:rPr>
                              <w:t>Fig. 4</w:t>
                            </w:r>
                            <w:r w:rsidRPr="00575D4D">
                              <w:rPr>
                                <w:rFonts w:ascii="Arial" w:hAnsi="Arial" w:cs="Arial"/>
                              </w:rPr>
                              <w:t>:</w:t>
                            </w:r>
                            <w:r>
                              <w:rPr>
                                <w:rFonts w:ascii="Arial" w:hAnsi="Arial" w:cs="Arial"/>
                              </w:rPr>
                              <w:t xml:space="preserve"> Kneeling Statue of Hatshepsut © Metropolitan Museum of Art, Rodgers Fund, 23.3.1, New York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A4EFE8" id="_x0000_s1030" type="#_x0000_t202" style="position:absolute;margin-left:219pt;margin-top:382.95pt;width:171.75pt;height:66.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">
                <v:textbox>
                  <w:txbxContent>
                    <w:p w:rsidR="00FB2511" w:rsidRPr="00575D4D" w:rsidRDefault="00FB2511" w:rsidP="00077677">
                      <w:pPr>
                        <w:jc w:val="center"/>
                        <w:rPr>
                          <w:rFonts w:ascii="Arial" w:hAnsi="Arial" w:cs="Arial"/>
                        </w:rPr>
                      </w:pPr>
                      <w:r>
                        <w:rPr>
                          <w:rFonts w:ascii="Arial" w:hAnsi="Arial" w:cs="Arial"/>
                        </w:rPr>
                        <w:t>Fig. 4</w:t>
                      </w:r>
                      <w:r w:rsidRPr="00575D4D">
                        <w:rPr>
                          <w:rFonts w:ascii="Arial" w:hAnsi="Arial" w:cs="Arial"/>
                        </w:rPr>
                        <w:t>:</w:t>
                      </w:r>
                      <w:r>
                        <w:rPr>
                          <w:rFonts w:ascii="Arial" w:hAnsi="Arial" w:cs="Arial"/>
                        </w:rPr>
                        <w:t xml:space="preserve"> Kneeling Statue of Hatshepsut © Metropolitan Museum of Art, Rodgers Fund, 23.3.1, New York</w:t>
                      </w:r>
                    </w:p>
                  </w:txbxContent>
                </v:textbox>
                <w10:wrap type="square" anchory="page"/>
              </v:shape>
            </w:pict>
          </mc:Fallback>
        </mc:AlternateContent>
      </w:r>
      <w:r w:rsidR="00065840">
        <w:rPr>
          <w:rFonts w:ascii="Arial" w:hAnsi="Arial" w:cs="Arial"/>
        </w:rPr>
        <w:t>Women did have roy</w:t>
      </w:r>
      <w:r w:rsidR="00DE6676">
        <w:rPr>
          <w:rFonts w:ascii="Arial" w:hAnsi="Arial" w:cs="Arial"/>
        </w:rPr>
        <w:t>al roles in ancient Egypt, but few</w:t>
      </w:r>
      <w:r w:rsidR="00065840">
        <w:rPr>
          <w:rFonts w:ascii="Arial" w:hAnsi="Arial" w:cs="Arial"/>
        </w:rPr>
        <w:t xml:space="preserve"> women in around three thousand years of history were able to undertake the role of Pharaoh.</w:t>
      </w:r>
      <w:r w:rsidR="008E657A">
        <w:rPr>
          <w:rStyle w:val="FootnoteReference"/>
          <w:rFonts w:ascii="Arial" w:hAnsi="Arial" w:cs="Arial"/>
        </w:rPr>
        <w:footnoteReference w:id="45"/>
      </w:r>
      <w:r w:rsidR="008E657A">
        <w:rPr>
          <w:rFonts w:ascii="Arial" w:hAnsi="Arial" w:cs="Arial"/>
        </w:rPr>
        <w:t xml:space="preserve"> Seeing as the seat of power was viewed as a </w:t>
      </w:r>
      <w:r w:rsidR="00DE6676">
        <w:rPr>
          <w:rFonts w:ascii="Arial" w:hAnsi="Arial" w:cs="Arial"/>
        </w:rPr>
        <w:t xml:space="preserve">strictly </w:t>
      </w:r>
      <w:r w:rsidR="008E657A">
        <w:rPr>
          <w:rFonts w:ascii="Arial" w:hAnsi="Arial" w:cs="Arial"/>
        </w:rPr>
        <w:t>male role, these women were not queens, but female kings – often having to depict themselves as men to be seen as legitimate. Sculptures of these women were often made with male attributes such as beards and kilts</w:t>
      </w:r>
      <w:r w:rsidR="0079449B">
        <w:rPr>
          <w:rFonts w:ascii="Arial" w:hAnsi="Arial" w:cs="Arial"/>
        </w:rPr>
        <w:t xml:space="preserve"> (See Fig. 4)</w:t>
      </w:r>
      <w:r w:rsidR="008E657A">
        <w:rPr>
          <w:rFonts w:ascii="Arial" w:hAnsi="Arial" w:cs="Arial"/>
        </w:rPr>
        <w:t xml:space="preserve"> to allow them to adopt a persona and embrace the masculinity of kingship.</w:t>
      </w:r>
      <w:r w:rsidR="008E657A">
        <w:rPr>
          <w:rStyle w:val="FootnoteReference"/>
          <w:rFonts w:ascii="Arial" w:hAnsi="Arial" w:cs="Arial"/>
        </w:rPr>
        <w:footnoteReference w:id="46"/>
      </w:r>
      <w:r w:rsidR="008E657A">
        <w:rPr>
          <w:rFonts w:ascii="Arial" w:hAnsi="Arial" w:cs="Arial"/>
        </w:rPr>
        <w:t xml:space="preserve"> One of the only reasons that women were able to lead i</w:t>
      </w:r>
      <w:r w:rsidR="00BB6448">
        <w:rPr>
          <w:rFonts w:ascii="Arial" w:hAnsi="Arial" w:cs="Arial"/>
        </w:rPr>
        <w:t>n such a civilisation with royal</w:t>
      </w:r>
      <w:r w:rsidR="008E657A">
        <w:rPr>
          <w:rFonts w:ascii="Arial" w:hAnsi="Arial" w:cs="Arial"/>
        </w:rPr>
        <w:t xml:space="preserve"> male domination was due to an underlying acceptance of gender fluidity tha</w:t>
      </w:r>
      <w:r w:rsidR="0079449B">
        <w:rPr>
          <w:rFonts w:ascii="Arial" w:hAnsi="Arial" w:cs="Arial"/>
        </w:rPr>
        <w:t xml:space="preserve">t is seen in Egypt at this time - </w:t>
      </w:r>
      <w:r w:rsidR="008E657A">
        <w:rPr>
          <w:rStyle w:val="FootnoteReference"/>
          <w:rFonts w:ascii="Arial" w:hAnsi="Arial" w:cs="Arial"/>
        </w:rPr>
        <w:footnoteReference w:id="47"/>
      </w:r>
      <w:r w:rsidR="0079449B">
        <w:rPr>
          <w:rFonts w:ascii="Arial" w:hAnsi="Arial" w:cs="Arial"/>
        </w:rPr>
        <w:t xml:space="preserve"> especially for women. In order to be reborn, both men and women had to identify with the ma</w:t>
      </w:r>
      <w:r w:rsidR="00711126">
        <w:rPr>
          <w:rFonts w:ascii="Arial" w:hAnsi="Arial" w:cs="Arial"/>
        </w:rPr>
        <w:t>le god Osiris, women having to</w:t>
      </w:r>
      <w:r w:rsidR="004674A2">
        <w:rPr>
          <w:rFonts w:ascii="Arial" w:hAnsi="Arial" w:cs="Arial"/>
        </w:rPr>
        <w:t xml:space="preserve"> (as Graves-Brown calls it)</w:t>
      </w:r>
      <w:r w:rsidR="00711126">
        <w:rPr>
          <w:rFonts w:ascii="Arial" w:hAnsi="Arial" w:cs="Arial"/>
        </w:rPr>
        <w:t xml:space="preserve"> ‘regender’</w:t>
      </w:r>
      <w:r w:rsidR="0079449B">
        <w:rPr>
          <w:rFonts w:ascii="Arial" w:hAnsi="Arial" w:cs="Arial"/>
        </w:rPr>
        <w:t xml:space="preserve"> themselves in order to be reborn into the afterlife.</w:t>
      </w:r>
      <w:r w:rsidR="0079449B">
        <w:rPr>
          <w:rStyle w:val="FootnoteReference"/>
          <w:rFonts w:ascii="Arial" w:hAnsi="Arial" w:cs="Arial"/>
        </w:rPr>
        <w:footnoteReference w:id="48"/>
      </w:r>
      <w:r w:rsidR="0079449B">
        <w:rPr>
          <w:rFonts w:ascii="Arial" w:hAnsi="Arial" w:cs="Arial"/>
        </w:rPr>
        <w:t xml:space="preserve"> This distinction between sex and gender that seems apparent in ancient Egypt</w:t>
      </w:r>
      <w:r w:rsidR="00DE6676">
        <w:rPr>
          <w:rFonts w:ascii="Arial" w:hAnsi="Arial" w:cs="Arial"/>
        </w:rPr>
        <w:t>ian</w:t>
      </w:r>
      <w:r w:rsidR="00BB6448">
        <w:rPr>
          <w:rFonts w:ascii="Arial" w:hAnsi="Arial" w:cs="Arial"/>
        </w:rPr>
        <w:t xml:space="preserve"> royalty</w:t>
      </w:r>
      <w:r w:rsidR="0079449B">
        <w:rPr>
          <w:rFonts w:ascii="Arial" w:hAnsi="Arial" w:cs="Arial"/>
        </w:rPr>
        <w:t xml:space="preserve"> is exceptional, considering that this </w:t>
      </w:r>
      <w:r w:rsidR="0079449B">
        <w:rPr>
          <w:rFonts w:ascii="Arial" w:hAnsi="Arial" w:cs="Arial"/>
        </w:rPr>
        <w:lastRenderedPageBreak/>
        <w:t>conc</w:t>
      </w:r>
      <w:r w:rsidR="00BB6448">
        <w:rPr>
          <w:rFonts w:ascii="Arial" w:hAnsi="Arial" w:cs="Arial"/>
        </w:rPr>
        <w:t>ept is relatively new in</w:t>
      </w:r>
      <w:r w:rsidR="0079449B">
        <w:rPr>
          <w:rFonts w:ascii="Arial" w:hAnsi="Arial" w:cs="Arial"/>
        </w:rPr>
        <w:t xml:space="preserve"> modern thou</w:t>
      </w:r>
      <w:r w:rsidR="00DE6676">
        <w:rPr>
          <w:rFonts w:ascii="Arial" w:hAnsi="Arial" w:cs="Arial"/>
        </w:rPr>
        <w:t>ght. It is only in the last few decades</w:t>
      </w:r>
      <w:r w:rsidR="00BB6448">
        <w:rPr>
          <w:rFonts w:ascii="Arial" w:hAnsi="Arial" w:cs="Arial"/>
        </w:rPr>
        <w:t xml:space="preserve"> that people in </w:t>
      </w:r>
      <w:r w:rsidR="00E67A42">
        <w:rPr>
          <w:rFonts w:ascii="Arial" w:hAnsi="Arial" w:cs="Arial"/>
        </w:rPr>
        <w:t xml:space="preserve">some </w:t>
      </w:r>
      <w:r w:rsidR="00BB6448">
        <w:rPr>
          <w:rFonts w:ascii="Arial" w:hAnsi="Arial" w:cs="Arial"/>
        </w:rPr>
        <w:t>modern</w:t>
      </w:r>
      <w:r w:rsidR="0079449B">
        <w:rPr>
          <w:rFonts w:ascii="Arial" w:hAnsi="Arial" w:cs="Arial"/>
        </w:rPr>
        <w:t xml:space="preserve"> </w:t>
      </w:r>
      <w:r w:rsidR="00BB6448">
        <w:rPr>
          <w:rFonts w:ascii="Arial" w:hAnsi="Arial" w:cs="Arial"/>
        </w:rPr>
        <w:t>cultures</w:t>
      </w:r>
      <w:r w:rsidR="0079449B">
        <w:rPr>
          <w:rFonts w:ascii="Arial" w:hAnsi="Arial" w:cs="Arial"/>
        </w:rPr>
        <w:t xml:space="preserve"> have made the attempt to</w:t>
      </w:r>
      <w:r w:rsidR="00BB6448">
        <w:rPr>
          <w:rFonts w:ascii="Arial" w:hAnsi="Arial" w:cs="Arial"/>
        </w:rPr>
        <w:t xml:space="preserve"> deconstruct the gender dualism pervasive in society</w:t>
      </w:r>
      <w:r w:rsidR="0079449B">
        <w:rPr>
          <w:rFonts w:ascii="Arial" w:hAnsi="Arial" w:cs="Arial"/>
        </w:rPr>
        <w:t>.</w:t>
      </w:r>
      <w:r w:rsidR="0079449B">
        <w:rPr>
          <w:rStyle w:val="FootnoteReference"/>
          <w:rFonts w:ascii="Arial" w:hAnsi="Arial" w:cs="Arial"/>
        </w:rPr>
        <w:footnoteReference w:id="49"/>
      </w:r>
      <w:r w:rsidR="0079449B">
        <w:rPr>
          <w:rFonts w:ascii="Arial" w:hAnsi="Arial" w:cs="Arial"/>
        </w:rPr>
        <w:t xml:space="preserve"> As in the positions and identifications of these female kings in ancient E</w:t>
      </w:r>
      <w:r w:rsidR="00BB6448">
        <w:rPr>
          <w:rFonts w:ascii="Arial" w:hAnsi="Arial" w:cs="Arial"/>
        </w:rPr>
        <w:t xml:space="preserve">gypt, people in the modern world </w:t>
      </w:r>
      <w:r w:rsidR="0079449B">
        <w:rPr>
          <w:rFonts w:ascii="Arial" w:hAnsi="Arial" w:cs="Arial"/>
        </w:rPr>
        <w:t>are now discovering how certain gender identifications change their social recognition</w:t>
      </w:r>
      <w:r w:rsidR="00DE6676">
        <w:rPr>
          <w:rFonts w:ascii="Arial" w:hAnsi="Arial" w:cs="Arial"/>
        </w:rPr>
        <w:t>,</w:t>
      </w:r>
      <w:r w:rsidR="0079449B">
        <w:rPr>
          <w:rFonts w:ascii="Arial" w:hAnsi="Arial" w:cs="Arial"/>
        </w:rPr>
        <w:t xml:space="preserve"> and realising that one is not bound to</w:t>
      </w:r>
      <w:r w:rsidR="00024BF7">
        <w:rPr>
          <w:rFonts w:ascii="Arial" w:hAnsi="Arial" w:cs="Arial"/>
        </w:rPr>
        <w:t xml:space="preserve"> the generalisations around</w:t>
      </w:r>
      <w:r w:rsidR="0079449B">
        <w:rPr>
          <w:rFonts w:ascii="Arial" w:hAnsi="Arial" w:cs="Arial"/>
        </w:rPr>
        <w:t xml:space="preserve"> a static biological sex.</w:t>
      </w:r>
      <w:r w:rsidR="0079449B">
        <w:rPr>
          <w:rStyle w:val="FootnoteReference"/>
          <w:rFonts w:ascii="Arial" w:hAnsi="Arial" w:cs="Arial"/>
        </w:rPr>
        <w:footnoteReference w:id="50"/>
      </w:r>
      <w:r w:rsidR="0079449B">
        <w:rPr>
          <w:rFonts w:ascii="Arial" w:hAnsi="Arial" w:cs="Arial"/>
        </w:rPr>
        <w:t xml:space="preserve"> These new identifications of gender are negotiated depending on the people and the settings, contingent on the function of interactions and </w:t>
      </w:r>
      <w:r w:rsidR="00024BF7">
        <w:rPr>
          <w:rFonts w:ascii="Arial" w:hAnsi="Arial" w:cs="Arial"/>
        </w:rPr>
        <w:t xml:space="preserve">social </w:t>
      </w:r>
      <w:r w:rsidR="00BB6448">
        <w:rPr>
          <w:rFonts w:ascii="Arial" w:hAnsi="Arial" w:cs="Arial"/>
        </w:rPr>
        <w:t>rules.</w:t>
      </w:r>
      <w:r w:rsidR="00BB6448">
        <w:rPr>
          <w:rStyle w:val="FootnoteReference"/>
          <w:rFonts w:ascii="Arial" w:hAnsi="Arial" w:cs="Arial"/>
        </w:rPr>
        <w:footnoteReference w:id="51"/>
      </w:r>
      <w:r w:rsidR="00BB6448">
        <w:rPr>
          <w:rFonts w:ascii="Arial" w:hAnsi="Arial" w:cs="Arial"/>
        </w:rPr>
        <w:t xml:space="preserve"> As Davis states, in his study of gender identification and regulation of gender diversity:</w:t>
      </w:r>
      <w:r w:rsidR="001363CF">
        <w:rPr>
          <w:rFonts w:ascii="Arial" w:hAnsi="Arial" w:cs="Arial"/>
        </w:rPr>
        <w:t xml:space="preserve"> </w:t>
      </w:r>
    </w:p>
    <w:p w:rsidR="001363CF" w:rsidRDefault="00BB6448" w:rsidP="001363CF">
      <w:pPr>
        <w:spacing w:line="480" w:lineRule="auto"/>
        <w:ind w:left="567" w:right="970"/>
        <w:rPr>
          <w:rFonts w:ascii="Arial" w:hAnsi="Arial" w:cs="Arial"/>
        </w:rPr>
      </w:pPr>
      <w:r>
        <w:rPr>
          <w:rFonts w:ascii="Arial" w:hAnsi="Arial" w:cs="Arial"/>
        </w:rPr>
        <w:t>“</w:t>
      </w:r>
      <w:r>
        <w:rPr>
          <w:rFonts w:ascii="Arial" w:hAnsi="Arial" w:cs="Arial"/>
          <w:i/>
        </w:rPr>
        <w:t>Gender fluidity implies an escape from the constraints of gender assumptions and a refusal to stay within one category or another</w:t>
      </w:r>
      <w:r>
        <w:rPr>
          <w:rFonts w:ascii="Arial" w:hAnsi="Arial" w:cs="Arial"/>
        </w:rPr>
        <w:t>”</w:t>
      </w:r>
      <w:r>
        <w:rPr>
          <w:rStyle w:val="FootnoteReference"/>
          <w:rFonts w:ascii="Arial" w:hAnsi="Arial" w:cs="Arial"/>
        </w:rPr>
        <w:footnoteReference w:id="52"/>
      </w:r>
    </w:p>
    <w:p w:rsidR="00BB6448" w:rsidRDefault="00BB6448" w:rsidP="001363CF">
      <w:pPr>
        <w:spacing w:line="480" w:lineRule="auto"/>
        <w:ind w:right="-23"/>
        <w:rPr>
          <w:rFonts w:ascii="Arial" w:hAnsi="Arial" w:cs="Arial"/>
        </w:rPr>
      </w:pPr>
      <w:r>
        <w:rPr>
          <w:rFonts w:ascii="Arial" w:hAnsi="Arial" w:cs="Arial"/>
        </w:rPr>
        <w:t xml:space="preserve">And it is this very modern interpretation </w:t>
      </w:r>
      <w:r w:rsidR="00024BF7">
        <w:rPr>
          <w:rFonts w:ascii="Arial" w:hAnsi="Arial" w:cs="Arial"/>
        </w:rPr>
        <w:t xml:space="preserve">that </w:t>
      </w:r>
      <w:r>
        <w:rPr>
          <w:rFonts w:ascii="Arial" w:hAnsi="Arial" w:cs="Arial"/>
        </w:rPr>
        <w:t>aligns incr</w:t>
      </w:r>
      <w:r w:rsidR="00D112D6">
        <w:rPr>
          <w:rFonts w:ascii="Arial" w:hAnsi="Arial" w:cs="Arial"/>
        </w:rPr>
        <w:t xml:space="preserve">edibly well to the state of </w:t>
      </w:r>
      <w:r>
        <w:rPr>
          <w:rFonts w:ascii="Arial" w:hAnsi="Arial" w:cs="Arial"/>
        </w:rPr>
        <w:t xml:space="preserve">women in the seat of </w:t>
      </w:r>
      <w:r w:rsidR="00024BF7">
        <w:rPr>
          <w:rFonts w:ascii="Arial" w:hAnsi="Arial" w:cs="Arial"/>
        </w:rPr>
        <w:t>Pharaoh in Ancient Egypt. In</w:t>
      </w:r>
      <w:r>
        <w:rPr>
          <w:rFonts w:ascii="Arial" w:hAnsi="Arial" w:cs="Arial"/>
        </w:rPr>
        <w:t xml:space="preserve"> this way, gender is given an incredibly</w:t>
      </w:r>
      <w:r w:rsidR="00024BF7">
        <w:rPr>
          <w:rFonts w:ascii="Arial" w:hAnsi="Arial" w:cs="Arial"/>
        </w:rPr>
        <w:t xml:space="preserve"> modern and liberal perspective</w:t>
      </w:r>
      <w:r>
        <w:rPr>
          <w:rFonts w:ascii="Arial" w:hAnsi="Arial" w:cs="Arial"/>
        </w:rPr>
        <w:t xml:space="preserve"> in an ancient society; which is a rather incredible interpretation given the time these women were in power and </w:t>
      </w:r>
      <w:r w:rsidR="00AF52E0">
        <w:rPr>
          <w:rFonts w:ascii="Arial" w:hAnsi="Arial" w:cs="Arial"/>
        </w:rPr>
        <w:t xml:space="preserve">when </w:t>
      </w:r>
      <w:r>
        <w:rPr>
          <w:rFonts w:ascii="Arial" w:hAnsi="Arial" w:cs="Arial"/>
        </w:rPr>
        <w:t xml:space="preserve">this civilisation was active. </w:t>
      </w:r>
    </w:p>
    <w:p w:rsidR="004063F9" w:rsidRDefault="000D68B9" w:rsidP="00CF656D">
      <w:pPr>
        <w:spacing w:line="480" w:lineRule="auto"/>
        <w:ind w:right="95"/>
        <w:rPr>
          <w:rFonts w:ascii="Arial" w:hAnsi="Arial" w:cs="Arial"/>
        </w:rPr>
      </w:pPr>
      <w:r>
        <w:rPr>
          <w:rFonts w:ascii="Arial" w:hAnsi="Arial" w:cs="Arial"/>
        </w:rPr>
        <w:t xml:space="preserve">In terms of the amount of time, or the ways in which these women came to power, they were all in exceptional circumstances. Sobekneferu is the </w:t>
      </w:r>
      <w:r>
        <w:rPr>
          <w:rFonts w:ascii="Arial" w:hAnsi="Arial" w:cs="Arial"/>
        </w:rPr>
        <w:lastRenderedPageBreak/>
        <w:t>only female pharaoh that we are sure wa</w:t>
      </w:r>
      <w:r w:rsidR="007974E6">
        <w:rPr>
          <w:rFonts w:ascii="Arial" w:hAnsi="Arial" w:cs="Arial"/>
        </w:rPr>
        <w:t>s able to rule in her own right.</w:t>
      </w:r>
      <w:r>
        <w:rPr>
          <w:rStyle w:val="FootnoteReference"/>
          <w:rFonts w:ascii="Arial" w:hAnsi="Arial" w:cs="Arial"/>
        </w:rPr>
        <w:footnoteReference w:id="53"/>
      </w:r>
      <w:r w:rsidR="007974E6">
        <w:rPr>
          <w:rFonts w:ascii="Arial" w:hAnsi="Arial" w:cs="Arial"/>
        </w:rPr>
        <w:t xml:space="preserve"> S</w:t>
      </w:r>
      <w:r>
        <w:rPr>
          <w:rFonts w:ascii="Arial" w:hAnsi="Arial" w:cs="Arial"/>
        </w:rPr>
        <w:t xml:space="preserve">he came to the throne in a politically unsecure time, </w:t>
      </w:r>
      <w:r w:rsidR="007974E6">
        <w:rPr>
          <w:rFonts w:ascii="Arial" w:hAnsi="Arial" w:cs="Arial"/>
        </w:rPr>
        <w:t xml:space="preserve">(The reasons why she was able </w:t>
      </w:r>
      <w:r w:rsidR="007F2034">
        <w:rPr>
          <w:rFonts w:ascii="Arial" w:hAnsi="Arial" w:cs="Arial"/>
        </w:rPr>
        <w:t>to ascend to this</w:t>
      </w:r>
      <w:r w:rsidR="00AF52E0">
        <w:rPr>
          <w:rFonts w:ascii="Arial" w:hAnsi="Arial" w:cs="Arial"/>
        </w:rPr>
        <w:t xml:space="preserve"> </w:t>
      </w:r>
      <w:r w:rsidR="007F2034">
        <w:rPr>
          <w:rFonts w:ascii="Arial" w:hAnsi="Arial" w:cs="Arial"/>
        </w:rPr>
        <w:t>position</w:t>
      </w:r>
      <w:r w:rsidR="007974E6">
        <w:rPr>
          <w:rFonts w:ascii="Arial" w:hAnsi="Arial" w:cs="Arial"/>
        </w:rPr>
        <w:t xml:space="preserve"> </w:t>
      </w:r>
      <w:r w:rsidR="00AF52E0">
        <w:rPr>
          <w:rFonts w:ascii="Arial" w:hAnsi="Arial" w:cs="Arial"/>
        </w:rPr>
        <w:t xml:space="preserve">is </w:t>
      </w:r>
      <w:r w:rsidR="007974E6">
        <w:rPr>
          <w:rFonts w:ascii="Arial" w:hAnsi="Arial" w:cs="Arial"/>
        </w:rPr>
        <w:t>unknown</w:t>
      </w:r>
      <w:r w:rsidR="007974E6">
        <w:rPr>
          <w:rStyle w:val="FootnoteReference"/>
          <w:rFonts w:ascii="Arial" w:hAnsi="Arial" w:cs="Arial"/>
        </w:rPr>
        <w:footnoteReference w:id="54"/>
      </w:r>
      <w:r w:rsidR="007974E6">
        <w:rPr>
          <w:rFonts w:ascii="Arial" w:hAnsi="Arial" w:cs="Arial"/>
        </w:rPr>
        <w:t xml:space="preserve">) </w:t>
      </w:r>
      <w:r>
        <w:rPr>
          <w:rFonts w:ascii="Arial" w:hAnsi="Arial" w:cs="Arial"/>
        </w:rPr>
        <w:t>and</w:t>
      </w:r>
      <w:r w:rsidR="007974E6">
        <w:rPr>
          <w:rFonts w:ascii="Arial" w:hAnsi="Arial" w:cs="Arial"/>
        </w:rPr>
        <w:t xml:space="preserve"> thus</w:t>
      </w:r>
      <w:r>
        <w:rPr>
          <w:rFonts w:ascii="Arial" w:hAnsi="Arial" w:cs="Arial"/>
        </w:rPr>
        <w:t xml:space="preserve"> was only able to secure three </w:t>
      </w:r>
      <w:r w:rsidR="00E67A42">
        <w:rPr>
          <w:rFonts w:ascii="Arial" w:hAnsi="Arial" w:cs="Arial"/>
        </w:rPr>
        <w:t>years in power</w:t>
      </w:r>
      <w:r>
        <w:rPr>
          <w:rStyle w:val="FootnoteReference"/>
          <w:rFonts w:ascii="Arial" w:hAnsi="Arial" w:cs="Arial"/>
        </w:rPr>
        <w:footnoteReference w:id="55"/>
      </w:r>
      <w:r>
        <w:rPr>
          <w:rFonts w:ascii="Arial" w:hAnsi="Arial" w:cs="Arial"/>
        </w:rPr>
        <w:t xml:space="preserve"> (Three years, ten months, and twenty-four days according to the Turin Canon</w:t>
      </w:r>
      <w:r>
        <w:rPr>
          <w:rStyle w:val="FootnoteReference"/>
          <w:rFonts w:ascii="Arial" w:hAnsi="Arial" w:cs="Arial"/>
        </w:rPr>
        <w:footnoteReference w:id="56"/>
      </w:r>
      <w:r>
        <w:rPr>
          <w:rFonts w:ascii="Arial" w:hAnsi="Arial" w:cs="Arial"/>
        </w:rPr>
        <w:t>) at the end of the twelfth dynasty.</w:t>
      </w:r>
      <w:r>
        <w:rPr>
          <w:rStyle w:val="FootnoteReference"/>
          <w:rFonts w:ascii="Arial" w:hAnsi="Arial" w:cs="Arial"/>
        </w:rPr>
        <w:footnoteReference w:id="57"/>
      </w:r>
      <w:r w:rsidR="007974E6">
        <w:rPr>
          <w:rFonts w:ascii="Arial" w:hAnsi="Arial" w:cs="Arial"/>
        </w:rPr>
        <w:t xml:space="preserve"> Yet, there seems to be no documented resent against her, despite the short amount of time that she was in power.</w:t>
      </w:r>
      <w:r w:rsidR="0090543A">
        <w:rPr>
          <w:rStyle w:val="FootnoteReference"/>
          <w:rFonts w:ascii="Arial" w:hAnsi="Arial" w:cs="Arial"/>
        </w:rPr>
        <w:footnoteReference w:id="58"/>
      </w:r>
      <w:r>
        <w:rPr>
          <w:rFonts w:ascii="Arial" w:hAnsi="Arial" w:cs="Arial"/>
        </w:rPr>
        <w:t xml:space="preserve"> </w:t>
      </w:r>
      <w:r w:rsidR="007974E6">
        <w:rPr>
          <w:rFonts w:ascii="Arial" w:hAnsi="Arial" w:cs="Arial"/>
        </w:rPr>
        <w:t xml:space="preserve"> Before her reign, she was a royal princess, the sister (and potentially consort)</w:t>
      </w:r>
      <w:r w:rsidR="00906B6A">
        <w:rPr>
          <w:rFonts w:ascii="Arial" w:hAnsi="Arial" w:cs="Arial"/>
        </w:rPr>
        <w:t xml:space="preserve"> of</w:t>
      </w:r>
      <w:r w:rsidR="007974E6">
        <w:rPr>
          <w:rFonts w:ascii="Arial" w:hAnsi="Arial" w:cs="Arial"/>
        </w:rPr>
        <w:t xml:space="preserve"> Amenemhat IV, and believed to be the daughter of Amenemhat III.</w:t>
      </w:r>
      <w:r w:rsidR="007974E6">
        <w:rPr>
          <w:rStyle w:val="FootnoteReference"/>
          <w:rFonts w:ascii="Arial" w:hAnsi="Arial" w:cs="Arial"/>
        </w:rPr>
        <w:footnoteReference w:id="59"/>
      </w:r>
      <w:r w:rsidR="007974E6">
        <w:rPr>
          <w:rFonts w:ascii="Arial" w:hAnsi="Arial" w:cs="Arial"/>
        </w:rPr>
        <w:t xml:space="preserve"> </w:t>
      </w:r>
      <w:r w:rsidR="0090543A">
        <w:rPr>
          <w:rFonts w:ascii="Arial" w:hAnsi="Arial" w:cs="Arial"/>
        </w:rPr>
        <w:t xml:space="preserve">In </w:t>
      </w:r>
      <w:r w:rsidR="009B2B7B">
        <w:rPr>
          <w:noProof/>
          <w:lang w:eastAsia="en-GB"/>
        </w:rPr>
        <w:drawing>
          <wp:anchor distT="0" distB="0" distL="114300" distR="114300" simplePos="0" relativeHeight="251693056" behindDoc="0" locked="0" layoutInCell="1" allowOverlap="1">
            <wp:simplePos x="0" y="0"/>
            <wp:positionH relativeFrom="column">
              <wp:posOffset>2837815</wp:posOffset>
            </wp:positionH>
            <wp:positionV relativeFrom="paragraph">
              <wp:posOffset>3385820</wp:posOffset>
            </wp:positionV>
            <wp:extent cx="2037080" cy="2828925"/>
            <wp:effectExtent l="0" t="0" r="1270" b="9525"/>
            <wp:wrapSquare wrapText="bothSides"/>
            <wp:docPr id="22" name="Picture 22" descr="https://upload.wikimedia.org/wikipedia/commons/8/89/Statue_of_Sobekneferu_%28Berlin_Egyptian_Museum_1447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8/89/Statue_of_Sobekneferu_%28Berlin_Egyptian_Museum_14475%29.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37080" cy="2828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43A">
        <w:rPr>
          <w:rFonts w:ascii="Arial" w:hAnsi="Arial" w:cs="Arial"/>
        </w:rPr>
        <w:t>order to help herself prove her legitimacy, Sobekneferu related herself more with her successful father than her less successful brother.</w:t>
      </w:r>
      <w:r w:rsidR="0090543A">
        <w:rPr>
          <w:rStyle w:val="FootnoteReference"/>
          <w:rFonts w:ascii="Arial" w:hAnsi="Arial" w:cs="Arial"/>
        </w:rPr>
        <w:footnoteReference w:id="60"/>
      </w:r>
      <w:r w:rsidR="0090543A">
        <w:rPr>
          <w:rFonts w:ascii="Arial" w:hAnsi="Arial" w:cs="Arial"/>
        </w:rPr>
        <w:t xml:space="preserve"> </w:t>
      </w:r>
      <w:r w:rsidR="007974E6">
        <w:rPr>
          <w:rFonts w:ascii="Arial" w:hAnsi="Arial" w:cs="Arial"/>
        </w:rPr>
        <w:t>Sobekneferu took on the title of the “</w:t>
      </w:r>
      <w:r w:rsidR="007974E6" w:rsidRPr="00711126">
        <w:rPr>
          <w:rFonts w:ascii="Arial" w:hAnsi="Arial" w:cs="Arial"/>
          <w:i/>
        </w:rPr>
        <w:t>Lord of Doing Things</w:t>
      </w:r>
      <w:r w:rsidR="007974E6">
        <w:rPr>
          <w:rFonts w:ascii="Arial" w:hAnsi="Arial" w:cs="Arial"/>
        </w:rPr>
        <w:t>”, but in the feminine form (The only other woman to use his title being Hatshepsut).</w:t>
      </w:r>
      <w:r w:rsidR="007974E6">
        <w:rPr>
          <w:rStyle w:val="FootnoteReference"/>
          <w:rFonts w:ascii="Arial" w:hAnsi="Arial" w:cs="Arial"/>
        </w:rPr>
        <w:footnoteReference w:id="61"/>
      </w:r>
      <w:r w:rsidR="007974E6">
        <w:rPr>
          <w:rFonts w:ascii="Arial" w:hAnsi="Arial" w:cs="Arial"/>
        </w:rPr>
        <w:t xml:space="preserve"> As well as this, she is the first woman we know of who carr</w:t>
      </w:r>
      <w:r w:rsidR="00CF656D">
        <w:rPr>
          <w:rFonts w:ascii="Arial" w:hAnsi="Arial" w:cs="Arial"/>
        </w:rPr>
        <w:t xml:space="preserve">ied the </w:t>
      </w:r>
      <w:r w:rsidR="009B2B7B" w:rsidRPr="00575D4D">
        <w:rPr>
          <w:rFonts w:ascii="Arial" w:hAnsi="Arial" w:cs="Arial"/>
          <w:noProof/>
          <w:lang w:eastAsia="en-GB"/>
        </w:rPr>
        <mc:AlternateContent>
          <mc:Choice Requires="wps">
            <w:drawing>
              <wp:anchor distT="45720" distB="45720" distL="114300" distR="114300" simplePos="0" relativeHeight="251695104" behindDoc="0" locked="0" layoutInCell="1" allowOverlap="1" wp14:anchorId="4C9437B6" wp14:editId="6D2A2392">
                <wp:simplePos x="0" y="0"/>
                <wp:positionH relativeFrom="column">
                  <wp:posOffset>2832735</wp:posOffset>
                </wp:positionH>
                <wp:positionV relativeFrom="page">
                  <wp:posOffset>7191375</wp:posOffset>
                </wp:positionV>
                <wp:extent cx="2037080" cy="923925"/>
                <wp:effectExtent l="0" t="0" r="2032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7080" cy="923925"/>
                        </a:xfrm>
                        <a:prstGeom prst="rect">
                          <a:avLst/>
                        </a:prstGeom>
                        <a:solidFill>
                          <a:srgbClr val="FFFFFF"/>
                        </a:solidFill>
                        <a:ln w="9525">
                          <a:solidFill>
                            <a:srgbClr val="000000"/>
                          </a:solidFill>
                          <a:miter lim="800000"/>
                          <a:headEnd/>
                          <a:tailEnd/>
                        </a:ln>
                      </wps:spPr>
                      <wps:txbx>
                        <w:txbxContent>
                          <w:p w:rsidR="00FB2511" w:rsidRPr="00575D4D" w:rsidRDefault="00FB2511" w:rsidP="0090543A">
                            <w:pPr>
                              <w:jc w:val="center"/>
                              <w:rPr>
                                <w:rFonts w:ascii="Arial" w:hAnsi="Arial" w:cs="Arial"/>
                              </w:rPr>
                            </w:pPr>
                            <w:r>
                              <w:rPr>
                                <w:rFonts w:ascii="Arial" w:hAnsi="Arial" w:cs="Arial"/>
                              </w:rPr>
                              <w:t>Fig. 5: Statue of Sobekneferu, Hedwig Fechheimer, 1914, Berlin Egyptian Museum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437B6" id="_x0000_s1031" type="#_x0000_t202" style="position:absolute;margin-left:223.05pt;margin-top:566.25pt;width:160.4pt;height:72.7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">
                <v:textbox>
                  <w:txbxContent>
                    <w:p w:rsidR="00FB2511" w:rsidRPr="00575D4D" w:rsidRDefault="00FB2511" w:rsidP="0090543A">
                      <w:pPr>
                        <w:jc w:val="center"/>
                        <w:rPr>
                          <w:rFonts w:ascii="Arial" w:hAnsi="Arial" w:cs="Arial"/>
                        </w:rPr>
                      </w:pPr>
                      <w:r>
                        <w:rPr>
                          <w:rFonts w:ascii="Arial" w:hAnsi="Arial" w:cs="Arial"/>
                        </w:rPr>
                        <w:t>Fig. 5: Statue of Sobekneferu, Hedwig Fechheimer, 1914, Berlin Egyptian Museum</w:t>
                      </w:r>
                    </w:p>
                  </w:txbxContent>
                </v:textbox>
                <w10:wrap type="square" anchory="page"/>
              </v:shape>
            </w:pict>
          </mc:Fallback>
        </mc:AlternateContent>
      </w:r>
      <w:r w:rsidR="00CF656D">
        <w:rPr>
          <w:rFonts w:ascii="Arial" w:hAnsi="Arial" w:cs="Arial"/>
        </w:rPr>
        <w:t xml:space="preserve">full titulary of a king (See A1.3). </w:t>
      </w:r>
      <w:r w:rsidR="0090543A">
        <w:rPr>
          <w:rFonts w:ascii="Arial" w:hAnsi="Arial" w:cs="Arial"/>
        </w:rPr>
        <w:t xml:space="preserve">Even though she took the position as king, she is depicted as female in </w:t>
      </w:r>
      <w:r w:rsidR="0090543A">
        <w:rPr>
          <w:rFonts w:ascii="Arial" w:hAnsi="Arial" w:cs="Arial"/>
        </w:rPr>
        <w:lastRenderedPageBreak/>
        <w:t>appearance</w:t>
      </w:r>
      <w:r w:rsidR="004063F9">
        <w:rPr>
          <w:rFonts w:ascii="Arial" w:hAnsi="Arial" w:cs="Arial"/>
        </w:rPr>
        <w:t xml:space="preserve"> (See Fig.5</w:t>
      </w:r>
      <w:r w:rsidR="0090543A">
        <w:rPr>
          <w:rFonts w:ascii="Arial" w:hAnsi="Arial" w:cs="Arial"/>
        </w:rPr>
        <w:t xml:space="preserve">), yet </w:t>
      </w:r>
      <w:r w:rsidR="00906B6A">
        <w:rPr>
          <w:rFonts w:ascii="Arial" w:hAnsi="Arial" w:cs="Arial"/>
        </w:rPr>
        <w:t xml:space="preserve">often </w:t>
      </w:r>
      <w:r w:rsidR="0090543A">
        <w:rPr>
          <w:rFonts w:ascii="Arial" w:hAnsi="Arial" w:cs="Arial"/>
        </w:rPr>
        <w:t>in a male pose – trampling the enemies of Egypt.</w:t>
      </w:r>
      <w:r w:rsidR="0090543A">
        <w:rPr>
          <w:rStyle w:val="FootnoteReference"/>
          <w:rFonts w:ascii="Arial" w:hAnsi="Arial" w:cs="Arial"/>
        </w:rPr>
        <w:footnoteReference w:id="62"/>
      </w:r>
    </w:p>
    <w:p w:rsidR="007F2034" w:rsidRDefault="000D68B9" w:rsidP="00906B6A">
      <w:pPr>
        <w:spacing w:line="480" w:lineRule="auto"/>
        <w:ind w:right="-23"/>
        <w:rPr>
          <w:rFonts w:ascii="Arial" w:hAnsi="Arial" w:cs="Arial"/>
        </w:rPr>
      </w:pPr>
      <w:r>
        <w:rPr>
          <w:rFonts w:ascii="Arial" w:hAnsi="Arial" w:cs="Arial"/>
        </w:rPr>
        <w:t>Both Hatshepsut and Twosret became Pharaohs after taking on the</w:t>
      </w:r>
      <w:r w:rsidR="007F2034">
        <w:rPr>
          <w:rFonts w:ascii="Arial" w:hAnsi="Arial" w:cs="Arial"/>
        </w:rPr>
        <w:t xml:space="preserve"> role of regent</w:t>
      </w:r>
      <w:r w:rsidR="00DE6676">
        <w:rPr>
          <w:rFonts w:ascii="Arial" w:hAnsi="Arial" w:cs="Arial"/>
        </w:rPr>
        <w:t xml:space="preserve"> for </w:t>
      </w:r>
      <w:r w:rsidR="007974E6">
        <w:rPr>
          <w:rFonts w:ascii="Arial" w:hAnsi="Arial" w:cs="Arial"/>
        </w:rPr>
        <w:t xml:space="preserve">their </w:t>
      </w:r>
      <w:r w:rsidR="00DE6676">
        <w:rPr>
          <w:rFonts w:ascii="Arial" w:hAnsi="Arial" w:cs="Arial"/>
        </w:rPr>
        <w:t>young step</w:t>
      </w:r>
      <w:r>
        <w:rPr>
          <w:rFonts w:ascii="Arial" w:hAnsi="Arial" w:cs="Arial"/>
        </w:rPr>
        <w:t xml:space="preserve">sons. When Siptah (Twosret’s stepson) died, this left Egypt with no </w:t>
      </w:r>
      <w:r w:rsidR="00906B6A">
        <w:rPr>
          <w:rFonts w:ascii="Arial" w:hAnsi="Arial" w:cs="Arial"/>
        </w:rPr>
        <w:t xml:space="preserve">apparent heir, Twosret stepping </w:t>
      </w:r>
      <w:r>
        <w:rPr>
          <w:rFonts w:ascii="Arial" w:hAnsi="Arial" w:cs="Arial"/>
        </w:rPr>
        <w:t>forward</w:t>
      </w:r>
      <w:r w:rsidR="00906B6A">
        <w:rPr>
          <w:rFonts w:ascii="Arial" w:hAnsi="Arial" w:cs="Arial"/>
        </w:rPr>
        <w:t>, taking advantage of a period of anarchy</w:t>
      </w:r>
      <w:r w:rsidR="00906B6A">
        <w:rPr>
          <w:rStyle w:val="FootnoteReference"/>
          <w:rFonts w:ascii="Arial" w:hAnsi="Arial" w:cs="Arial"/>
        </w:rPr>
        <w:footnoteReference w:id="63"/>
      </w:r>
      <w:r w:rsidR="007F2034">
        <w:rPr>
          <w:rFonts w:ascii="Arial" w:hAnsi="Arial" w:cs="Arial"/>
        </w:rPr>
        <w:t xml:space="preserve"> to move from the position of a</w:t>
      </w:r>
      <w:r w:rsidR="00A11311">
        <w:rPr>
          <w:rFonts w:ascii="Arial" w:hAnsi="Arial" w:cs="Arial"/>
        </w:rPr>
        <w:t xml:space="preserve"> regent to that of a stand-alone king</w:t>
      </w:r>
      <w:r>
        <w:rPr>
          <w:rFonts w:ascii="Arial" w:hAnsi="Arial" w:cs="Arial"/>
        </w:rPr>
        <w:t>.</w:t>
      </w:r>
      <w:r>
        <w:rPr>
          <w:rStyle w:val="FootnoteReference"/>
          <w:rFonts w:ascii="Arial" w:hAnsi="Arial" w:cs="Arial"/>
        </w:rPr>
        <w:footnoteReference w:id="64"/>
      </w:r>
      <w:r w:rsidR="003D6F47">
        <w:rPr>
          <w:rFonts w:ascii="Arial" w:hAnsi="Arial" w:cs="Arial"/>
        </w:rPr>
        <w:t xml:space="preserve"> She assumed the full responsibility of her masculine role, yet allowed for some aspects of her femininity to be seen – this being prevalent in her tomb.</w:t>
      </w:r>
      <w:r w:rsidR="003D6F47">
        <w:rPr>
          <w:rStyle w:val="FootnoteReference"/>
          <w:rFonts w:ascii="Arial" w:hAnsi="Arial" w:cs="Arial"/>
        </w:rPr>
        <w:footnoteReference w:id="65"/>
      </w:r>
      <w:r w:rsidR="003D6F47">
        <w:rPr>
          <w:rFonts w:ascii="Arial" w:hAnsi="Arial" w:cs="Arial"/>
        </w:rPr>
        <w:t xml:space="preserve"> </w:t>
      </w:r>
      <w:r w:rsidR="00E67A42">
        <w:rPr>
          <w:rFonts w:ascii="Arial" w:hAnsi="Arial" w:cs="Arial"/>
        </w:rPr>
        <w:t xml:space="preserve">Twosret’s tomb includes many common </w:t>
      </w:r>
      <w:r w:rsidR="00962448">
        <w:rPr>
          <w:rFonts w:ascii="Arial" w:hAnsi="Arial" w:cs="Arial"/>
        </w:rPr>
        <w:t>vignettes</w:t>
      </w:r>
      <w:r w:rsidR="00E67A42">
        <w:rPr>
          <w:rFonts w:ascii="Arial" w:hAnsi="Arial" w:cs="Arial"/>
        </w:rPr>
        <w:t xml:space="preserve"> that were see in Ramesside tombs, but often with new ‘feminine’</w:t>
      </w:r>
      <w:r w:rsidR="00962448">
        <w:rPr>
          <w:rFonts w:ascii="Arial" w:hAnsi="Arial" w:cs="Arial"/>
        </w:rPr>
        <w:t xml:space="preserve"> twists of kingly scenes. These allowed her to demonstrate he</w:t>
      </w:r>
      <w:r w:rsidR="00746391">
        <w:rPr>
          <w:rFonts w:ascii="Arial" w:hAnsi="Arial" w:cs="Arial"/>
        </w:rPr>
        <w:t>r</w:t>
      </w:r>
      <w:r w:rsidR="00962448">
        <w:rPr>
          <w:rFonts w:ascii="Arial" w:hAnsi="Arial" w:cs="Arial"/>
        </w:rPr>
        <w:t xml:space="preserve"> identity as a king, but also show the female aspects of her as a person.</w:t>
      </w:r>
      <w:r w:rsidR="00962448">
        <w:rPr>
          <w:rStyle w:val="FootnoteReference"/>
          <w:rFonts w:ascii="Arial" w:hAnsi="Arial" w:cs="Arial"/>
        </w:rPr>
        <w:footnoteReference w:id="66"/>
      </w:r>
      <w:r w:rsidR="00962448">
        <w:rPr>
          <w:rFonts w:ascii="Arial" w:hAnsi="Arial" w:cs="Arial"/>
        </w:rPr>
        <w:t xml:space="preserve"> She was able to manipulate the rules of gender-based imagery, conveying a level of equality between her positions as a King in comparison </w:t>
      </w:r>
      <w:r w:rsidR="007974E6">
        <w:rPr>
          <w:rFonts w:ascii="Arial" w:hAnsi="Arial" w:cs="Arial"/>
        </w:rPr>
        <w:t>to that of her husband, Seti II</w:t>
      </w:r>
      <w:r w:rsidR="00962448">
        <w:rPr>
          <w:rFonts w:ascii="Arial" w:hAnsi="Arial" w:cs="Arial"/>
        </w:rPr>
        <w:t>.</w:t>
      </w:r>
      <w:r w:rsidR="00962448">
        <w:rPr>
          <w:rStyle w:val="FootnoteReference"/>
          <w:rFonts w:ascii="Arial" w:hAnsi="Arial" w:cs="Arial"/>
        </w:rPr>
        <w:footnoteReference w:id="67"/>
      </w:r>
      <w:r w:rsidR="00962448">
        <w:rPr>
          <w:rFonts w:ascii="Arial" w:hAnsi="Arial" w:cs="Arial"/>
        </w:rPr>
        <w:t xml:space="preserve"> </w:t>
      </w:r>
      <w:r w:rsidR="00A11311">
        <w:rPr>
          <w:rFonts w:ascii="Arial" w:hAnsi="Arial" w:cs="Arial"/>
        </w:rPr>
        <w:t>In her tomb there is a very obvious blurring along the line of gender, as she is outwardly feminine, yet identified with masculine epithets and masculine gods. These masculine gods possess feminine epithets, referring to the defining characteristics of these deities.</w:t>
      </w:r>
      <w:r w:rsidR="00A11311">
        <w:rPr>
          <w:rStyle w:val="FootnoteReference"/>
          <w:rFonts w:ascii="Arial" w:hAnsi="Arial" w:cs="Arial"/>
        </w:rPr>
        <w:footnoteReference w:id="68"/>
      </w:r>
      <w:r w:rsidR="00BE0B99">
        <w:rPr>
          <w:rFonts w:ascii="Arial" w:hAnsi="Arial" w:cs="Arial"/>
        </w:rPr>
        <w:t xml:space="preserve"> The </w:t>
      </w:r>
      <w:r w:rsidR="00BE0B99">
        <w:rPr>
          <w:rFonts w:ascii="Arial" w:hAnsi="Arial" w:cs="Arial"/>
        </w:rPr>
        <w:lastRenderedPageBreak/>
        <w:t>reasoning</w:t>
      </w:r>
      <w:r w:rsidR="004674A2">
        <w:rPr>
          <w:rFonts w:ascii="Arial" w:hAnsi="Arial" w:cs="Arial"/>
        </w:rPr>
        <w:t xml:space="preserve"> McCarthy presents</w:t>
      </w:r>
      <w:r w:rsidR="00BE0B99">
        <w:rPr>
          <w:rFonts w:ascii="Arial" w:hAnsi="Arial" w:cs="Arial"/>
        </w:rPr>
        <w:t xml:space="preserve"> behind this blurring being that she </w:t>
      </w:r>
      <w:r w:rsidR="005F6EF3">
        <w:rPr>
          <w:rFonts w:ascii="Arial" w:hAnsi="Arial" w:cs="Arial"/>
          <w:noProof/>
          <w:lang w:eastAsia="en-GB"/>
        </w:rPr>
        <w:drawing>
          <wp:anchor distT="0" distB="0" distL="114300" distR="114300" simplePos="0" relativeHeight="251671552" behindDoc="0" locked="0" layoutInCell="1" allowOverlap="1">
            <wp:simplePos x="0" y="0"/>
            <wp:positionH relativeFrom="column">
              <wp:posOffset>3179445</wp:posOffset>
            </wp:positionH>
            <wp:positionV relativeFrom="paragraph">
              <wp:posOffset>2476500</wp:posOffset>
            </wp:positionV>
            <wp:extent cx="1733550" cy="30949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wosret's tomb.jpg"/>
                    <pic:cNvPicPr/>
                  </pic:nvPicPr>
                  <pic:blipFill rotWithShape="1">
                    <a:blip r:embed="rId22" cstate="print">
                      <a:extLst>
                        <a:ext uri="{28A0092B-C50C-407E-A947-70E740481C1C}">
                          <a14:useLocalDpi xmlns:a14="http://schemas.microsoft.com/office/drawing/2010/main" val="0"/>
                        </a:ext>
                      </a:extLst>
                    </a:blip>
                    <a:srcRect l="9643" r="4809"/>
                    <a:stretch/>
                  </pic:blipFill>
                  <pic:spPr bwMode="auto">
                    <a:xfrm>
                      <a:off x="0" y="0"/>
                      <a:ext cx="1733550" cy="3094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0B99">
        <w:rPr>
          <w:rFonts w:ascii="Arial" w:hAnsi="Arial" w:cs="Arial"/>
        </w:rPr>
        <w:t>assu</w:t>
      </w:r>
      <w:r w:rsidR="00711126">
        <w:rPr>
          <w:rFonts w:ascii="Arial" w:hAnsi="Arial" w:cs="Arial"/>
        </w:rPr>
        <w:t>med a ‘masculine’</w:t>
      </w:r>
      <w:r w:rsidR="00BE0B99">
        <w:rPr>
          <w:rFonts w:ascii="Arial" w:hAnsi="Arial" w:cs="Arial"/>
        </w:rPr>
        <w:t xml:space="preserve"> reproductive role, whilst highlighting the androgynous force in divine creation. Her identity was rather complex, and thus blurring of gender norms and expectations gave her a better chance at legitimising her experience she believed that she would have in the afterlife as a king.</w:t>
      </w:r>
      <w:r w:rsidR="00BE0B99">
        <w:rPr>
          <w:rStyle w:val="FootnoteReference"/>
          <w:rFonts w:ascii="Arial" w:hAnsi="Arial" w:cs="Arial"/>
        </w:rPr>
        <w:footnoteReference w:id="69"/>
      </w:r>
      <w:r w:rsidR="00BE0B99">
        <w:rPr>
          <w:rFonts w:ascii="Arial" w:hAnsi="Arial" w:cs="Arial"/>
        </w:rPr>
        <w:t xml:space="preserve"> </w:t>
      </w:r>
      <w:r w:rsidR="00BE0B99">
        <w:rPr>
          <w:rFonts w:ascii="Arial" w:hAnsi="Arial" w:cs="Arial"/>
        </w:rPr>
        <w:br/>
      </w:r>
      <w:r w:rsidR="003D6F47">
        <w:rPr>
          <w:rFonts w:ascii="Arial" w:hAnsi="Arial" w:cs="Arial"/>
        </w:rPr>
        <w:t>While she only led for two years and had very little impact</w:t>
      </w:r>
      <w:r w:rsidR="008B79ED">
        <w:rPr>
          <w:rFonts w:ascii="Arial" w:hAnsi="Arial" w:cs="Arial"/>
        </w:rPr>
        <w:t xml:space="preserve"> </w:t>
      </w:r>
      <w:r w:rsidR="003D6F47">
        <w:rPr>
          <w:rFonts w:ascii="Arial" w:hAnsi="Arial" w:cs="Arial"/>
        </w:rPr>
        <w:t>archaeologically</w:t>
      </w:r>
      <w:r w:rsidR="003D6F47">
        <w:rPr>
          <w:rStyle w:val="FootnoteReference"/>
          <w:rFonts w:ascii="Arial" w:hAnsi="Arial" w:cs="Arial"/>
        </w:rPr>
        <w:footnoteReference w:id="70"/>
      </w:r>
      <w:r w:rsidR="00A11311">
        <w:rPr>
          <w:rFonts w:ascii="Arial" w:hAnsi="Arial" w:cs="Arial"/>
        </w:rPr>
        <w:t xml:space="preserve"> due to the </w:t>
      </w:r>
      <w:r w:rsidR="005F6EF3" w:rsidRPr="00575D4D">
        <w:rPr>
          <w:rFonts w:ascii="Arial" w:hAnsi="Arial" w:cs="Arial"/>
          <w:noProof/>
          <w:lang w:eastAsia="en-GB"/>
        </w:rPr>
        <mc:AlternateContent>
          <mc:Choice Requires="wps">
            <w:drawing>
              <wp:anchor distT="45720" distB="45720" distL="114300" distR="114300" simplePos="0" relativeHeight="251673600" behindDoc="0" locked="0" layoutInCell="1" allowOverlap="1" wp14:anchorId="163FD327" wp14:editId="29942D2D">
                <wp:simplePos x="0" y="0"/>
                <wp:positionH relativeFrom="column">
                  <wp:posOffset>3179445</wp:posOffset>
                </wp:positionH>
                <wp:positionV relativeFrom="page">
                  <wp:posOffset>6562090</wp:posOffset>
                </wp:positionV>
                <wp:extent cx="1733550" cy="214312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2143125"/>
                        </a:xfrm>
                        <a:prstGeom prst="rect">
                          <a:avLst/>
                        </a:prstGeom>
                        <a:solidFill>
                          <a:srgbClr val="FFFFFF"/>
                        </a:solidFill>
                        <a:ln w="9525">
                          <a:solidFill>
                            <a:srgbClr val="000000"/>
                          </a:solidFill>
                          <a:miter lim="800000"/>
                          <a:headEnd/>
                          <a:tailEnd/>
                        </a:ln>
                      </wps:spPr>
                      <wps:txbx>
                        <w:txbxContent>
                          <w:p w:rsidR="00FB2511" w:rsidRPr="00575D4D" w:rsidRDefault="00FB2511" w:rsidP="008B79ED">
                            <w:pPr>
                              <w:jc w:val="center"/>
                              <w:rPr>
                                <w:rFonts w:ascii="Arial" w:hAnsi="Arial" w:cs="Arial"/>
                              </w:rPr>
                            </w:pPr>
                            <w:r>
                              <w:rPr>
                                <w:rFonts w:ascii="Arial" w:hAnsi="Arial" w:cs="Arial"/>
                              </w:rPr>
                              <w:t>Fig. 6: Scene from the antechamber of KV 14 showing the replacement of Twosret’s image with a painted coulomb containing Setnakht’s cartouches, titles, and epithets, © Heather McCarthy, 2008, Thebes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3FD327" id="_x0000_s1032" type="#_x0000_t202" style="position:absolute;margin-left:250.35pt;margin-top:516.7pt;width:136.5pt;height:168.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">
                <v:textbox>
                  <w:txbxContent>
                    <w:p w:rsidR="00FB2511" w:rsidRPr="00575D4D" w:rsidRDefault="00FB2511" w:rsidP="008B79ED">
                      <w:pPr>
                        <w:jc w:val="center"/>
                        <w:rPr>
                          <w:rFonts w:ascii="Arial" w:hAnsi="Arial" w:cs="Arial"/>
                        </w:rPr>
                      </w:pPr>
                      <w:r>
                        <w:rPr>
                          <w:rFonts w:ascii="Arial" w:hAnsi="Arial" w:cs="Arial"/>
                        </w:rPr>
                        <w:t>Fig. 6: Scene from the antechamber of KV 14 showing the replacement of Twosret’s image with a painted coulomb containing Setnakht’s cartouches, titles, and epithets, © Heather McCarthy, 2008, Thebes</w:t>
                      </w:r>
                    </w:p>
                  </w:txbxContent>
                </v:textbox>
                <w10:wrap type="square" anchory="page"/>
              </v:shape>
            </w:pict>
          </mc:Fallback>
        </mc:AlternateContent>
      </w:r>
      <w:r w:rsidR="00A11311">
        <w:rPr>
          <w:rFonts w:ascii="Arial" w:hAnsi="Arial" w:cs="Arial"/>
        </w:rPr>
        <w:t>period of disturbance in which she came to power,</w:t>
      </w:r>
      <w:r w:rsidR="007F2034">
        <w:rPr>
          <w:rFonts w:ascii="Arial" w:hAnsi="Arial" w:cs="Arial"/>
        </w:rPr>
        <w:t xml:space="preserve"> (These times having fewer intact records compar</w:t>
      </w:r>
      <w:r w:rsidR="00746391">
        <w:rPr>
          <w:rFonts w:ascii="Arial" w:hAnsi="Arial" w:cs="Arial"/>
        </w:rPr>
        <w:t>ed to periods of relative peace</w:t>
      </w:r>
      <w:r w:rsidR="00A11311">
        <w:rPr>
          <w:rStyle w:val="FootnoteReference"/>
          <w:rFonts w:ascii="Arial" w:hAnsi="Arial" w:cs="Arial"/>
        </w:rPr>
        <w:footnoteReference w:id="71"/>
      </w:r>
      <w:r w:rsidR="00746391">
        <w:rPr>
          <w:rFonts w:ascii="Arial" w:hAnsi="Arial" w:cs="Arial"/>
        </w:rPr>
        <w:t>)</w:t>
      </w:r>
      <w:r w:rsidR="008B79ED">
        <w:rPr>
          <w:rFonts w:ascii="Arial" w:hAnsi="Arial" w:cs="Arial"/>
        </w:rPr>
        <w:t xml:space="preserve"> we can still learn about</w:t>
      </w:r>
      <w:r w:rsidR="003D6F47">
        <w:rPr>
          <w:rFonts w:ascii="Arial" w:hAnsi="Arial" w:cs="Arial"/>
        </w:rPr>
        <w:t xml:space="preserve"> her, as her tomb still stands and aspects</w:t>
      </w:r>
      <w:r w:rsidR="008B79ED">
        <w:rPr>
          <w:rFonts w:ascii="Arial" w:hAnsi="Arial" w:cs="Arial"/>
        </w:rPr>
        <w:t xml:space="preserve"> of</w:t>
      </w:r>
      <w:r w:rsidR="003D6F47">
        <w:rPr>
          <w:rFonts w:ascii="Arial" w:hAnsi="Arial" w:cs="Arial"/>
        </w:rPr>
        <w:t xml:space="preserve"> her titles are still available to be read – ev</w:t>
      </w:r>
      <w:r w:rsidR="008B79ED">
        <w:rPr>
          <w:rFonts w:ascii="Arial" w:hAnsi="Arial" w:cs="Arial"/>
        </w:rPr>
        <w:t xml:space="preserve">en after </w:t>
      </w:r>
      <w:r w:rsidR="003D6F47">
        <w:rPr>
          <w:rFonts w:ascii="Arial" w:hAnsi="Arial" w:cs="Arial"/>
        </w:rPr>
        <w:t xml:space="preserve">Setnakht attempted to </w:t>
      </w:r>
      <w:r w:rsidR="00024BF7">
        <w:rPr>
          <w:rFonts w:ascii="Arial" w:hAnsi="Arial" w:cs="Arial"/>
        </w:rPr>
        <w:t>erase her from the inscriptions</w:t>
      </w:r>
      <w:r w:rsidR="008B79ED">
        <w:rPr>
          <w:rFonts w:ascii="Arial" w:hAnsi="Arial" w:cs="Arial"/>
        </w:rPr>
        <w:t xml:space="preserve"> (See </w:t>
      </w:r>
      <w:r w:rsidR="004063F9">
        <w:rPr>
          <w:rFonts w:ascii="Arial" w:hAnsi="Arial" w:cs="Arial"/>
        </w:rPr>
        <w:t>Fig.6</w:t>
      </w:r>
      <w:r w:rsidR="008B79ED">
        <w:rPr>
          <w:rFonts w:ascii="Arial" w:hAnsi="Arial" w:cs="Arial"/>
        </w:rPr>
        <w:t>).</w:t>
      </w:r>
      <w:r w:rsidR="008B79ED">
        <w:rPr>
          <w:rStyle w:val="FootnoteReference"/>
          <w:rFonts w:ascii="Arial" w:hAnsi="Arial" w:cs="Arial"/>
        </w:rPr>
        <w:footnoteReference w:id="72"/>
      </w:r>
      <w:r w:rsidR="00A11311">
        <w:rPr>
          <w:rFonts w:ascii="Arial" w:hAnsi="Arial" w:cs="Arial"/>
        </w:rPr>
        <w:t xml:space="preserve"> With the construction of her tomb, a link can be made between Twosret and Hatshepsut about the ways in which they used their powerful male relatives as a method to claim legitimacy. When building her tomb, Twosret ordered for there to be an extension to the lower </w:t>
      </w:r>
      <w:r w:rsidR="007F2034">
        <w:rPr>
          <w:rFonts w:ascii="Arial" w:hAnsi="Arial" w:cs="Arial"/>
        </w:rPr>
        <w:t>section,</w:t>
      </w:r>
      <w:r w:rsidR="004674A2">
        <w:rPr>
          <w:rFonts w:ascii="Arial" w:hAnsi="Arial" w:cs="Arial"/>
        </w:rPr>
        <w:t xml:space="preserve"> McCarthy believing</w:t>
      </w:r>
      <w:r w:rsidR="00A11311">
        <w:rPr>
          <w:rFonts w:ascii="Arial" w:hAnsi="Arial" w:cs="Arial"/>
        </w:rPr>
        <w:t xml:space="preserve"> that her intention was to bury her </w:t>
      </w:r>
      <w:r w:rsidR="00A11311">
        <w:rPr>
          <w:rFonts w:ascii="Arial" w:hAnsi="Arial" w:cs="Arial"/>
        </w:rPr>
        <w:lastRenderedPageBreak/>
        <w:t>husband, Seti II with her.</w:t>
      </w:r>
      <w:r w:rsidR="00A11311">
        <w:rPr>
          <w:rStyle w:val="FootnoteReference"/>
          <w:rFonts w:ascii="Arial" w:hAnsi="Arial" w:cs="Arial"/>
        </w:rPr>
        <w:footnoteReference w:id="73"/>
      </w:r>
      <w:r w:rsidR="00A11311">
        <w:rPr>
          <w:rFonts w:ascii="Arial" w:hAnsi="Arial" w:cs="Arial"/>
        </w:rPr>
        <w:t xml:space="preserve"> This may have been to follow the </w:t>
      </w:r>
      <w:r w:rsidR="00634A6F">
        <w:rPr>
          <w:rFonts w:ascii="Arial" w:hAnsi="Arial" w:cs="Arial"/>
        </w:rPr>
        <w:t>precedent of the previous</w:t>
      </w:r>
      <w:r w:rsidR="00A11311">
        <w:rPr>
          <w:rFonts w:ascii="Arial" w:hAnsi="Arial" w:cs="Arial"/>
        </w:rPr>
        <w:t xml:space="preserve"> female Pharaoh, Hatshepsut, who had her father Thutmosis I disinterred from his first tomb and placed into her own as a method to legitimise her position as king.</w:t>
      </w:r>
      <w:r w:rsidR="00A11311">
        <w:rPr>
          <w:rStyle w:val="FootnoteReference"/>
          <w:rFonts w:ascii="Arial" w:hAnsi="Arial" w:cs="Arial"/>
        </w:rPr>
        <w:footnoteReference w:id="74"/>
      </w:r>
    </w:p>
    <w:p w:rsidR="007F2034" w:rsidRDefault="009B2B7B" w:rsidP="00CF656D">
      <w:pPr>
        <w:spacing w:line="480" w:lineRule="auto"/>
        <w:ind w:right="-23"/>
        <w:rPr>
          <w:rFonts w:ascii="Arial" w:hAnsi="Arial" w:cs="Arial"/>
        </w:rPr>
      </w:pPr>
      <w:r w:rsidRPr="00575D4D">
        <w:rPr>
          <w:rFonts w:ascii="Arial" w:hAnsi="Arial" w:cs="Arial"/>
          <w:noProof/>
          <w:lang w:eastAsia="en-GB"/>
        </w:rPr>
        <mc:AlternateContent>
          <mc:Choice Requires="wps">
            <w:drawing>
              <wp:anchor distT="45720" distB="45720" distL="114300" distR="114300" simplePos="0" relativeHeight="251676672" behindDoc="0" locked="0" layoutInCell="1" allowOverlap="1" wp14:anchorId="72724088" wp14:editId="24228331">
                <wp:simplePos x="0" y="0"/>
                <wp:positionH relativeFrom="column">
                  <wp:posOffset>2123440</wp:posOffset>
                </wp:positionH>
                <wp:positionV relativeFrom="page">
                  <wp:posOffset>7527290</wp:posOffset>
                </wp:positionV>
                <wp:extent cx="2773045" cy="1038225"/>
                <wp:effectExtent l="0" t="0" r="2730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045" cy="1038225"/>
                        </a:xfrm>
                        <a:prstGeom prst="rect">
                          <a:avLst/>
                        </a:prstGeom>
                        <a:solidFill>
                          <a:srgbClr val="FFFFFF"/>
                        </a:solidFill>
                        <a:ln w="9525">
                          <a:solidFill>
                            <a:srgbClr val="000000"/>
                          </a:solidFill>
                          <a:miter lim="800000"/>
                          <a:headEnd/>
                          <a:tailEnd/>
                        </a:ln>
                      </wps:spPr>
                      <wps:txbx>
                        <w:txbxContent>
                          <w:p w:rsidR="00FB2511" w:rsidRPr="00575D4D" w:rsidRDefault="00FB2511" w:rsidP="005C7ABB">
                            <w:pPr>
                              <w:jc w:val="center"/>
                              <w:rPr>
                                <w:rFonts w:ascii="Arial" w:hAnsi="Arial" w:cs="Arial"/>
                              </w:rPr>
                            </w:pPr>
                            <w:r>
                              <w:rPr>
                                <w:rFonts w:ascii="Arial" w:hAnsi="Arial" w:cs="Arial"/>
                              </w:rPr>
                              <w:t xml:space="preserve">Fig. 7: Hieroglyphs showing Thuthmose III on the left and Hatshepsut on the right, she having the trappings of the greater role, </w:t>
                            </w:r>
                            <w:r w:rsidRPr="00A66E51">
                              <w:rPr>
                                <w:rFonts w:ascii="Arial" w:hAnsi="Arial" w:cs="Arial"/>
                              </w:rPr>
                              <w:t>©</w:t>
                            </w:r>
                            <w:r>
                              <w:rPr>
                                <w:rFonts w:ascii="Arial" w:hAnsi="Arial" w:cs="Arial"/>
                              </w:rPr>
                              <w:t xml:space="preserve"> </w:t>
                            </w:r>
                            <w:proofErr w:type="spellStart"/>
                            <w:r>
                              <w:rPr>
                                <w:rFonts w:ascii="Arial" w:hAnsi="Arial" w:cs="Arial"/>
                              </w:rPr>
                              <w:t>Markh</w:t>
                            </w:r>
                            <w:proofErr w:type="spellEnd"/>
                            <w:r>
                              <w:rPr>
                                <w:rFonts w:ascii="Arial" w:hAnsi="Arial" w:cs="Arial"/>
                              </w:rPr>
                              <w:t>, 2006, Karnak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724088" id="_x0000_s1033" type="#_x0000_t202" style="position:absolute;margin-left:167.2pt;margin-top:592.7pt;width:218.35pt;height:81.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">
                <v:textbox>
                  <w:txbxContent>
                    <w:p w:rsidR="00FB2511" w:rsidRPr="00575D4D" w:rsidRDefault="00FB2511" w:rsidP="005C7ABB">
                      <w:pPr>
                        <w:jc w:val="center"/>
                        <w:rPr>
                          <w:rFonts w:ascii="Arial" w:hAnsi="Arial" w:cs="Arial"/>
                        </w:rPr>
                      </w:pPr>
                      <w:r>
                        <w:rPr>
                          <w:rFonts w:ascii="Arial" w:hAnsi="Arial" w:cs="Arial"/>
                        </w:rPr>
                        <w:t xml:space="preserve">Fig. 7: Hieroglyphs showing Thuthmose III on the left and Hatshepsut on the right, she having the trappings of the greater role, </w:t>
                      </w:r>
                      <w:r w:rsidRPr="00A66E51">
                        <w:rPr>
                          <w:rFonts w:ascii="Arial" w:hAnsi="Arial" w:cs="Arial"/>
                        </w:rPr>
                        <w:t>©</w:t>
                      </w:r>
                      <w:r>
                        <w:rPr>
                          <w:rFonts w:ascii="Arial" w:hAnsi="Arial" w:cs="Arial"/>
                        </w:rPr>
                        <w:t xml:space="preserve"> </w:t>
                      </w:r>
                      <w:proofErr w:type="spellStart"/>
                      <w:r>
                        <w:rPr>
                          <w:rFonts w:ascii="Arial" w:hAnsi="Arial" w:cs="Arial"/>
                        </w:rPr>
                        <w:t>Markh</w:t>
                      </w:r>
                      <w:proofErr w:type="spellEnd"/>
                      <w:r>
                        <w:rPr>
                          <w:rFonts w:ascii="Arial" w:hAnsi="Arial" w:cs="Arial"/>
                        </w:rPr>
                        <w:t>, 2006, Karnak</w:t>
                      </w:r>
                    </w:p>
                  </w:txbxContent>
                </v:textbox>
                <w10:wrap type="square" anchory="page"/>
              </v:shape>
            </w:pict>
          </mc:Fallback>
        </mc:AlternateContent>
      </w:r>
      <w:r>
        <w:rPr>
          <w:noProof/>
          <w:lang w:eastAsia="en-GB"/>
        </w:rPr>
        <w:drawing>
          <wp:anchor distT="0" distB="0" distL="114300" distR="114300" simplePos="0" relativeHeight="251674624" behindDoc="0" locked="0" layoutInCell="1" allowOverlap="1">
            <wp:simplePos x="0" y="0"/>
            <wp:positionH relativeFrom="column">
              <wp:posOffset>2122805</wp:posOffset>
            </wp:positionH>
            <wp:positionV relativeFrom="paragraph">
              <wp:posOffset>2590800</wp:posOffset>
            </wp:positionV>
            <wp:extent cx="2773045" cy="2447925"/>
            <wp:effectExtent l="0" t="0" r="8255" b="9525"/>
            <wp:wrapSquare wrapText="bothSides"/>
            <wp:docPr id="11" name="Picture 11" descr="https://upload.wikimedia.org/wikipedia/commons/6/60/Thutmose_III_and_Hatsheps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6/60/Thutmose_III_and_Hatshepsut.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73045" cy="2447925"/>
                    </a:xfrm>
                    <a:prstGeom prst="rect">
                      <a:avLst/>
                    </a:prstGeom>
                    <a:noFill/>
                    <a:ln>
                      <a:noFill/>
                    </a:ln>
                  </pic:spPr>
                </pic:pic>
              </a:graphicData>
            </a:graphic>
            <wp14:sizeRelH relativeFrom="page">
              <wp14:pctWidth>0</wp14:pctWidth>
            </wp14:sizeRelH>
            <wp14:sizeRelV relativeFrom="page">
              <wp14:pctHeight>0</wp14:pctHeight>
            </wp14:sizeRelV>
          </wp:anchor>
        </w:drawing>
      </w:r>
      <w:r w:rsidR="008B79ED">
        <w:rPr>
          <w:rFonts w:ascii="Arial" w:hAnsi="Arial" w:cs="Arial"/>
        </w:rPr>
        <w:t>Hatshepsut is perhaps one of the most well-known of pharaohs, mainly for the length of time she was able to rule, and the fact she was a woman</w:t>
      </w:r>
      <w:r w:rsidR="00962448">
        <w:rPr>
          <w:rFonts w:ascii="Arial" w:hAnsi="Arial" w:cs="Arial"/>
        </w:rPr>
        <w:t xml:space="preserve"> in power in such a male-dominated place and time</w:t>
      </w:r>
      <w:r w:rsidR="008B79ED">
        <w:rPr>
          <w:rFonts w:ascii="Arial" w:hAnsi="Arial" w:cs="Arial"/>
        </w:rPr>
        <w:t>.</w:t>
      </w:r>
      <w:r w:rsidR="00616756">
        <w:rPr>
          <w:rFonts w:ascii="Arial" w:hAnsi="Arial" w:cs="Arial"/>
        </w:rPr>
        <w:t xml:space="preserve"> Due to this exceptional nature, we know more about her than we do about some male Pharaohs.</w:t>
      </w:r>
      <w:r w:rsidR="00616756">
        <w:rPr>
          <w:rStyle w:val="FootnoteReference"/>
          <w:rFonts w:ascii="Arial" w:hAnsi="Arial" w:cs="Arial"/>
        </w:rPr>
        <w:footnoteReference w:id="75"/>
      </w:r>
      <w:r w:rsidR="008B79ED">
        <w:rPr>
          <w:rFonts w:ascii="Arial" w:hAnsi="Arial" w:cs="Arial"/>
        </w:rPr>
        <w:t xml:space="preserve"> Hatshepsut was or</w:t>
      </w:r>
      <w:r w:rsidR="00634A6F">
        <w:rPr>
          <w:rFonts w:ascii="Arial" w:hAnsi="Arial" w:cs="Arial"/>
        </w:rPr>
        <w:t>iginally a royal woman, holding the role of</w:t>
      </w:r>
      <w:r w:rsidR="008B79ED">
        <w:rPr>
          <w:rFonts w:ascii="Arial" w:hAnsi="Arial" w:cs="Arial"/>
        </w:rPr>
        <w:t xml:space="preserve"> the God’s Wife of Amun</w:t>
      </w:r>
      <w:r w:rsidR="005C7ABB">
        <w:rPr>
          <w:rStyle w:val="FootnoteReference"/>
          <w:rFonts w:ascii="Arial" w:hAnsi="Arial" w:cs="Arial"/>
        </w:rPr>
        <w:footnoteReference w:id="76"/>
      </w:r>
      <w:r w:rsidR="00024BF7">
        <w:rPr>
          <w:rFonts w:ascii="Arial" w:hAnsi="Arial" w:cs="Arial"/>
        </w:rPr>
        <w:t xml:space="preserve"> to Thuthmose II</w:t>
      </w:r>
      <w:r w:rsidR="005C7ABB">
        <w:rPr>
          <w:rFonts w:ascii="Arial" w:hAnsi="Arial" w:cs="Arial"/>
        </w:rPr>
        <w:t>. She first became regent to her stepson, Thuthmose III,</w:t>
      </w:r>
      <w:r w:rsidR="005C7ABB">
        <w:rPr>
          <w:rStyle w:val="FootnoteReference"/>
          <w:rFonts w:ascii="Arial" w:hAnsi="Arial" w:cs="Arial"/>
        </w:rPr>
        <w:footnoteReference w:id="77"/>
      </w:r>
      <w:r w:rsidR="005C7ABB">
        <w:rPr>
          <w:rFonts w:ascii="Arial" w:hAnsi="Arial" w:cs="Arial"/>
        </w:rPr>
        <w:t xml:space="preserve"> much in a similar way to Twosret. It was in year seven of the reign of her stepson that Hatshepsut took on the titles of a king</w:t>
      </w:r>
      <w:r w:rsidR="00746391">
        <w:rPr>
          <w:rFonts w:ascii="Arial" w:hAnsi="Arial" w:cs="Arial"/>
        </w:rPr>
        <w:t>,</w:t>
      </w:r>
      <w:r w:rsidR="00DE6676">
        <w:rPr>
          <w:rStyle w:val="FootnoteReference"/>
          <w:rFonts w:ascii="Arial" w:hAnsi="Arial" w:cs="Arial"/>
        </w:rPr>
        <w:footnoteReference w:id="78"/>
      </w:r>
      <w:r w:rsidR="005C7ABB">
        <w:rPr>
          <w:rFonts w:ascii="Arial" w:hAnsi="Arial" w:cs="Arial"/>
        </w:rPr>
        <w:t xml:space="preserve"> and from then on she was</w:t>
      </w:r>
      <w:r w:rsidR="00024BF7">
        <w:rPr>
          <w:rFonts w:ascii="Arial" w:hAnsi="Arial" w:cs="Arial"/>
        </w:rPr>
        <w:t xml:space="preserve"> depicted as a male king on her </w:t>
      </w:r>
      <w:r w:rsidR="00C274F5">
        <w:rPr>
          <w:rFonts w:ascii="Arial" w:hAnsi="Arial" w:cs="Arial"/>
        </w:rPr>
        <w:t>monuments</w:t>
      </w:r>
      <w:r w:rsidR="007F2034">
        <w:rPr>
          <w:rFonts w:ascii="Arial" w:hAnsi="Arial" w:cs="Arial"/>
        </w:rPr>
        <w:t xml:space="preserve"> (See Fig. 7)</w:t>
      </w:r>
      <w:r w:rsidR="00C274F5">
        <w:rPr>
          <w:rFonts w:ascii="Arial" w:hAnsi="Arial" w:cs="Arial"/>
        </w:rPr>
        <w:t xml:space="preserve"> </w:t>
      </w:r>
      <w:r w:rsidR="005C7ABB">
        <w:rPr>
          <w:rFonts w:ascii="Arial" w:hAnsi="Arial" w:cs="Arial"/>
        </w:rPr>
        <w:t>– potentially also in her real life.</w:t>
      </w:r>
      <w:r w:rsidR="005C7ABB">
        <w:rPr>
          <w:rStyle w:val="FootnoteReference"/>
          <w:rFonts w:ascii="Arial" w:hAnsi="Arial" w:cs="Arial"/>
        </w:rPr>
        <w:footnoteReference w:id="79"/>
      </w:r>
      <w:r w:rsidR="00DE6676">
        <w:rPr>
          <w:rFonts w:ascii="Arial" w:hAnsi="Arial" w:cs="Arial"/>
        </w:rPr>
        <w:t xml:space="preserve"> </w:t>
      </w:r>
      <w:r w:rsidR="00C274F5">
        <w:rPr>
          <w:rFonts w:ascii="Arial" w:hAnsi="Arial" w:cs="Arial"/>
        </w:rPr>
        <w:t xml:space="preserve">In the red chapel in </w:t>
      </w:r>
      <w:r w:rsidR="007F2034">
        <w:rPr>
          <w:rFonts w:ascii="Arial" w:hAnsi="Arial" w:cs="Arial"/>
        </w:rPr>
        <w:t>Karnak</w:t>
      </w:r>
      <w:r w:rsidR="00C46B1F">
        <w:rPr>
          <w:rFonts w:ascii="Arial" w:hAnsi="Arial" w:cs="Arial"/>
        </w:rPr>
        <w:t>,</w:t>
      </w:r>
      <w:r w:rsidR="00C274F5">
        <w:rPr>
          <w:rFonts w:ascii="Arial" w:hAnsi="Arial" w:cs="Arial"/>
        </w:rPr>
        <w:t xml:space="preserve"> Hatshepsut and Thutmosis III are shown to be almost identical. Both </w:t>
      </w:r>
      <w:r w:rsidR="00C274F5">
        <w:rPr>
          <w:rFonts w:ascii="Arial" w:hAnsi="Arial" w:cs="Arial"/>
        </w:rPr>
        <w:lastRenderedPageBreak/>
        <w:t xml:space="preserve">wear the blue crown and the kilt, carrying an </w:t>
      </w:r>
      <w:r w:rsidR="00C274F5">
        <w:rPr>
          <w:rFonts w:ascii="Arial" w:hAnsi="Arial" w:cs="Arial"/>
          <w:i/>
        </w:rPr>
        <w:t xml:space="preserve">ankh. </w:t>
      </w:r>
      <w:r w:rsidR="00C274F5">
        <w:rPr>
          <w:rFonts w:ascii="Arial" w:hAnsi="Arial" w:cs="Arial"/>
        </w:rPr>
        <w:t>But most importantly, both are shown to be male.</w:t>
      </w:r>
      <w:r w:rsidR="00C274F5">
        <w:rPr>
          <w:rStyle w:val="FootnoteReference"/>
          <w:rFonts w:ascii="Arial" w:hAnsi="Arial" w:cs="Arial"/>
        </w:rPr>
        <w:footnoteReference w:id="80"/>
      </w:r>
      <w:r w:rsidR="00C274F5">
        <w:rPr>
          <w:rFonts w:ascii="Arial" w:hAnsi="Arial" w:cs="Arial"/>
        </w:rPr>
        <w:t xml:space="preserve"> </w:t>
      </w:r>
      <w:r w:rsidR="00962448">
        <w:rPr>
          <w:rFonts w:ascii="Arial" w:hAnsi="Arial" w:cs="Arial"/>
        </w:rPr>
        <w:t>Hatshepsut was known to be represented wearing much of the insignia of a king, such as the false beard and kilt</w:t>
      </w:r>
      <w:r w:rsidR="007F2034">
        <w:rPr>
          <w:rFonts w:ascii="Arial" w:hAnsi="Arial" w:cs="Arial"/>
        </w:rPr>
        <w:t xml:space="preserve"> (See Fig. 4)</w:t>
      </w:r>
      <w:r w:rsidR="00962448">
        <w:rPr>
          <w:rFonts w:ascii="Arial" w:hAnsi="Arial" w:cs="Arial"/>
        </w:rPr>
        <w:t xml:space="preserve">, </w:t>
      </w:r>
      <w:r w:rsidR="005F6EF3">
        <w:rPr>
          <w:noProof/>
          <w:lang w:eastAsia="en-GB"/>
        </w:rPr>
        <w:drawing>
          <wp:anchor distT="0" distB="0" distL="114300" distR="114300" simplePos="0" relativeHeight="251689984" behindDoc="0" locked="0" layoutInCell="1" allowOverlap="1">
            <wp:simplePos x="0" y="0"/>
            <wp:positionH relativeFrom="column">
              <wp:posOffset>2788920</wp:posOffset>
            </wp:positionH>
            <wp:positionV relativeFrom="paragraph">
              <wp:posOffset>4028440</wp:posOffset>
            </wp:positionV>
            <wp:extent cx="2167163" cy="2809875"/>
            <wp:effectExtent l="0" t="0" r="5080" b="0"/>
            <wp:wrapSquare wrapText="bothSides"/>
            <wp:docPr id="13" name="Picture 13" descr="https://1.bp.blogspot.com/-xzU-heYmy1M/V-a8YorcIhI/AAAAAAAABvA/f2v4xXsQSOs0JyQfvAQyEcIfTOhp-2l-ACLcB/s16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1.bp.blogspot.com/-xzU-heYmy1M/V-a8YorcIhI/AAAAAAAABvA/f2v4xXsQSOs0JyQfvAQyEcIfTOhp-2l-ACLcB/s1600/7.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67163" cy="2809875"/>
                    </a:xfrm>
                    <a:prstGeom prst="rect">
                      <a:avLst/>
                    </a:prstGeom>
                    <a:noFill/>
                    <a:ln>
                      <a:noFill/>
                    </a:ln>
                  </pic:spPr>
                </pic:pic>
              </a:graphicData>
            </a:graphic>
            <wp14:sizeRelH relativeFrom="page">
              <wp14:pctWidth>0</wp14:pctWidth>
            </wp14:sizeRelH>
            <wp14:sizeRelV relativeFrom="page">
              <wp14:pctHeight>0</wp14:pctHeight>
            </wp14:sizeRelV>
          </wp:anchor>
        </w:drawing>
      </w:r>
      <w:r w:rsidR="00962448">
        <w:rPr>
          <w:rFonts w:ascii="Arial" w:hAnsi="Arial" w:cs="Arial"/>
        </w:rPr>
        <w:t>often shown to be reaching out and striding forward, instead of in a passive more feminine pose.</w:t>
      </w:r>
      <w:r w:rsidR="00BC2748">
        <w:rPr>
          <w:rStyle w:val="FootnoteReference"/>
          <w:rFonts w:ascii="Arial" w:hAnsi="Arial" w:cs="Arial"/>
        </w:rPr>
        <w:footnoteReference w:id="81"/>
      </w:r>
      <w:r w:rsidR="00962448">
        <w:rPr>
          <w:rFonts w:ascii="Arial" w:hAnsi="Arial" w:cs="Arial"/>
        </w:rPr>
        <w:t xml:space="preserve"> </w:t>
      </w:r>
      <w:r w:rsidR="00BC2748">
        <w:rPr>
          <w:rFonts w:ascii="Arial" w:hAnsi="Arial" w:cs="Arial"/>
        </w:rPr>
        <w:t xml:space="preserve"> As </w:t>
      </w:r>
      <w:r w:rsidR="00616756">
        <w:rPr>
          <w:rFonts w:ascii="Arial" w:hAnsi="Arial" w:cs="Arial"/>
        </w:rPr>
        <w:t>well as this, in her birth colonnade</w:t>
      </w:r>
      <w:r w:rsidR="00BC2748">
        <w:rPr>
          <w:rFonts w:ascii="Arial" w:hAnsi="Arial" w:cs="Arial"/>
        </w:rPr>
        <w:t xml:space="preserve"> in the temple of Deir el-Bahri, she is presented </w:t>
      </w:r>
      <w:r w:rsidR="004063F9">
        <w:rPr>
          <w:rFonts w:ascii="Arial" w:hAnsi="Arial" w:cs="Arial"/>
        </w:rPr>
        <w:t>(See Fig. 8</w:t>
      </w:r>
      <w:r w:rsidR="00616756">
        <w:rPr>
          <w:rFonts w:ascii="Arial" w:hAnsi="Arial" w:cs="Arial"/>
        </w:rPr>
        <w:t>)</w:t>
      </w:r>
      <w:r w:rsidR="00C274F5">
        <w:rPr>
          <w:rFonts w:ascii="Arial" w:hAnsi="Arial" w:cs="Arial"/>
        </w:rPr>
        <w:t xml:space="preserve"> as a male child,</w:t>
      </w:r>
      <w:r w:rsidR="00BC2748">
        <w:rPr>
          <w:rStyle w:val="FootnoteReference"/>
          <w:rFonts w:ascii="Arial" w:hAnsi="Arial" w:cs="Arial"/>
        </w:rPr>
        <w:footnoteReference w:id="82"/>
      </w:r>
      <w:r w:rsidR="00C274F5">
        <w:rPr>
          <w:rFonts w:ascii="Arial" w:hAnsi="Arial" w:cs="Arial"/>
        </w:rPr>
        <w:t xml:space="preserve"> </w:t>
      </w:r>
      <w:r w:rsidR="00CF656D">
        <w:rPr>
          <w:rFonts w:ascii="Arial" w:hAnsi="Arial" w:cs="Arial"/>
        </w:rPr>
        <w:t xml:space="preserve">and declared to be king by Amun (See A1.4). </w:t>
      </w:r>
      <w:r w:rsidR="00C274F5">
        <w:rPr>
          <w:rFonts w:ascii="Arial" w:hAnsi="Arial" w:cs="Arial"/>
        </w:rPr>
        <w:t xml:space="preserve">Though this declares her to be a </w:t>
      </w:r>
      <w:r w:rsidR="0075037D" w:rsidRPr="00575D4D">
        <w:rPr>
          <w:rFonts w:ascii="Arial" w:hAnsi="Arial" w:cs="Arial"/>
          <w:noProof/>
          <w:lang w:eastAsia="en-GB"/>
        </w:rPr>
        <mc:AlternateContent>
          <mc:Choice Requires="wps">
            <w:drawing>
              <wp:anchor distT="45720" distB="45720" distL="114300" distR="114300" simplePos="0" relativeHeight="251692032" behindDoc="0" locked="0" layoutInCell="1" allowOverlap="1" wp14:anchorId="15296151" wp14:editId="6F872D26">
                <wp:simplePos x="0" y="0"/>
                <wp:positionH relativeFrom="column">
                  <wp:posOffset>2792730</wp:posOffset>
                </wp:positionH>
                <wp:positionV relativeFrom="page">
                  <wp:posOffset>7800975</wp:posOffset>
                </wp:positionV>
                <wp:extent cx="2163445" cy="1076325"/>
                <wp:effectExtent l="0" t="0" r="2730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3445" cy="1076325"/>
                        </a:xfrm>
                        <a:prstGeom prst="rect">
                          <a:avLst/>
                        </a:prstGeom>
                        <a:solidFill>
                          <a:srgbClr val="FFFFFF"/>
                        </a:solidFill>
                        <a:ln w="9525">
                          <a:solidFill>
                            <a:srgbClr val="000000"/>
                          </a:solidFill>
                          <a:miter lim="800000"/>
                          <a:headEnd/>
                          <a:tailEnd/>
                        </a:ln>
                      </wps:spPr>
                      <wps:txbx>
                        <w:txbxContent>
                          <w:p w:rsidR="00FB2511" w:rsidRPr="00575D4D" w:rsidRDefault="00FB2511" w:rsidP="00616756">
                            <w:pPr>
                              <w:jc w:val="center"/>
                              <w:rPr>
                                <w:rFonts w:ascii="Arial" w:hAnsi="Arial" w:cs="Arial"/>
                              </w:rPr>
                            </w:pPr>
                            <w:r>
                              <w:rPr>
                                <w:rFonts w:ascii="Arial" w:hAnsi="Arial" w:cs="Arial"/>
                              </w:rPr>
                              <w:t>Fig. 8: Heqt puts the breath of life into the nostrils of the newly created babe, © Emad Soly, The Ancient Egypt,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96151" id="_x0000_s1034" type="#_x0000_t202" style="position:absolute;margin-left:219.9pt;margin-top:614.25pt;width:170.35pt;height:84.7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">
                <v:textbox>
                  <w:txbxContent>
                    <w:p w:rsidR="00FB2511" w:rsidRPr="00575D4D" w:rsidRDefault="00FB2511" w:rsidP="00616756">
                      <w:pPr>
                        <w:jc w:val="center"/>
                        <w:rPr>
                          <w:rFonts w:ascii="Arial" w:hAnsi="Arial" w:cs="Arial"/>
                        </w:rPr>
                      </w:pPr>
                      <w:r>
                        <w:rPr>
                          <w:rFonts w:ascii="Arial" w:hAnsi="Arial" w:cs="Arial"/>
                        </w:rPr>
                        <w:t>Fig. 8: Heqt puts the breath of life into the nostrils of the newly created babe, © Emad Soly, The Ancient Egypt, 2016</w:t>
                      </w:r>
                    </w:p>
                  </w:txbxContent>
                </v:textbox>
                <w10:wrap type="square" anchory="page"/>
              </v:shape>
            </w:pict>
          </mc:Fallback>
        </mc:AlternateContent>
      </w:r>
      <w:r w:rsidR="00C274F5">
        <w:rPr>
          <w:rFonts w:ascii="Arial" w:hAnsi="Arial" w:cs="Arial"/>
        </w:rPr>
        <w:t xml:space="preserve">daughter, it also legitimises her claim to kingship alongside her depiction as a male child. </w:t>
      </w:r>
      <w:r w:rsidR="00C274F5">
        <w:rPr>
          <w:rFonts w:ascii="Arial" w:hAnsi="Arial" w:cs="Arial"/>
        </w:rPr>
        <w:br/>
      </w:r>
      <w:r w:rsidR="004674A2">
        <w:rPr>
          <w:rFonts w:ascii="Arial" w:hAnsi="Arial" w:cs="Arial"/>
        </w:rPr>
        <w:t xml:space="preserve"> L</w:t>
      </w:r>
      <w:r w:rsidR="00634A6F">
        <w:rPr>
          <w:rFonts w:ascii="Arial" w:hAnsi="Arial" w:cs="Arial"/>
        </w:rPr>
        <w:t>ike Twosret and Sobekneferu,</w:t>
      </w:r>
      <w:r w:rsidR="00616756">
        <w:rPr>
          <w:rFonts w:ascii="Arial" w:hAnsi="Arial" w:cs="Arial"/>
        </w:rPr>
        <w:t xml:space="preserve"> Hatshepsut did take some opportunities to show her feminine aspects. She refuses to take on the title “</w:t>
      </w:r>
      <w:r w:rsidR="00616756" w:rsidRPr="00711126">
        <w:rPr>
          <w:rFonts w:ascii="Arial" w:hAnsi="Arial" w:cs="Arial"/>
          <w:i/>
        </w:rPr>
        <w:t>The Strong Bull</w:t>
      </w:r>
      <w:r w:rsidR="00616756">
        <w:rPr>
          <w:rFonts w:ascii="Arial" w:hAnsi="Arial" w:cs="Arial"/>
        </w:rPr>
        <w:t>” and described herself as a “</w:t>
      </w:r>
      <w:r w:rsidR="00616756" w:rsidRPr="00711126">
        <w:rPr>
          <w:rFonts w:ascii="Arial" w:hAnsi="Arial" w:cs="Arial"/>
          <w:i/>
        </w:rPr>
        <w:t>beautiful woman</w:t>
      </w:r>
      <w:r w:rsidR="00616756">
        <w:rPr>
          <w:rFonts w:ascii="Arial" w:hAnsi="Arial" w:cs="Arial"/>
        </w:rPr>
        <w:t>".</w:t>
      </w:r>
      <w:r w:rsidR="00616756">
        <w:rPr>
          <w:rStyle w:val="FootnoteReference"/>
          <w:rFonts w:ascii="Arial" w:hAnsi="Arial" w:cs="Arial"/>
        </w:rPr>
        <w:footnoteReference w:id="83"/>
      </w:r>
      <w:r w:rsidR="00616756">
        <w:rPr>
          <w:rFonts w:ascii="Arial" w:hAnsi="Arial" w:cs="Arial"/>
        </w:rPr>
        <w:br/>
      </w:r>
      <w:r w:rsidR="00DE6676">
        <w:rPr>
          <w:rFonts w:ascii="Arial" w:hAnsi="Arial" w:cs="Arial"/>
        </w:rPr>
        <w:t>U</w:t>
      </w:r>
      <w:r w:rsidR="00024BF7">
        <w:rPr>
          <w:rFonts w:ascii="Arial" w:hAnsi="Arial" w:cs="Arial"/>
        </w:rPr>
        <w:t>nlike Siptah</w:t>
      </w:r>
      <w:r w:rsidR="005C7ABB">
        <w:rPr>
          <w:rFonts w:ascii="Arial" w:hAnsi="Arial" w:cs="Arial"/>
        </w:rPr>
        <w:t xml:space="preserve">, </w:t>
      </w:r>
      <w:r w:rsidR="004D70CE">
        <w:rPr>
          <w:rFonts w:ascii="Arial" w:hAnsi="Arial" w:cs="Arial"/>
        </w:rPr>
        <w:t>Thutmosis III lived to</w:t>
      </w:r>
      <w:r w:rsidR="00634A6F">
        <w:rPr>
          <w:rFonts w:ascii="Arial" w:hAnsi="Arial" w:cs="Arial"/>
        </w:rPr>
        <w:t xml:space="preserve"> adult age</w:t>
      </w:r>
      <w:r w:rsidR="005C7ABB">
        <w:rPr>
          <w:rFonts w:ascii="Arial" w:hAnsi="Arial" w:cs="Arial"/>
        </w:rPr>
        <w:t xml:space="preserve"> </w:t>
      </w:r>
      <w:r w:rsidR="00024BF7">
        <w:rPr>
          <w:rFonts w:ascii="Arial" w:hAnsi="Arial" w:cs="Arial"/>
        </w:rPr>
        <w:t xml:space="preserve">and </w:t>
      </w:r>
      <w:r w:rsidR="005C7ABB">
        <w:rPr>
          <w:rFonts w:ascii="Arial" w:hAnsi="Arial" w:cs="Arial"/>
        </w:rPr>
        <w:t>seemed to accept Hatshepsut as co-</w:t>
      </w:r>
      <w:r w:rsidR="004D70CE">
        <w:rPr>
          <w:rFonts w:ascii="Arial" w:hAnsi="Arial" w:cs="Arial"/>
        </w:rPr>
        <w:t>ruler,</w:t>
      </w:r>
      <w:r w:rsidR="004D70CE">
        <w:rPr>
          <w:rStyle w:val="FootnoteReference"/>
          <w:rFonts w:ascii="Arial" w:hAnsi="Arial" w:cs="Arial"/>
        </w:rPr>
        <w:footnoteReference w:id="84"/>
      </w:r>
      <w:r w:rsidR="004D70CE">
        <w:rPr>
          <w:rFonts w:ascii="Arial" w:hAnsi="Arial" w:cs="Arial"/>
        </w:rPr>
        <w:t xml:space="preserve"> Hatshepsut </w:t>
      </w:r>
      <w:r w:rsidR="00024BF7">
        <w:rPr>
          <w:rFonts w:ascii="Arial" w:hAnsi="Arial" w:cs="Arial"/>
        </w:rPr>
        <w:t xml:space="preserve">also </w:t>
      </w:r>
      <w:r w:rsidR="004D70CE">
        <w:rPr>
          <w:rFonts w:ascii="Arial" w:hAnsi="Arial" w:cs="Arial"/>
        </w:rPr>
        <w:t>seemingly happy to accept her stepson ruling beside her, making no attempt to depose him.</w:t>
      </w:r>
      <w:r w:rsidR="004D70CE">
        <w:rPr>
          <w:rStyle w:val="FootnoteReference"/>
          <w:rFonts w:ascii="Arial" w:hAnsi="Arial" w:cs="Arial"/>
        </w:rPr>
        <w:footnoteReference w:id="85"/>
      </w:r>
      <w:r w:rsidR="004674A2">
        <w:rPr>
          <w:rFonts w:ascii="Arial" w:hAnsi="Arial" w:cs="Arial"/>
        </w:rPr>
        <w:t xml:space="preserve"> Though, a theory that Tyldesley presents suggests that</w:t>
      </w:r>
      <w:r w:rsidR="00616756">
        <w:rPr>
          <w:rFonts w:ascii="Arial" w:hAnsi="Arial" w:cs="Arial"/>
        </w:rPr>
        <w:t xml:space="preserve"> Thutmosis would have had no choice, as if Hatshepsut had the </w:t>
      </w:r>
      <w:r w:rsidR="00616756">
        <w:rPr>
          <w:rFonts w:ascii="Arial" w:hAnsi="Arial" w:cs="Arial"/>
        </w:rPr>
        <w:lastRenderedPageBreak/>
        <w:t>support from the civil service and full control of the treasury, he would have had no power to use against her.</w:t>
      </w:r>
      <w:r w:rsidR="007F2034">
        <w:rPr>
          <w:rFonts w:ascii="Arial" w:hAnsi="Arial" w:cs="Arial"/>
        </w:rPr>
        <w:t xml:space="preserve"> I</w:t>
      </w:r>
      <w:r w:rsidR="004674A2">
        <w:rPr>
          <w:rFonts w:ascii="Arial" w:hAnsi="Arial" w:cs="Arial"/>
        </w:rPr>
        <w:t>f we accept this theory, i</w:t>
      </w:r>
      <w:r w:rsidR="007F2034">
        <w:rPr>
          <w:rFonts w:ascii="Arial" w:hAnsi="Arial" w:cs="Arial"/>
        </w:rPr>
        <w:t>t may be</w:t>
      </w:r>
      <w:r w:rsidR="00C274F5">
        <w:rPr>
          <w:rFonts w:ascii="Arial" w:hAnsi="Arial" w:cs="Arial"/>
        </w:rPr>
        <w:t xml:space="preserve"> because of this that she did not see him as a threat.</w:t>
      </w:r>
      <w:r w:rsidR="00C274F5">
        <w:rPr>
          <w:rStyle w:val="FootnoteReference"/>
          <w:rFonts w:ascii="Arial" w:hAnsi="Arial" w:cs="Arial"/>
        </w:rPr>
        <w:footnoteReference w:id="86"/>
      </w:r>
    </w:p>
    <w:p w:rsidR="0040791E" w:rsidRDefault="00024BF7" w:rsidP="00E616FC">
      <w:pPr>
        <w:spacing w:line="480" w:lineRule="auto"/>
        <w:ind w:right="95"/>
        <w:rPr>
          <w:rFonts w:ascii="Arial" w:hAnsi="Arial" w:cs="Arial"/>
        </w:rPr>
      </w:pPr>
      <w:r>
        <w:rPr>
          <w:rFonts w:ascii="Arial" w:hAnsi="Arial" w:cs="Arial"/>
        </w:rPr>
        <w:t xml:space="preserve">When we compare the rates </w:t>
      </w:r>
      <w:r w:rsidR="00AF52E0">
        <w:rPr>
          <w:rFonts w:ascii="Arial" w:hAnsi="Arial" w:cs="Arial"/>
        </w:rPr>
        <w:t xml:space="preserve">of </w:t>
      </w:r>
      <w:r w:rsidR="0004312A">
        <w:rPr>
          <w:rFonts w:ascii="Arial" w:hAnsi="Arial" w:cs="Arial"/>
        </w:rPr>
        <w:t>women in power in</w:t>
      </w:r>
      <w:r>
        <w:rPr>
          <w:rFonts w:ascii="Arial" w:hAnsi="Arial" w:cs="Arial"/>
        </w:rPr>
        <w:t xml:space="preserve"> the modern world (though the numbers are higher</w:t>
      </w:r>
      <w:r w:rsidR="0004312A">
        <w:rPr>
          <w:rFonts w:ascii="Arial" w:hAnsi="Arial" w:cs="Arial"/>
        </w:rPr>
        <w:t xml:space="preserve"> than</w:t>
      </w:r>
      <w:r>
        <w:rPr>
          <w:rFonts w:ascii="Arial" w:hAnsi="Arial" w:cs="Arial"/>
        </w:rPr>
        <w:t xml:space="preserve"> what we see</w:t>
      </w:r>
      <w:r w:rsidR="0004312A">
        <w:rPr>
          <w:rFonts w:ascii="Arial" w:hAnsi="Arial" w:cs="Arial"/>
        </w:rPr>
        <w:t xml:space="preserve"> i</w:t>
      </w:r>
      <w:r>
        <w:rPr>
          <w:rFonts w:ascii="Arial" w:hAnsi="Arial" w:cs="Arial"/>
        </w:rPr>
        <w:t>n ancient Egypt) the data is</w:t>
      </w:r>
      <w:r w:rsidR="0004312A">
        <w:rPr>
          <w:rFonts w:ascii="Arial" w:hAnsi="Arial" w:cs="Arial"/>
        </w:rPr>
        <w:t xml:space="preserve"> still very far from equal. The historical components of the patriarchy have allowed such low numbers of women in power to be pervasive throughout history.</w:t>
      </w:r>
      <w:r w:rsidR="0004312A">
        <w:rPr>
          <w:rStyle w:val="FootnoteReference"/>
          <w:rFonts w:ascii="Arial" w:hAnsi="Arial" w:cs="Arial"/>
        </w:rPr>
        <w:footnoteReference w:id="87"/>
      </w:r>
      <w:r w:rsidR="0004312A">
        <w:rPr>
          <w:rFonts w:ascii="Arial" w:hAnsi="Arial" w:cs="Arial"/>
        </w:rPr>
        <w:t xml:space="preserve"> Male primogeniture has been so common due to cultural</w:t>
      </w:r>
      <w:r w:rsidR="004674A2">
        <w:rPr>
          <w:rFonts w:ascii="Arial" w:hAnsi="Arial" w:cs="Arial"/>
        </w:rPr>
        <w:t xml:space="preserve"> factors of the patriarchy, but, as Webb states, </w:t>
      </w:r>
      <w:r w:rsidR="0004312A">
        <w:rPr>
          <w:rFonts w:ascii="Arial" w:hAnsi="Arial" w:cs="Arial"/>
        </w:rPr>
        <w:t>should never have been viewed as a universal norm to the extent that it has.</w:t>
      </w:r>
      <w:r w:rsidR="0004312A">
        <w:rPr>
          <w:rStyle w:val="FootnoteReference"/>
          <w:rFonts w:ascii="Arial" w:hAnsi="Arial" w:cs="Arial"/>
        </w:rPr>
        <w:footnoteReference w:id="88"/>
      </w:r>
      <w:r w:rsidR="0004312A">
        <w:rPr>
          <w:rFonts w:ascii="Arial" w:hAnsi="Arial" w:cs="Arial"/>
        </w:rPr>
        <w:t xml:space="preserve"> When it comes to male primogeniture in Europe, for centuries this has been normal,</w:t>
      </w:r>
      <w:r w:rsidR="0004312A">
        <w:rPr>
          <w:rStyle w:val="FootnoteReference"/>
          <w:rFonts w:ascii="Arial" w:hAnsi="Arial" w:cs="Arial"/>
        </w:rPr>
        <w:footnoteReference w:id="89"/>
      </w:r>
      <w:r w:rsidR="0004312A">
        <w:rPr>
          <w:rFonts w:ascii="Arial" w:hAnsi="Arial" w:cs="Arial"/>
        </w:rPr>
        <w:t xml:space="preserve"> and rather recently, most constitutional monarchies in Europe</w:t>
      </w:r>
      <w:r w:rsidR="00DE6676">
        <w:rPr>
          <w:rFonts w:ascii="Arial" w:hAnsi="Arial" w:cs="Arial"/>
        </w:rPr>
        <w:t xml:space="preserve"> (an exception being Spain</w:t>
      </w:r>
      <w:r w:rsidR="00DE6676">
        <w:rPr>
          <w:rStyle w:val="FootnoteReference"/>
          <w:rFonts w:ascii="Arial" w:hAnsi="Arial" w:cs="Arial"/>
        </w:rPr>
        <w:footnoteReference w:id="90"/>
      </w:r>
      <w:r w:rsidR="00DE6676">
        <w:rPr>
          <w:rFonts w:ascii="Arial" w:hAnsi="Arial" w:cs="Arial"/>
        </w:rPr>
        <w:t>)</w:t>
      </w:r>
      <w:r w:rsidR="0004312A">
        <w:rPr>
          <w:rFonts w:ascii="Arial" w:hAnsi="Arial" w:cs="Arial"/>
        </w:rPr>
        <w:t xml:space="preserve"> have made changes in the laws regarding the succession to their respective thrones.</w:t>
      </w:r>
      <w:r w:rsidR="0004312A">
        <w:rPr>
          <w:rStyle w:val="FootnoteReference"/>
          <w:rFonts w:ascii="Arial" w:hAnsi="Arial" w:cs="Arial"/>
        </w:rPr>
        <w:footnoteReference w:id="91"/>
      </w:r>
      <w:r w:rsidR="0004312A">
        <w:rPr>
          <w:rFonts w:ascii="Arial" w:hAnsi="Arial" w:cs="Arial"/>
        </w:rPr>
        <w:t xml:space="preserve"> </w:t>
      </w:r>
      <w:r w:rsidR="00561D2B">
        <w:rPr>
          <w:rFonts w:ascii="Arial" w:hAnsi="Arial" w:cs="Arial"/>
        </w:rPr>
        <w:t>Sweden was the first in Europe to do this, 1980 marking the year where it became the first Monarchy to adhere to the principle of equal succession to the throne on the grounds of gender in the Swedish Act of Succession.</w:t>
      </w:r>
      <w:r w:rsidR="00561D2B">
        <w:rPr>
          <w:rStyle w:val="FootnoteReference"/>
          <w:rFonts w:ascii="Arial" w:hAnsi="Arial" w:cs="Arial"/>
        </w:rPr>
        <w:footnoteReference w:id="92"/>
      </w:r>
      <w:r w:rsidR="00561D2B">
        <w:rPr>
          <w:rFonts w:ascii="Arial" w:hAnsi="Arial" w:cs="Arial"/>
        </w:rPr>
        <w:t xml:space="preserve"> </w:t>
      </w:r>
      <w:r w:rsidR="0004312A">
        <w:rPr>
          <w:rFonts w:ascii="Arial" w:hAnsi="Arial" w:cs="Arial"/>
        </w:rPr>
        <w:t>For years, it has simply been assumed that men were able to provide leadership to a greater extent to a woman</w:t>
      </w:r>
      <w:r w:rsidR="0004312A">
        <w:rPr>
          <w:rStyle w:val="FootnoteReference"/>
          <w:rFonts w:ascii="Arial" w:hAnsi="Arial" w:cs="Arial"/>
        </w:rPr>
        <w:footnoteReference w:id="93"/>
      </w:r>
      <w:r w:rsidR="0004312A">
        <w:rPr>
          <w:rFonts w:ascii="Arial" w:hAnsi="Arial" w:cs="Arial"/>
        </w:rPr>
        <w:t xml:space="preserve"> – perhaps the same perspective that was used in ancient Egypt. In politics, as of October 2017, </w:t>
      </w:r>
      <w:r w:rsidR="004674A2">
        <w:rPr>
          <w:rFonts w:ascii="Arial" w:hAnsi="Arial" w:cs="Arial"/>
        </w:rPr>
        <w:t xml:space="preserve">U.N Women reported that </w:t>
      </w:r>
      <w:r w:rsidR="0004312A">
        <w:rPr>
          <w:rFonts w:ascii="Arial" w:hAnsi="Arial" w:cs="Arial"/>
        </w:rPr>
        <w:t xml:space="preserve">only 23 women on the globe were serving as heads of state </w:t>
      </w:r>
      <w:r w:rsidR="0004312A">
        <w:rPr>
          <w:rFonts w:ascii="Arial" w:hAnsi="Arial" w:cs="Arial"/>
        </w:rPr>
        <w:lastRenderedPageBreak/>
        <w:t>or heads of government.</w:t>
      </w:r>
      <w:r>
        <w:rPr>
          <w:rStyle w:val="FootnoteReference"/>
          <w:rFonts w:ascii="Arial" w:hAnsi="Arial" w:cs="Arial"/>
        </w:rPr>
        <w:footnoteReference w:id="94"/>
      </w:r>
      <w:r w:rsidR="0004312A">
        <w:rPr>
          <w:rFonts w:ascii="Arial" w:hAnsi="Arial" w:cs="Arial"/>
        </w:rPr>
        <w:t xml:space="preserve"> </w:t>
      </w:r>
      <w:r w:rsidR="00561D2B">
        <w:rPr>
          <w:rFonts w:ascii="Arial" w:hAnsi="Arial" w:cs="Arial"/>
        </w:rPr>
        <w:t>The country with the highest number of female parliamentarians was Rwanda, which had a percentage of 63.8% of seats in the lower house being taken up by women.</w:t>
      </w:r>
      <w:r w:rsidR="00561D2B">
        <w:rPr>
          <w:rStyle w:val="FootnoteReference"/>
          <w:rFonts w:ascii="Arial" w:hAnsi="Arial" w:cs="Arial"/>
        </w:rPr>
        <w:footnoteReference w:id="95"/>
      </w:r>
      <w:r w:rsidR="00561D2B">
        <w:rPr>
          <w:rFonts w:ascii="Arial" w:hAnsi="Arial" w:cs="Arial"/>
        </w:rPr>
        <w:t xml:space="preserve"> But, this is only one country out of 195. In 38 States, women account for less than 10% of parliamentarians, and four chambers in the wo</w:t>
      </w:r>
      <w:r w:rsidR="00C46B1F">
        <w:rPr>
          <w:rFonts w:ascii="Arial" w:hAnsi="Arial" w:cs="Arial"/>
        </w:rPr>
        <w:t>r</w:t>
      </w:r>
      <w:r w:rsidR="00746391">
        <w:rPr>
          <w:rFonts w:ascii="Arial" w:hAnsi="Arial" w:cs="Arial"/>
        </w:rPr>
        <w:t>ld still have no women at all.</w:t>
      </w:r>
      <w:r w:rsidR="00561D2B">
        <w:rPr>
          <w:rStyle w:val="FootnoteReference"/>
          <w:rFonts w:ascii="Arial" w:hAnsi="Arial" w:cs="Arial"/>
        </w:rPr>
        <w:footnoteReference w:id="96"/>
      </w:r>
      <w:r w:rsidR="00C46B1F">
        <w:rPr>
          <w:rFonts w:ascii="Arial" w:hAnsi="Arial" w:cs="Arial"/>
        </w:rPr>
        <w:t xml:space="preserve"> </w:t>
      </w:r>
      <w:r w:rsidR="0004312A">
        <w:rPr>
          <w:rFonts w:ascii="Arial" w:hAnsi="Arial" w:cs="Arial"/>
        </w:rPr>
        <w:t>So, even though numbers have vastly increased in terms of the percentages of women in power, there is still the issue of inequality</w:t>
      </w:r>
      <w:r>
        <w:rPr>
          <w:rFonts w:ascii="Arial" w:hAnsi="Arial" w:cs="Arial"/>
        </w:rPr>
        <w:t xml:space="preserve"> in the world today. </w:t>
      </w:r>
      <w:r w:rsidR="00561D2B">
        <w:rPr>
          <w:rFonts w:ascii="Arial" w:hAnsi="Arial" w:cs="Arial"/>
        </w:rPr>
        <w:t>Many p</w:t>
      </w:r>
      <w:r>
        <w:rPr>
          <w:rFonts w:ascii="Arial" w:hAnsi="Arial" w:cs="Arial"/>
        </w:rPr>
        <w:t>owerful women do exist in the modern world, as they did in the ancient Egyptian civilisation – t</w:t>
      </w:r>
      <w:r w:rsidR="008036E4">
        <w:rPr>
          <w:rFonts w:ascii="Arial" w:hAnsi="Arial" w:cs="Arial"/>
        </w:rPr>
        <w:t>he issue is the numbers in comparison</w:t>
      </w:r>
      <w:r>
        <w:rPr>
          <w:rFonts w:ascii="Arial" w:hAnsi="Arial" w:cs="Arial"/>
        </w:rPr>
        <w:t xml:space="preserve"> to their male counterparts, the patriarchal societies still</w:t>
      </w:r>
      <w:r w:rsidR="00AF52E0">
        <w:rPr>
          <w:rFonts w:ascii="Arial" w:hAnsi="Arial" w:cs="Arial"/>
        </w:rPr>
        <w:t xml:space="preserve"> having something of an e</w:t>
      </w:r>
      <w:r>
        <w:rPr>
          <w:rFonts w:ascii="Arial" w:hAnsi="Arial" w:cs="Arial"/>
        </w:rPr>
        <w:t>ffect as they did thousands of years ago in Egypt. Massive progress has been made, yet we still have a distance to go before true gender equality</w:t>
      </w:r>
      <w:r w:rsidR="008036E4">
        <w:rPr>
          <w:rFonts w:ascii="Arial" w:hAnsi="Arial" w:cs="Arial"/>
        </w:rPr>
        <w:t xml:space="preserve"> within seats of power</w:t>
      </w:r>
      <w:r>
        <w:rPr>
          <w:rFonts w:ascii="Arial" w:hAnsi="Arial" w:cs="Arial"/>
        </w:rPr>
        <w:t xml:space="preserve"> is reached.</w:t>
      </w: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06B6A" w:rsidRDefault="005F6EF3" w:rsidP="00E616FC">
      <w:pPr>
        <w:spacing w:line="480" w:lineRule="auto"/>
        <w:ind w:right="95"/>
        <w:rPr>
          <w:rFonts w:ascii="Arial" w:hAnsi="Arial" w:cs="Arial"/>
        </w:rPr>
      </w:pPr>
      <w:r>
        <w:rPr>
          <w:noProof/>
          <w:lang w:eastAsia="en-GB"/>
        </w:rPr>
        <w:lastRenderedPageBreak/>
        <w:drawing>
          <wp:anchor distT="0" distB="0" distL="114300" distR="114300" simplePos="0" relativeHeight="251677696" behindDoc="0" locked="0" layoutInCell="1" allowOverlap="1">
            <wp:simplePos x="0" y="0"/>
            <wp:positionH relativeFrom="column">
              <wp:posOffset>2824480</wp:posOffset>
            </wp:positionH>
            <wp:positionV relativeFrom="paragraph">
              <wp:posOffset>304165</wp:posOffset>
            </wp:positionV>
            <wp:extent cx="2031365" cy="2157095"/>
            <wp:effectExtent l="0" t="0" r="6985" b="0"/>
            <wp:wrapSquare wrapText="bothSides"/>
            <wp:docPr id="2" name="Picture 2" descr="http://brewminate.com/wp-content/uploads/2018/02/022018-46-Art-Histroy-Ancient-Egypt.j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brewminate.com/wp-content/uploads/2018/02/022018-46-Art-Histroy-Ancient-Egypt.jp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31365" cy="2157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1FB2">
        <w:rPr>
          <w:rFonts w:ascii="Arial" w:hAnsi="Arial" w:cs="Arial"/>
          <w:b/>
        </w:rPr>
        <w:t xml:space="preserve">The </w:t>
      </w:r>
      <w:r w:rsidR="00E77766">
        <w:rPr>
          <w:rFonts w:ascii="Arial" w:hAnsi="Arial" w:cs="Arial"/>
          <w:b/>
        </w:rPr>
        <w:t>Citizeness</w:t>
      </w:r>
    </w:p>
    <w:p w:rsidR="00EB6AE6" w:rsidRDefault="009B2B7B" w:rsidP="00E616FC">
      <w:pPr>
        <w:spacing w:line="480" w:lineRule="auto"/>
        <w:ind w:right="95"/>
        <w:rPr>
          <w:rFonts w:ascii="Arial" w:hAnsi="Arial" w:cs="Arial"/>
        </w:rPr>
      </w:pPr>
      <w:r w:rsidRPr="00575D4D">
        <w:rPr>
          <w:rFonts w:ascii="Arial" w:hAnsi="Arial" w:cs="Arial"/>
          <w:noProof/>
          <w:lang w:eastAsia="en-GB"/>
        </w:rPr>
        <mc:AlternateContent>
          <mc:Choice Requires="wps">
            <w:drawing>
              <wp:anchor distT="45720" distB="45720" distL="114300" distR="114300" simplePos="0" relativeHeight="251679744" behindDoc="0" locked="0" layoutInCell="1" allowOverlap="1" wp14:anchorId="6149C959" wp14:editId="66BE5863">
                <wp:simplePos x="0" y="0"/>
                <wp:positionH relativeFrom="column">
                  <wp:posOffset>2827020</wp:posOffset>
                </wp:positionH>
                <wp:positionV relativeFrom="page">
                  <wp:posOffset>3429000</wp:posOffset>
                </wp:positionV>
                <wp:extent cx="2033905" cy="847725"/>
                <wp:effectExtent l="0" t="0" r="2349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3905" cy="847725"/>
                        </a:xfrm>
                        <a:prstGeom prst="rect">
                          <a:avLst/>
                        </a:prstGeom>
                        <a:solidFill>
                          <a:srgbClr val="FFFFFF"/>
                        </a:solidFill>
                        <a:ln w="9525">
                          <a:solidFill>
                            <a:srgbClr val="000000"/>
                          </a:solidFill>
                          <a:miter lim="800000"/>
                          <a:headEnd/>
                          <a:tailEnd/>
                        </a:ln>
                      </wps:spPr>
                      <wps:txbx>
                        <w:txbxContent>
                          <w:p w:rsidR="00FB2511" w:rsidRPr="00575D4D" w:rsidRDefault="00FB2511" w:rsidP="00890085">
                            <w:pPr>
                              <w:jc w:val="center"/>
                              <w:rPr>
                                <w:rFonts w:ascii="Arial" w:hAnsi="Arial" w:cs="Arial"/>
                              </w:rPr>
                            </w:pPr>
                            <w:r>
                              <w:rPr>
                                <w:rFonts w:ascii="Arial" w:hAnsi="Arial" w:cs="Arial"/>
                              </w:rPr>
                              <w:t xml:space="preserve">Fig. 9: Nakht and Tawy Make an Offering, </w:t>
                            </w:r>
                            <w:r w:rsidRPr="00A66E51">
                              <w:rPr>
                                <w:rFonts w:ascii="Arial" w:hAnsi="Arial" w:cs="Arial"/>
                              </w:rPr>
                              <w:t>©</w:t>
                            </w:r>
                            <w:r w:rsidRPr="00F26325">
                              <w:rPr>
                                <w:rFonts w:ascii="Arial" w:hAnsi="Arial" w:cs="Arial"/>
                              </w:rPr>
                              <w:t xml:space="preserve"> </w:t>
                            </w:r>
                            <w:r>
                              <w:rPr>
                                <w:rFonts w:ascii="Arial" w:hAnsi="Arial" w:cs="Arial"/>
                              </w:rPr>
                              <w:t>Seidel. M, Shedid. A.G, 1992, Luxor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9C959" id="_x0000_s1035" type="#_x0000_t202" style="position:absolute;margin-left:222.6pt;margin-top:270pt;width:160.15pt;height:66.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">
                <v:textbox>
                  <w:txbxContent>
                    <w:p w:rsidR="00FB2511" w:rsidRPr="00575D4D" w:rsidRDefault="00FB2511" w:rsidP="00890085">
                      <w:pPr>
                        <w:jc w:val="center"/>
                        <w:rPr>
                          <w:rFonts w:ascii="Arial" w:hAnsi="Arial" w:cs="Arial"/>
                        </w:rPr>
                      </w:pPr>
                      <w:r>
                        <w:rPr>
                          <w:rFonts w:ascii="Arial" w:hAnsi="Arial" w:cs="Arial"/>
                        </w:rPr>
                        <w:t xml:space="preserve">Fig. 9: Nakht and Tawy Make an Offering, </w:t>
                      </w:r>
                      <w:r w:rsidRPr="00A66E51">
                        <w:rPr>
                          <w:rFonts w:ascii="Arial" w:hAnsi="Arial" w:cs="Arial"/>
                        </w:rPr>
                        <w:t>©</w:t>
                      </w:r>
                      <w:r w:rsidRPr="00F26325">
                        <w:rPr>
                          <w:rFonts w:ascii="Arial" w:hAnsi="Arial" w:cs="Arial"/>
                        </w:rPr>
                        <w:t xml:space="preserve"> </w:t>
                      </w:r>
                      <w:r>
                        <w:rPr>
                          <w:rFonts w:ascii="Arial" w:hAnsi="Arial" w:cs="Arial"/>
                        </w:rPr>
                        <w:t>Seidel. M, Shedid. A.G, 1992, Luxor</w:t>
                      </w:r>
                    </w:p>
                  </w:txbxContent>
                </v:textbox>
                <w10:wrap type="square" anchory="page"/>
              </v:shape>
            </w:pict>
          </mc:Fallback>
        </mc:AlternateContent>
      </w:r>
      <w:r w:rsidR="00CB5C16">
        <w:rPr>
          <w:rFonts w:ascii="Arial" w:hAnsi="Arial" w:cs="Arial"/>
        </w:rPr>
        <w:t>For women in Ancient Egypt, it is rather clear that their main roles were found within the household.</w:t>
      </w:r>
      <w:r w:rsidR="00CB5C16">
        <w:rPr>
          <w:rStyle w:val="FootnoteReference"/>
          <w:rFonts w:ascii="Arial" w:hAnsi="Arial" w:cs="Arial"/>
        </w:rPr>
        <w:footnoteReference w:id="97"/>
      </w:r>
      <w:r w:rsidR="00CB5C16">
        <w:rPr>
          <w:rFonts w:ascii="Arial" w:hAnsi="Arial" w:cs="Arial"/>
        </w:rPr>
        <w:t xml:space="preserve"> </w:t>
      </w:r>
      <w:r w:rsidR="0084306B">
        <w:rPr>
          <w:rFonts w:ascii="Arial" w:hAnsi="Arial" w:cs="Arial"/>
        </w:rPr>
        <w:t>The home was the main centre of production for all of the clothing and the food that a family unit would need.</w:t>
      </w:r>
      <w:r w:rsidR="0084306B">
        <w:rPr>
          <w:rStyle w:val="FootnoteReference"/>
          <w:rFonts w:ascii="Arial" w:hAnsi="Arial" w:cs="Arial"/>
        </w:rPr>
        <w:footnoteReference w:id="98"/>
      </w:r>
      <w:r w:rsidR="0084306B">
        <w:rPr>
          <w:rFonts w:ascii="Arial" w:hAnsi="Arial" w:cs="Arial"/>
        </w:rPr>
        <w:t xml:space="preserve"> </w:t>
      </w:r>
      <w:r w:rsidR="00CB5C16">
        <w:rPr>
          <w:rFonts w:ascii="Arial" w:hAnsi="Arial" w:cs="Arial"/>
        </w:rPr>
        <w:t>In Egyptian art, women are freque</w:t>
      </w:r>
      <w:r w:rsidR="00711126">
        <w:rPr>
          <w:rFonts w:ascii="Arial" w:hAnsi="Arial" w:cs="Arial"/>
        </w:rPr>
        <w:t>ntly depicted as white-skinned ‘indoor’</w:t>
      </w:r>
      <w:r w:rsidR="00CB5C16">
        <w:rPr>
          <w:rFonts w:ascii="Arial" w:hAnsi="Arial" w:cs="Arial"/>
        </w:rPr>
        <w:t xml:space="preserve"> people, reflecting the lack of sun they saw whilst working in the home</w:t>
      </w:r>
      <w:r w:rsidR="004063F9">
        <w:rPr>
          <w:rFonts w:ascii="Arial" w:hAnsi="Arial" w:cs="Arial"/>
        </w:rPr>
        <w:t xml:space="preserve"> (See Fig. 9</w:t>
      </w:r>
      <w:r w:rsidR="00890085">
        <w:rPr>
          <w:rFonts w:ascii="Arial" w:hAnsi="Arial" w:cs="Arial"/>
        </w:rPr>
        <w:t>)</w:t>
      </w:r>
      <w:r w:rsidR="00CB5C16">
        <w:rPr>
          <w:rFonts w:ascii="Arial" w:hAnsi="Arial" w:cs="Arial"/>
        </w:rPr>
        <w:t>.</w:t>
      </w:r>
      <w:r w:rsidR="00CB5C16">
        <w:rPr>
          <w:rStyle w:val="FootnoteReference"/>
          <w:rFonts w:ascii="Arial" w:hAnsi="Arial" w:cs="Arial"/>
        </w:rPr>
        <w:footnoteReference w:id="99"/>
      </w:r>
      <w:r w:rsidR="00CB5C16">
        <w:rPr>
          <w:rFonts w:ascii="Arial" w:hAnsi="Arial" w:cs="Arial"/>
        </w:rPr>
        <w:t xml:space="preserve"> </w:t>
      </w:r>
      <w:r w:rsidR="0084306B">
        <w:rPr>
          <w:rFonts w:ascii="Arial" w:hAnsi="Arial" w:cs="Arial"/>
        </w:rPr>
        <w:t xml:space="preserve">Without the luxury of the modern conveniences that we see today, </w:t>
      </w:r>
      <w:r w:rsidR="004674A2">
        <w:rPr>
          <w:rFonts w:ascii="Arial" w:hAnsi="Arial" w:cs="Arial"/>
        </w:rPr>
        <w:t>Tyldesley interprets that the running of the home would have been</w:t>
      </w:r>
      <w:r w:rsidR="0084306B">
        <w:rPr>
          <w:rFonts w:ascii="Arial" w:hAnsi="Arial" w:cs="Arial"/>
        </w:rPr>
        <w:t xml:space="preserve"> a full-time job.</w:t>
      </w:r>
      <w:r w:rsidR="0084306B">
        <w:rPr>
          <w:rStyle w:val="FootnoteReference"/>
          <w:rFonts w:ascii="Arial" w:hAnsi="Arial" w:cs="Arial"/>
        </w:rPr>
        <w:footnoteReference w:id="100"/>
      </w:r>
      <w:r w:rsidR="0084306B">
        <w:rPr>
          <w:rFonts w:ascii="Arial" w:hAnsi="Arial" w:cs="Arial"/>
        </w:rPr>
        <w:t xml:space="preserve"> </w:t>
      </w:r>
      <w:r w:rsidR="00CB5C16">
        <w:rPr>
          <w:rFonts w:ascii="Arial" w:hAnsi="Arial" w:cs="Arial"/>
        </w:rPr>
        <w:t>Lower-class women often had very time consuming tasks</w:t>
      </w:r>
      <w:r w:rsidR="00724EC8">
        <w:rPr>
          <w:rFonts w:ascii="Arial" w:hAnsi="Arial" w:cs="Arial"/>
        </w:rPr>
        <w:t xml:space="preserve"> and</w:t>
      </w:r>
      <w:r w:rsidR="0084306B">
        <w:rPr>
          <w:rFonts w:ascii="Arial" w:hAnsi="Arial" w:cs="Arial"/>
        </w:rPr>
        <w:t xml:space="preserve"> because these were incredibly intense, it was common that women were unlikely to receive a formal education, and just taught the skills they would need in order to run an efficient household.</w:t>
      </w:r>
      <w:r w:rsidR="0084306B">
        <w:rPr>
          <w:rStyle w:val="FootnoteReference"/>
          <w:rFonts w:ascii="Arial" w:hAnsi="Arial" w:cs="Arial"/>
        </w:rPr>
        <w:footnoteReference w:id="101"/>
      </w:r>
      <w:r w:rsidR="0084306B">
        <w:rPr>
          <w:rFonts w:ascii="Arial" w:hAnsi="Arial" w:cs="Arial"/>
        </w:rPr>
        <w:t xml:space="preserve"> </w:t>
      </w:r>
      <w:r w:rsidR="0084306B">
        <w:rPr>
          <w:rFonts w:ascii="Arial" w:hAnsi="Arial" w:cs="Arial"/>
        </w:rPr>
        <w:br/>
        <w:t>T</w:t>
      </w:r>
      <w:r w:rsidR="00E77766">
        <w:rPr>
          <w:rFonts w:ascii="Arial" w:hAnsi="Arial" w:cs="Arial"/>
        </w:rPr>
        <w:t>he Tale of the Eloquent Peasant</w:t>
      </w:r>
      <w:r w:rsidR="00E77766">
        <w:rPr>
          <w:rStyle w:val="FootnoteReference"/>
          <w:rFonts w:ascii="Arial" w:hAnsi="Arial" w:cs="Arial"/>
        </w:rPr>
        <w:footnoteReference w:id="102"/>
      </w:r>
      <w:r w:rsidR="0084306B">
        <w:rPr>
          <w:rFonts w:ascii="Arial" w:hAnsi="Arial" w:cs="Arial"/>
        </w:rPr>
        <w:t xml:space="preserve"> names</w:t>
      </w:r>
      <w:r w:rsidR="00E77766">
        <w:rPr>
          <w:rFonts w:ascii="Arial" w:hAnsi="Arial" w:cs="Arial"/>
        </w:rPr>
        <w:t xml:space="preserve"> food production as one of the tasks</w:t>
      </w:r>
      <w:r w:rsidR="0084306B">
        <w:rPr>
          <w:rFonts w:ascii="Arial" w:hAnsi="Arial" w:cs="Arial"/>
        </w:rPr>
        <w:t xml:space="preserve"> a woman must know how to carry out</w:t>
      </w:r>
      <w:r w:rsidR="00CF656D">
        <w:rPr>
          <w:rFonts w:ascii="Arial" w:hAnsi="Arial" w:cs="Arial"/>
        </w:rPr>
        <w:t xml:space="preserve"> (See A1.5). </w:t>
      </w:r>
      <w:r w:rsidR="0084306B">
        <w:rPr>
          <w:rFonts w:ascii="Arial" w:hAnsi="Arial" w:cs="Arial"/>
        </w:rPr>
        <w:t xml:space="preserve">As well as the grinding of grains such as barley and wheat, women also had the task of fetching water, attending to livestock, making clothing and watching over </w:t>
      </w:r>
      <w:r w:rsidR="0084306B">
        <w:rPr>
          <w:rFonts w:ascii="Arial" w:hAnsi="Arial" w:cs="Arial"/>
        </w:rPr>
        <w:lastRenderedPageBreak/>
        <w:t>the younger children in the home.</w:t>
      </w:r>
      <w:r w:rsidR="0084306B">
        <w:rPr>
          <w:rStyle w:val="FootnoteReference"/>
          <w:rFonts w:ascii="Arial" w:hAnsi="Arial" w:cs="Arial"/>
        </w:rPr>
        <w:footnoteReference w:id="103"/>
      </w:r>
      <w:r w:rsidR="0084306B">
        <w:rPr>
          <w:rFonts w:ascii="Arial" w:hAnsi="Arial" w:cs="Arial"/>
        </w:rPr>
        <w:t xml:space="preserve"> A</w:t>
      </w:r>
      <w:r w:rsidR="00890085">
        <w:rPr>
          <w:rFonts w:ascii="Arial" w:hAnsi="Arial" w:cs="Arial"/>
        </w:rPr>
        <w:t>longside this indoor work, it</w:t>
      </w:r>
      <w:r w:rsidR="0084306B">
        <w:rPr>
          <w:rFonts w:ascii="Arial" w:hAnsi="Arial" w:cs="Arial"/>
        </w:rPr>
        <w:t xml:space="preserve"> is known that poorer women also had</w:t>
      </w:r>
      <w:r w:rsidR="00890085">
        <w:rPr>
          <w:rFonts w:ascii="Arial" w:hAnsi="Arial" w:cs="Arial"/>
        </w:rPr>
        <w:t xml:space="preserve"> to work the land </w:t>
      </w:r>
      <w:r w:rsidR="00DE22F1">
        <w:rPr>
          <w:rFonts w:ascii="Arial" w:hAnsi="Arial" w:cs="Arial"/>
        </w:rPr>
        <w:t>(even whilst nursing</w:t>
      </w:r>
      <w:r w:rsidR="00DE22F1">
        <w:rPr>
          <w:rStyle w:val="FootnoteReference"/>
          <w:rFonts w:ascii="Arial" w:hAnsi="Arial" w:cs="Arial"/>
        </w:rPr>
        <w:footnoteReference w:id="104"/>
      </w:r>
      <w:r w:rsidR="00DE22F1">
        <w:rPr>
          <w:rFonts w:ascii="Arial" w:hAnsi="Arial" w:cs="Arial"/>
        </w:rPr>
        <w:t xml:space="preserve">) </w:t>
      </w:r>
      <w:r w:rsidR="00890085">
        <w:rPr>
          <w:rFonts w:ascii="Arial" w:hAnsi="Arial" w:cs="Arial"/>
        </w:rPr>
        <w:t>in order to gain as much income as possible for their family.</w:t>
      </w:r>
      <w:r w:rsidR="00890085">
        <w:rPr>
          <w:rStyle w:val="FootnoteReference"/>
          <w:rFonts w:ascii="Arial" w:hAnsi="Arial" w:cs="Arial"/>
        </w:rPr>
        <w:footnoteReference w:id="105"/>
      </w:r>
      <w:r w:rsidR="00890085">
        <w:rPr>
          <w:rFonts w:ascii="Arial" w:hAnsi="Arial" w:cs="Arial"/>
        </w:rPr>
        <w:t xml:space="preserve"> </w:t>
      </w:r>
      <w:r w:rsidR="000F0513">
        <w:rPr>
          <w:rFonts w:ascii="Arial" w:hAnsi="Arial" w:cs="Arial"/>
        </w:rPr>
        <w:t>Yet, even when women undertake</w:t>
      </w:r>
      <w:r w:rsidR="00724EC8">
        <w:rPr>
          <w:rFonts w:ascii="Arial" w:hAnsi="Arial" w:cs="Arial"/>
        </w:rPr>
        <w:t xml:space="preserve"> this outdoor work</w:t>
      </w:r>
      <w:r w:rsidR="000F0513">
        <w:rPr>
          <w:rFonts w:ascii="Arial" w:hAnsi="Arial" w:cs="Arial"/>
        </w:rPr>
        <w:t xml:space="preserve">, their status is still demeaned in </w:t>
      </w:r>
      <w:r w:rsidR="00C46B1F">
        <w:rPr>
          <w:rFonts w:ascii="Arial" w:hAnsi="Arial" w:cs="Arial"/>
        </w:rPr>
        <w:t>the artistic rep</w:t>
      </w:r>
      <w:r w:rsidR="00634A6F">
        <w:rPr>
          <w:rFonts w:ascii="Arial" w:hAnsi="Arial" w:cs="Arial"/>
        </w:rPr>
        <w:t>resentations, an example</w:t>
      </w:r>
      <w:r w:rsidR="00C46B1F">
        <w:rPr>
          <w:rFonts w:ascii="Arial" w:hAnsi="Arial" w:cs="Arial"/>
        </w:rPr>
        <w:t xml:space="preserve"> being that</w:t>
      </w:r>
      <w:r w:rsidR="000F0513">
        <w:rPr>
          <w:rFonts w:ascii="Arial" w:hAnsi="Arial" w:cs="Arial"/>
        </w:rPr>
        <w:t xml:space="preserve"> they are never depicted holding sickles</w:t>
      </w:r>
      <w:r w:rsidR="00724EC8">
        <w:rPr>
          <w:rFonts w:ascii="Arial" w:hAnsi="Arial" w:cs="Arial"/>
        </w:rPr>
        <w:t>,</w:t>
      </w:r>
      <w:r w:rsidR="000F0513">
        <w:rPr>
          <w:rFonts w:ascii="Arial" w:hAnsi="Arial" w:cs="Arial"/>
        </w:rPr>
        <w:t xml:space="preserve"> like the men.</w:t>
      </w:r>
      <w:r w:rsidR="000F0513">
        <w:rPr>
          <w:rStyle w:val="FootnoteReference"/>
          <w:rFonts w:ascii="Arial" w:hAnsi="Arial" w:cs="Arial"/>
        </w:rPr>
        <w:footnoteReference w:id="106"/>
      </w:r>
      <w:r w:rsidR="000F0513">
        <w:rPr>
          <w:rFonts w:ascii="Arial" w:hAnsi="Arial" w:cs="Arial"/>
        </w:rPr>
        <w:t xml:space="preserve"> </w:t>
      </w:r>
      <w:r w:rsidR="004B6AF4">
        <w:rPr>
          <w:rFonts w:ascii="Arial" w:hAnsi="Arial" w:cs="Arial"/>
        </w:rPr>
        <w:t>Women have been recorded to work outside the home as merchants,</w:t>
      </w:r>
      <w:r w:rsidR="004B6AF4">
        <w:rPr>
          <w:rStyle w:val="FootnoteReference"/>
          <w:rFonts w:ascii="Arial" w:hAnsi="Arial" w:cs="Arial"/>
        </w:rPr>
        <w:footnoteReference w:id="107"/>
      </w:r>
      <w:r w:rsidR="004B6AF4">
        <w:rPr>
          <w:rFonts w:ascii="Arial" w:hAnsi="Arial" w:cs="Arial"/>
        </w:rPr>
        <w:t xml:space="preserve"> establishing their own small businesses and selling surplus household food </w:t>
      </w:r>
      <w:r w:rsidR="00DE22F1">
        <w:rPr>
          <w:rFonts w:ascii="Arial" w:hAnsi="Arial" w:cs="Arial"/>
        </w:rPr>
        <w:t>from ‘kitchen gardens</w:t>
      </w:r>
      <w:r w:rsidR="00724EC8">
        <w:rPr>
          <w:rFonts w:ascii="Arial" w:hAnsi="Arial" w:cs="Arial"/>
        </w:rPr>
        <w:t>’,</w:t>
      </w:r>
      <w:r w:rsidR="00DE22F1">
        <w:rPr>
          <w:rStyle w:val="FootnoteReference"/>
          <w:rFonts w:ascii="Arial" w:hAnsi="Arial" w:cs="Arial"/>
        </w:rPr>
        <w:footnoteReference w:id="108"/>
      </w:r>
      <w:r w:rsidR="00DE22F1">
        <w:rPr>
          <w:rFonts w:ascii="Arial" w:hAnsi="Arial" w:cs="Arial"/>
        </w:rPr>
        <w:t xml:space="preserve"> and various items of clothing.</w:t>
      </w:r>
      <w:r w:rsidR="00DE22F1">
        <w:rPr>
          <w:rStyle w:val="FootnoteReference"/>
          <w:rFonts w:ascii="Arial" w:hAnsi="Arial" w:cs="Arial"/>
        </w:rPr>
        <w:footnoteReference w:id="109"/>
      </w:r>
      <w:r w:rsidR="004B6AF4">
        <w:rPr>
          <w:rFonts w:ascii="Arial" w:hAnsi="Arial" w:cs="Arial"/>
        </w:rPr>
        <w:t xml:space="preserve"> </w:t>
      </w:r>
      <w:r w:rsidR="001C10EA">
        <w:rPr>
          <w:rFonts w:ascii="Arial" w:hAnsi="Arial" w:cs="Arial"/>
        </w:rPr>
        <w:t>Even though the men in</w:t>
      </w:r>
      <w:r w:rsidR="00890085">
        <w:rPr>
          <w:rFonts w:ascii="Arial" w:hAnsi="Arial" w:cs="Arial"/>
        </w:rPr>
        <w:t xml:space="preserve"> society placed a higher value on their work outside the home </w:t>
      </w:r>
      <w:r w:rsidR="00724EC8">
        <w:rPr>
          <w:rFonts w:ascii="Arial" w:hAnsi="Arial" w:cs="Arial"/>
        </w:rPr>
        <w:t>(and got paid more for their</w:t>
      </w:r>
      <w:r w:rsidR="004B6AF4">
        <w:rPr>
          <w:rFonts w:ascii="Arial" w:hAnsi="Arial" w:cs="Arial"/>
        </w:rPr>
        <w:t xml:space="preserve"> work</w:t>
      </w:r>
      <w:r w:rsidR="004B6AF4">
        <w:rPr>
          <w:rStyle w:val="FootnoteReference"/>
          <w:rFonts w:ascii="Arial" w:hAnsi="Arial" w:cs="Arial"/>
        </w:rPr>
        <w:footnoteReference w:id="110"/>
      </w:r>
      <w:r w:rsidR="004B6AF4">
        <w:rPr>
          <w:rFonts w:ascii="Arial" w:hAnsi="Arial" w:cs="Arial"/>
        </w:rPr>
        <w:t xml:space="preserve">) </w:t>
      </w:r>
      <w:r w:rsidR="00890085">
        <w:rPr>
          <w:rFonts w:ascii="Arial" w:hAnsi="Arial" w:cs="Arial"/>
        </w:rPr>
        <w:t>than the women’s work in the home,</w:t>
      </w:r>
      <w:r w:rsidR="00890085">
        <w:rPr>
          <w:rStyle w:val="FootnoteReference"/>
          <w:rFonts w:ascii="Arial" w:hAnsi="Arial" w:cs="Arial"/>
        </w:rPr>
        <w:footnoteReference w:id="111"/>
      </w:r>
      <w:r w:rsidR="00890085">
        <w:rPr>
          <w:rFonts w:ascii="Arial" w:hAnsi="Arial" w:cs="Arial"/>
        </w:rPr>
        <w:t xml:space="preserve"> the woman’s job of weaving was seen as the second most important industry after agricultur</w:t>
      </w:r>
      <w:r w:rsidR="000F0513">
        <w:rPr>
          <w:rFonts w:ascii="Arial" w:hAnsi="Arial" w:cs="Arial"/>
        </w:rPr>
        <w:t>e and many women were well paid.</w:t>
      </w:r>
      <w:r w:rsidR="00890085">
        <w:rPr>
          <w:rStyle w:val="FootnoteReference"/>
          <w:rFonts w:ascii="Arial" w:hAnsi="Arial" w:cs="Arial"/>
        </w:rPr>
        <w:footnoteReference w:id="112"/>
      </w:r>
      <w:r w:rsidR="000F0513">
        <w:rPr>
          <w:rFonts w:ascii="Arial" w:hAnsi="Arial" w:cs="Arial"/>
        </w:rPr>
        <w:t xml:space="preserve"> Weaving was also seen by some to be an incredibly specialised industry, with the existence of some workshops next to high-level households, acting as extensions of a domestic environment.</w:t>
      </w:r>
      <w:r w:rsidR="000F0513">
        <w:rPr>
          <w:rStyle w:val="FootnoteReference"/>
          <w:rFonts w:ascii="Arial" w:hAnsi="Arial" w:cs="Arial"/>
        </w:rPr>
        <w:footnoteReference w:id="113"/>
      </w:r>
      <w:r w:rsidR="00711126">
        <w:rPr>
          <w:rFonts w:ascii="Arial" w:hAnsi="Arial" w:cs="Arial"/>
        </w:rPr>
        <w:t xml:space="preserve"> These ‘House(s) of Weavers’</w:t>
      </w:r>
      <w:r w:rsidR="000F0513">
        <w:rPr>
          <w:rFonts w:ascii="Arial" w:hAnsi="Arial" w:cs="Arial"/>
        </w:rPr>
        <w:t xml:space="preserve"> could be overseen by a man or a woman, (Though, by the Middle Kingdom, most of these overseers were men</w:t>
      </w:r>
      <w:r w:rsidR="000F0513">
        <w:rPr>
          <w:rStyle w:val="FootnoteReference"/>
          <w:rFonts w:ascii="Arial" w:hAnsi="Arial" w:cs="Arial"/>
        </w:rPr>
        <w:footnoteReference w:id="114"/>
      </w:r>
      <w:r w:rsidR="000F0513">
        <w:rPr>
          <w:rFonts w:ascii="Arial" w:hAnsi="Arial" w:cs="Arial"/>
        </w:rPr>
        <w:t>) the workers earning enough money to foster the potential of independence.</w:t>
      </w:r>
      <w:r w:rsidR="000F0513">
        <w:rPr>
          <w:rStyle w:val="FootnoteReference"/>
          <w:rFonts w:ascii="Arial" w:hAnsi="Arial" w:cs="Arial"/>
        </w:rPr>
        <w:footnoteReference w:id="115"/>
      </w:r>
      <w:r w:rsidR="000F0513">
        <w:rPr>
          <w:rFonts w:ascii="Arial" w:hAnsi="Arial" w:cs="Arial"/>
        </w:rPr>
        <w:t xml:space="preserve"> </w:t>
      </w:r>
      <w:r w:rsidR="00E77766">
        <w:rPr>
          <w:rFonts w:ascii="Arial" w:hAnsi="Arial" w:cs="Arial"/>
        </w:rPr>
        <w:t xml:space="preserve">With the money earned from </w:t>
      </w:r>
      <w:r w:rsidR="00E77766">
        <w:rPr>
          <w:rFonts w:ascii="Arial" w:hAnsi="Arial" w:cs="Arial"/>
        </w:rPr>
        <w:lastRenderedPageBreak/>
        <w:t>extra tasks such as weaving</w:t>
      </w:r>
      <w:r w:rsidR="00DE22F1">
        <w:rPr>
          <w:rFonts w:ascii="Arial" w:hAnsi="Arial" w:cs="Arial"/>
        </w:rPr>
        <w:t xml:space="preserve"> and selling</w:t>
      </w:r>
      <w:r w:rsidR="00E77766">
        <w:rPr>
          <w:rFonts w:ascii="Arial" w:hAnsi="Arial" w:cs="Arial"/>
        </w:rPr>
        <w:t xml:space="preserve">, some women were even able to purchase their own land. </w:t>
      </w:r>
      <w:r w:rsidR="00DE22F1">
        <w:rPr>
          <w:rFonts w:ascii="Arial" w:hAnsi="Arial" w:cs="Arial"/>
        </w:rPr>
        <w:t>P</w:t>
      </w:r>
      <w:r w:rsidR="00890085">
        <w:rPr>
          <w:rFonts w:ascii="Arial" w:hAnsi="Arial" w:cs="Arial"/>
        </w:rPr>
        <w:t>rimary sources also tell us of</w:t>
      </w:r>
      <w:r w:rsidR="00E77766">
        <w:rPr>
          <w:rFonts w:ascii="Arial" w:hAnsi="Arial" w:cs="Arial"/>
        </w:rPr>
        <w:t xml:space="preserve"> women owning land</w:t>
      </w:r>
      <w:r w:rsidR="00890085">
        <w:rPr>
          <w:rFonts w:ascii="Arial" w:hAnsi="Arial" w:cs="Arial"/>
        </w:rPr>
        <w:t>, such as the Wilbour Papyrus</w:t>
      </w:r>
      <w:r w:rsidR="0084306B">
        <w:rPr>
          <w:rFonts w:ascii="Arial" w:hAnsi="Arial" w:cs="Arial"/>
        </w:rPr>
        <w:t>.</w:t>
      </w:r>
      <w:r w:rsidR="00890085">
        <w:rPr>
          <w:rStyle w:val="FootnoteReference"/>
          <w:rFonts w:ascii="Arial" w:hAnsi="Arial" w:cs="Arial"/>
        </w:rPr>
        <w:footnoteReference w:id="116"/>
      </w:r>
      <w:r w:rsidR="00E77766">
        <w:rPr>
          <w:rFonts w:ascii="Arial" w:hAnsi="Arial" w:cs="Arial"/>
        </w:rPr>
        <w:t xml:space="preserve"> </w:t>
      </w:r>
      <w:r w:rsidR="00890085">
        <w:rPr>
          <w:rFonts w:ascii="Arial" w:hAnsi="Arial" w:cs="Arial"/>
        </w:rPr>
        <w:t>This source tells us that of all of the approportioned sections of land, women owned 10.8%.</w:t>
      </w:r>
      <w:r w:rsidR="00890085">
        <w:rPr>
          <w:rStyle w:val="FootnoteReference"/>
          <w:rFonts w:ascii="Arial" w:hAnsi="Arial" w:cs="Arial"/>
        </w:rPr>
        <w:footnoteReference w:id="117"/>
      </w:r>
      <w:r w:rsidR="00890085">
        <w:rPr>
          <w:rFonts w:ascii="Arial" w:hAnsi="Arial" w:cs="Arial"/>
        </w:rPr>
        <w:t xml:space="preserve"> This farmland was also taxed, these tax records recording the owner and the per</w:t>
      </w:r>
      <w:r w:rsidR="00634A6F">
        <w:rPr>
          <w:rFonts w:ascii="Arial" w:hAnsi="Arial" w:cs="Arial"/>
        </w:rPr>
        <w:t>son who worked on the land. The Wilbour P</w:t>
      </w:r>
      <w:r w:rsidR="00890085">
        <w:rPr>
          <w:rFonts w:ascii="Arial" w:hAnsi="Arial" w:cs="Arial"/>
        </w:rPr>
        <w:t xml:space="preserve">apyrus details 2,110 portions of land, and for all the portions that have </w:t>
      </w:r>
      <w:r w:rsidR="00E77766">
        <w:rPr>
          <w:rFonts w:ascii="Arial" w:hAnsi="Arial" w:cs="Arial"/>
        </w:rPr>
        <w:t xml:space="preserve">surviving </w:t>
      </w:r>
      <w:r w:rsidR="00890085">
        <w:rPr>
          <w:rFonts w:ascii="Arial" w:hAnsi="Arial" w:cs="Arial"/>
        </w:rPr>
        <w:t>named owners, 228 of them are women.</w:t>
      </w:r>
      <w:r w:rsidR="00890085">
        <w:rPr>
          <w:rStyle w:val="FootnoteReference"/>
          <w:rFonts w:ascii="Arial" w:hAnsi="Arial" w:cs="Arial"/>
        </w:rPr>
        <w:footnoteReference w:id="118"/>
      </w:r>
      <w:r w:rsidR="00E77766">
        <w:rPr>
          <w:rFonts w:ascii="Arial" w:hAnsi="Arial" w:cs="Arial"/>
        </w:rPr>
        <w:br/>
        <w:t>Seeing as women mainly worked</w:t>
      </w:r>
      <w:r w:rsidR="00AF52E0">
        <w:rPr>
          <w:rFonts w:ascii="Arial" w:hAnsi="Arial" w:cs="Arial"/>
        </w:rPr>
        <w:t xml:space="preserve"> inside the home, a large number</w:t>
      </w:r>
      <w:r w:rsidR="00E77766">
        <w:rPr>
          <w:rFonts w:ascii="Arial" w:hAnsi="Arial" w:cs="Arial"/>
        </w:rPr>
        <w:t xml:space="preserve"> of women were uneducated and were only able to perform domestic skills.</w:t>
      </w:r>
      <w:r w:rsidR="00E77766">
        <w:rPr>
          <w:rStyle w:val="FootnoteReference"/>
          <w:rFonts w:ascii="Arial" w:hAnsi="Arial" w:cs="Arial"/>
        </w:rPr>
        <w:footnoteReference w:id="119"/>
      </w:r>
      <w:r w:rsidR="00E77766">
        <w:rPr>
          <w:rFonts w:ascii="Arial" w:hAnsi="Arial" w:cs="Arial"/>
        </w:rPr>
        <w:t xml:space="preserve"> Even women who were a part of the scribal class were probably never taught to read and write to a proficient level – </w:t>
      </w:r>
      <w:r w:rsidR="004674A2">
        <w:rPr>
          <w:rFonts w:ascii="Arial" w:hAnsi="Arial" w:cs="Arial"/>
        </w:rPr>
        <w:t xml:space="preserve">Robins stating that </w:t>
      </w:r>
      <w:r w:rsidR="00E77766">
        <w:rPr>
          <w:rFonts w:ascii="Arial" w:hAnsi="Arial" w:cs="Arial"/>
        </w:rPr>
        <w:t xml:space="preserve">not a </w:t>
      </w:r>
      <w:r w:rsidR="00DE22F1">
        <w:rPr>
          <w:rFonts w:ascii="Arial" w:hAnsi="Arial" w:cs="Arial"/>
        </w:rPr>
        <w:t xml:space="preserve">single </w:t>
      </w:r>
      <w:r w:rsidR="00066B73">
        <w:rPr>
          <w:rFonts w:ascii="Arial" w:hAnsi="Arial" w:cs="Arial"/>
        </w:rPr>
        <w:t>ancient Egyptian text is able to be</w:t>
      </w:r>
      <w:r w:rsidR="00E77766">
        <w:rPr>
          <w:rFonts w:ascii="Arial" w:hAnsi="Arial" w:cs="Arial"/>
        </w:rPr>
        <w:t xml:space="preserve"> proven to have been written by a woman.</w:t>
      </w:r>
      <w:r w:rsidR="00E77766">
        <w:rPr>
          <w:rStyle w:val="FootnoteReference"/>
          <w:rFonts w:ascii="Arial" w:hAnsi="Arial" w:cs="Arial"/>
        </w:rPr>
        <w:footnoteReference w:id="120"/>
      </w:r>
      <w:r w:rsidR="00AF52E0">
        <w:rPr>
          <w:rFonts w:ascii="Arial" w:hAnsi="Arial" w:cs="Arial"/>
        </w:rPr>
        <w:t xml:space="preserve"> </w:t>
      </w:r>
      <w:r w:rsidR="00AF52E0" w:rsidRPr="00AF52E0">
        <w:rPr>
          <w:rFonts w:ascii="Arial" w:hAnsi="Arial" w:cs="Arial"/>
        </w:rPr>
        <w:t>Due to</w:t>
      </w:r>
      <w:r w:rsidR="00E77766" w:rsidRPr="00AF52E0">
        <w:rPr>
          <w:rFonts w:ascii="Arial" w:hAnsi="Arial" w:cs="Arial"/>
        </w:rPr>
        <w:t xml:space="preserve"> </w:t>
      </w:r>
      <w:r w:rsidR="00E77766">
        <w:rPr>
          <w:rFonts w:ascii="Arial" w:hAnsi="Arial" w:cs="Arial"/>
        </w:rPr>
        <w:t>this barrier in their lives,</w:t>
      </w:r>
      <w:r w:rsidR="00AC2AFC">
        <w:rPr>
          <w:rFonts w:ascii="Arial" w:hAnsi="Arial" w:cs="Arial"/>
        </w:rPr>
        <w:t xml:space="preserve"> she believes that</w:t>
      </w:r>
      <w:r w:rsidR="00E77766">
        <w:rPr>
          <w:rFonts w:ascii="Arial" w:hAnsi="Arial" w:cs="Arial"/>
        </w:rPr>
        <w:t xml:space="preserve"> women were unable to gain admission to any level of ruling </w:t>
      </w:r>
      <w:r w:rsidR="00AF52E0">
        <w:rPr>
          <w:rFonts w:ascii="Arial" w:hAnsi="Arial" w:cs="Arial"/>
        </w:rPr>
        <w:t>beurocracy</w:t>
      </w:r>
      <w:r w:rsidR="00DE22F1">
        <w:rPr>
          <w:rFonts w:ascii="Arial" w:hAnsi="Arial" w:cs="Arial"/>
        </w:rPr>
        <w:t>.</w:t>
      </w:r>
      <w:r w:rsidR="00E77766">
        <w:rPr>
          <w:rStyle w:val="FootnoteReference"/>
          <w:rFonts w:ascii="Arial" w:hAnsi="Arial" w:cs="Arial"/>
        </w:rPr>
        <w:footnoteReference w:id="121"/>
      </w:r>
      <w:r w:rsidR="00DE22F1">
        <w:rPr>
          <w:rFonts w:ascii="Arial" w:hAnsi="Arial" w:cs="Arial"/>
        </w:rPr>
        <w:t xml:space="preserve"> </w:t>
      </w:r>
      <w:r w:rsidR="00E77766">
        <w:rPr>
          <w:rFonts w:ascii="Arial" w:hAnsi="Arial" w:cs="Arial"/>
        </w:rPr>
        <w:t xml:space="preserve">It would be wrong to make the assumption that no woman in ancient Egyptian history had the ability to read and write, but there is very little evidence to support the idea of </w:t>
      </w:r>
      <w:r w:rsidR="00AF52E0">
        <w:rPr>
          <w:rFonts w:ascii="Arial" w:hAnsi="Arial" w:cs="Arial"/>
        </w:rPr>
        <w:t>a considerable number</w:t>
      </w:r>
      <w:r w:rsidR="00724EC8">
        <w:rPr>
          <w:rFonts w:ascii="Arial" w:hAnsi="Arial" w:cs="Arial"/>
        </w:rPr>
        <w:t xml:space="preserve"> of </w:t>
      </w:r>
      <w:r w:rsidR="00E77766">
        <w:rPr>
          <w:rFonts w:ascii="Arial" w:hAnsi="Arial" w:cs="Arial"/>
        </w:rPr>
        <w:t>women gaining an adept level of literacy.</w:t>
      </w:r>
      <w:r w:rsidR="00E77766">
        <w:rPr>
          <w:rStyle w:val="FootnoteReference"/>
          <w:rFonts w:ascii="Arial" w:hAnsi="Arial" w:cs="Arial"/>
        </w:rPr>
        <w:footnoteReference w:id="122"/>
      </w:r>
      <w:r w:rsidR="00EB6AE6">
        <w:rPr>
          <w:rFonts w:ascii="Arial" w:hAnsi="Arial" w:cs="Arial"/>
        </w:rPr>
        <w:br/>
        <w:t xml:space="preserve">There are no documents of women filling many high roles in Egyptian society. There is no recorded female chief treasurer, royal messenger, </w:t>
      </w:r>
      <w:r w:rsidR="00EB6AE6">
        <w:rPr>
          <w:rFonts w:ascii="Arial" w:hAnsi="Arial" w:cs="Arial"/>
        </w:rPr>
        <w:lastRenderedPageBreak/>
        <w:t>chief royal steward, mayor, royal scribe, or general.</w:t>
      </w:r>
      <w:r w:rsidR="00EB6AE6">
        <w:rPr>
          <w:rStyle w:val="FootnoteReference"/>
          <w:rFonts w:ascii="Arial" w:hAnsi="Arial" w:cs="Arial"/>
        </w:rPr>
        <w:footnoteReference w:id="123"/>
      </w:r>
      <w:r w:rsidR="007F3B06">
        <w:rPr>
          <w:rFonts w:ascii="Arial" w:hAnsi="Arial" w:cs="Arial"/>
        </w:rPr>
        <w:t xml:space="preserve"> Women have not</w:t>
      </w:r>
      <w:r w:rsidR="00EB6AE6">
        <w:rPr>
          <w:rFonts w:ascii="Arial" w:hAnsi="Arial" w:cs="Arial"/>
        </w:rPr>
        <w:t xml:space="preserve"> been found in the roles of both profe</w:t>
      </w:r>
      <w:r w:rsidR="00DE22F1">
        <w:rPr>
          <w:rFonts w:ascii="Arial" w:hAnsi="Arial" w:cs="Arial"/>
        </w:rPr>
        <w:t>ssional artisanship, and professional</w:t>
      </w:r>
      <w:r w:rsidR="00EB6AE6">
        <w:rPr>
          <w:rFonts w:ascii="Arial" w:hAnsi="Arial" w:cs="Arial"/>
        </w:rPr>
        <w:t xml:space="preserve"> skills (such as barbers, construction workers, and even gardeners).</w:t>
      </w:r>
      <w:r w:rsidR="00EB6AE6">
        <w:rPr>
          <w:rStyle w:val="FootnoteReference"/>
          <w:rFonts w:ascii="Arial" w:hAnsi="Arial" w:cs="Arial"/>
        </w:rPr>
        <w:footnoteReference w:id="124"/>
      </w:r>
      <w:r w:rsidR="00066B73">
        <w:rPr>
          <w:rFonts w:ascii="Arial" w:hAnsi="Arial" w:cs="Arial"/>
        </w:rPr>
        <w:t xml:space="preserve"> It cannot be fully proven </w:t>
      </w:r>
      <w:r w:rsidR="00EB6AE6">
        <w:rPr>
          <w:rFonts w:ascii="Arial" w:hAnsi="Arial" w:cs="Arial"/>
        </w:rPr>
        <w:t>that no women at all ever had these jobs in the whole of the ancient Egyptian civilisation</w:t>
      </w:r>
      <w:r w:rsidR="004B6AF4">
        <w:rPr>
          <w:rFonts w:ascii="Arial" w:hAnsi="Arial" w:cs="Arial"/>
        </w:rPr>
        <w:t xml:space="preserve"> (as this is incredibly unlikely)</w:t>
      </w:r>
      <w:r w:rsidR="00EB6AE6">
        <w:rPr>
          <w:rFonts w:ascii="Arial" w:hAnsi="Arial" w:cs="Arial"/>
        </w:rPr>
        <w:t>, but women have been badly recorded in the historical records</w:t>
      </w:r>
      <w:r w:rsidR="00746391">
        <w:rPr>
          <w:rFonts w:ascii="Arial" w:hAnsi="Arial" w:cs="Arial"/>
        </w:rPr>
        <w:t>,</w:t>
      </w:r>
      <w:r w:rsidR="00EB6AE6">
        <w:rPr>
          <w:rStyle w:val="FootnoteReference"/>
          <w:rFonts w:ascii="Arial" w:hAnsi="Arial" w:cs="Arial"/>
        </w:rPr>
        <w:footnoteReference w:id="125"/>
      </w:r>
      <w:r w:rsidR="00746391">
        <w:rPr>
          <w:rFonts w:ascii="Arial" w:hAnsi="Arial" w:cs="Arial"/>
        </w:rPr>
        <w:t xml:space="preserve"> </w:t>
      </w:r>
      <w:r w:rsidR="00EB6AE6">
        <w:rPr>
          <w:rFonts w:ascii="Arial" w:hAnsi="Arial" w:cs="Arial"/>
        </w:rPr>
        <w:t xml:space="preserve">so there is no certain way to know. </w:t>
      </w:r>
      <w:r w:rsidR="00EB6AE6">
        <w:rPr>
          <w:rFonts w:ascii="Arial" w:hAnsi="Arial" w:cs="Arial"/>
        </w:rPr>
        <w:br/>
        <w:t xml:space="preserve">Wealthier women obviously had much better circumstances than those from poorer backgrounds. Families who had enough money often offloaded their </w:t>
      </w:r>
      <w:r w:rsidR="00724EC8">
        <w:rPr>
          <w:rFonts w:ascii="Arial" w:hAnsi="Arial" w:cs="Arial"/>
        </w:rPr>
        <w:t>household’s duties to servants,</w:t>
      </w:r>
      <w:r w:rsidR="00EB6AE6">
        <w:rPr>
          <w:rStyle w:val="FootnoteReference"/>
          <w:rFonts w:ascii="Arial" w:hAnsi="Arial" w:cs="Arial"/>
        </w:rPr>
        <w:footnoteReference w:id="126"/>
      </w:r>
      <w:r w:rsidR="00724EC8">
        <w:rPr>
          <w:rFonts w:ascii="Arial" w:hAnsi="Arial" w:cs="Arial"/>
        </w:rPr>
        <w:t xml:space="preserve"> </w:t>
      </w:r>
      <w:r w:rsidR="00C46B1F">
        <w:rPr>
          <w:rFonts w:ascii="Arial" w:hAnsi="Arial" w:cs="Arial"/>
        </w:rPr>
        <w:t xml:space="preserve"> and </w:t>
      </w:r>
      <w:r w:rsidR="00724EC8">
        <w:rPr>
          <w:rFonts w:ascii="Arial" w:hAnsi="Arial" w:cs="Arial"/>
        </w:rPr>
        <w:t>saw the Mistress in the household</w:t>
      </w:r>
      <w:r w:rsidR="00EB6AE6">
        <w:rPr>
          <w:rFonts w:ascii="Arial" w:hAnsi="Arial" w:cs="Arial"/>
        </w:rPr>
        <w:t xml:space="preserve"> able to work unpaid jobs – such as being priestesses in the local temples.</w:t>
      </w:r>
      <w:r w:rsidR="00EB6AE6">
        <w:rPr>
          <w:rStyle w:val="FootnoteReference"/>
          <w:rFonts w:ascii="Arial" w:hAnsi="Arial" w:cs="Arial"/>
        </w:rPr>
        <w:footnoteReference w:id="127"/>
      </w:r>
      <w:r w:rsidR="007F3B06">
        <w:rPr>
          <w:rFonts w:ascii="Arial" w:hAnsi="Arial" w:cs="Arial"/>
        </w:rPr>
        <w:t xml:space="preserve"> Wealthy women did not</w:t>
      </w:r>
      <w:r w:rsidR="00EB6AE6">
        <w:rPr>
          <w:rFonts w:ascii="Arial" w:hAnsi="Arial" w:cs="Arial"/>
        </w:rPr>
        <w:t xml:space="preserve"> even have to raise their own children, having the ability to hire wet-nurses to take care of them instead.</w:t>
      </w:r>
      <w:r w:rsidR="00EB6AE6">
        <w:rPr>
          <w:rStyle w:val="FootnoteReference"/>
          <w:rFonts w:ascii="Arial" w:hAnsi="Arial" w:cs="Arial"/>
        </w:rPr>
        <w:footnoteReference w:id="128"/>
      </w:r>
      <w:r w:rsidR="00EB6AE6">
        <w:rPr>
          <w:rFonts w:ascii="Arial" w:hAnsi="Arial" w:cs="Arial"/>
        </w:rPr>
        <w:t xml:space="preserve"> If a woman was able to hold any kind of administrative title, it would have been a woman from a wealthier class.</w:t>
      </w:r>
      <w:r w:rsidR="00EB6AE6">
        <w:rPr>
          <w:rStyle w:val="FootnoteReference"/>
          <w:rFonts w:ascii="Arial" w:hAnsi="Arial" w:cs="Arial"/>
        </w:rPr>
        <w:footnoteReference w:id="129"/>
      </w:r>
      <w:r w:rsidR="004B6AF4">
        <w:rPr>
          <w:rFonts w:ascii="Arial" w:hAnsi="Arial" w:cs="Arial"/>
        </w:rPr>
        <w:t xml:space="preserve"> In the Middle Kingdom, there are records of women running large estates, though overseen by their husbands.</w:t>
      </w:r>
      <w:r w:rsidR="004B6AF4">
        <w:rPr>
          <w:rStyle w:val="FootnoteReference"/>
          <w:rFonts w:ascii="Arial" w:hAnsi="Arial" w:cs="Arial"/>
        </w:rPr>
        <w:footnoteReference w:id="130"/>
      </w:r>
      <w:r w:rsidR="000F0513">
        <w:rPr>
          <w:rFonts w:ascii="Arial" w:hAnsi="Arial" w:cs="Arial"/>
        </w:rPr>
        <w:br/>
        <w:t xml:space="preserve">Of the jobs outside of the home, merchantry, and weaving, there are professions that were seemingly made for women. </w:t>
      </w:r>
      <w:r w:rsidR="00371B84">
        <w:rPr>
          <w:rFonts w:ascii="Arial" w:hAnsi="Arial" w:cs="Arial"/>
        </w:rPr>
        <w:t xml:space="preserve">One </w:t>
      </w:r>
      <w:r w:rsidR="00724EC8">
        <w:rPr>
          <w:rFonts w:ascii="Arial" w:hAnsi="Arial" w:cs="Arial"/>
        </w:rPr>
        <w:t xml:space="preserve">of these mentioned above was </w:t>
      </w:r>
      <w:r w:rsidR="00371B84">
        <w:rPr>
          <w:rFonts w:ascii="Arial" w:hAnsi="Arial" w:cs="Arial"/>
        </w:rPr>
        <w:t>the role of a temple priestess.</w:t>
      </w:r>
      <w:r w:rsidR="00371B84">
        <w:rPr>
          <w:rStyle w:val="FootnoteReference"/>
          <w:rFonts w:ascii="Arial" w:hAnsi="Arial" w:cs="Arial"/>
        </w:rPr>
        <w:footnoteReference w:id="131"/>
      </w:r>
      <w:r w:rsidR="00371B84">
        <w:rPr>
          <w:rFonts w:ascii="Arial" w:hAnsi="Arial" w:cs="Arial"/>
        </w:rPr>
        <w:t xml:space="preserve"> These were often </w:t>
      </w:r>
      <w:r w:rsidR="00371B84">
        <w:rPr>
          <w:rFonts w:ascii="Arial" w:hAnsi="Arial" w:cs="Arial"/>
        </w:rPr>
        <w:lastRenderedPageBreak/>
        <w:t>elite women</w:t>
      </w:r>
      <w:r w:rsidR="005E422F">
        <w:rPr>
          <w:rFonts w:ascii="Arial" w:hAnsi="Arial" w:cs="Arial"/>
        </w:rPr>
        <w:t xml:space="preserve">, </w:t>
      </w:r>
      <w:r w:rsidR="00371B84">
        <w:rPr>
          <w:rStyle w:val="FootnoteReference"/>
          <w:rFonts w:ascii="Arial" w:hAnsi="Arial" w:cs="Arial"/>
        </w:rPr>
        <w:footnoteReference w:id="132"/>
      </w:r>
      <w:r w:rsidR="00066B73">
        <w:rPr>
          <w:rFonts w:ascii="Arial" w:hAnsi="Arial" w:cs="Arial"/>
        </w:rPr>
        <w:t xml:space="preserve"> who acted as </w:t>
      </w:r>
      <w:r w:rsidR="00371B84">
        <w:rPr>
          <w:rFonts w:ascii="Arial" w:hAnsi="Arial" w:cs="Arial"/>
        </w:rPr>
        <w:t>representative</w:t>
      </w:r>
      <w:r w:rsidR="00066B73">
        <w:rPr>
          <w:rFonts w:ascii="Arial" w:hAnsi="Arial" w:cs="Arial"/>
        </w:rPr>
        <w:t>s</w:t>
      </w:r>
      <w:r w:rsidR="00371B84">
        <w:rPr>
          <w:rFonts w:ascii="Arial" w:hAnsi="Arial" w:cs="Arial"/>
        </w:rPr>
        <w:t xml:space="preserve"> of all women</w:t>
      </w:r>
      <w:r w:rsidR="00724EC8">
        <w:rPr>
          <w:rFonts w:ascii="Arial" w:hAnsi="Arial" w:cs="Arial"/>
        </w:rPr>
        <w:t xml:space="preserve"> to the Gods</w:t>
      </w:r>
      <w:r w:rsidR="00371B84">
        <w:rPr>
          <w:rFonts w:ascii="Arial" w:hAnsi="Arial" w:cs="Arial"/>
        </w:rPr>
        <w:t>.</w:t>
      </w:r>
      <w:r w:rsidR="00371B84">
        <w:rPr>
          <w:rStyle w:val="FootnoteReference"/>
          <w:rFonts w:ascii="Arial" w:hAnsi="Arial" w:cs="Arial"/>
        </w:rPr>
        <w:footnoteReference w:id="133"/>
      </w:r>
      <w:r w:rsidR="00371B84">
        <w:rPr>
          <w:rFonts w:ascii="Arial" w:hAnsi="Arial" w:cs="Arial"/>
        </w:rPr>
        <w:t xml:space="preserve"> </w:t>
      </w:r>
      <w:r w:rsidR="007E27BB">
        <w:rPr>
          <w:rFonts w:ascii="Arial" w:hAnsi="Arial" w:cs="Arial"/>
        </w:rPr>
        <w:t>The work these women did revolved around looking after cult statues and giving offerings – dressing,</w:t>
      </w:r>
      <w:r w:rsidR="00724EC8">
        <w:rPr>
          <w:rFonts w:ascii="Arial" w:hAnsi="Arial" w:cs="Arial"/>
        </w:rPr>
        <w:t xml:space="preserve"> anointing, and feeding the God,</w:t>
      </w:r>
      <w:r w:rsidR="007E27BB">
        <w:rPr>
          <w:rStyle w:val="FootnoteReference"/>
          <w:rFonts w:ascii="Arial" w:hAnsi="Arial" w:cs="Arial"/>
        </w:rPr>
        <w:footnoteReference w:id="134"/>
      </w:r>
      <w:r w:rsidR="007E27BB">
        <w:rPr>
          <w:rFonts w:ascii="Arial" w:hAnsi="Arial" w:cs="Arial"/>
        </w:rPr>
        <w:t xml:space="preserve"> </w:t>
      </w:r>
      <w:r w:rsidR="00C46B1F">
        <w:rPr>
          <w:rFonts w:ascii="Arial" w:hAnsi="Arial" w:cs="Arial"/>
        </w:rPr>
        <w:t>w</w:t>
      </w:r>
      <w:r w:rsidR="00371B84">
        <w:rPr>
          <w:rFonts w:ascii="Arial" w:hAnsi="Arial" w:cs="Arial"/>
        </w:rPr>
        <w:t>orking one of four months in a calendar.</w:t>
      </w:r>
      <w:r w:rsidR="00371B84">
        <w:rPr>
          <w:rStyle w:val="FootnoteReference"/>
          <w:rFonts w:ascii="Arial" w:hAnsi="Arial" w:cs="Arial"/>
        </w:rPr>
        <w:footnoteReference w:id="135"/>
      </w:r>
      <w:r w:rsidR="007E27BB">
        <w:rPr>
          <w:rFonts w:ascii="Arial" w:hAnsi="Arial" w:cs="Arial"/>
        </w:rPr>
        <w:t xml:space="preserve"> Example</w:t>
      </w:r>
      <w:r w:rsidR="00724EC8">
        <w:rPr>
          <w:rFonts w:ascii="Arial" w:hAnsi="Arial" w:cs="Arial"/>
        </w:rPr>
        <w:t>s</w:t>
      </w:r>
      <w:r w:rsidR="00066B73">
        <w:rPr>
          <w:rFonts w:ascii="Arial" w:hAnsi="Arial" w:cs="Arial"/>
        </w:rPr>
        <w:t xml:space="preserve"> of these priestesses were priestesses of </w:t>
      </w:r>
      <w:r w:rsidR="007E27BB">
        <w:rPr>
          <w:rFonts w:ascii="Arial" w:hAnsi="Arial" w:cs="Arial"/>
        </w:rPr>
        <w:t>Hathor,</w:t>
      </w:r>
      <w:r w:rsidR="00371B84">
        <w:rPr>
          <w:rStyle w:val="FootnoteReference"/>
          <w:rFonts w:ascii="Arial" w:hAnsi="Arial" w:cs="Arial"/>
        </w:rPr>
        <w:footnoteReference w:id="136"/>
      </w:r>
      <w:r w:rsidR="007E27BB">
        <w:rPr>
          <w:rFonts w:ascii="Arial" w:hAnsi="Arial" w:cs="Arial"/>
        </w:rPr>
        <w:t xml:space="preserve"> or </w:t>
      </w:r>
      <w:r w:rsidR="00066B73">
        <w:rPr>
          <w:rFonts w:ascii="Arial" w:hAnsi="Arial" w:cs="Arial"/>
        </w:rPr>
        <w:t>(less commonly) p</w:t>
      </w:r>
      <w:r w:rsidR="007E27BB">
        <w:rPr>
          <w:rFonts w:ascii="Arial" w:hAnsi="Arial" w:cs="Arial"/>
        </w:rPr>
        <w:t>riestess</w:t>
      </w:r>
      <w:r w:rsidR="00724EC8">
        <w:rPr>
          <w:rFonts w:ascii="Arial" w:hAnsi="Arial" w:cs="Arial"/>
        </w:rPr>
        <w:t>es</w:t>
      </w:r>
      <w:r w:rsidR="007E27BB">
        <w:rPr>
          <w:rFonts w:ascii="Arial" w:hAnsi="Arial" w:cs="Arial"/>
        </w:rPr>
        <w:t xml:space="preserve"> of Neith.</w:t>
      </w:r>
      <w:r w:rsidR="007E27BB">
        <w:rPr>
          <w:rStyle w:val="FootnoteReference"/>
          <w:rFonts w:ascii="Arial" w:hAnsi="Arial" w:cs="Arial"/>
        </w:rPr>
        <w:footnoteReference w:id="137"/>
      </w:r>
      <w:r w:rsidR="007E27BB">
        <w:rPr>
          <w:rFonts w:ascii="Arial" w:hAnsi="Arial" w:cs="Arial"/>
        </w:rPr>
        <w:t xml:space="preserve"> U</w:t>
      </w:r>
      <w:r w:rsidR="00371B84">
        <w:rPr>
          <w:rFonts w:ascii="Arial" w:hAnsi="Arial" w:cs="Arial"/>
        </w:rPr>
        <w:t>nfortunately, this role seemed to decline in the Middle Kingdom, perhaps because people began thinking that a priestly role was more suit</w:t>
      </w:r>
      <w:r w:rsidR="00724EC8">
        <w:rPr>
          <w:rFonts w:ascii="Arial" w:hAnsi="Arial" w:cs="Arial"/>
        </w:rPr>
        <w:t>ed to a man rather than a woman.</w:t>
      </w:r>
      <w:r w:rsidR="00371B84">
        <w:rPr>
          <w:rStyle w:val="FootnoteReference"/>
          <w:rFonts w:ascii="Arial" w:hAnsi="Arial" w:cs="Arial"/>
        </w:rPr>
        <w:footnoteReference w:id="138"/>
      </w:r>
      <w:r w:rsidR="00724EC8">
        <w:rPr>
          <w:rFonts w:ascii="Arial" w:hAnsi="Arial" w:cs="Arial"/>
        </w:rPr>
        <w:t xml:space="preserve"> </w:t>
      </w:r>
      <w:r w:rsidR="00724EC8" w:rsidRPr="00AF52E0">
        <w:rPr>
          <w:rFonts w:ascii="Arial" w:hAnsi="Arial" w:cs="Arial"/>
        </w:rPr>
        <w:t>T</w:t>
      </w:r>
      <w:r w:rsidR="00371B84" w:rsidRPr="00AF52E0">
        <w:rPr>
          <w:rFonts w:ascii="Arial" w:hAnsi="Arial" w:cs="Arial"/>
        </w:rPr>
        <w:t>he role</w:t>
      </w:r>
      <w:r w:rsidR="00724EC8" w:rsidRPr="00AF52E0">
        <w:rPr>
          <w:rFonts w:ascii="Arial" w:hAnsi="Arial" w:cs="Arial"/>
        </w:rPr>
        <w:t xml:space="preserve"> of the Priestess of Hathor </w:t>
      </w:r>
      <w:r w:rsidR="00AF52E0" w:rsidRPr="00AF52E0">
        <w:rPr>
          <w:rFonts w:ascii="Arial" w:hAnsi="Arial" w:cs="Arial"/>
        </w:rPr>
        <w:t xml:space="preserve">was </w:t>
      </w:r>
      <w:r w:rsidR="00724EC8" w:rsidRPr="00AF52E0">
        <w:rPr>
          <w:rFonts w:ascii="Arial" w:hAnsi="Arial" w:cs="Arial"/>
        </w:rPr>
        <w:t xml:space="preserve">later </w:t>
      </w:r>
      <w:r w:rsidR="00AF52E0" w:rsidRPr="00AF52E0">
        <w:rPr>
          <w:rFonts w:ascii="Arial" w:hAnsi="Arial" w:cs="Arial"/>
        </w:rPr>
        <w:t>only used</w:t>
      </w:r>
      <w:r w:rsidR="00371B84" w:rsidRPr="00AF52E0">
        <w:rPr>
          <w:rFonts w:ascii="Arial" w:hAnsi="Arial" w:cs="Arial"/>
        </w:rPr>
        <w:t xml:space="preserve"> as a sign of legitimacy</w:t>
      </w:r>
      <w:r w:rsidR="007E27BB" w:rsidRPr="00AF52E0">
        <w:rPr>
          <w:rFonts w:ascii="Arial" w:hAnsi="Arial" w:cs="Arial"/>
        </w:rPr>
        <w:t>.</w:t>
      </w:r>
      <w:r w:rsidR="00371B84" w:rsidRPr="00AF52E0">
        <w:rPr>
          <w:rStyle w:val="FootnoteReference"/>
          <w:rFonts w:ascii="Arial" w:hAnsi="Arial" w:cs="Arial"/>
        </w:rPr>
        <w:footnoteReference w:id="139"/>
      </w:r>
      <w:r w:rsidR="007E27BB">
        <w:rPr>
          <w:rFonts w:ascii="Arial" w:hAnsi="Arial" w:cs="Arial"/>
        </w:rPr>
        <w:br/>
        <w:t>Another of these</w:t>
      </w:r>
      <w:r w:rsidR="00ED1907">
        <w:rPr>
          <w:rFonts w:ascii="Arial" w:hAnsi="Arial" w:cs="Arial"/>
        </w:rPr>
        <w:t xml:space="preserve"> roles w</w:t>
      </w:r>
      <w:r w:rsidR="00724EC8">
        <w:rPr>
          <w:rFonts w:ascii="Arial" w:hAnsi="Arial" w:cs="Arial"/>
        </w:rPr>
        <w:t>as the role of midwife. T</w:t>
      </w:r>
      <w:r w:rsidR="00ED1907">
        <w:rPr>
          <w:rFonts w:ascii="Arial" w:hAnsi="Arial" w:cs="Arial"/>
        </w:rPr>
        <w:t xml:space="preserve">his role was mainly for women, </w:t>
      </w:r>
      <w:r w:rsidR="00724EC8">
        <w:rPr>
          <w:rFonts w:ascii="Arial" w:hAnsi="Arial" w:cs="Arial"/>
        </w:rPr>
        <w:t xml:space="preserve">but </w:t>
      </w:r>
      <w:r w:rsidR="00ED1907">
        <w:rPr>
          <w:rFonts w:ascii="Arial" w:hAnsi="Arial" w:cs="Arial"/>
        </w:rPr>
        <w:t>there are some e</w:t>
      </w:r>
      <w:r w:rsidR="00724EC8">
        <w:rPr>
          <w:rFonts w:ascii="Arial" w:hAnsi="Arial" w:cs="Arial"/>
        </w:rPr>
        <w:t xml:space="preserve">xamples of male midwives, though </w:t>
      </w:r>
      <w:r w:rsidR="00ED1907">
        <w:rPr>
          <w:rFonts w:ascii="Arial" w:hAnsi="Arial" w:cs="Arial"/>
        </w:rPr>
        <w:t>this is much less common,</w:t>
      </w:r>
      <w:r w:rsidR="00ED1907">
        <w:rPr>
          <w:rStyle w:val="FootnoteReference"/>
          <w:rFonts w:ascii="Arial" w:hAnsi="Arial" w:cs="Arial"/>
        </w:rPr>
        <w:footnoteReference w:id="140"/>
      </w:r>
      <w:r w:rsidR="00ED1907">
        <w:rPr>
          <w:rFonts w:ascii="Arial" w:hAnsi="Arial" w:cs="Arial"/>
        </w:rPr>
        <w:t xml:space="preserve"> and midwifery was assumed to be a female occupation, </w:t>
      </w:r>
      <w:r w:rsidR="00724EC8">
        <w:rPr>
          <w:rFonts w:ascii="Arial" w:hAnsi="Arial" w:cs="Arial"/>
        </w:rPr>
        <w:t xml:space="preserve">and </w:t>
      </w:r>
      <w:r w:rsidR="00ED1907">
        <w:rPr>
          <w:rFonts w:ascii="Arial" w:hAnsi="Arial" w:cs="Arial"/>
        </w:rPr>
        <w:t>men</w:t>
      </w:r>
      <w:r w:rsidR="00724EC8">
        <w:rPr>
          <w:rFonts w:ascii="Arial" w:hAnsi="Arial" w:cs="Arial"/>
        </w:rPr>
        <w:t xml:space="preserve"> were never </w:t>
      </w:r>
      <w:r w:rsidR="00ED1907">
        <w:rPr>
          <w:rFonts w:ascii="Arial" w:hAnsi="Arial" w:cs="Arial"/>
        </w:rPr>
        <w:t>depicted in birthing scenes.</w:t>
      </w:r>
      <w:r w:rsidR="00ED1907">
        <w:rPr>
          <w:rStyle w:val="FootnoteReference"/>
          <w:rFonts w:ascii="Arial" w:hAnsi="Arial" w:cs="Arial"/>
        </w:rPr>
        <w:footnoteReference w:id="141"/>
      </w:r>
      <w:r w:rsidR="00724EC8">
        <w:rPr>
          <w:rFonts w:ascii="Arial" w:hAnsi="Arial" w:cs="Arial"/>
        </w:rPr>
        <w:t xml:space="preserve"> T</w:t>
      </w:r>
      <w:r w:rsidR="00ED1907">
        <w:rPr>
          <w:rFonts w:ascii="Arial" w:hAnsi="Arial" w:cs="Arial"/>
        </w:rPr>
        <w:t>here are</w:t>
      </w:r>
      <w:r w:rsidR="00724EC8">
        <w:rPr>
          <w:rFonts w:ascii="Arial" w:hAnsi="Arial" w:cs="Arial"/>
        </w:rPr>
        <w:t xml:space="preserve"> examples</w:t>
      </w:r>
      <w:r w:rsidR="00ED1907">
        <w:rPr>
          <w:rFonts w:ascii="Arial" w:hAnsi="Arial" w:cs="Arial"/>
        </w:rPr>
        <w:t xml:space="preserve"> </w:t>
      </w:r>
      <w:r w:rsidR="00AF52E0">
        <w:rPr>
          <w:rFonts w:ascii="Arial" w:hAnsi="Arial" w:cs="Arial"/>
        </w:rPr>
        <w:t xml:space="preserve">of </w:t>
      </w:r>
      <w:r w:rsidR="00ED1907">
        <w:rPr>
          <w:rFonts w:ascii="Arial" w:hAnsi="Arial" w:cs="Arial"/>
        </w:rPr>
        <w:t xml:space="preserve">medical texts which include gynaecological information, </w:t>
      </w:r>
      <w:r w:rsidR="00724EC8">
        <w:rPr>
          <w:rFonts w:ascii="Arial" w:hAnsi="Arial" w:cs="Arial"/>
        </w:rPr>
        <w:t xml:space="preserve">but </w:t>
      </w:r>
      <w:r w:rsidR="00AC2AFC">
        <w:rPr>
          <w:rFonts w:ascii="Arial" w:hAnsi="Arial" w:cs="Arial"/>
        </w:rPr>
        <w:t>Graves-Brown suggests</w:t>
      </w:r>
      <w:r w:rsidR="00ED1907">
        <w:rPr>
          <w:rFonts w:ascii="Arial" w:hAnsi="Arial" w:cs="Arial"/>
        </w:rPr>
        <w:t xml:space="preserve"> that midwives were probably not trained professionally, and </w:t>
      </w:r>
      <w:r w:rsidR="00AF52E0">
        <w:rPr>
          <w:rFonts w:ascii="Arial" w:hAnsi="Arial" w:cs="Arial"/>
        </w:rPr>
        <w:t>the knowledge would probably have</w:t>
      </w:r>
      <w:r w:rsidR="00ED1907">
        <w:rPr>
          <w:rFonts w:ascii="Arial" w:hAnsi="Arial" w:cs="Arial"/>
        </w:rPr>
        <w:t xml:space="preserve"> been learned in a much more informal manner.</w:t>
      </w:r>
      <w:r w:rsidR="00ED1907">
        <w:rPr>
          <w:rStyle w:val="FootnoteReference"/>
          <w:rFonts w:ascii="Arial" w:hAnsi="Arial" w:cs="Arial"/>
        </w:rPr>
        <w:footnoteReference w:id="142"/>
      </w:r>
      <w:r w:rsidR="00ED1907">
        <w:rPr>
          <w:rFonts w:ascii="Arial" w:hAnsi="Arial" w:cs="Arial"/>
        </w:rPr>
        <w:t xml:space="preserve"> Much of the midwife’</w:t>
      </w:r>
      <w:r w:rsidR="00724EC8">
        <w:rPr>
          <w:rFonts w:ascii="Arial" w:hAnsi="Arial" w:cs="Arial"/>
        </w:rPr>
        <w:t>s job would have been</w:t>
      </w:r>
      <w:r w:rsidR="00ED1907">
        <w:rPr>
          <w:rFonts w:ascii="Arial" w:hAnsi="Arial" w:cs="Arial"/>
        </w:rPr>
        <w:t xml:space="preserve"> to ease the pain of labour and speed up the delivery of the child – the midwives using magical spells, amulets, and medical prescriptions to </w:t>
      </w:r>
      <w:r w:rsidR="00ED1907">
        <w:rPr>
          <w:rFonts w:ascii="Arial" w:hAnsi="Arial" w:cs="Arial"/>
        </w:rPr>
        <w:lastRenderedPageBreak/>
        <w:t>aid the mother in childbirth.</w:t>
      </w:r>
      <w:r w:rsidR="00ED1907">
        <w:rPr>
          <w:rStyle w:val="FootnoteReference"/>
          <w:rFonts w:ascii="Arial" w:hAnsi="Arial" w:cs="Arial"/>
        </w:rPr>
        <w:footnoteReference w:id="143"/>
      </w:r>
      <w:r w:rsidR="00ED1907">
        <w:rPr>
          <w:rFonts w:ascii="Arial" w:hAnsi="Arial" w:cs="Arial"/>
        </w:rPr>
        <w:t xml:space="preserve"> </w:t>
      </w:r>
      <w:r w:rsidR="00ED1907">
        <w:rPr>
          <w:rFonts w:ascii="Arial" w:hAnsi="Arial" w:cs="Arial"/>
        </w:rPr>
        <w:br/>
        <w:t xml:space="preserve">So, though women did have the opportunity to earn money and take on roles outside the household, it was still the men whose work was viewed as more valuable. Women’s roles were viewed as less important as they were </w:t>
      </w:r>
      <w:r w:rsidR="00724EC8">
        <w:rPr>
          <w:rFonts w:ascii="Arial" w:hAnsi="Arial" w:cs="Arial"/>
        </w:rPr>
        <w:t xml:space="preserve">assumed to be </w:t>
      </w:r>
      <w:r w:rsidR="00ED1907">
        <w:rPr>
          <w:rFonts w:ascii="Arial" w:hAnsi="Arial" w:cs="Arial"/>
        </w:rPr>
        <w:t xml:space="preserve">only carried out due to the love a woman was meant to have for her family, compared to a man’s work, which was for an income </w:t>
      </w:r>
      <w:r w:rsidR="00724EC8">
        <w:rPr>
          <w:rFonts w:ascii="Arial" w:hAnsi="Arial" w:cs="Arial"/>
        </w:rPr>
        <w:t>or prestige, and thus, superior.</w:t>
      </w:r>
      <w:r w:rsidR="00ED1907">
        <w:rPr>
          <w:rStyle w:val="FootnoteReference"/>
          <w:rFonts w:ascii="Arial" w:hAnsi="Arial" w:cs="Arial"/>
        </w:rPr>
        <w:footnoteReference w:id="144"/>
      </w:r>
    </w:p>
    <w:p w:rsidR="00DE22F1" w:rsidRDefault="00DE22F1" w:rsidP="00E616FC">
      <w:pPr>
        <w:spacing w:line="480" w:lineRule="auto"/>
        <w:ind w:right="95"/>
        <w:rPr>
          <w:rFonts w:ascii="Arial" w:hAnsi="Arial" w:cs="Arial"/>
        </w:rPr>
      </w:pPr>
      <w:r>
        <w:rPr>
          <w:rFonts w:ascii="Arial" w:hAnsi="Arial" w:cs="Arial"/>
        </w:rPr>
        <w:t>If we compare this data about employment in ancient Egypt and that to the modern world, still yet, similarities can be found. In the UK, it is still a known stereotype that women tend to undertake more childcare and housework than men.</w:t>
      </w:r>
      <w:r>
        <w:rPr>
          <w:rStyle w:val="FootnoteReference"/>
          <w:rFonts w:ascii="Arial" w:hAnsi="Arial" w:cs="Arial"/>
        </w:rPr>
        <w:footnoteReference w:id="145"/>
      </w:r>
      <w:r>
        <w:rPr>
          <w:rFonts w:ascii="Arial" w:hAnsi="Arial" w:cs="Arial"/>
        </w:rPr>
        <w:t xml:space="preserve"> Often, these women have to combine this household work with paid employment;</w:t>
      </w:r>
      <w:r w:rsidR="00F959AB">
        <w:rPr>
          <w:rFonts w:ascii="Arial" w:hAnsi="Arial" w:cs="Arial"/>
        </w:rPr>
        <w:t xml:space="preserve"> (alike the reality that is seen in ancient Egypt)</w:t>
      </w:r>
      <w:r>
        <w:rPr>
          <w:rFonts w:ascii="Arial" w:hAnsi="Arial" w:cs="Arial"/>
        </w:rPr>
        <w:t xml:space="preserve"> and still it is seen that very few women are able to enter into higher career positions whilst still taking on the majority of the care for their children.</w:t>
      </w:r>
      <w:r>
        <w:rPr>
          <w:rStyle w:val="FootnoteReference"/>
          <w:rFonts w:ascii="Arial" w:hAnsi="Arial" w:cs="Arial"/>
        </w:rPr>
        <w:footnoteReference w:id="146"/>
      </w:r>
      <w:r w:rsidR="00EF53C5">
        <w:rPr>
          <w:rFonts w:ascii="Arial" w:hAnsi="Arial" w:cs="Arial"/>
        </w:rPr>
        <w:t xml:space="preserve"> </w:t>
      </w:r>
      <w:r w:rsidR="00EF53C5">
        <w:rPr>
          <w:rFonts w:ascii="Arial" w:hAnsi="Arial" w:cs="Arial"/>
        </w:rPr>
        <w:br/>
        <w:t>Though, this does not mean that women are locked out of higher careers, women are still able to compete with men in politics, sports, business,</w:t>
      </w:r>
      <w:r w:rsidR="00911974">
        <w:rPr>
          <w:rFonts w:ascii="Arial" w:hAnsi="Arial" w:cs="Arial"/>
        </w:rPr>
        <w:t xml:space="preserve"> and the arts (among other occupations</w:t>
      </w:r>
      <w:r w:rsidR="00EF53C5">
        <w:rPr>
          <w:rFonts w:ascii="Arial" w:hAnsi="Arial" w:cs="Arial"/>
        </w:rPr>
        <w:t>),</w:t>
      </w:r>
      <w:r w:rsidR="00EF53C5">
        <w:rPr>
          <w:rStyle w:val="FootnoteReference"/>
          <w:rFonts w:ascii="Arial" w:hAnsi="Arial" w:cs="Arial"/>
        </w:rPr>
        <w:footnoteReference w:id="147"/>
      </w:r>
      <w:r w:rsidR="00EF53C5">
        <w:rPr>
          <w:rFonts w:ascii="Arial" w:hAnsi="Arial" w:cs="Arial"/>
        </w:rPr>
        <w:t xml:space="preserve"> the issue is more so as to the value that is put on women’s work. In the UK,</w:t>
      </w:r>
      <w:r w:rsidR="00AC2AFC">
        <w:rPr>
          <w:rFonts w:ascii="Arial" w:hAnsi="Arial" w:cs="Arial"/>
        </w:rPr>
        <w:t xml:space="preserve"> an Office of National Statistics report found that a man’s</w:t>
      </w:r>
      <w:r w:rsidR="00EF53C5">
        <w:rPr>
          <w:rFonts w:ascii="Arial" w:hAnsi="Arial" w:cs="Arial"/>
        </w:rPr>
        <w:t xml:space="preserve"> work is still valued more than a woman’s, even when in the same role. In the role of managing and directing, men receive a higher median pay than women by £2.62 per </w:t>
      </w:r>
      <w:r w:rsidR="00EF53C5">
        <w:rPr>
          <w:rFonts w:ascii="Arial" w:hAnsi="Arial" w:cs="Arial"/>
        </w:rPr>
        <w:lastRenderedPageBreak/>
        <w:t>hour.</w:t>
      </w:r>
      <w:r w:rsidR="00EF53C5">
        <w:rPr>
          <w:rStyle w:val="FootnoteReference"/>
          <w:rFonts w:ascii="Arial" w:hAnsi="Arial" w:cs="Arial"/>
        </w:rPr>
        <w:footnoteReference w:id="148"/>
      </w:r>
      <w:r w:rsidR="00EF53C5">
        <w:rPr>
          <w:rFonts w:ascii="Arial" w:hAnsi="Arial" w:cs="Arial"/>
        </w:rPr>
        <w:t xml:space="preserve"> There is also an issue in the work that the sexes are expected to </w:t>
      </w:r>
      <w:r w:rsidR="0075037D" w:rsidRPr="00575D4D">
        <w:rPr>
          <w:rFonts w:ascii="Arial" w:hAnsi="Arial" w:cs="Arial"/>
          <w:noProof/>
          <w:lang w:eastAsia="en-GB"/>
        </w:rPr>
        <mc:AlternateContent>
          <mc:Choice Requires="wps">
            <w:drawing>
              <wp:anchor distT="45720" distB="45720" distL="114300" distR="114300" simplePos="0" relativeHeight="251682816" behindDoc="0" locked="0" layoutInCell="1" allowOverlap="1" wp14:anchorId="6BDEB210" wp14:editId="596212B6">
                <wp:simplePos x="0" y="0"/>
                <wp:positionH relativeFrom="column">
                  <wp:posOffset>-20955</wp:posOffset>
                </wp:positionH>
                <wp:positionV relativeFrom="page">
                  <wp:posOffset>2886075</wp:posOffset>
                </wp:positionV>
                <wp:extent cx="4972050" cy="4381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438150"/>
                        </a:xfrm>
                        <a:prstGeom prst="rect">
                          <a:avLst/>
                        </a:prstGeom>
                        <a:solidFill>
                          <a:srgbClr val="FFFFFF"/>
                        </a:solidFill>
                        <a:ln w="9525">
                          <a:solidFill>
                            <a:srgbClr val="000000"/>
                          </a:solidFill>
                          <a:miter lim="800000"/>
                          <a:headEnd/>
                          <a:tailEnd/>
                        </a:ln>
                      </wps:spPr>
                      <wps:txbx>
                        <w:txbxContent>
                          <w:p w:rsidR="00FB2511" w:rsidRPr="00575D4D" w:rsidRDefault="00FB2511" w:rsidP="00194214">
                            <w:pPr>
                              <w:jc w:val="center"/>
                              <w:rPr>
                                <w:rFonts w:ascii="Arial" w:hAnsi="Arial" w:cs="Arial"/>
                              </w:rPr>
                            </w:pPr>
                            <w:r>
                              <w:rPr>
                                <w:rFonts w:ascii="Arial" w:hAnsi="Arial" w:cs="Arial"/>
                              </w:rPr>
                              <w:t xml:space="preserve">Fig. 10: Youth GPI Value Globally Between the Years 2005-2013, © UNESCO, 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EB210" id="_x0000_s1036" type="#_x0000_t202" style="position:absolute;margin-left:-1.65pt;margin-top:227.25pt;width:391.5pt;height:3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">
                <v:textbox>
                  <w:txbxContent>
                    <w:p w:rsidR="00FB2511" w:rsidRPr="00575D4D" w:rsidRDefault="00FB2511" w:rsidP="00194214">
                      <w:pPr>
                        <w:jc w:val="center"/>
                        <w:rPr>
                          <w:rFonts w:ascii="Arial" w:hAnsi="Arial" w:cs="Arial"/>
                        </w:rPr>
                      </w:pPr>
                      <w:r>
                        <w:rPr>
                          <w:rFonts w:ascii="Arial" w:hAnsi="Arial" w:cs="Arial"/>
                        </w:rPr>
                        <w:t xml:space="preserve">Fig. 10: Youth GPI Value Globally Between the Years 2005-2013, © UNESCO, 2015 </w:t>
                      </w:r>
                    </w:p>
                  </w:txbxContent>
                </v:textbox>
                <w10:wrap type="square" anchory="page"/>
              </v:shape>
            </w:pict>
          </mc:Fallback>
        </mc:AlternateContent>
      </w:r>
      <w:r w:rsidR="0075037D" w:rsidRPr="008C2576">
        <w:rPr>
          <w:noProof/>
          <w:lang w:eastAsia="en-GB"/>
        </w:rPr>
        <w:drawing>
          <wp:anchor distT="0" distB="0" distL="114300" distR="114300" simplePos="0" relativeHeight="251680768" behindDoc="0" locked="0" layoutInCell="1" allowOverlap="1">
            <wp:simplePos x="0" y="0"/>
            <wp:positionH relativeFrom="column">
              <wp:posOffset>-11430</wp:posOffset>
            </wp:positionH>
            <wp:positionV relativeFrom="paragraph">
              <wp:posOffset>76200</wp:posOffset>
            </wp:positionV>
            <wp:extent cx="4962525" cy="1827530"/>
            <wp:effectExtent l="19050" t="19050" r="28575" b="20320"/>
            <wp:wrapSquare wrapText="bothSides"/>
            <wp:docPr id="15" name="Picture 15" descr="https://data.unicef.org/wp-content/uploads/2015/12/Education_Literacy_Figure3_300_1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ata.unicef.org/wp-content/uploads/2015/12/Education_Literacy_Figure3_300_172.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62525" cy="18275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F53C5">
        <w:rPr>
          <w:rFonts w:ascii="Arial" w:hAnsi="Arial" w:cs="Arial"/>
        </w:rPr>
        <w:t>do. Whilst men have higher occupations in skilled trades (92%),</w:t>
      </w:r>
      <w:r w:rsidR="00EF53C5">
        <w:rPr>
          <w:rStyle w:val="FootnoteReference"/>
          <w:rFonts w:ascii="Arial" w:hAnsi="Arial" w:cs="Arial"/>
        </w:rPr>
        <w:footnoteReference w:id="149"/>
      </w:r>
      <w:r w:rsidR="00EF53C5">
        <w:rPr>
          <w:rFonts w:ascii="Arial" w:hAnsi="Arial" w:cs="Arial"/>
        </w:rPr>
        <w:t xml:space="preserve"> women have the highest employment in care professions (75.6%).</w:t>
      </w:r>
      <w:r w:rsidR="00EF53C5">
        <w:rPr>
          <w:rStyle w:val="FootnoteReference"/>
          <w:rFonts w:ascii="Arial" w:hAnsi="Arial" w:cs="Arial"/>
        </w:rPr>
        <w:footnoteReference w:id="150"/>
      </w:r>
      <w:r w:rsidR="00EF53C5">
        <w:rPr>
          <w:rFonts w:ascii="Arial" w:hAnsi="Arial" w:cs="Arial"/>
        </w:rPr>
        <w:t xml:space="preserve"> So, though massive steps have been made throughout history in terms of pay equality and gender stereotypes of professional work, the gendered issues that we see in ancient Egypt are still pervasive in the modern day United Kingdom</w:t>
      </w:r>
      <w:r w:rsidR="00066B73">
        <w:rPr>
          <w:rFonts w:ascii="Arial" w:hAnsi="Arial" w:cs="Arial"/>
        </w:rPr>
        <w:t xml:space="preserve">, </w:t>
      </w:r>
      <w:r w:rsidR="00911974">
        <w:rPr>
          <w:rFonts w:ascii="Arial" w:hAnsi="Arial" w:cs="Arial"/>
        </w:rPr>
        <w:t>just to a lesser extent</w:t>
      </w:r>
      <w:r w:rsidR="00EF53C5">
        <w:rPr>
          <w:rFonts w:ascii="Arial" w:hAnsi="Arial" w:cs="Arial"/>
        </w:rPr>
        <w:t xml:space="preserve">. </w:t>
      </w:r>
    </w:p>
    <w:p w:rsidR="00194214" w:rsidRDefault="00EF53C5" w:rsidP="00E616FC">
      <w:pPr>
        <w:spacing w:line="480" w:lineRule="auto"/>
        <w:ind w:right="95"/>
        <w:rPr>
          <w:rFonts w:ascii="Arial" w:hAnsi="Arial" w:cs="Arial"/>
        </w:rPr>
      </w:pPr>
      <w:r>
        <w:rPr>
          <w:rFonts w:ascii="Arial" w:hAnsi="Arial" w:cs="Arial"/>
        </w:rPr>
        <w:t>Globally, the rates of female literacy are als</w:t>
      </w:r>
      <w:r w:rsidR="00AC2AFC">
        <w:rPr>
          <w:rFonts w:ascii="Arial" w:hAnsi="Arial" w:cs="Arial"/>
        </w:rPr>
        <w:t>o still an issue. UNICEF reported that yo</w:t>
      </w:r>
      <w:r>
        <w:rPr>
          <w:rFonts w:ascii="Arial" w:hAnsi="Arial" w:cs="Arial"/>
        </w:rPr>
        <w:t>ung women account for over half of the global illiterate population at 59%.</w:t>
      </w:r>
      <w:r>
        <w:rPr>
          <w:rStyle w:val="FootnoteReference"/>
          <w:rFonts w:ascii="Arial" w:hAnsi="Arial" w:cs="Arial"/>
        </w:rPr>
        <w:footnoteReference w:id="151"/>
      </w:r>
      <w:r>
        <w:rPr>
          <w:rFonts w:ascii="Arial" w:hAnsi="Arial" w:cs="Arial"/>
        </w:rPr>
        <w:t xml:space="preserve"> The biggest area</w:t>
      </w:r>
      <w:r w:rsidR="00066B73">
        <w:rPr>
          <w:rFonts w:ascii="Arial" w:hAnsi="Arial" w:cs="Arial"/>
        </w:rPr>
        <w:t>s</w:t>
      </w:r>
      <w:r>
        <w:rPr>
          <w:rFonts w:ascii="Arial" w:hAnsi="Arial" w:cs="Arial"/>
        </w:rPr>
        <w:t xml:space="preserve"> where this is seen to be an issue is in West and Central Africa and South Asia. </w:t>
      </w:r>
      <w:r w:rsidR="00066B73">
        <w:rPr>
          <w:rFonts w:ascii="Arial" w:hAnsi="Arial" w:cs="Arial"/>
        </w:rPr>
        <w:t>The Gender Parity I</w:t>
      </w:r>
      <w:r w:rsidR="00194214">
        <w:rPr>
          <w:rFonts w:ascii="Arial" w:hAnsi="Arial" w:cs="Arial"/>
        </w:rPr>
        <w:t xml:space="preserve">ndex shows the ratio of literacy between males and females. An example would be what we see in the country of Niger, which has a gender parity index of 0.44. This means that for every 100 literate men, only 44 women are literate. </w:t>
      </w:r>
      <w:r w:rsidR="00194214">
        <w:rPr>
          <w:rStyle w:val="FootnoteReference"/>
          <w:rFonts w:ascii="Arial" w:hAnsi="Arial" w:cs="Arial"/>
        </w:rPr>
        <w:footnoteReference w:id="152"/>
      </w:r>
      <w:r w:rsidR="00194214">
        <w:rPr>
          <w:rFonts w:ascii="Arial" w:hAnsi="Arial" w:cs="Arial"/>
        </w:rPr>
        <w:t xml:space="preserve"> Over</w:t>
      </w:r>
      <w:r w:rsidR="00911974">
        <w:rPr>
          <w:rFonts w:ascii="Arial" w:hAnsi="Arial" w:cs="Arial"/>
        </w:rPr>
        <w:t>all, West and Central Africa have</w:t>
      </w:r>
      <w:r w:rsidR="00194214">
        <w:rPr>
          <w:rFonts w:ascii="Arial" w:hAnsi="Arial" w:cs="Arial"/>
        </w:rPr>
        <w:t xml:space="preserve"> a gender parity </w:t>
      </w:r>
      <w:r w:rsidR="00194214">
        <w:rPr>
          <w:rFonts w:ascii="Arial" w:hAnsi="Arial" w:cs="Arial"/>
        </w:rPr>
        <w:lastRenderedPageBreak/>
        <w:t>index of 0.79, Sou</w:t>
      </w:r>
      <w:r w:rsidR="00911974">
        <w:rPr>
          <w:rFonts w:ascii="Arial" w:hAnsi="Arial" w:cs="Arial"/>
        </w:rPr>
        <w:t xml:space="preserve">th Asia seeing the rate of 0.91 </w:t>
      </w:r>
      <w:r w:rsidR="004063F9">
        <w:rPr>
          <w:rFonts w:ascii="Arial" w:hAnsi="Arial" w:cs="Arial"/>
        </w:rPr>
        <w:t>(See Fig.10</w:t>
      </w:r>
      <w:r w:rsidR="00194214">
        <w:rPr>
          <w:rFonts w:ascii="Arial" w:hAnsi="Arial" w:cs="Arial"/>
        </w:rPr>
        <w:t>)</w:t>
      </w:r>
      <w:r w:rsidR="00911974">
        <w:rPr>
          <w:rFonts w:ascii="Arial" w:hAnsi="Arial" w:cs="Arial"/>
        </w:rPr>
        <w:t>.</w:t>
      </w:r>
      <w:r w:rsidR="00194214">
        <w:rPr>
          <w:rFonts w:ascii="Arial" w:hAnsi="Arial" w:cs="Arial"/>
        </w:rPr>
        <w:t xml:space="preserve"> Globally, women are falling through the net, as old cultural beliefs that men are more valuable and deserve to be educated are still seen in lesser developed countries.</w:t>
      </w:r>
      <w:r w:rsidR="00194214">
        <w:rPr>
          <w:rStyle w:val="FootnoteReference"/>
          <w:rFonts w:ascii="Arial" w:hAnsi="Arial" w:cs="Arial"/>
        </w:rPr>
        <w:footnoteReference w:id="153"/>
      </w:r>
      <w:r w:rsidR="00194214">
        <w:rPr>
          <w:rFonts w:ascii="Arial" w:hAnsi="Arial" w:cs="Arial"/>
        </w:rPr>
        <w:t xml:space="preserve"> </w:t>
      </w:r>
      <w:r w:rsidR="00194214">
        <w:rPr>
          <w:rFonts w:ascii="Arial" w:hAnsi="Arial" w:cs="Arial"/>
        </w:rPr>
        <w:br/>
        <w:t xml:space="preserve">So, though many steps have been made and many women are treated well in the western world in terms of their pay and opportunities, gender stereotypes and </w:t>
      </w:r>
      <w:r w:rsidR="00AF52E0">
        <w:rPr>
          <w:rFonts w:ascii="Arial" w:hAnsi="Arial" w:cs="Arial"/>
        </w:rPr>
        <w:t>gender inequality still persist</w:t>
      </w:r>
      <w:r w:rsidR="00194214">
        <w:rPr>
          <w:rFonts w:ascii="Arial" w:hAnsi="Arial" w:cs="Arial"/>
        </w:rPr>
        <w:t xml:space="preserve"> in the modern world today, as it did in the time and culture of ancient Egypt.</w:t>
      </w:r>
      <w:r w:rsidR="00F959AB">
        <w:rPr>
          <w:rFonts w:ascii="Arial" w:hAnsi="Arial" w:cs="Arial"/>
        </w:rPr>
        <w:t xml:space="preserve"> Women are still expected to take on a professional role as well as a childcare r</w:t>
      </w:r>
      <w:r w:rsidR="00C46B1F">
        <w:rPr>
          <w:rFonts w:ascii="Arial" w:hAnsi="Arial" w:cs="Arial"/>
        </w:rPr>
        <w:t xml:space="preserve">ole, and are paid less than men; </w:t>
      </w:r>
      <w:r w:rsidR="00F959AB">
        <w:rPr>
          <w:rFonts w:ascii="Arial" w:hAnsi="Arial" w:cs="Arial"/>
        </w:rPr>
        <w:t>these facts mirroring each other in the modern day, and in ancient Egypt.</w:t>
      </w: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9B2B7B" w:rsidRDefault="009B2B7B" w:rsidP="00E616FC">
      <w:pPr>
        <w:spacing w:line="480" w:lineRule="auto"/>
        <w:ind w:right="95"/>
        <w:rPr>
          <w:rFonts w:ascii="Arial" w:hAnsi="Arial" w:cs="Arial"/>
          <w:b/>
        </w:rPr>
      </w:pPr>
    </w:p>
    <w:p w:rsidR="00EF53C5" w:rsidRDefault="00995B1F" w:rsidP="00E616FC">
      <w:pPr>
        <w:spacing w:line="480" w:lineRule="auto"/>
        <w:ind w:right="95"/>
        <w:rPr>
          <w:rFonts w:ascii="Arial" w:hAnsi="Arial" w:cs="Arial"/>
          <w:b/>
        </w:rPr>
      </w:pPr>
      <w:r>
        <w:rPr>
          <w:rFonts w:ascii="Arial" w:hAnsi="Arial" w:cs="Arial"/>
          <w:b/>
        </w:rPr>
        <w:lastRenderedPageBreak/>
        <w:t xml:space="preserve">The Temptress </w:t>
      </w:r>
    </w:p>
    <w:p w:rsidR="00103C53" w:rsidRDefault="00995B1F" w:rsidP="00E616FC">
      <w:pPr>
        <w:spacing w:line="480" w:lineRule="auto"/>
        <w:ind w:right="95"/>
        <w:rPr>
          <w:rFonts w:ascii="Arial" w:hAnsi="Arial" w:cs="Arial"/>
        </w:rPr>
      </w:pPr>
      <w:r>
        <w:rPr>
          <w:rFonts w:ascii="Arial" w:hAnsi="Arial" w:cs="Arial"/>
        </w:rPr>
        <w:t>Throughout history in many different civilisations and societies, men have made an attempt to control women’s sexuality,</w:t>
      </w:r>
      <w:r>
        <w:rPr>
          <w:rStyle w:val="FootnoteReference"/>
          <w:rFonts w:ascii="Arial" w:hAnsi="Arial" w:cs="Arial"/>
        </w:rPr>
        <w:footnoteReference w:id="154"/>
      </w:r>
      <w:r>
        <w:rPr>
          <w:rFonts w:ascii="Arial" w:hAnsi="Arial" w:cs="Arial"/>
        </w:rPr>
        <w:t xml:space="preserve"> ancient Egypt being no exception. Women are seen as the bearers of morality, the morality being held in the body and the sexuality of the female.</w:t>
      </w:r>
      <w:r>
        <w:rPr>
          <w:rStyle w:val="FootnoteReference"/>
          <w:rFonts w:ascii="Arial" w:hAnsi="Arial" w:cs="Arial"/>
        </w:rPr>
        <w:footnoteReference w:id="155"/>
      </w:r>
      <w:r>
        <w:rPr>
          <w:rFonts w:ascii="Arial" w:hAnsi="Arial" w:cs="Arial"/>
        </w:rPr>
        <w:t xml:space="preserve"> </w:t>
      </w:r>
      <w:r w:rsidR="006A74C3">
        <w:rPr>
          <w:rFonts w:ascii="Arial" w:hAnsi="Arial" w:cs="Arial"/>
        </w:rPr>
        <w:t>A woma</w:t>
      </w:r>
      <w:r w:rsidR="00DE3505">
        <w:rPr>
          <w:rFonts w:ascii="Arial" w:hAnsi="Arial" w:cs="Arial"/>
        </w:rPr>
        <w:t xml:space="preserve">n’s sexuality was celebrated for the pleasure of her husband, and feared for its capability to entrap </w:t>
      </w:r>
      <w:r w:rsidR="00FB343A">
        <w:rPr>
          <w:rFonts w:ascii="Arial" w:hAnsi="Arial" w:cs="Arial"/>
        </w:rPr>
        <w:t xml:space="preserve">other </w:t>
      </w:r>
      <w:r w:rsidR="00DE3505">
        <w:rPr>
          <w:rFonts w:ascii="Arial" w:hAnsi="Arial" w:cs="Arial"/>
        </w:rPr>
        <w:t>men.</w:t>
      </w:r>
      <w:r w:rsidR="00DE3505">
        <w:rPr>
          <w:rStyle w:val="FootnoteReference"/>
          <w:rFonts w:ascii="Arial" w:hAnsi="Arial" w:cs="Arial"/>
        </w:rPr>
        <w:footnoteReference w:id="156"/>
      </w:r>
      <w:r w:rsidR="00DE3505">
        <w:rPr>
          <w:rFonts w:ascii="Arial" w:hAnsi="Arial" w:cs="Arial"/>
        </w:rPr>
        <w:t xml:space="preserve"> </w:t>
      </w:r>
      <w:r w:rsidR="00A707C3">
        <w:rPr>
          <w:rFonts w:ascii="Arial" w:hAnsi="Arial" w:cs="Arial"/>
        </w:rPr>
        <w:t>Yet, with all of this fear around a woman’s sexuality, there seems to be no concern for the virginity</w:t>
      </w:r>
      <w:r w:rsidR="00101577">
        <w:rPr>
          <w:rFonts w:ascii="Arial" w:hAnsi="Arial" w:cs="Arial"/>
        </w:rPr>
        <w:t xml:space="preserve"> of a woman before her marriage,</w:t>
      </w:r>
      <w:r w:rsidR="00A707C3">
        <w:rPr>
          <w:rStyle w:val="FootnoteReference"/>
          <w:rFonts w:ascii="Arial" w:hAnsi="Arial" w:cs="Arial"/>
        </w:rPr>
        <w:footnoteReference w:id="157"/>
      </w:r>
      <w:r w:rsidR="00101577">
        <w:rPr>
          <w:rFonts w:ascii="Arial" w:hAnsi="Arial" w:cs="Arial"/>
        </w:rPr>
        <w:t xml:space="preserve"> there not even being a word for ‘virgin’ in the ancient Egyptian language.</w:t>
      </w:r>
      <w:r w:rsidR="00101577">
        <w:rPr>
          <w:rStyle w:val="FootnoteReference"/>
          <w:rFonts w:ascii="Arial" w:hAnsi="Arial" w:cs="Arial"/>
        </w:rPr>
        <w:footnoteReference w:id="158"/>
      </w:r>
      <w:r w:rsidR="00A707C3">
        <w:rPr>
          <w:rFonts w:ascii="Arial" w:hAnsi="Arial" w:cs="Arial"/>
        </w:rPr>
        <w:t xml:space="preserve"> </w:t>
      </w:r>
      <w:r w:rsidR="00AC2AFC">
        <w:rPr>
          <w:rFonts w:ascii="Arial" w:hAnsi="Arial" w:cs="Arial"/>
        </w:rPr>
        <w:t>Graves-Brown</w:t>
      </w:r>
      <w:r w:rsidR="00101577">
        <w:rPr>
          <w:rFonts w:ascii="Arial" w:hAnsi="Arial" w:cs="Arial"/>
        </w:rPr>
        <w:t xml:space="preserve"> cite</w:t>
      </w:r>
      <w:r w:rsidR="00AC2AFC">
        <w:rPr>
          <w:rFonts w:ascii="Arial" w:hAnsi="Arial" w:cs="Arial"/>
        </w:rPr>
        <w:t>s</w:t>
      </w:r>
      <w:r w:rsidR="00101577">
        <w:rPr>
          <w:rFonts w:ascii="Arial" w:hAnsi="Arial" w:cs="Arial"/>
        </w:rPr>
        <w:t xml:space="preserve"> love poems for evidence of pre</w:t>
      </w:r>
      <w:r w:rsidR="007F3B06">
        <w:rPr>
          <w:rFonts w:ascii="Arial" w:hAnsi="Arial" w:cs="Arial"/>
        </w:rPr>
        <w:t xml:space="preserve">-marital sex, though this is not </w:t>
      </w:r>
      <w:r w:rsidR="00101577">
        <w:rPr>
          <w:rFonts w:ascii="Arial" w:hAnsi="Arial" w:cs="Arial"/>
        </w:rPr>
        <w:t>proof that this was actively encouraged.</w:t>
      </w:r>
      <w:r w:rsidR="00101577">
        <w:rPr>
          <w:rStyle w:val="FootnoteReference"/>
          <w:rFonts w:ascii="Arial" w:hAnsi="Arial" w:cs="Arial"/>
        </w:rPr>
        <w:footnoteReference w:id="159"/>
      </w:r>
      <w:r w:rsidR="00101577">
        <w:rPr>
          <w:rFonts w:ascii="Arial" w:hAnsi="Arial" w:cs="Arial"/>
        </w:rPr>
        <w:t xml:space="preserve"> </w:t>
      </w:r>
      <w:r w:rsidR="00223A83">
        <w:rPr>
          <w:rFonts w:ascii="Arial" w:hAnsi="Arial" w:cs="Arial"/>
        </w:rPr>
        <w:t>And, when it comes to extra-marital sex, it seems an equally offensive act for both husbands and wives.</w:t>
      </w:r>
      <w:r w:rsidR="00223A83">
        <w:rPr>
          <w:rStyle w:val="FootnoteReference"/>
          <w:rFonts w:ascii="Arial" w:hAnsi="Arial" w:cs="Arial"/>
        </w:rPr>
        <w:footnoteReference w:id="160"/>
      </w:r>
      <w:r w:rsidR="00223A83">
        <w:rPr>
          <w:rFonts w:ascii="Arial" w:hAnsi="Arial" w:cs="Arial"/>
        </w:rPr>
        <w:t xml:space="preserve"> </w:t>
      </w:r>
      <w:r w:rsidR="00CE20EF">
        <w:rPr>
          <w:rFonts w:ascii="Arial" w:hAnsi="Arial" w:cs="Arial"/>
        </w:rPr>
        <w:t xml:space="preserve">An interesting aspect about love poems is that most of them take place </w:t>
      </w:r>
      <w:r w:rsidR="00AC2AFC">
        <w:rPr>
          <w:rFonts w:ascii="Arial" w:hAnsi="Arial" w:cs="Arial"/>
        </w:rPr>
        <w:t>in the home of a woman, Graves-Brown once again citing this</w:t>
      </w:r>
      <w:r w:rsidR="00FB343A">
        <w:rPr>
          <w:rFonts w:ascii="Arial" w:hAnsi="Arial" w:cs="Arial"/>
        </w:rPr>
        <w:t xml:space="preserve"> as a metaphor for a woman’s </w:t>
      </w:r>
      <w:r w:rsidR="00CE20EF">
        <w:rPr>
          <w:rFonts w:ascii="Arial" w:hAnsi="Arial" w:cs="Arial"/>
        </w:rPr>
        <w:t>body, entrance to the house being seen as a possessive act.</w:t>
      </w:r>
      <w:r w:rsidR="00CE20EF">
        <w:rPr>
          <w:rStyle w:val="FootnoteReference"/>
          <w:rFonts w:ascii="Arial" w:hAnsi="Arial" w:cs="Arial"/>
        </w:rPr>
        <w:footnoteReference w:id="161"/>
      </w:r>
      <w:r w:rsidR="00CE20EF">
        <w:rPr>
          <w:rFonts w:ascii="Arial" w:hAnsi="Arial" w:cs="Arial"/>
        </w:rPr>
        <w:t xml:space="preserve"> </w:t>
      </w:r>
      <w:r w:rsidR="00B4355B">
        <w:rPr>
          <w:rFonts w:ascii="Arial" w:hAnsi="Arial" w:cs="Arial"/>
        </w:rPr>
        <w:t xml:space="preserve">It is known that sex was enacted for pleasure in ancient Egypt, there being evidence for the use of female contraceptives (such as a recipe using fermented vegetables to create lactic acid – which is used in modern contraceptives – and less-appealing mixes such as vaginal </w:t>
      </w:r>
      <w:r w:rsidR="00B4355B">
        <w:rPr>
          <w:rFonts w:ascii="Arial" w:hAnsi="Arial" w:cs="Arial"/>
        </w:rPr>
        <w:lastRenderedPageBreak/>
        <w:t xml:space="preserve">suppositories using crocodile </w:t>
      </w:r>
      <w:r w:rsidR="009B2B7B">
        <w:rPr>
          <w:noProof/>
          <w:lang w:eastAsia="en-GB"/>
        </w:rPr>
        <w:drawing>
          <wp:anchor distT="0" distB="0" distL="114300" distR="114300" simplePos="0" relativeHeight="251683840" behindDoc="0" locked="0" layoutInCell="1" allowOverlap="1">
            <wp:simplePos x="0" y="0"/>
            <wp:positionH relativeFrom="column">
              <wp:posOffset>1596390</wp:posOffset>
            </wp:positionH>
            <wp:positionV relativeFrom="paragraph">
              <wp:posOffset>0</wp:posOffset>
            </wp:positionV>
            <wp:extent cx="3285490" cy="1403350"/>
            <wp:effectExtent l="0" t="0" r="0" b="6350"/>
            <wp:wrapSquare wrapText="bothSides"/>
            <wp:docPr id="17" name="Picture 17" descr="Papyrus D'Orbiney: 'The Tale of the Two Brothers', sheet 10: hieratic text on both recto and vers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pyrus D'Orbiney: 'The Tale of the Two Brothers', sheet 10: hieratic text on both recto and verso."/>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85490" cy="1403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355B">
        <w:rPr>
          <w:rFonts w:ascii="Arial" w:hAnsi="Arial" w:cs="Arial"/>
        </w:rPr>
        <w:t>dung and milk).</w:t>
      </w:r>
      <w:r w:rsidR="00B4355B">
        <w:rPr>
          <w:rStyle w:val="FootnoteReference"/>
          <w:rFonts w:ascii="Arial" w:hAnsi="Arial" w:cs="Arial"/>
        </w:rPr>
        <w:footnoteReference w:id="162"/>
      </w:r>
      <w:r w:rsidR="00B4355B">
        <w:rPr>
          <w:rFonts w:ascii="Arial" w:hAnsi="Arial" w:cs="Arial"/>
        </w:rPr>
        <w:t xml:space="preserve"> </w:t>
      </w:r>
      <w:r w:rsidR="000B54B5">
        <w:rPr>
          <w:rFonts w:ascii="Arial" w:hAnsi="Arial" w:cs="Arial"/>
        </w:rPr>
        <w:br/>
      </w:r>
      <w:r>
        <w:rPr>
          <w:rFonts w:ascii="Arial" w:hAnsi="Arial" w:cs="Arial"/>
        </w:rPr>
        <w:t xml:space="preserve">There are many Egyptian tales where in which women are </w:t>
      </w:r>
      <w:r w:rsidR="009B2B7B" w:rsidRPr="00575D4D">
        <w:rPr>
          <w:rFonts w:ascii="Arial" w:hAnsi="Arial" w:cs="Arial"/>
          <w:noProof/>
          <w:lang w:eastAsia="en-GB"/>
        </w:rPr>
        <mc:AlternateContent>
          <mc:Choice Requires="wps">
            <w:drawing>
              <wp:anchor distT="45720" distB="45720" distL="114300" distR="114300" simplePos="0" relativeHeight="251685888" behindDoc="0" locked="0" layoutInCell="1" allowOverlap="1" wp14:anchorId="395BCA3B" wp14:editId="1169FAC6">
                <wp:simplePos x="0" y="0"/>
                <wp:positionH relativeFrom="column">
                  <wp:posOffset>1598295</wp:posOffset>
                </wp:positionH>
                <wp:positionV relativeFrom="page">
                  <wp:posOffset>2390775</wp:posOffset>
                </wp:positionV>
                <wp:extent cx="3285490" cy="711835"/>
                <wp:effectExtent l="0" t="0" r="10160" b="1206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5490" cy="711835"/>
                        </a:xfrm>
                        <a:prstGeom prst="rect">
                          <a:avLst/>
                        </a:prstGeom>
                        <a:solidFill>
                          <a:srgbClr val="FFFFFF"/>
                        </a:solidFill>
                        <a:ln w="9525">
                          <a:solidFill>
                            <a:srgbClr val="000000"/>
                          </a:solidFill>
                          <a:miter lim="800000"/>
                          <a:headEnd/>
                          <a:tailEnd/>
                        </a:ln>
                      </wps:spPr>
                      <wps:txbx>
                        <w:txbxContent>
                          <w:p w:rsidR="00FB2511" w:rsidRPr="00575D4D" w:rsidRDefault="00FB2511" w:rsidP="00995B1F">
                            <w:pPr>
                              <w:jc w:val="center"/>
                              <w:rPr>
                                <w:rFonts w:ascii="Arial" w:hAnsi="Arial" w:cs="Arial"/>
                              </w:rPr>
                            </w:pPr>
                            <w:r>
                              <w:rPr>
                                <w:rFonts w:ascii="Arial" w:hAnsi="Arial" w:cs="Arial"/>
                              </w:rPr>
                              <w:t>Fig. 11: Papyrus D’Orbiney: “The Tale of the Two Brothers”, © the Trustees of the British Museum, 2017,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BCA3B" id="_x0000_s1037" type="#_x0000_t202" style="position:absolute;margin-left:125.85pt;margin-top:188.25pt;width:258.7pt;height:56.0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">
                <v:textbox>
                  <w:txbxContent>
                    <w:p w:rsidR="00FB2511" w:rsidRPr="00575D4D" w:rsidRDefault="00FB2511" w:rsidP="00995B1F">
                      <w:pPr>
                        <w:jc w:val="center"/>
                        <w:rPr>
                          <w:rFonts w:ascii="Arial" w:hAnsi="Arial" w:cs="Arial"/>
                        </w:rPr>
                      </w:pPr>
                      <w:r>
                        <w:rPr>
                          <w:rFonts w:ascii="Arial" w:hAnsi="Arial" w:cs="Arial"/>
                        </w:rPr>
                        <w:t>Fig. 11: Papyrus D’Orbiney: “The Tale of the Two Brothers”, © the Trustees of the British Museum, 2017, London</w:t>
                      </w:r>
                    </w:p>
                  </w:txbxContent>
                </v:textbox>
                <w10:wrap type="square" anchory="page"/>
              </v:shape>
            </w:pict>
          </mc:Fallback>
        </mc:AlternateContent>
      </w:r>
      <w:r>
        <w:rPr>
          <w:rFonts w:ascii="Arial" w:hAnsi="Arial" w:cs="Arial"/>
        </w:rPr>
        <w:t>seen to be a harlot or a temptress, attempting to persuade men to sleep with them</w:t>
      </w:r>
      <w:r w:rsidR="000B54B5">
        <w:rPr>
          <w:rFonts w:ascii="Arial" w:hAnsi="Arial" w:cs="Arial"/>
        </w:rPr>
        <w:t>, or</w:t>
      </w:r>
      <w:r w:rsidR="00101577">
        <w:rPr>
          <w:rFonts w:ascii="Arial" w:hAnsi="Arial" w:cs="Arial"/>
        </w:rPr>
        <w:t xml:space="preserve"> using her sexuality for her own menacing means.</w:t>
      </w:r>
      <w:r w:rsidR="00101577">
        <w:rPr>
          <w:rStyle w:val="FootnoteReference"/>
          <w:rFonts w:ascii="Arial" w:hAnsi="Arial" w:cs="Arial"/>
        </w:rPr>
        <w:footnoteReference w:id="163"/>
      </w:r>
      <w:r>
        <w:rPr>
          <w:rFonts w:ascii="Arial" w:hAnsi="Arial" w:cs="Arial"/>
        </w:rPr>
        <w:t xml:space="preserve"> One of these examples is the Tale of the Herdsman,</w:t>
      </w:r>
      <w:r>
        <w:rPr>
          <w:rStyle w:val="FootnoteReference"/>
          <w:rFonts w:ascii="Arial" w:hAnsi="Arial" w:cs="Arial"/>
        </w:rPr>
        <w:footnoteReference w:id="164"/>
      </w:r>
      <w:r>
        <w:rPr>
          <w:rFonts w:ascii="Arial" w:hAnsi="Arial" w:cs="Arial"/>
        </w:rPr>
        <w:t xml:space="preserve"> where a herdsman sees a naked woman in the marshes, yet is terrified of her and her obvious sexuality.</w:t>
      </w:r>
      <w:r>
        <w:rPr>
          <w:rStyle w:val="FootnoteReference"/>
          <w:rFonts w:ascii="Arial" w:hAnsi="Arial" w:cs="Arial"/>
        </w:rPr>
        <w:footnoteReference w:id="165"/>
      </w:r>
      <w:r>
        <w:rPr>
          <w:rFonts w:ascii="Arial" w:hAnsi="Arial" w:cs="Arial"/>
        </w:rPr>
        <w:t xml:space="preserve"> A story that goes deeper into the details of a woman’s perceived sexual desire is The Tale of Two Brothers</w:t>
      </w:r>
      <w:r w:rsidR="004063F9">
        <w:rPr>
          <w:rFonts w:ascii="Arial" w:hAnsi="Arial" w:cs="Arial"/>
        </w:rPr>
        <w:t xml:space="preserve"> (See Fig.11</w:t>
      </w:r>
      <w:r w:rsidR="005746E8">
        <w:rPr>
          <w:rFonts w:ascii="Arial" w:hAnsi="Arial" w:cs="Arial"/>
        </w:rPr>
        <w:t>)</w:t>
      </w:r>
      <w:r>
        <w:rPr>
          <w:rFonts w:ascii="Arial" w:hAnsi="Arial" w:cs="Arial"/>
        </w:rPr>
        <w:t>.</w:t>
      </w:r>
      <w:r>
        <w:rPr>
          <w:rStyle w:val="FootnoteReference"/>
          <w:rFonts w:ascii="Arial" w:hAnsi="Arial" w:cs="Arial"/>
        </w:rPr>
        <w:footnoteReference w:id="166"/>
      </w:r>
      <w:r w:rsidR="00502F3B">
        <w:rPr>
          <w:rFonts w:ascii="Arial" w:hAnsi="Arial" w:cs="Arial"/>
        </w:rPr>
        <w:t xml:space="preserve"> In this story, the wife of Anubis has a deep </w:t>
      </w:r>
      <w:r w:rsidR="00066B73">
        <w:rPr>
          <w:rFonts w:ascii="Arial" w:hAnsi="Arial" w:cs="Arial"/>
        </w:rPr>
        <w:t xml:space="preserve">desire for her brother in law, </w:t>
      </w:r>
      <w:r w:rsidR="00502F3B">
        <w:rPr>
          <w:rFonts w:ascii="Arial" w:hAnsi="Arial" w:cs="Arial"/>
        </w:rPr>
        <w:t>Bata. She attempts to seduce him, but when he rejects her advances, she accuses him of rape. Bata proves himself to be innocent to his brother, and Anubis’ wife is killed.</w:t>
      </w:r>
      <w:r w:rsidR="00502F3B">
        <w:rPr>
          <w:rStyle w:val="FootnoteReference"/>
          <w:rFonts w:ascii="Arial" w:hAnsi="Arial" w:cs="Arial"/>
        </w:rPr>
        <w:footnoteReference w:id="167"/>
      </w:r>
      <w:r w:rsidR="00502F3B">
        <w:rPr>
          <w:rFonts w:ascii="Arial" w:hAnsi="Arial" w:cs="Arial"/>
        </w:rPr>
        <w:t xml:space="preserve"> In the Tales of Truth and Falsehood</w:t>
      </w:r>
      <w:r w:rsidR="00502F3B">
        <w:rPr>
          <w:rStyle w:val="FootnoteReference"/>
          <w:rFonts w:ascii="Arial" w:hAnsi="Arial" w:cs="Arial"/>
        </w:rPr>
        <w:footnoteReference w:id="168"/>
      </w:r>
      <w:r w:rsidR="00502F3B">
        <w:rPr>
          <w:rFonts w:ascii="Arial" w:hAnsi="Arial" w:cs="Arial"/>
        </w:rPr>
        <w:t xml:space="preserve"> a woman rescues Truth, but when he refuses to sleep with her, she treats him badly</w:t>
      </w:r>
      <w:r w:rsidR="00FD24B0">
        <w:rPr>
          <w:rFonts w:ascii="Arial" w:hAnsi="Arial" w:cs="Arial"/>
        </w:rPr>
        <w:t>.</w:t>
      </w:r>
      <w:r w:rsidR="00502F3B">
        <w:rPr>
          <w:rStyle w:val="FootnoteReference"/>
          <w:rFonts w:ascii="Arial" w:hAnsi="Arial" w:cs="Arial"/>
        </w:rPr>
        <w:footnoteReference w:id="169"/>
      </w:r>
      <w:r w:rsidR="00502F3B">
        <w:rPr>
          <w:rFonts w:ascii="Arial" w:hAnsi="Arial" w:cs="Arial"/>
        </w:rPr>
        <w:t xml:space="preserve"> So here, in this selection of literary sources, the concept of the sexually hungry temptress is born. </w:t>
      </w:r>
      <w:r w:rsidR="00103C53">
        <w:rPr>
          <w:rFonts w:ascii="Arial" w:hAnsi="Arial" w:cs="Arial"/>
        </w:rPr>
        <w:t>With these stereo</w:t>
      </w:r>
      <w:r w:rsidR="007F3B06">
        <w:rPr>
          <w:rFonts w:ascii="Arial" w:hAnsi="Arial" w:cs="Arial"/>
        </w:rPr>
        <w:t xml:space="preserve">types being pervasive, it is not </w:t>
      </w:r>
      <w:r w:rsidR="00103C53">
        <w:rPr>
          <w:rFonts w:ascii="Arial" w:hAnsi="Arial" w:cs="Arial"/>
        </w:rPr>
        <w:t xml:space="preserve">surprising that men were advised to be careful when interacting with women outside of </w:t>
      </w:r>
      <w:r w:rsidR="00103C53">
        <w:rPr>
          <w:rFonts w:ascii="Arial" w:hAnsi="Arial" w:cs="Arial"/>
        </w:rPr>
        <w:lastRenderedPageBreak/>
        <w:t>their family, even if they were married.</w:t>
      </w:r>
      <w:r w:rsidR="00103C53">
        <w:rPr>
          <w:rStyle w:val="FootnoteReference"/>
          <w:rFonts w:ascii="Arial" w:hAnsi="Arial" w:cs="Arial"/>
        </w:rPr>
        <w:footnoteReference w:id="170"/>
      </w:r>
      <w:r w:rsidR="00103C53">
        <w:rPr>
          <w:rFonts w:ascii="Arial" w:hAnsi="Arial" w:cs="Arial"/>
        </w:rPr>
        <w:t xml:space="preserve"> In the Instructions of Ani,</w:t>
      </w:r>
      <w:r w:rsidR="00103C53">
        <w:rPr>
          <w:rStyle w:val="FootnoteReference"/>
          <w:rFonts w:ascii="Arial" w:hAnsi="Arial" w:cs="Arial"/>
        </w:rPr>
        <w:footnoteReference w:id="171"/>
      </w:r>
      <w:r w:rsidR="00103C53">
        <w:rPr>
          <w:rFonts w:ascii="Arial" w:hAnsi="Arial" w:cs="Arial"/>
        </w:rPr>
        <w:t xml:space="preserve"> men are warned of </w:t>
      </w:r>
      <w:r w:rsidR="00A535B6">
        <w:rPr>
          <w:rFonts w:ascii="Arial" w:hAnsi="Arial" w:cs="Arial"/>
        </w:rPr>
        <w:t xml:space="preserve">the dangers of travelling alone (See A1.6). </w:t>
      </w:r>
      <w:r w:rsidR="00103C53">
        <w:rPr>
          <w:rFonts w:ascii="Arial" w:hAnsi="Arial" w:cs="Arial"/>
        </w:rPr>
        <w:t>In love poems, it is sometimes suggested that even the sight of another man is enough to distract a woman and lead her away from her husband.</w:t>
      </w:r>
      <w:r w:rsidR="00103C53">
        <w:rPr>
          <w:rStyle w:val="FootnoteReference"/>
          <w:rFonts w:ascii="Arial" w:hAnsi="Arial" w:cs="Arial"/>
        </w:rPr>
        <w:footnoteReference w:id="172"/>
      </w:r>
      <w:r w:rsidR="00103C53">
        <w:rPr>
          <w:rFonts w:ascii="Arial" w:hAnsi="Arial" w:cs="Arial"/>
        </w:rPr>
        <w:t xml:space="preserve"> A common theme in the way in which men write about women includes putting women into three categories: the mother (who is </w:t>
      </w:r>
      <w:r w:rsidR="00F1599A">
        <w:rPr>
          <w:rFonts w:ascii="Arial" w:hAnsi="Arial" w:cs="Arial"/>
        </w:rPr>
        <w:t>virtuous</w:t>
      </w:r>
      <w:r w:rsidR="00103C53">
        <w:rPr>
          <w:rFonts w:ascii="Arial" w:hAnsi="Arial" w:cs="Arial"/>
        </w:rPr>
        <w:t>), the wife (either good and faithful, or nagging and unfaithful) or the harlot</w:t>
      </w:r>
      <w:r w:rsidR="000B54B5">
        <w:rPr>
          <w:rFonts w:ascii="Arial" w:hAnsi="Arial" w:cs="Arial"/>
        </w:rPr>
        <w:t xml:space="preserve"> (sexually permissive and dangerous)</w:t>
      </w:r>
      <w:r w:rsidR="00103C53">
        <w:rPr>
          <w:rFonts w:ascii="Arial" w:hAnsi="Arial" w:cs="Arial"/>
        </w:rPr>
        <w:t>.</w:t>
      </w:r>
      <w:r w:rsidR="00103C53">
        <w:rPr>
          <w:rStyle w:val="FootnoteReference"/>
          <w:rFonts w:ascii="Arial" w:hAnsi="Arial" w:cs="Arial"/>
        </w:rPr>
        <w:footnoteReference w:id="173"/>
      </w:r>
      <w:r w:rsidR="00584E45">
        <w:rPr>
          <w:rFonts w:ascii="Arial" w:hAnsi="Arial" w:cs="Arial"/>
        </w:rPr>
        <w:t xml:space="preserve"> These unfaithful and promiscuous women were often blamed for more than simply leading men away from their wives, as the Papyrus Insinger</w:t>
      </w:r>
      <w:r w:rsidR="00584E45">
        <w:rPr>
          <w:rStyle w:val="FootnoteReference"/>
          <w:rFonts w:ascii="Arial" w:hAnsi="Arial" w:cs="Arial"/>
        </w:rPr>
        <w:footnoteReference w:id="174"/>
      </w:r>
      <w:r w:rsidR="00584E45">
        <w:rPr>
          <w:rFonts w:ascii="Arial" w:hAnsi="Arial" w:cs="Arial"/>
        </w:rPr>
        <w:t xml:space="preserve"> declares that:</w:t>
      </w:r>
    </w:p>
    <w:p w:rsidR="00584E45" w:rsidRDefault="00584E45" w:rsidP="008A4ABA">
      <w:pPr>
        <w:spacing w:line="360" w:lineRule="auto"/>
        <w:ind w:left="567" w:right="1088"/>
        <w:rPr>
          <w:rFonts w:ascii="Arial" w:hAnsi="Arial" w:cs="Arial"/>
        </w:rPr>
      </w:pPr>
      <w:r>
        <w:rPr>
          <w:rFonts w:ascii="Arial" w:hAnsi="Arial" w:cs="Arial"/>
        </w:rPr>
        <w:t>“</w:t>
      </w:r>
      <w:r>
        <w:rPr>
          <w:rFonts w:ascii="Arial" w:hAnsi="Arial" w:cs="Arial"/>
          <w:i/>
        </w:rPr>
        <w:t>It is in women that the good and the bad demon are active on earth</w:t>
      </w:r>
      <w:r>
        <w:rPr>
          <w:rFonts w:ascii="Arial" w:hAnsi="Arial" w:cs="Arial"/>
        </w:rPr>
        <w:t>”</w:t>
      </w:r>
      <w:r>
        <w:rPr>
          <w:rStyle w:val="FootnoteReference"/>
          <w:rFonts w:ascii="Arial" w:hAnsi="Arial" w:cs="Arial"/>
        </w:rPr>
        <w:footnoteReference w:id="175"/>
      </w:r>
    </w:p>
    <w:p w:rsidR="000B54B5" w:rsidRDefault="000E350D" w:rsidP="00A535B6">
      <w:pPr>
        <w:spacing w:line="480" w:lineRule="auto"/>
        <w:ind w:right="95"/>
        <w:rPr>
          <w:rFonts w:ascii="Arial" w:hAnsi="Arial" w:cs="Arial"/>
        </w:rPr>
      </w:pPr>
      <w:r>
        <w:rPr>
          <w:rFonts w:ascii="Arial" w:hAnsi="Arial" w:cs="Arial"/>
        </w:rPr>
        <w:t xml:space="preserve">Papyrus Insinger also states that beautiful women are also dangerous, and may harm a man </w:t>
      </w:r>
      <w:r w:rsidR="00584E45">
        <w:rPr>
          <w:rFonts w:ascii="Arial" w:hAnsi="Arial" w:cs="Arial"/>
        </w:rPr>
        <w:t xml:space="preserve">if he does </w:t>
      </w:r>
      <w:r w:rsidR="00A535B6">
        <w:rPr>
          <w:rFonts w:ascii="Arial" w:hAnsi="Arial" w:cs="Arial"/>
        </w:rPr>
        <w:t>not show a level of superiority (See A1.7)</w:t>
      </w:r>
      <w:r>
        <w:rPr>
          <w:rFonts w:ascii="Arial" w:hAnsi="Arial" w:cs="Arial"/>
        </w:rPr>
        <w:t>.</w:t>
      </w:r>
      <w:r w:rsidR="00A535B6">
        <w:rPr>
          <w:rFonts w:ascii="Arial" w:hAnsi="Arial" w:cs="Arial"/>
        </w:rPr>
        <w:t xml:space="preserve"> </w:t>
      </w:r>
      <w:r w:rsidR="00584E45">
        <w:rPr>
          <w:rFonts w:ascii="Arial" w:hAnsi="Arial" w:cs="Arial"/>
        </w:rPr>
        <w:t>The fact that here, beau</w:t>
      </w:r>
      <w:r w:rsidR="000B54B5">
        <w:rPr>
          <w:rFonts w:ascii="Arial" w:hAnsi="Arial" w:cs="Arial"/>
        </w:rPr>
        <w:t>tiful women are shamed is</w:t>
      </w:r>
      <w:r w:rsidR="00584E45">
        <w:rPr>
          <w:rFonts w:ascii="Arial" w:hAnsi="Arial" w:cs="Arial"/>
        </w:rPr>
        <w:t xml:space="preserve"> interesting because like many cultures, women were held to a variety of beauty standards they had to adhere to.</w:t>
      </w:r>
      <w:r w:rsidR="00584E45">
        <w:rPr>
          <w:rStyle w:val="FootnoteReference"/>
          <w:rFonts w:ascii="Arial" w:hAnsi="Arial" w:cs="Arial"/>
        </w:rPr>
        <w:footnoteReference w:id="176"/>
      </w:r>
      <w:r w:rsidR="00AC2AFC">
        <w:rPr>
          <w:rFonts w:ascii="Arial" w:hAnsi="Arial" w:cs="Arial"/>
        </w:rPr>
        <w:t xml:space="preserve"> In this case, Watterson </w:t>
      </w:r>
      <w:r w:rsidR="00584E45">
        <w:rPr>
          <w:rFonts w:ascii="Arial" w:hAnsi="Arial" w:cs="Arial"/>
        </w:rPr>
        <w:t>presents the concept that beauty and sexuality in women was only permissible when it w</w:t>
      </w:r>
      <w:r w:rsidR="005746E8">
        <w:rPr>
          <w:rFonts w:ascii="Arial" w:hAnsi="Arial" w:cs="Arial"/>
        </w:rPr>
        <w:t>as for the service for a man</w:t>
      </w:r>
      <w:r w:rsidR="00584E45">
        <w:rPr>
          <w:rFonts w:ascii="Arial" w:hAnsi="Arial" w:cs="Arial"/>
        </w:rPr>
        <w:t>.</w:t>
      </w:r>
      <w:r w:rsidR="00584E45">
        <w:rPr>
          <w:rStyle w:val="FootnoteReference"/>
          <w:rFonts w:ascii="Arial" w:hAnsi="Arial" w:cs="Arial"/>
        </w:rPr>
        <w:footnoteReference w:id="177"/>
      </w:r>
      <w:r w:rsidR="00584E45">
        <w:rPr>
          <w:rFonts w:ascii="Arial" w:hAnsi="Arial" w:cs="Arial"/>
        </w:rPr>
        <w:t xml:space="preserve"> Love poems are able to show the ideal that was expected of women: she should be slim, with a small wais</w:t>
      </w:r>
      <w:r w:rsidR="005746E8">
        <w:rPr>
          <w:rFonts w:ascii="Arial" w:hAnsi="Arial" w:cs="Arial"/>
        </w:rPr>
        <w:t xml:space="preserve">t and </w:t>
      </w:r>
      <w:r w:rsidR="005746E8">
        <w:rPr>
          <w:rFonts w:ascii="Arial" w:hAnsi="Arial" w:cs="Arial"/>
        </w:rPr>
        <w:lastRenderedPageBreak/>
        <w:t>small breasts, a long neck</w:t>
      </w:r>
      <w:r w:rsidR="00584E45">
        <w:rPr>
          <w:rFonts w:ascii="Arial" w:hAnsi="Arial" w:cs="Arial"/>
        </w:rPr>
        <w:t>, dark hair and pale skin.</w:t>
      </w:r>
      <w:r w:rsidR="00584E45">
        <w:rPr>
          <w:rStyle w:val="FootnoteReference"/>
          <w:rFonts w:ascii="Arial" w:hAnsi="Arial" w:cs="Arial"/>
        </w:rPr>
        <w:footnoteReference w:id="178"/>
      </w:r>
      <w:r w:rsidR="00E57B2F">
        <w:rPr>
          <w:rFonts w:ascii="Arial" w:hAnsi="Arial" w:cs="Arial"/>
        </w:rPr>
        <w:t xml:space="preserve"> An example of a man’s desire being expressed can be found in the Westcar Papyrus</w:t>
      </w:r>
      <w:r w:rsidR="00E57B2F">
        <w:rPr>
          <w:rStyle w:val="FootnoteReference"/>
          <w:rFonts w:ascii="Arial" w:hAnsi="Arial" w:cs="Arial"/>
        </w:rPr>
        <w:footnoteReference w:id="179"/>
      </w:r>
      <w:r w:rsidR="00E57B2F">
        <w:rPr>
          <w:rFonts w:ascii="Arial" w:hAnsi="Arial" w:cs="Arial"/>
        </w:rPr>
        <w:t xml:space="preserve"> where King Senefru reques</w:t>
      </w:r>
      <w:r w:rsidR="00A535B6">
        <w:rPr>
          <w:rFonts w:ascii="Arial" w:hAnsi="Arial" w:cs="Arial"/>
        </w:rPr>
        <w:t>ts to go on a sailing trip with a group of ‘shapely’ women who have yet to give birth, and clothed in nets</w:t>
      </w:r>
      <w:r w:rsidR="00A535B6">
        <w:rPr>
          <w:rStyle w:val="FootnoteReference"/>
          <w:rFonts w:ascii="Arial" w:hAnsi="Arial" w:cs="Arial"/>
        </w:rPr>
        <w:footnoteReference w:id="180"/>
      </w:r>
      <w:r w:rsidR="00A535B6">
        <w:rPr>
          <w:rFonts w:ascii="Arial" w:hAnsi="Arial" w:cs="Arial"/>
        </w:rPr>
        <w:t xml:space="preserve"> (See A1.8). </w:t>
      </w:r>
      <w:r w:rsidR="00223A83">
        <w:rPr>
          <w:rFonts w:ascii="Arial" w:hAnsi="Arial" w:cs="Arial"/>
        </w:rPr>
        <w:t>It was not uncommon for Kings to have harems of women who were concubines, their main role to have a sexual relationship with the Pharaoh. Lower-born women were also part of these harems, unlikely to ever take part in affairs of the state compared to the higher-born women in these groups.</w:t>
      </w:r>
      <w:r w:rsidR="00223A83">
        <w:rPr>
          <w:rStyle w:val="FootnoteReference"/>
          <w:rFonts w:ascii="Arial" w:hAnsi="Arial" w:cs="Arial"/>
        </w:rPr>
        <w:footnoteReference w:id="181"/>
      </w:r>
      <w:r w:rsidR="00223A83">
        <w:rPr>
          <w:rFonts w:ascii="Arial" w:hAnsi="Arial" w:cs="Arial"/>
        </w:rPr>
        <w:t xml:space="preserve"> Though there is very little</w:t>
      </w:r>
      <w:r w:rsidR="0032375C">
        <w:rPr>
          <w:rFonts w:ascii="Arial" w:hAnsi="Arial" w:cs="Arial"/>
        </w:rPr>
        <w:t xml:space="preserve"> to no</w:t>
      </w:r>
      <w:r w:rsidR="00223A83">
        <w:rPr>
          <w:rFonts w:ascii="Arial" w:hAnsi="Arial" w:cs="Arial"/>
        </w:rPr>
        <w:t xml:space="preserve"> evidence for prostitution in ancient Egypt, I would argue that groups such as these could be the closest thing recorded to a brothel, but only serving a single person – exchanging sexual acts for involvement in state affairs, or even </w:t>
      </w:r>
      <w:r w:rsidR="005F6EF3">
        <w:rPr>
          <w:noProof/>
          <w:lang w:eastAsia="en-GB"/>
        </w:rPr>
        <w:drawing>
          <wp:anchor distT="0" distB="0" distL="114300" distR="114300" simplePos="0" relativeHeight="251686912" behindDoc="0" locked="0" layoutInCell="1" allowOverlap="1">
            <wp:simplePos x="0" y="0"/>
            <wp:positionH relativeFrom="column">
              <wp:posOffset>1376680</wp:posOffset>
            </wp:positionH>
            <wp:positionV relativeFrom="paragraph">
              <wp:posOffset>0</wp:posOffset>
            </wp:positionV>
            <wp:extent cx="3595370" cy="1664335"/>
            <wp:effectExtent l="0" t="0" r="5080" b="0"/>
            <wp:wrapSquare wrapText="bothSides"/>
            <wp:docPr id="19" name="Picture 19" descr="File:Turin Erotic Papyr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le:Turin Erotic Papyrus.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95370" cy="1664335"/>
                    </a:xfrm>
                    <a:prstGeom prst="rect">
                      <a:avLst/>
                    </a:prstGeom>
                    <a:noFill/>
                    <a:ln>
                      <a:noFill/>
                    </a:ln>
                  </pic:spPr>
                </pic:pic>
              </a:graphicData>
            </a:graphic>
          </wp:anchor>
        </w:drawing>
      </w:r>
      <w:r w:rsidR="00223A83">
        <w:rPr>
          <w:rFonts w:ascii="Arial" w:hAnsi="Arial" w:cs="Arial"/>
        </w:rPr>
        <w:t xml:space="preserve">simply for a stable lifestyle better than what </w:t>
      </w:r>
      <w:r w:rsidR="00FB343A">
        <w:rPr>
          <w:rFonts w:ascii="Arial" w:hAnsi="Arial" w:cs="Arial"/>
        </w:rPr>
        <w:t>a lower-born woma</w:t>
      </w:r>
      <w:r w:rsidR="00223A83">
        <w:rPr>
          <w:rFonts w:ascii="Arial" w:hAnsi="Arial" w:cs="Arial"/>
        </w:rPr>
        <w:t xml:space="preserve">n </w:t>
      </w:r>
      <w:r w:rsidR="0075037D" w:rsidRPr="00575D4D">
        <w:rPr>
          <w:rFonts w:ascii="Arial" w:hAnsi="Arial" w:cs="Arial"/>
          <w:noProof/>
          <w:lang w:eastAsia="en-GB"/>
        </w:rPr>
        <mc:AlternateContent>
          <mc:Choice Requires="wps">
            <w:drawing>
              <wp:anchor distT="45720" distB="45720" distL="114300" distR="114300" simplePos="0" relativeHeight="251688960" behindDoc="0" locked="0" layoutInCell="1" allowOverlap="1" wp14:anchorId="45BADC6F" wp14:editId="2CA7604C">
                <wp:simplePos x="0" y="0"/>
                <wp:positionH relativeFrom="column">
                  <wp:posOffset>1382395</wp:posOffset>
                </wp:positionH>
                <wp:positionV relativeFrom="page">
                  <wp:posOffset>2651760</wp:posOffset>
                </wp:positionV>
                <wp:extent cx="3595370" cy="467360"/>
                <wp:effectExtent l="0" t="0" r="24130" b="279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5370" cy="467360"/>
                        </a:xfrm>
                        <a:prstGeom prst="rect">
                          <a:avLst/>
                        </a:prstGeom>
                        <a:solidFill>
                          <a:srgbClr val="FFFFFF"/>
                        </a:solidFill>
                        <a:ln w="9525">
                          <a:solidFill>
                            <a:srgbClr val="000000"/>
                          </a:solidFill>
                          <a:miter lim="800000"/>
                          <a:headEnd/>
                          <a:tailEnd/>
                        </a:ln>
                      </wps:spPr>
                      <wps:txbx>
                        <w:txbxContent>
                          <w:p w:rsidR="00FB2511" w:rsidRPr="00575D4D" w:rsidRDefault="00FB2511" w:rsidP="00E57B2F">
                            <w:pPr>
                              <w:jc w:val="center"/>
                              <w:rPr>
                                <w:rFonts w:ascii="Arial" w:hAnsi="Arial" w:cs="Arial"/>
                              </w:rPr>
                            </w:pPr>
                            <w:r>
                              <w:rPr>
                                <w:rFonts w:ascii="Arial" w:hAnsi="Arial" w:cs="Arial"/>
                              </w:rPr>
                              <w:t>Fig. 12: Turin Erotic Papyrus, Robert Nieslen, 2015, Turin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ADC6F" id="_x0000_s1038" type="#_x0000_t202" style="position:absolute;margin-left:108.85pt;margin-top:208.8pt;width:283.1pt;height:36.8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">
                <v:textbox>
                  <w:txbxContent>
                    <w:p w:rsidR="00FB2511" w:rsidRPr="00575D4D" w:rsidRDefault="00FB2511" w:rsidP="00E57B2F">
                      <w:pPr>
                        <w:jc w:val="center"/>
                        <w:rPr>
                          <w:rFonts w:ascii="Arial" w:hAnsi="Arial" w:cs="Arial"/>
                        </w:rPr>
                      </w:pPr>
                      <w:r>
                        <w:rPr>
                          <w:rFonts w:ascii="Arial" w:hAnsi="Arial" w:cs="Arial"/>
                        </w:rPr>
                        <w:t>Fig. 12: Turin Erotic Papyrus, Robert Nieslen, 2015, Turin</w:t>
                      </w:r>
                    </w:p>
                  </w:txbxContent>
                </v:textbox>
                <w10:wrap type="square" anchory="page"/>
              </v:shape>
            </w:pict>
          </mc:Fallback>
        </mc:AlternateContent>
      </w:r>
      <w:r w:rsidR="00223A83">
        <w:rPr>
          <w:rFonts w:ascii="Arial" w:hAnsi="Arial" w:cs="Arial"/>
        </w:rPr>
        <w:t>wo</w:t>
      </w:r>
      <w:r w:rsidR="000B54B5">
        <w:rPr>
          <w:rFonts w:ascii="Arial" w:hAnsi="Arial" w:cs="Arial"/>
        </w:rPr>
        <w:t xml:space="preserve">uld be able to achieve on her </w:t>
      </w:r>
      <w:r w:rsidR="00223A83">
        <w:rPr>
          <w:rFonts w:ascii="Arial" w:hAnsi="Arial" w:cs="Arial"/>
        </w:rPr>
        <w:t xml:space="preserve">own. </w:t>
      </w:r>
      <w:r w:rsidR="00E57B2F">
        <w:rPr>
          <w:rFonts w:ascii="Arial" w:hAnsi="Arial" w:cs="Arial"/>
        </w:rPr>
        <w:t>Perhaps a more extreme version of the reality of men’s desire in Ancient Egypt can be found in the Turin Erotic Papyrus</w:t>
      </w:r>
      <w:r w:rsidR="004063F9">
        <w:rPr>
          <w:rFonts w:ascii="Arial" w:hAnsi="Arial" w:cs="Arial"/>
        </w:rPr>
        <w:t xml:space="preserve"> (See Fig.12</w:t>
      </w:r>
      <w:r w:rsidR="00DE3505">
        <w:rPr>
          <w:rFonts w:ascii="Arial" w:hAnsi="Arial" w:cs="Arial"/>
        </w:rPr>
        <w:t>)</w:t>
      </w:r>
      <w:r w:rsidR="00E57B2F">
        <w:rPr>
          <w:rFonts w:ascii="Arial" w:hAnsi="Arial" w:cs="Arial"/>
        </w:rPr>
        <w:t>.</w:t>
      </w:r>
      <w:r w:rsidR="00E57B2F">
        <w:rPr>
          <w:rStyle w:val="FootnoteReference"/>
          <w:rFonts w:ascii="Arial" w:hAnsi="Arial" w:cs="Arial"/>
        </w:rPr>
        <w:footnoteReference w:id="182"/>
      </w:r>
      <w:r w:rsidR="00FD24B0">
        <w:rPr>
          <w:rFonts w:ascii="Arial" w:hAnsi="Arial" w:cs="Arial"/>
        </w:rPr>
        <w:t xml:space="preserve"> Here, young</w:t>
      </w:r>
      <w:r w:rsidR="005746E8">
        <w:rPr>
          <w:rFonts w:ascii="Arial" w:hAnsi="Arial" w:cs="Arial"/>
        </w:rPr>
        <w:t xml:space="preserve"> women </w:t>
      </w:r>
      <w:r w:rsidR="00E57B2F">
        <w:rPr>
          <w:rFonts w:ascii="Arial" w:hAnsi="Arial" w:cs="Arial"/>
        </w:rPr>
        <w:t>are shown participating in erotic scenes.</w:t>
      </w:r>
      <w:r w:rsidR="00E57B2F" w:rsidRPr="00E57B2F">
        <w:t xml:space="preserve"> </w:t>
      </w:r>
      <w:r w:rsidR="00E57B2F">
        <w:rPr>
          <w:rFonts w:ascii="Arial" w:hAnsi="Arial" w:cs="Arial"/>
        </w:rPr>
        <w:t xml:space="preserve"> The men in the papyrus have enlarged </w:t>
      </w:r>
      <w:r w:rsidR="00E57B2F">
        <w:rPr>
          <w:rFonts w:ascii="Arial" w:hAnsi="Arial" w:cs="Arial"/>
        </w:rPr>
        <w:lastRenderedPageBreak/>
        <w:t xml:space="preserve">genitals and are depicted to be bald, and generally seem to be older </w:t>
      </w:r>
      <w:r w:rsidR="00196E49">
        <w:rPr>
          <w:rFonts w:ascii="Arial" w:hAnsi="Arial" w:cs="Arial"/>
        </w:rPr>
        <w:t>and more unkempt than the women</w:t>
      </w:r>
      <w:r w:rsidR="00E57B2F">
        <w:rPr>
          <w:rFonts w:ascii="Arial" w:hAnsi="Arial" w:cs="Arial"/>
        </w:rPr>
        <w:t>. The women are young, elegant, and naked apart from jewellery, flowers and girdles.</w:t>
      </w:r>
      <w:r w:rsidR="00E57B2F">
        <w:rPr>
          <w:rStyle w:val="FootnoteReference"/>
          <w:rFonts w:ascii="Arial" w:hAnsi="Arial" w:cs="Arial"/>
        </w:rPr>
        <w:footnoteReference w:id="183"/>
      </w:r>
      <w:r w:rsidR="00E57B2F">
        <w:rPr>
          <w:rFonts w:ascii="Arial" w:hAnsi="Arial" w:cs="Arial"/>
        </w:rPr>
        <w:t xml:space="preserve"> Though this is in no way thought to be an everyday norm, it does reflect in the concept that women’s sexuality and beauty</w:t>
      </w:r>
      <w:r w:rsidR="00196E49">
        <w:rPr>
          <w:rFonts w:ascii="Arial" w:hAnsi="Arial" w:cs="Arial"/>
        </w:rPr>
        <w:t xml:space="preserve"> are</w:t>
      </w:r>
      <w:r w:rsidR="00E57B2F">
        <w:rPr>
          <w:rFonts w:ascii="Arial" w:hAnsi="Arial" w:cs="Arial"/>
        </w:rPr>
        <w:t xml:space="preserve"> only acceptable when it is for the pleasure of men. </w:t>
      </w:r>
      <w:r w:rsidR="00DE3505">
        <w:rPr>
          <w:rFonts w:ascii="Arial" w:hAnsi="Arial" w:cs="Arial"/>
        </w:rPr>
        <w:t>We have no examples of how women viewed their own sexuality, seeing as all of the data we have has been recorded by men, for men.</w:t>
      </w:r>
      <w:r w:rsidR="00F1599A">
        <w:rPr>
          <w:rStyle w:val="FootnoteReference"/>
          <w:rFonts w:ascii="Arial" w:hAnsi="Arial" w:cs="Arial"/>
        </w:rPr>
        <w:footnoteReference w:id="184"/>
      </w:r>
      <w:r w:rsidR="00DE3505">
        <w:rPr>
          <w:rFonts w:ascii="Arial" w:hAnsi="Arial" w:cs="Arial"/>
        </w:rPr>
        <w:t xml:space="preserve"> The closest we have is a male interpretation of what it is thought women desired, the Tale of the Two Brothers describing muscular males as having the ability to encourage a woman’s desire.</w:t>
      </w:r>
      <w:r w:rsidR="00DE3505">
        <w:rPr>
          <w:rStyle w:val="FootnoteReference"/>
          <w:rFonts w:ascii="Arial" w:hAnsi="Arial" w:cs="Arial"/>
        </w:rPr>
        <w:footnoteReference w:id="185"/>
      </w:r>
      <w:r w:rsidR="00DE3505">
        <w:rPr>
          <w:rFonts w:ascii="Arial" w:hAnsi="Arial" w:cs="Arial"/>
        </w:rPr>
        <w:t xml:space="preserve"> In the Erotic Papyrus, a scene shows what appears to be a woman mocking an exhausted man who is crawling away from the bed. This perhaps could be a reflection of a male fear of </w:t>
      </w:r>
      <w:r w:rsidR="00066B73">
        <w:rPr>
          <w:rFonts w:ascii="Arial" w:hAnsi="Arial" w:cs="Arial"/>
        </w:rPr>
        <w:t xml:space="preserve">female </w:t>
      </w:r>
      <w:r w:rsidR="00DE3505">
        <w:rPr>
          <w:rFonts w:ascii="Arial" w:hAnsi="Arial" w:cs="Arial"/>
        </w:rPr>
        <w:t>sexuality; a woman mocking the man’</w:t>
      </w:r>
      <w:r w:rsidR="00196E49">
        <w:rPr>
          <w:rFonts w:ascii="Arial" w:hAnsi="Arial" w:cs="Arial"/>
        </w:rPr>
        <w:t>s sexual stamina</w:t>
      </w:r>
      <w:r w:rsidR="00DE3505">
        <w:rPr>
          <w:rFonts w:ascii="Arial" w:hAnsi="Arial" w:cs="Arial"/>
        </w:rPr>
        <w:t xml:space="preserve"> in comparison to her own.</w:t>
      </w:r>
      <w:r w:rsidR="00DE3505">
        <w:rPr>
          <w:rStyle w:val="FootnoteReference"/>
          <w:rFonts w:ascii="Arial" w:hAnsi="Arial" w:cs="Arial"/>
        </w:rPr>
        <w:footnoteReference w:id="186"/>
      </w:r>
      <w:r w:rsidR="00625365">
        <w:rPr>
          <w:rFonts w:ascii="Arial" w:hAnsi="Arial" w:cs="Arial"/>
        </w:rPr>
        <w:br/>
      </w:r>
      <w:r w:rsidR="00066B73">
        <w:rPr>
          <w:rFonts w:ascii="Arial" w:hAnsi="Arial" w:cs="Arial"/>
        </w:rPr>
        <w:t>Although</w:t>
      </w:r>
      <w:r w:rsidR="00625365">
        <w:rPr>
          <w:rFonts w:ascii="Arial" w:hAnsi="Arial" w:cs="Arial"/>
        </w:rPr>
        <w:t xml:space="preserve"> women’s se</w:t>
      </w:r>
      <w:r w:rsidR="007F3B06">
        <w:rPr>
          <w:rFonts w:ascii="Arial" w:hAnsi="Arial" w:cs="Arial"/>
        </w:rPr>
        <w:t xml:space="preserve">xuality was feared, this did not </w:t>
      </w:r>
      <w:r w:rsidR="00625365">
        <w:rPr>
          <w:rFonts w:ascii="Arial" w:hAnsi="Arial" w:cs="Arial"/>
        </w:rPr>
        <w:t>mean that the representations ruled out depicting wom</w:t>
      </w:r>
      <w:r w:rsidR="00066B73">
        <w:rPr>
          <w:rFonts w:ascii="Arial" w:hAnsi="Arial" w:cs="Arial"/>
        </w:rPr>
        <w:t xml:space="preserve">en’s sexuality overall. </w:t>
      </w:r>
      <w:r w:rsidR="00F04346">
        <w:rPr>
          <w:rFonts w:ascii="Arial" w:hAnsi="Arial" w:cs="Arial"/>
        </w:rPr>
        <w:t>Common</w:t>
      </w:r>
      <w:r w:rsidR="00066B73">
        <w:rPr>
          <w:rFonts w:ascii="Arial" w:hAnsi="Arial" w:cs="Arial"/>
        </w:rPr>
        <w:t xml:space="preserve"> s</w:t>
      </w:r>
      <w:r w:rsidR="00625365">
        <w:rPr>
          <w:rFonts w:ascii="Arial" w:hAnsi="Arial" w:cs="Arial"/>
        </w:rPr>
        <w:t xml:space="preserve">exuality was nowhere near as explicit as it is in the Erotic Papyrus, </w:t>
      </w:r>
      <w:r w:rsidR="00F04346">
        <w:rPr>
          <w:rFonts w:ascii="Arial" w:hAnsi="Arial" w:cs="Arial"/>
        </w:rPr>
        <w:t xml:space="preserve">yet </w:t>
      </w:r>
      <w:r w:rsidR="00625365">
        <w:rPr>
          <w:rFonts w:ascii="Arial" w:hAnsi="Arial" w:cs="Arial"/>
        </w:rPr>
        <w:t>many simple things had erotic associations, such as the wig</w:t>
      </w:r>
      <w:r w:rsidR="00CE20EF">
        <w:rPr>
          <w:rFonts w:ascii="Arial" w:hAnsi="Arial" w:cs="Arial"/>
        </w:rPr>
        <w:t xml:space="preserve"> (the female wig is the only one that </w:t>
      </w:r>
      <w:r w:rsidR="000B54B5">
        <w:rPr>
          <w:rFonts w:ascii="Arial" w:hAnsi="Arial" w:cs="Arial"/>
        </w:rPr>
        <w:t>is viewed as erotic, the male wig is not.</w:t>
      </w:r>
      <w:r w:rsidR="00CE20EF">
        <w:rPr>
          <w:rStyle w:val="FootnoteReference"/>
          <w:rFonts w:ascii="Arial" w:hAnsi="Arial" w:cs="Arial"/>
        </w:rPr>
        <w:footnoteReference w:id="187"/>
      </w:r>
      <w:r w:rsidR="00CE20EF">
        <w:rPr>
          <w:rFonts w:ascii="Arial" w:hAnsi="Arial" w:cs="Arial"/>
        </w:rPr>
        <w:t>)</w:t>
      </w:r>
      <w:r w:rsidR="00AC2AFC">
        <w:rPr>
          <w:rFonts w:ascii="Arial" w:hAnsi="Arial" w:cs="Arial"/>
        </w:rPr>
        <w:t>, Watterson believing</w:t>
      </w:r>
      <w:r w:rsidR="00625365">
        <w:rPr>
          <w:rFonts w:ascii="Arial" w:hAnsi="Arial" w:cs="Arial"/>
        </w:rPr>
        <w:t xml:space="preserve"> the case to be the same for animals – the monkey, the duck, and the goose.</w:t>
      </w:r>
      <w:r w:rsidR="00625365" w:rsidRPr="00625365">
        <w:rPr>
          <w:rStyle w:val="FootnoteReference"/>
          <w:rFonts w:ascii="Arial" w:hAnsi="Arial" w:cs="Arial"/>
        </w:rPr>
        <w:t xml:space="preserve"> </w:t>
      </w:r>
      <w:r w:rsidR="00625365">
        <w:rPr>
          <w:rStyle w:val="FootnoteReference"/>
          <w:rFonts w:ascii="Arial" w:hAnsi="Arial" w:cs="Arial"/>
        </w:rPr>
        <w:footnoteReference w:id="188"/>
      </w:r>
      <w:r w:rsidR="00625365">
        <w:rPr>
          <w:rFonts w:ascii="Arial" w:hAnsi="Arial" w:cs="Arial"/>
        </w:rPr>
        <w:t xml:space="preserve"> An example of these signifiers can be found on an eighteenth dynasty relief from the tomb of Nebamun, a Theban </w:t>
      </w:r>
      <w:r w:rsidR="00625365">
        <w:rPr>
          <w:rFonts w:ascii="Arial" w:hAnsi="Arial" w:cs="Arial"/>
        </w:rPr>
        <w:lastRenderedPageBreak/>
        <w:t xml:space="preserve">nobleman (See Fig. 13). Here, he is shown hunting with his wife and daughter. His wife stands behind him, wearing a heavy wig, and holding a sistrum (Music also sometimes being seen as a sexual signifier). Around the image are examples of birds thought to have sexual significance – ducks </w:t>
      </w:r>
      <w:r w:rsidR="00101577">
        <w:rPr>
          <w:rFonts w:ascii="Arial" w:hAnsi="Arial" w:cs="Arial"/>
        </w:rPr>
        <w:t>and geese.</w:t>
      </w:r>
      <w:r w:rsidR="00101577">
        <w:rPr>
          <w:rStyle w:val="FootnoteReference"/>
          <w:rFonts w:ascii="Arial" w:hAnsi="Arial" w:cs="Arial"/>
        </w:rPr>
        <w:footnoteReference w:id="189"/>
      </w:r>
      <w:r w:rsidR="00101577">
        <w:rPr>
          <w:rFonts w:ascii="Arial" w:hAnsi="Arial" w:cs="Arial"/>
        </w:rPr>
        <w:t xml:space="preserve"> Because scenes such as these are not explicitly sexual, they allow the owner of the tomb to have some indication to sexuality whilst keeping in </w:t>
      </w:r>
      <w:r w:rsidR="000B54B5">
        <w:rPr>
          <w:rFonts w:ascii="Arial" w:hAnsi="Arial" w:cs="Arial"/>
        </w:rPr>
        <w:t>line with the conventions of tomb</w:t>
      </w:r>
      <w:r w:rsidR="00101577">
        <w:rPr>
          <w:rFonts w:ascii="Arial" w:hAnsi="Arial" w:cs="Arial"/>
        </w:rPr>
        <w:t xml:space="preserve"> art.  </w:t>
      </w:r>
      <w:r w:rsidR="000B54B5">
        <w:rPr>
          <w:rFonts w:ascii="Arial" w:hAnsi="Arial" w:cs="Arial"/>
        </w:rPr>
        <w:t xml:space="preserve">Though, these representations are not always positive for the woman. Her husband uses her </w:t>
      </w:r>
      <w:r w:rsidR="00711126">
        <w:rPr>
          <w:rFonts w:ascii="Arial" w:hAnsi="Arial" w:cs="Arial"/>
        </w:rPr>
        <w:t xml:space="preserve">sexuality and the fact that he ‘has it under control’ </w:t>
      </w:r>
      <w:r w:rsidR="000B54B5">
        <w:rPr>
          <w:rFonts w:ascii="Arial" w:hAnsi="Arial" w:cs="Arial"/>
        </w:rPr>
        <w:t>for his own gain, to increase his personal prestige</w:t>
      </w:r>
      <w:r w:rsidR="00101577">
        <w:rPr>
          <w:rFonts w:ascii="Arial" w:hAnsi="Arial" w:cs="Arial"/>
        </w:rPr>
        <w:t>.</w:t>
      </w:r>
      <w:r w:rsidR="00101577">
        <w:rPr>
          <w:rStyle w:val="FootnoteReference"/>
          <w:rFonts w:ascii="Arial" w:hAnsi="Arial" w:cs="Arial"/>
        </w:rPr>
        <w:footnoteReference w:id="190"/>
      </w:r>
      <w:r w:rsidR="00101577">
        <w:rPr>
          <w:rFonts w:ascii="Arial" w:hAnsi="Arial" w:cs="Arial"/>
        </w:rPr>
        <w:t xml:space="preserve"> Her sexuality is not her own, but something for</w:t>
      </w:r>
      <w:r w:rsidR="000B54B5">
        <w:rPr>
          <w:rFonts w:ascii="Arial" w:hAnsi="Arial" w:cs="Arial"/>
        </w:rPr>
        <w:t xml:space="preserve"> the use of</w:t>
      </w:r>
      <w:r w:rsidR="00101577">
        <w:rPr>
          <w:rFonts w:ascii="Arial" w:hAnsi="Arial" w:cs="Arial"/>
        </w:rPr>
        <w:t xml:space="preserve"> her husband. </w:t>
      </w:r>
      <w:r w:rsidR="00CE20EF">
        <w:rPr>
          <w:rFonts w:ascii="Arial" w:hAnsi="Arial" w:cs="Arial"/>
        </w:rPr>
        <w:br/>
        <w:t xml:space="preserve">In the homes of ancient Egyptians, items associated with sexuality or fertility were not hidden, but celebrated, often being put on display for </w:t>
      </w:r>
      <w:r w:rsidR="00F04346">
        <w:rPr>
          <w:noProof/>
          <w:lang w:eastAsia="en-GB"/>
        </w:rPr>
        <w:drawing>
          <wp:anchor distT="0" distB="0" distL="114300" distR="114300" simplePos="0" relativeHeight="251696128" behindDoc="0" locked="0" layoutInCell="1" allowOverlap="1">
            <wp:simplePos x="0" y="0"/>
            <wp:positionH relativeFrom="column">
              <wp:posOffset>2438400</wp:posOffset>
            </wp:positionH>
            <wp:positionV relativeFrom="paragraph">
              <wp:posOffset>4760595</wp:posOffset>
            </wp:positionV>
            <wp:extent cx="2524125" cy="2524125"/>
            <wp:effectExtent l="0" t="0" r="9525" b="9525"/>
            <wp:wrapSquare wrapText="bothSides"/>
            <wp:docPr id="24" name="Picture 24" descr="Nebamun hunting in the marshes, fragment of a scene from the tomb-chapel of Nebamun, around 1350 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bamun hunting in the marshes, fragment of a scene from the tomb-chapel of Nebamun, around 1350 BC"/>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24125" cy="2524125"/>
                    </a:xfrm>
                    <a:prstGeom prst="rect">
                      <a:avLst/>
                    </a:prstGeom>
                    <a:noFill/>
                    <a:ln>
                      <a:noFill/>
                    </a:ln>
                  </pic:spPr>
                </pic:pic>
              </a:graphicData>
            </a:graphic>
          </wp:anchor>
        </w:drawing>
      </w:r>
      <w:r w:rsidR="00CE20EF">
        <w:rPr>
          <w:rFonts w:ascii="Arial" w:hAnsi="Arial" w:cs="Arial"/>
        </w:rPr>
        <w:t>visitors to the homes to see.</w:t>
      </w:r>
      <w:r w:rsidR="00CE20EF">
        <w:rPr>
          <w:rStyle w:val="FootnoteReference"/>
          <w:rFonts w:ascii="Arial" w:hAnsi="Arial" w:cs="Arial"/>
        </w:rPr>
        <w:footnoteReference w:id="191"/>
      </w:r>
      <w:r w:rsidR="00CE20EF">
        <w:rPr>
          <w:rFonts w:ascii="Arial" w:hAnsi="Arial" w:cs="Arial"/>
        </w:rPr>
        <w:t xml:space="preserve"> Examples of Ostraca have even been found in homes, depictions of sexual acts being drawn upon them.</w:t>
      </w:r>
      <w:r w:rsidR="00CE20EF">
        <w:rPr>
          <w:rStyle w:val="FootnoteReference"/>
          <w:rFonts w:ascii="Arial" w:hAnsi="Arial" w:cs="Arial"/>
        </w:rPr>
        <w:footnoteReference w:id="192"/>
      </w:r>
      <w:r w:rsidR="00CE20EF">
        <w:rPr>
          <w:rFonts w:ascii="Arial" w:hAnsi="Arial" w:cs="Arial"/>
        </w:rPr>
        <w:t xml:space="preserve"> Though this makes it seem that though sexuality was often celebrated, this does not mean that every sexual act th</w:t>
      </w:r>
      <w:r w:rsidR="00FD24B0">
        <w:rPr>
          <w:rFonts w:ascii="Arial" w:hAnsi="Arial" w:cs="Arial"/>
        </w:rPr>
        <w:t xml:space="preserve">at </w:t>
      </w:r>
      <w:r w:rsidR="00F04346" w:rsidRPr="00575D4D">
        <w:rPr>
          <w:rFonts w:ascii="Arial" w:hAnsi="Arial" w:cs="Arial"/>
          <w:noProof/>
          <w:lang w:eastAsia="en-GB"/>
        </w:rPr>
        <mc:AlternateContent>
          <mc:Choice Requires="wps">
            <w:drawing>
              <wp:anchor distT="45720" distB="45720" distL="114300" distR="114300" simplePos="0" relativeHeight="251698176" behindDoc="0" locked="0" layoutInCell="1" allowOverlap="1" wp14:anchorId="3563A025" wp14:editId="4A037997">
                <wp:simplePos x="0" y="0"/>
                <wp:positionH relativeFrom="column">
                  <wp:posOffset>2455545</wp:posOffset>
                </wp:positionH>
                <wp:positionV relativeFrom="page">
                  <wp:posOffset>8143875</wp:posOffset>
                </wp:positionV>
                <wp:extent cx="2524125" cy="657225"/>
                <wp:effectExtent l="0" t="0" r="28575"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4125" cy="657225"/>
                        </a:xfrm>
                        <a:prstGeom prst="rect">
                          <a:avLst/>
                        </a:prstGeom>
                        <a:solidFill>
                          <a:srgbClr val="FFFFFF"/>
                        </a:solidFill>
                        <a:ln w="9525">
                          <a:solidFill>
                            <a:srgbClr val="000000"/>
                          </a:solidFill>
                          <a:miter lim="800000"/>
                          <a:headEnd/>
                          <a:tailEnd/>
                        </a:ln>
                      </wps:spPr>
                      <wps:txbx>
                        <w:txbxContent>
                          <w:p w:rsidR="00FB2511" w:rsidRDefault="00FB2511" w:rsidP="00625365">
                            <w:pPr>
                              <w:jc w:val="center"/>
                              <w:rPr>
                                <w:rFonts w:ascii="Arial" w:hAnsi="Arial" w:cs="Arial"/>
                              </w:rPr>
                            </w:pPr>
                            <w:r>
                              <w:rPr>
                                <w:rFonts w:ascii="Arial" w:hAnsi="Arial" w:cs="Arial"/>
                              </w:rPr>
                              <w:t>Fig. 13: Nebamun hunting in the Marshes, © the Trustees of the British Museum, 2017, London</w:t>
                            </w:r>
                          </w:p>
                          <w:p w:rsidR="00FB2511" w:rsidRPr="00575D4D" w:rsidRDefault="00FB2511" w:rsidP="00625365">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3A025" id="_x0000_s1039" type="#_x0000_t202" style="position:absolute;margin-left:193.35pt;margin-top:641.25pt;width:198.75pt;height:51.7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">
                <v:textbox>
                  <w:txbxContent>
                    <w:p w:rsidR="00FB2511" w:rsidRDefault="00FB2511" w:rsidP="00625365">
                      <w:pPr>
                        <w:jc w:val="center"/>
                        <w:rPr>
                          <w:rFonts w:ascii="Arial" w:hAnsi="Arial" w:cs="Arial"/>
                        </w:rPr>
                      </w:pPr>
                      <w:r>
                        <w:rPr>
                          <w:rFonts w:ascii="Arial" w:hAnsi="Arial" w:cs="Arial"/>
                        </w:rPr>
                        <w:t>Fig. 13: Nebamun hunting in the Marshes, © the Trustees of the British Museum, 2017, London</w:t>
                      </w:r>
                    </w:p>
                    <w:p w:rsidR="00FB2511" w:rsidRPr="00575D4D" w:rsidRDefault="00FB2511" w:rsidP="00625365">
                      <w:pPr>
                        <w:rPr>
                          <w:rFonts w:ascii="Arial" w:hAnsi="Arial" w:cs="Arial"/>
                        </w:rPr>
                      </w:pPr>
                    </w:p>
                  </w:txbxContent>
                </v:textbox>
                <w10:wrap type="square" anchory="page"/>
              </v:shape>
            </w:pict>
          </mc:Fallback>
        </mc:AlternateContent>
      </w:r>
      <w:r w:rsidR="00FD24B0">
        <w:rPr>
          <w:rFonts w:ascii="Arial" w:hAnsi="Arial" w:cs="Arial"/>
        </w:rPr>
        <w:t>we have seen depicted was</w:t>
      </w:r>
      <w:r w:rsidR="00CE20EF">
        <w:rPr>
          <w:rFonts w:ascii="Arial" w:hAnsi="Arial" w:cs="Arial"/>
        </w:rPr>
        <w:t xml:space="preserve"> appropriate</w:t>
      </w:r>
      <w:r w:rsidR="00FD24B0">
        <w:rPr>
          <w:rFonts w:ascii="Arial" w:hAnsi="Arial" w:cs="Arial"/>
        </w:rPr>
        <w:t xml:space="preserve"> and</w:t>
      </w:r>
      <w:r w:rsidR="00CE20EF">
        <w:rPr>
          <w:rFonts w:ascii="Arial" w:hAnsi="Arial" w:cs="Arial"/>
        </w:rPr>
        <w:t xml:space="preserve"> represented in the </w:t>
      </w:r>
      <w:r w:rsidR="00CE20EF">
        <w:rPr>
          <w:rFonts w:ascii="Arial" w:hAnsi="Arial" w:cs="Arial"/>
        </w:rPr>
        <w:lastRenderedPageBreak/>
        <w:t>home.</w:t>
      </w:r>
      <w:r w:rsidR="00CE20EF">
        <w:rPr>
          <w:rStyle w:val="FootnoteReference"/>
          <w:rFonts w:ascii="Arial" w:hAnsi="Arial" w:cs="Arial"/>
        </w:rPr>
        <w:footnoteReference w:id="193"/>
      </w:r>
      <w:r w:rsidR="000B54B5">
        <w:rPr>
          <w:rFonts w:ascii="Arial" w:hAnsi="Arial" w:cs="Arial"/>
        </w:rPr>
        <w:t xml:space="preserve"> </w:t>
      </w:r>
      <w:r w:rsidR="000B54B5">
        <w:rPr>
          <w:rFonts w:ascii="Arial" w:hAnsi="Arial" w:cs="Arial"/>
        </w:rPr>
        <w:br/>
        <w:t>And thus, here it is shown that even though female sexuality was not hidden in ancient Egypt, it was still demonised unless controlled by a man.</w:t>
      </w:r>
    </w:p>
    <w:p w:rsidR="005746E8" w:rsidRDefault="00F1599A">
      <w:pPr>
        <w:spacing w:line="480" w:lineRule="auto"/>
        <w:ind w:right="95"/>
        <w:rPr>
          <w:rFonts w:ascii="Arial" w:hAnsi="Arial" w:cs="Arial"/>
        </w:rPr>
      </w:pPr>
      <w:r>
        <w:rPr>
          <w:rFonts w:ascii="Arial" w:hAnsi="Arial" w:cs="Arial"/>
        </w:rPr>
        <w:t>In the modern world, women have been incredibly over</w:t>
      </w:r>
      <w:r w:rsidR="00FB343A">
        <w:rPr>
          <w:rFonts w:ascii="Arial" w:hAnsi="Arial" w:cs="Arial"/>
        </w:rPr>
        <w:t>sexualised in western</w:t>
      </w:r>
      <w:r w:rsidR="00AC2AFC">
        <w:rPr>
          <w:rFonts w:ascii="Arial" w:hAnsi="Arial" w:cs="Arial"/>
        </w:rPr>
        <w:t xml:space="preserve"> media. Ringrose and Renold state that </w:t>
      </w:r>
      <w:r>
        <w:rPr>
          <w:rFonts w:ascii="Arial" w:hAnsi="Arial" w:cs="Arial"/>
        </w:rPr>
        <w:t>the female body is believed to be a tool of seduction.</w:t>
      </w:r>
      <w:r>
        <w:rPr>
          <w:rStyle w:val="FootnoteReference"/>
          <w:rFonts w:ascii="Arial" w:hAnsi="Arial" w:cs="Arial"/>
        </w:rPr>
        <w:footnoteReference w:id="194"/>
      </w:r>
      <w:r>
        <w:rPr>
          <w:rFonts w:ascii="Arial" w:hAnsi="Arial" w:cs="Arial"/>
        </w:rPr>
        <w:t xml:space="preserve"> Designer modelling images in glossy magazines have introduced something of an impossible ideal standard,</w:t>
      </w:r>
      <w:r>
        <w:rPr>
          <w:rStyle w:val="FootnoteReference"/>
          <w:rFonts w:ascii="Arial" w:hAnsi="Arial" w:cs="Arial"/>
        </w:rPr>
        <w:footnoteReference w:id="195"/>
      </w:r>
      <w:r>
        <w:rPr>
          <w:rFonts w:ascii="Arial" w:hAnsi="Arial" w:cs="Arial"/>
        </w:rPr>
        <w:t xml:space="preserve"> similar to the idealised images that are seen in the tombs of ancient Egypt.</w:t>
      </w:r>
      <w:r>
        <w:rPr>
          <w:rStyle w:val="FootnoteReference"/>
          <w:rFonts w:ascii="Arial" w:hAnsi="Arial" w:cs="Arial"/>
        </w:rPr>
        <w:footnoteReference w:id="196"/>
      </w:r>
      <w:r>
        <w:rPr>
          <w:rFonts w:ascii="Arial" w:hAnsi="Arial" w:cs="Arial"/>
        </w:rPr>
        <w:t xml:space="preserve"> </w:t>
      </w:r>
      <w:r w:rsidR="001A2B38">
        <w:rPr>
          <w:rFonts w:ascii="Arial" w:hAnsi="Arial" w:cs="Arial"/>
        </w:rPr>
        <w:t>Women are pressured to dress and groom themselves in ways to attract men,</w:t>
      </w:r>
      <w:r w:rsidR="001A2B38">
        <w:rPr>
          <w:rStyle w:val="FootnoteReference"/>
          <w:rFonts w:ascii="Arial" w:hAnsi="Arial" w:cs="Arial"/>
        </w:rPr>
        <w:footnoteReference w:id="197"/>
      </w:r>
      <w:r w:rsidR="001A2B38">
        <w:rPr>
          <w:rFonts w:ascii="Arial" w:hAnsi="Arial" w:cs="Arial"/>
        </w:rPr>
        <w:t xml:space="preserve"> yet </w:t>
      </w:r>
      <w:r>
        <w:rPr>
          <w:rFonts w:ascii="Arial" w:hAnsi="Arial" w:cs="Arial"/>
        </w:rPr>
        <w:t>are still made to feel responsible for the temptation of men, even if the advances are unsolicited.</w:t>
      </w:r>
      <w:r>
        <w:rPr>
          <w:rStyle w:val="FootnoteReference"/>
          <w:rFonts w:ascii="Arial" w:hAnsi="Arial" w:cs="Arial"/>
        </w:rPr>
        <w:footnoteReference w:id="198"/>
      </w:r>
      <w:r>
        <w:rPr>
          <w:rFonts w:ascii="Arial" w:hAnsi="Arial" w:cs="Arial"/>
        </w:rPr>
        <w:t xml:space="preserve"> This dynamic silences the sexuality of the modern woman. She ke</w:t>
      </w:r>
      <w:r w:rsidR="0032375C">
        <w:rPr>
          <w:rFonts w:ascii="Arial" w:hAnsi="Arial" w:cs="Arial"/>
        </w:rPr>
        <w:t xml:space="preserve">eps her desires quiet and tries </w:t>
      </w:r>
      <w:r>
        <w:rPr>
          <w:rFonts w:ascii="Arial" w:hAnsi="Arial" w:cs="Arial"/>
        </w:rPr>
        <w:t>to not seem desirable, often to keep herself safe.</w:t>
      </w:r>
      <w:r>
        <w:rPr>
          <w:rStyle w:val="FootnoteReference"/>
          <w:rFonts w:ascii="Arial" w:hAnsi="Arial" w:cs="Arial"/>
        </w:rPr>
        <w:footnoteReference w:id="199"/>
      </w:r>
      <w:r>
        <w:rPr>
          <w:rFonts w:ascii="Arial" w:hAnsi="Arial" w:cs="Arial"/>
        </w:rPr>
        <w:t xml:space="preserve"> Yet, when a woman does show any desire, she is judged harshly; more so than a man in her position.</w:t>
      </w:r>
      <w:r>
        <w:rPr>
          <w:rStyle w:val="FootnoteReference"/>
          <w:rFonts w:ascii="Arial" w:hAnsi="Arial" w:cs="Arial"/>
        </w:rPr>
        <w:footnoteReference w:id="200"/>
      </w:r>
      <w:r w:rsidR="00ED1B30">
        <w:rPr>
          <w:rFonts w:ascii="Arial" w:hAnsi="Arial" w:cs="Arial"/>
        </w:rPr>
        <w:t xml:space="preserve"> In the modern world, </w:t>
      </w:r>
      <w:r w:rsidR="00AC2AFC">
        <w:rPr>
          <w:rFonts w:ascii="Arial" w:hAnsi="Arial" w:cs="Arial"/>
        </w:rPr>
        <w:t xml:space="preserve">Papp, Hagerman, and Gnoleba speak of </w:t>
      </w:r>
      <w:r w:rsidR="00ED1B30">
        <w:rPr>
          <w:rFonts w:ascii="Arial" w:hAnsi="Arial" w:cs="Arial"/>
        </w:rPr>
        <w:t>slut-shaming</w:t>
      </w:r>
      <w:r w:rsidR="00196E49">
        <w:rPr>
          <w:rFonts w:ascii="Arial" w:hAnsi="Arial" w:cs="Arial"/>
        </w:rPr>
        <w:t xml:space="preserve"> (Attacking a woman’s character based upon her perceived sexual activity</w:t>
      </w:r>
      <w:r w:rsidR="00196E49">
        <w:rPr>
          <w:rStyle w:val="FootnoteReference"/>
          <w:rFonts w:ascii="Arial" w:hAnsi="Arial" w:cs="Arial"/>
        </w:rPr>
        <w:footnoteReference w:id="201"/>
      </w:r>
      <w:r w:rsidR="00196E49">
        <w:rPr>
          <w:rFonts w:ascii="Arial" w:hAnsi="Arial" w:cs="Arial"/>
        </w:rPr>
        <w:t>)</w:t>
      </w:r>
      <w:r w:rsidR="00ED1B30">
        <w:rPr>
          <w:rFonts w:ascii="Arial" w:hAnsi="Arial" w:cs="Arial"/>
        </w:rPr>
        <w:t xml:space="preserve"> </w:t>
      </w:r>
      <w:r w:rsidR="00AC2AFC">
        <w:rPr>
          <w:rFonts w:ascii="Arial" w:hAnsi="Arial" w:cs="Arial"/>
        </w:rPr>
        <w:t xml:space="preserve">and how it </w:t>
      </w:r>
      <w:r w:rsidR="00ED1B30">
        <w:rPr>
          <w:rFonts w:ascii="Arial" w:hAnsi="Arial" w:cs="Arial"/>
        </w:rPr>
        <w:t xml:space="preserve">is almost an epidemic, used internally by many women attempting to exemplify themselves as better than a sexually permissive woman, </w:t>
      </w:r>
      <w:r w:rsidR="00AC2AFC">
        <w:rPr>
          <w:rFonts w:ascii="Arial" w:hAnsi="Arial" w:cs="Arial"/>
        </w:rPr>
        <w:t xml:space="preserve">to </w:t>
      </w:r>
      <w:r w:rsidR="001A2B38">
        <w:rPr>
          <w:rFonts w:ascii="Arial" w:hAnsi="Arial" w:cs="Arial"/>
        </w:rPr>
        <w:t xml:space="preserve">increase their own self-esteem, and to </w:t>
      </w:r>
      <w:r w:rsidR="001A2B38">
        <w:rPr>
          <w:rFonts w:ascii="Arial" w:hAnsi="Arial" w:cs="Arial"/>
        </w:rPr>
        <w:lastRenderedPageBreak/>
        <w:t>seek</w:t>
      </w:r>
      <w:r w:rsidR="00ED1B30">
        <w:rPr>
          <w:rFonts w:ascii="Arial" w:hAnsi="Arial" w:cs="Arial"/>
        </w:rPr>
        <w:t xml:space="preserve"> </w:t>
      </w:r>
      <w:r w:rsidR="001A2B38">
        <w:rPr>
          <w:rFonts w:ascii="Arial" w:hAnsi="Arial" w:cs="Arial"/>
        </w:rPr>
        <w:t xml:space="preserve">the seal of approval from a man, ensuring him that </w:t>
      </w:r>
      <w:r w:rsidR="006A74C3">
        <w:rPr>
          <w:rFonts w:ascii="Arial" w:hAnsi="Arial" w:cs="Arial"/>
        </w:rPr>
        <w:t>she is respectable and virtuous</w:t>
      </w:r>
      <w:r w:rsidR="00711126">
        <w:rPr>
          <w:rFonts w:ascii="Arial" w:hAnsi="Arial" w:cs="Arial"/>
        </w:rPr>
        <w:t>, unlike a ‘slut’</w:t>
      </w:r>
      <w:r w:rsidR="001A2B38">
        <w:rPr>
          <w:rFonts w:ascii="Arial" w:hAnsi="Arial" w:cs="Arial"/>
        </w:rPr>
        <w:t>.</w:t>
      </w:r>
      <w:r w:rsidR="00ED1B30">
        <w:rPr>
          <w:rStyle w:val="FootnoteReference"/>
          <w:rFonts w:ascii="Arial" w:hAnsi="Arial" w:cs="Arial"/>
        </w:rPr>
        <w:footnoteReference w:id="202"/>
      </w:r>
      <w:r w:rsidR="00ED1B30">
        <w:rPr>
          <w:rFonts w:ascii="Arial" w:hAnsi="Arial" w:cs="Arial"/>
        </w:rPr>
        <w:t xml:space="preserve"> This may come from an evolutionary concept that other women are to be competed against in order to score the best potential mate, to create more successful offspring.</w:t>
      </w:r>
      <w:r w:rsidR="00ED1B30">
        <w:rPr>
          <w:rStyle w:val="FootnoteReference"/>
          <w:rFonts w:ascii="Arial" w:hAnsi="Arial" w:cs="Arial"/>
        </w:rPr>
        <w:footnoteReference w:id="203"/>
      </w:r>
      <w:r w:rsidR="00ED1B30">
        <w:rPr>
          <w:rFonts w:ascii="Arial" w:hAnsi="Arial" w:cs="Arial"/>
        </w:rPr>
        <w:t xml:space="preserve"> </w:t>
      </w:r>
      <w:r w:rsidR="001A2B38">
        <w:rPr>
          <w:rFonts w:ascii="Arial" w:hAnsi="Arial" w:cs="Arial"/>
        </w:rPr>
        <w:t>Yet, this is not a necessity in the modern world, and thus by creating a patriarchal society in which women are tearing each other down</w:t>
      </w:r>
      <w:r w:rsidR="00AF52E0">
        <w:rPr>
          <w:rFonts w:ascii="Arial" w:hAnsi="Arial" w:cs="Arial"/>
        </w:rPr>
        <w:t xml:space="preserve"> because of the perceived number</w:t>
      </w:r>
      <w:r w:rsidR="001A2B38">
        <w:rPr>
          <w:rFonts w:ascii="Arial" w:hAnsi="Arial" w:cs="Arial"/>
        </w:rPr>
        <w:t xml:space="preserve"> of sexual partners another woman may have had, men have found more ways to control women’s sexuality by the development of internalised misogyny.</w:t>
      </w:r>
      <w:r w:rsidR="001A2B38">
        <w:rPr>
          <w:rStyle w:val="FootnoteReference"/>
          <w:rFonts w:ascii="Arial" w:hAnsi="Arial" w:cs="Arial"/>
        </w:rPr>
        <w:footnoteReference w:id="204"/>
      </w:r>
      <w:r w:rsidR="00ED1B30">
        <w:rPr>
          <w:rFonts w:ascii="Arial" w:hAnsi="Arial" w:cs="Arial"/>
        </w:rPr>
        <w:br/>
        <w:t>When in a patriarchal world, women are often viewed as objects to a certain extent. Not only are wome</w:t>
      </w:r>
      <w:r w:rsidR="00196E49">
        <w:rPr>
          <w:rFonts w:ascii="Arial" w:hAnsi="Arial" w:cs="Arial"/>
        </w:rPr>
        <w:t xml:space="preserve">n viewed in this way </w:t>
      </w:r>
      <w:r w:rsidR="00ED1B30">
        <w:rPr>
          <w:rFonts w:ascii="Arial" w:hAnsi="Arial" w:cs="Arial"/>
        </w:rPr>
        <w:t>– in order to survive well and socially,</w:t>
      </w:r>
      <w:r w:rsidR="00631410">
        <w:rPr>
          <w:rFonts w:ascii="Arial" w:hAnsi="Arial" w:cs="Arial"/>
        </w:rPr>
        <w:t xml:space="preserve"> Hastrup states that</w:t>
      </w:r>
      <w:r w:rsidR="00ED1B30">
        <w:rPr>
          <w:rFonts w:ascii="Arial" w:hAnsi="Arial" w:cs="Arial"/>
        </w:rPr>
        <w:t xml:space="preserve"> many women have to also agree to act as objects.</w:t>
      </w:r>
      <w:r w:rsidR="00ED1B30">
        <w:rPr>
          <w:rStyle w:val="FootnoteReference"/>
          <w:rFonts w:ascii="Arial" w:hAnsi="Arial" w:cs="Arial"/>
        </w:rPr>
        <w:footnoteReference w:id="205"/>
      </w:r>
      <w:r w:rsidR="001A2B38">
        <w:rPr>
          <w:rFonts w:ascii="Arial" w:hAnsi="Arial" w:cs="Arial"/>
        </w:rPr>
        <w:t xml:space="preserve"> A parallel easily being seen in ancient Egypt, some women having to act as objects in the desires of men, in order to achieve a higher and more positive social standing.</w:t>
      </w:r>
      <w:r w:rsidR="001A2B38">
        <w:rPr>
          <w:rStyle w:val="FootnoteReference"/>
          <w:rFonts w:ascii="Arial" w:hAnsi="Arial" w:cs="Arial"/>
        </w:rPr>
        <w:footnoteReference w:id="206"/>
      </w:r>
      <w:r w:rsidR="00ED1B30">
        <w:rPr>
          <w:rFonts w:ascii="Arial" w:hAnsi="Arial" w:cs="Arial"/>
        </w:rPr>
        <w:br/>
        <w:t>All of this being said, in ever so recent years, there has been a rejection of this kind of classification of women and their s</w:t>
      </w:r>
      <w:r w:rsidR="00711126">
        <w:rPr>
          <w:rFonts w:ascii="Arial" w:hAnsi="Arial" w:cs="Arial"/>
        </w:rPr>
        <w:t>exuality and desires. The word ‘slut’</w:t>
      </w:r>
      <w:r w:rsidR="00ED1B30">
        <w:rPr>
          <w:rFonts w:ascii="Arial" w:hAnsi="Arial" w:cs="Arial"/>
        </w:rPr>
        <w:t xml:space="preserve"> has been re-signified, feminist groups refusing to accept this description as negative.</w:t>
      </w:r>
      <w:r w:rsidR="00ED1B30">
        <w:rPr>
          <w:rStyle w:val="FootnoteReference"/>
          <w:rFonts w:ascii="Arial" w:hAnsi="Arial" w:cs="Arial"/>
        </w:rPr>
        <w:footnoteReference w:id="207"/>
      </w:r>
      <w:r w:rsidR="00ED1B30">
        <w:rPr>
          <w:rFonts w:ascii="Arial" w:hAnsi="Arial" w:cs="Arial"/>
        </w:rPr>
        <w:t xml:space="preserve"> Seeing as the female body is the focus of the male gaze, it has become the only site where change and intervention can happen.</w:t>
      </w:r>
      <w:r w:rsidR="00ED1B30">
        <w:rPr>
          <w:rStyle w:val="FootnoteReference"/>
          <w:rFonts w:ascii="Arial" w:hAnsi="Arial" w:cs="Arial"/>
        </w:rPr>
        <w:footnoteReference w:id="208"/>
      </w:r>
      <w:r w:rsidR="00ED1B30">
        <w:rPr>
          <w:rFonts w:ascii="Arial" w:hAnsi="Arial" w:cs="Arial"/>
        </w:rPr>
        <w:t xml:space="preserve"> </w:t>
      </w:r>
      <w:r w:rsidR="005746E8">
        <w:rPr>
          <w:rFonts w:ascii="Arial" w:hAnsi="Arial" w:cs="Arial"/>
        </w:rPr>
        <w:t xml:space="preserve">In the realms of education, young people are being taught </w:t>
      </w:r>
      <w:r w:rsidR="005746E8">
        <w:rPr>
          <w:rFonts w:ascii="Arial" w:hAnsi="Arial" w:cs="Arial"/>
        </w:rPr>
        <w:lastRenderedPageBreak/>
        <w:t xml:space="preserve">about their bodies and sexuality in an equal and respectful manner, helping develop more positive attitudes towards both male and female sexuality. </w:t>
      </w:r>
      <w:r w:rsidR="005746E8">
        <w:rPr>
          <w:rStyle w:val="FootnoteReference"/>
          <w:rFonts w:ascii="Arial" w:hAnsi="Arial" w:cs="Arial"/>
        </w:rPr>
        <w:footnoteReference w:id="209"/>
      </w:r>
      <w:r w:rsidR="005746E8">
        <w:rPr>
          <w:rFonts w:ascii="Arial" w:hAnsi="Arial" w:cs="Arial"/>
        </w:rPr>
        <w:t xml:space="preserve"> Due to factors such as this in the modern world, </w:t>
      </w:r>
      <w:r w:rsidR="00631410" w:rsidRPr="00871FB5">
        <w:rPr>
          <w:rFonts w:ascii="Arial" w:eastAsia="Times New Roman" w:hAnsi="Arial" w:cs="Arial"/>
          <w:lang w:eastAsia="en-GB"/>
        </w:rPr>
        <w:t>Hatipoğlu Sümer</w:t>
      </w:r>
      <w:r w:rsidR="00631410">
        <w:rPr>
          <w:rFonts w:ascii="Arial" w:hAnsi="Arial" w:cs="Arial"/>
        </w:rPr>
        <w:t xml:space="preserve"> states that </w:t>
      </w:r>
      <w:r w:rsidR="005746E8">
        <w:rPr>
          <w:rFonts w:ascii="Arial" w:hAnsi="Arial" w:cs="Arial"/>
        </w:rPr>
        <w:t>the gap between the interpretations of sexuality between men and women has been closing</w:t>
      </w:r>
      <w:r w:rsidR="00631410">
        <w:rPr>
          <w:rFonts w:ascii="Arial" w:hAnsi="Arial" w:cs="Arial"/>
        </w:rPr>
        <w:t>, yet</w:t>
      </w:r>
      <w:r w:rsidR="00196E49">
        <w:rPr>
          <w:rFonts w:ascii="Arial" w:hAnsi="Arial" w:cs="Arial"/>
        </w:rPr>
        <w:t xml:space="preserve"> gender prejudices sadly do still exist.</w:t>
      </w:r>
      <w:r w:rsidR="00196E49">
        <w:rPr>
          <w:rStyle w:val="FootnoteReference"/>
          <w:rFonts w:ascii="Arial" w:hAnsi="Arial" w:cs="Arial"/>
        </w:rPr>
        <w:footnoteReference w:id="210"/>
      </w:r>
      <w:r w:rsidR="005746E8">
        <w:rPr>
          <w:rFonts w:ascii="Arial" w:hAnsi="Arial" w:cs="Arial"/>
        </w:rPr>
        <w:br/>
        <w:t xml:space="preserve">Perhaps in the sense of sexuality, the lives of women in ancient Egypt is nowhere near as progressive as one may wish it to be. Yet, it has to be considered that the fact there are erotic images from this time period at least shows an acceptance of sexuality and the act of sexual intercourse, instead of the shame that is seen within cultures </w:t>
      </w:r>
      <w:r w:rsidR="007F3B06">
        <w:rPr>
          <w:rFonts w:ascii="Arial" w:hAnsi="Arial" w:cs="Arial"/>
        </w:rPr>
        <w:t>across the world. Sexuality is not</w:t>
      </w:r>
      <w:r w:rsidR="005746E8">
        <w:rPr>
          <w:rFonts w:ascii="Arial" w:hAnsi="Arial" w:cs="Arial"/>
        </w:rPr>
        <w:t xml:space="preserve"> secret,</w:t>
      </w:r>
      <w:r w:rsidR="001A2B38">
        <w:rPr>
          <w:rFonts w:ascii="Arial" w:hAnsi="Arial" w:cs="Arial"/>
        </w:rPr>
        <w:t xml:space="preserve"> and even aspects of </w:t>
      </w:r>
      <w:r w:rsidR="00AF52E0">
        <w:rPr>
          <w:rFonts w:ascii="Arial" w:hAnsi="Arial" w:cs="Arial"/>
        </w:rPr>
        <w:t xml:space="preserve">it </w:t>
      </w:r>
      <w:r w:rsidR="001A2B38">
        <w:rPr>
          <w:rFonts w:ascii="Arial" w:hAnsi="Arial" w:cs="Arial"/>
        </w:rPr>
        <w:t>are shown in the home</w:t>
      </w:r>
      <w:r w:rsidR="007F3B06">
        <w:rPr>
          <w:rFonts w:ascii="Arial" w:hAnsi="Arial" w:cs="Arial"/>
        </w:rPr>
        <w:t xml:space="preserve"> as something that one should not</w:t>
      </w:r>
      <w:r w:rsidR="001A2B38">
        <w:rPr>
          <w:rFonts w:ascii="Arial" w:hAnsi="Arial" w:cs="Arial"/>
        </w:rPr>
        <w:t xml:space="preserve"> be ashamed of. Yet, prejudice is still prevalent, mainly in the ways in which men are the owners of female sexuality, yet it is the woman’s fault if a different man to her husband is tempted by her</w:t>
      </w:r>
      <w:r w:rsidR="001A2B38">
        <w:rPr>
          <w:rStyle w:val="FootnoteReference"/>
          <w:rFonts w:ascii="Arial" w:hAnsi="Arial" w:cs="Arial"/>
        </w:rPr>
        <w:footnoteReference w:id="211"/>
      </w:r>
      <w:r w:rsidR="001A2B38">
        <w:rPr>
          <w:rFonts w:ascii="Arial" w:hAnsi="Arial" w:cs="Arial"/>
        </w:rPr>
        <w:t xml:space="preserve"> – even if she is doing n</w:t>
      </w:r>
      <w:r w:rsidR="005C4ADB">
        <w:rPr>
          <w:rFonts w:ascii="Arial" w:hAnsi="Arial" w:cs="Arial"/>
        </w:rPr>
        <w:t xml:space="preserve">othing explicitly to tempt him, both in the modern world, and in Ancient Egypt. </w:t>
      </w:r>
    </w:p>
    <w:p w:rsidR="009B2B7B" w:rsidRDefault="009B2B7B">
      <w:pPr>
        <w:spacing w:line="480" w:lineRule="auto"/>
        <w:ind w:right="95"/>
        <w:rPr>
          <w:rFonts w:ascii="Arial" w:hAnsi="Arial" w:cs="Arial"/>
          <w:b/>
        </w:rPr>
      </w:pPr>
    </w:p>
    <w:p w:rsidR="009B2B7B" w:rsidRDefault="009B2B7B">
      <w:pPr>
        <w:spacing w:line="480" w:lineRule="auto"/>
        <w:ind w:right="95"/>
        <w:rPr>
          <w:rFonts w:ascii="Arial" w:hAnsi="Arial" w:cs="Arial"/>
          <w:b/>
        </w:rPr>
      </w:pPr>
    </w:p>
    <w:p w:rsidR="009B2B7B" w:rsidRDefault="009B2B7B">
      <w:pPr>
        <w:spacing w:line="480" w:lineRule="auto"/>
        <w:ind w:right="95"/>
        <w:rPr>
          <w:rFonts w:ascii="Arial" w:hAnsi="Arial" w:cs="Arial"/>
          <w:b/>
        </w:rPr>
      </w:pPr>
    </w:p>
    <w:p w:rsidR="009B2B7B" w:rsidRDefault="009B2B7B">
      <w:pPr>
        <w:spacing w:line="480" w:lineRule="auto"/>
        <w:ind w:right="95"/>
        <w:rPr>
          <w:rFonts w:ascii="Arial" w:hAnsi="Arial" w:cs="Arial"/>
          <w:b/>
        </w:rPr>
      </w:pPr>
    </w:p>
    <w:p w:rsidR="00FD24B0" w:rsidRDefault="00FD24B0">
      <w:pPr>
        <w:spacing w:line="480" w:lineRule="auto"/>
        <w:ind w:right="95"/>
        <w:rPr>
          <w:rFonts w:ascii="Arial" w:hAnsi="Arial" w:cs="Arial"/>
          <w:b/>
        </w:rPr>
      </w:pPr>
      <w:r>
        <w:rPr>
          <w:rFonts w:ascii="Arial" w:hAnsi="Arial" w:cs="Arial"/>
          <w:b/>
        </w:rPr>
        <w:lastRenderedPageBreak/>
        <w:t>The Protectress</w:t>
      </w:r>
    </w:p>
    <w:p w:rsidR="001057C1" w:rsidRDefault="001057C1">
      <w:pPr>
        <w:spacing w:line="480" w:lineRule="auto"/>
        <w:ind w:right="95"/>
        <w:rPr>
          <w:rFonts w:ascii="Arial" w:hAnsi="Arial" w:cs="Arial"/>
        </w:rPr>
      </w:pPr>
      <w:r>
        <w:rPr>
          <w:rFonts w:ascii="Arial" w:hAnsi="Arial" w:cs="Arial"/>
        </w:rPr>
        <w:t>One of the first things that should be considered when looking back over an ancient religion, is that it is very easy to base our own preconceptions and expectations on such an old system of beliefs.</w:t>
      </w:r>
      <w:r>
        <w:rPr>
          <w:rStyle w:val="FootnoteReference"/>
          <w:rFonts w:ascii="Arial" w:hAnsi="Arial" w:cs="Arial"/>
        </w:rPr>
        <w:footnoteReference w:id="212"/>
      </w:r>
      <w:r>
        <w:rPr>
          <w:rFonts w:ascii="Arial" w:hAnsi="Arial" w:cs="Arial"/>
        </w:rPr>
        <w:t xml:space="preserve"> Our observations come from the outward aspects of religion, and we have very little to no detail about more inner and intricate workings of such a dogma.</w:t>
      </w:r>
      <w:r>
        <w:rPr>
          <w:rStyle w:val="FootnoteReference"/>
          <w:rFonts w:ascii="Arial" w:hAnsi="Arial" w:cs="Arial"/>
        </w:rPr>
        <w:footnoteReference w:id="213"/>
      </w:r>
      <w:r>
        <w:rPr>
          <w:rFonts w:ascii="Arial" w:hAnsi="Arial" w:cs="Arial"/>
        </w:rPr>
        <w:t xml:space="preserve"> And such as this being the case, all of the conclusions made about an ancient religion do need to be taken with consideration, as it is incredibly unlikely that we know as much about this system as we wish we could.</w:t>
      </w:r>
    </w:p>
    <w:p w:rsidR="005E422F" w:rsidRDefault="005E422F">
      <w:pPr>
        <w:spacing w:line="480" w:lineRule="auto"/>
        <w:ind w:right="95"/>
        <w:rPr>
          <w:rFonts w:ascii="Arial" w:hAnsi="Arial" w:cs="Arial"/>
        </w:rPr>
      </w:pPr>
      <w:r>
        <w:rPr>
          <w:rFonts w:ascii="Arial" w:hAnsi="Arial" w:cs="Arial"/>
        </w:rPr>
        <w:t>When assessing the ways in which ancient Egyptian women worshipped, it has to be considered that religion was still a male-dominated arena. Because the major religions were dominated by elite men, much of orthodox Egyptian religion was rather far aw</w:t>
      </w:r>
      <w:r w:rsidR="0024705A">
        <w:rPr>
          <w:rFonts w:ascii="Arial" w:hAnsi="Arial" w:cs="Arial"/>
        </w:rPr>
        <w:t>ay from the lives of most women</w:t>
      </w:r>
      <w:r>
        <w:rPr>
          <w:rStyle w:val="FootnoteReference"/>
          <w:rFonts w:ascii="Arial" w:hAnsi="Arial" w:cs="Arial"/>
        </w:rPr>
        <w:footnoteReference w:id="214"/>
      </w:r>
      <w:r w:rsidR="0024705A">
        <w:rPr>
          <w:rFonts w:ascii="Arial" w:hAnsi="Arial" w:cs="Arial"/>
        </w:rPr>
        <w:t xml:space="preserve"> outside of a priestly role. Due to women being denied access to the state doctrine, Tyldesley states that there is probably very little chance that they fully understood the religion at all.</w:t>
      </w:r>
      <w:r w:rsidR="0024705A">
        <w:rPr>
          <w:rStyle w:val="FootnoteReference"/>
          <w:rFonts w:ascii="Arial" w:hAnsi="Arial" w:cs="Arial"/>
        </w:rPr>
        <w:footnoteReference w:id="215"/>
      </w:r>
      <w:r w:rsidR="0024705A">
        <w:rPr>
          <w:rFonts w:ascii="Arial" w:hAnsi="Arial" w:cs="Arial"/>
        </w:rPr>
        <w:t xml:space="preserve"> The way in which these women would have fulfilled their spiritual needs would have been through worship in the home,</w:t>
      </w:r>
      <w:r w:rsidR="0024705A">
        <w:rPr>
          <w:rStyle w:val="FootnoteReference"/>
          <w:rFonts w:ascii="Arial" w:hAnsi="Arial" w:cs="Arial"/>
        </w:rPr>
        <w:footnoteReference w:id="216"/>
      </w:r>
      <w:r w:rsidR="0024705A">
        <w:rPr>
          <w:rFonts w:ascii="Arial" w:hAnsi="Arial" w:cs="Arial"/>
        </w:rPr>
        <w:t xml:space="preserve"> where most of their daily tasks were undertaken. This would allow women to feel as if their needs were being met by the gods, without adhering to the strong demands of a major religion.</w:t>
      </w:r>
      <w:r w:rsidR="0024705A">
        <w:rPr>
          <w:rStyle w:val="FootnoteReference"/>
          <w:rFonts w:ascii="Arial" w:hAnsi="Arial" w:cs="Arial"/>
        </w:rPr>
        <w:footnoteReference w:id="217"/>
      </w:r>
    </w:p>
    <w:p w:rsidR="00274830" w:rsidRDefault="00FD24B0">
      <w:pPr>
        <w:spacing w:line="480" w:lineRule="auto"/>
        <w:ind w:right="95"/>
        <w:rPr>
          <w:rFonts w:ascii="Arial" w:hAnsi="Arial" w:cs="Arial"/>
        </w:rPr>
      </w:pPr>
      <w:r>
        <w:rPr>
          <w:rFonts w:ascii="Arial" w:hAnsi="Arial" w:cs="Arial"/>
        </w:rPr>
        <w:lastRenderedPageBreak/>
        <w:t xml:space="preserve">When understanding the roles of goddesses in ancient Egypt, </w:t>
      </w:r>
      <w:r w:rsidR="00274830">
        <w:rPr>
          <w:rFonts w:ascii="Arial" w:hAnsi="Arial" w:cs="Arial"/>
        </w:rPr>
        <w:t xml:space="preserve">it should be first recognised that these mythical women were still vital, playing a part in the duality and the balance of the universe. Without the female aspect in the realm of the gods, the state, the world, and the universe would be </w:t>
      </w:r>
      <w:r w:rsidR="00F04346">
        <w:rPr>
          <w:rFonts w:ascii="Arial" w:hAnsi="Arial" w:cs="Arial"/>
        </w:rPr>
        <w:t>un</w:t>
      </w:r>
      <w:r w:rsidR="00274830">
        <w:rPr>
          <w:rFonts w:ascii="Arial" w:hAnsi="Arial" w:cs="Arial"/>
        </w:rPr>
        <w:t>able to survive and chaos would ensue.</w:t>
      </w:r>
      <w:r w:rsidR="00274830">
        <w:rPr>
          <w:rStyle w:val="FootnoteReference"/>
          <w:rFonts w:ascii="Arial" w:hAnsi="Arial" w:cs="Arial"/>
        </w:rPr>
        <w:footnoteReference w:id="218"/>
      </w:r>
      <w:r w:rsidR="00274830">
        <w:rPr>
          <w:rFonts w:ascii="Arial" w:hAnsi="Arial" w:cs="Arial"/>
        </w:rPr>
        <w:t xml:space="preserve"> Because of this, the goddesses were viewed as forces of stability, as much as the gods were.</w:t>
      </w:r>
      <w:r w:rsidR="00274830">
        <w:rPr>
          <w:rStyle w:val="FootnoteReference"/>
          <w:rFonts w:ascii="Arial" w:hAnsi="Arial" w:cs="Arial"/>
        </w:rPr>
        <w:footnoteReference w:id="219"/>
      </w:r>
      <w:r w:rsidR="00274830">
        <w:rPr>
          <w:rFonts w:ascii="Arial" w:hAnsi="Arial" w:cs="Arial"/>
        </w:rPr>
        <w:t xml:space="preserve"> (An interesting factor seeing as almost everything female in ancient Egypt was met with caution due to their supposed instable personalities.)</w:t>
      </w:r>
      <w:r w:rsidR="00442465">
        <w:rPr>
          <w:rFonts w:ascii="Arial" w:hAnsi="Arial" w:cs="Arial"/>
        </w:rPr>
        <w:t xml:space="preserve"> </w:t>
      </w:r>
      <w:r w:rsidR="000603B0">
        <w:rPr>
          <w:rFonts w:ascii="Arial" w:hAnsi="Arial" w:cs="Arial"/>
        </w:rPr>
        <w:t xml:space="preserve">When </w:t>
      </w:r>
      <w:r w:rsidR="00442465">
        <w:rPr>
          <w:rFonts w:ascii="Arial" w:hAnsi="Arial" w:cs="Arial"/>
        </w:rPr>
        <w:t>assessing the roles of goddesses in the mythical real</w:t>
      </w:r>
      <w:r w:rsidR="000603B0">
        <w:rPr>
          <w:rFonts w:ascii="Arial" w:hAnsi="Arial" w:cs="Arial"/>
        </w:rPr>
        <w:t>m,</w:t>
      </w:r>
      <w:r w:rsidR="00442465">
        <w:rPr>
          <w:rFonts w:ascii="Arial" w:hAnsi="Arial" w:cs="Arial"/>
        </w:rPr>
        <w:t xml:space="preserve"> their documented stories and mythologies are able to give an insight and an opportunity to examine the behaviour of women in something other than the home.</w:t>
      </w:r>
      <w:r w:rsidR="00442465">
        <w:rPr>
          <w:rStyle w:val="FootnoteReference"/>
          <w:rFonts w:ascii="Arial" w:hAnsi="Arial" w:cs="Arial"/>
        </w:rPr>
        <w:footnoteReference w:id="220"/>
      </w:r>
      <w:r w:rsidR="0024705A">
        <w:rPr>
          <w:rFonts w:ascii="Arial" w:hAnsi="Arial" w:cs="Arial"/>
        </w:rPr>
        <w:t xml:space="preserve"> </w:t>
      </w:r>
    </w:p>
    <w:p w:rsidR="00274830" w:rsidRDefault="00274830">
      <w:pPr>
        <w:spacing w:line="480" w:lineRule="auto"/>
        <w:ind w:right="95"/>
        <w:rPr>
          <w:rFonts w:ascii="Arial" w:hAnsi="Arial" w:cs="Arial"/>
        </w:rPr>
      </w:pPr>
      <w:r>
        <w:rPr>
          <w:rFonts w:ascii="Arial" w:hAnsi="Arial" w:cs="Arial"/>
        </w:rPr>
        <w:t>Within one of the many creation myths seen in ancient Egypt, it paints the picture of the creator god beginning the process of creation through the act of masturbation. Seeing as this aspect of creation is seemingly restricted to the male, the way in which the female was interjected was through the gendering of the god’s hand as the instrument of the sexual stimulation.</w:t>
      </w:r>
      <w:r>
        <w:rPr>
          <w:rStyle w:val="FootnoteReference"/>
          <w:rFonts w:ascii="Arial" w:hAnsi="Arial" w:cs="Arial"/>
        </w:rPr>
        <w:footnoteReference w:id="221"/>
      </w:r>
      <w:r>
        <w:rPr>
          <w:rFonts w:ascii="Arial" w:hAnsi="Arial" w:cs="Arial"/>
        </w:rPr>
        <w:t xml:space="preserve"> Even in other creation stories, the main god is male, at the very most with female aspects.</w:t>
      </w:r>
      <w:r>
        <w:rPr>
          <w:rStyle w:val="FootnoteReference"/>
          <w:rFonts w:ascii="Arial" w:hAnsi="Arial" w:cs="Arial"/>
        </w:rPr>
        <w:footnoteReference w:id="222"/>
      </w:r>
    </w:p>
    <w:p w:rsidR="0024705A" w:rsidRDefault="00274830">
      <w:pPr>
        <w:spacing w:line="480" w:lineRule="auto"/>
        <w:ind w:right="95"/>
        <w:rPr>
          <w:noProof/>
          <w:lang w:eastAsia="en-GB"/>
        </w:rPr>
      </w:pPr>
      <w:r>
        <w:rPr>
          <w:rFonts w:ascii="Arial" w:hAnsi="Arial" w:cs="Arial"/>
        </w:rPr>
        <w:t>Robins makes the statement that to the ancient Egyptians, the world of the gods was viewed as a reflection of the world of the humans.</w:t>
      </w:r>
      <w:r>
        <w:rPr>
          <w:rStyle w:val="FootnoteReference"/>
          <w:rFonts w:ascii="Arial" w:hAnsi="Arial" w:cs="Arial"/>
        </w:rPr>
        <w:footnoteReference w:id="223"/>
      </w:r>
      <w:r>
        <w:rPr>
          <w:rFonts w:ascii="Arial" w:hAnsi="Arial" w:cs="Arial"/>
        </w:rPr>
        <w:t xml:space="preserve"> At the </w:t>
      </w:r>
      <w:r>
        <w:rPr>
          <w:rFonts w:ascii="Arial" w:hAnsi="Arial" w:cs="Arial"/>
        </w:rPr>
        <w:lastRenderedPageBreak/>
        <w:t xml:space="preserve">beginning of creation, most of the unions between the gods were incestuous (mainly due to the fact that at this mythical beginning of time, </w:t>
      </w:r>
      <w:r w:rsidR="001057C1">
        <w:rPr>
          <w:rFonts w:ascii="Arial" w:hAnsi="Arial" w:cs="Arial"/>
        </w:rPr>
        <w:t>there was an obvious lack of sexual partners) and the incestuous marriages that happened in royal families was justified by this link.</w:t>
      </w:r>
      <w:r w:rsidR="001057C1">
        <w:rPr>
          <w:rStyle w:val="FootnoteReference"/>
          <w:rFonts w:ascii="Arial" w:hAnsi="Arial" w:cs="Arial"/>
        </w:rPr>
        <w:footnoteReference w:id="224"/>
      </w:r>
      <w:r w:rsidR="001057C1">
        <w:rPr>
          <w:rFonts w:ascii="Arial" w:hAnsi="Arial" w:cs="Arial"/>
        </w:rPr>
        <w:t xml:space="preserve"> Just as the king was aligned with the gods, the queen </w:t>
      </w:r>
      <w:r w:rsidR="0024705A">
        <w:rPr>
          <w:rFonts w:ascii="Arial" w:hAnsi="Arial" w:cs="Arial"/>
        </w:rPr>
        <w:t xml:space="preserve">was aligned with the goddesses. </w:t>
      </w:r>
      <w:r w:rsidR="001057C1">
        <w:rPr>
          <w:rFonts w:ascii="Arial" w:hAnsi="Arial" w:cs="Arial"/>
        </w:rPr>
        <w:t>Perhaps the most well-known of the brother-sister marriages that happened in the realm of the gods was that between Isis and Osiris. Through Isis’ mythical story, she became to be viewed as essential to the role of kingship,</w:t>
      </w:r>
      <w:r w:rsidR="001057C1">
        <w:rPr>
          <w:rStyle w:val="FootnoteReference"/>
          <w:rFonts w:ascii="Arial" w:hAnsi="Arial" w:cs="Arial"/>
        </w:rPr>
        <w:footnoteReference w:id="225"/>
      </w:r>
      <w:r w:rsidR="001057C1">
        <w:rPr>
          <w:rFonts w:ascii="Arial" w:hAnsi="Arial" w:cs="Arial"/>
        </w:rPr>
        <w:t xml:space="preserve"> and the pharaoh</w:t>
      </w:r>
      <w:r w:rsidR="00B65CB1">
        <w:rPr>
          <w:rFonts w:ascii="Arial" w:hAnsi="Arial" w:cs="Arial"/>
        </w:rPr>
        <w:t>’</w:t>
      </w:r>
      <w:r w:rsidR="001057C1">
        <w:rPr>
          <w:rFonts w:ascii="Arial" w:hAnsi="Arial" w:cs="Arial"/>
        </w:rPr>
        <w:t>s regeneration.</w:t>
      </w:r>
      <w:r w:rsidR="001057C1">
        <w:rPr>
          <w:rStyle w:val="FootnoteReference"/>
          <w:rFonts w:ascii="Arial" w:hAnsi="Arial" w:cs="Arial"/>
        </w:rPr>
        <w:footnoteReference w:id="226"/>
      </w:r>
      <w:r w:rsidR="00442465">
        <w:rPr>
          <w:rFonts w:ascii="Arial" w:hAnsi="Arial" w:cs="Arial"/>
        </w:rPr>
        <w:t xml:space="preserve"> </w:t>
      </w:r>
      <w:r w:rsidR="000603B0">
        <w:rPr>
          <w:rFonts w:ascii="Arial" w:hAnsi="Arial" w:cs="Arial"/>
        </w:rPr>
        <w:t xml:space="preserve"> Wilkinson claims that Isis was probably Egypt’s most important goddess, coming to be worshipped by almost every Egyptian.</w:t>
      </w:r>
      <w:r w:rsidR="000603B0">
        <w:rPr>
          <w:rStyle w:val="FootnoteReference"/>
          <w:rFonts w:ascii="Arial" w:hAnsi="Arial" w:cs="Arial"/>
        </w:rPr>
        <w:footnoteReference w:id="227"/>
      </w:r>
      <w:r w:rsidR="00631410">
        <w:rPr>
          <w:rFonts w:ascii="Arial" w:hAnsi="Arial" w:cs="Arial"/>
        </w:rPr>
        <w:t xml:space="preserve"> Yet, </w:t>
      </w:r>
      <w:r w:rsidR="00AF52E0">
        <w:rPr>
          <w:rFonts w:ascii="Arial" w:hAnsi="Arial" w:cs="Arial"/>
        </w:rPr>
        <w:t>t</w:t>
      </w:r>
      <w:r w:rsidR="000603B0">
        <w:rPr>
          <w:rFonts w:ascii="Arial" w:hAnsi="Arial" w:cs="Arial"/>
        </w:rPr>
        <w:t>here are no confirmations of Isis before the 5</w:t>
      </w:r>
      <w:r w:rsidR="000603B0" w:rsidRPr="000603B0">
        <w:rPr>
          <w:rFonts w:ascii="Arial" w:hAnsi="Arial" w:cs="Arial"/>
          <w:vertAlign w:val="superscript"/>
        </w:rPr>
        <w:t>th</w:t>
      </w:r>
      <w:r w:rsidR="000603B0">
        <w:rPr>
          <w:rFonts w:ascii="Arial" w:hAnsi="Arial" w:cs="Arial"/>
        </w:rPr>
        <w:t xml:space="preserve"> dynasty. Isis was </w:t>
      </w:r>
      <w:r w:rsidR="00442465">
        <w:rPr>
          <w:rFonts w:ascii="Arial" w:hAnsi="Arial" w:cs="Arial"/>
        </w:rPr>
        <w:t>mainly favoured through the action she took when protecting her husband and her son – exemplifying what was considered to be the personality of an ideal Egyptian wife.</w:t>
      </w:r>
      <w:r w:rsidR="00442465">
        <w:rPr>
          <w:rStyle w:val="FootnoteReference"/>
          <w:rFonts w:ascii="Arial" w:hAnsi="Arial" w:cs="Arial"/>
        </w:rPr>
        <w:footnoteReference w:id="228"/>
      </w:r>
      <w:r w:rsidR="00442465">
        <w:rPr>
          <w:rFonts w:ascii="Arial" w:hAnsi="Arial" w:cs="Arial"/>
        </w:rPr>
        <w:t xml:space="preserve"> After the death of Osiris at the hands of his brother Seth, it was Osiris</w:t>
      </w:r>
      <w:r w:rsidR="00B65CB1">
        <w:rPr>
          <w:rFonts w:ascii="Arial" w:hAnsi="Arial" w:cs="Arial"/>
        </w:rPr>
        <w:t>’</w:t>
      </w:r>
      <w:r w:rsidR="00442465">
        <w:rPr>
          <w:rFonts w:ascii="Arial" w:hAnsi="Arial" w:cs="Arial"/>
        </w:rPr>
        <w:t xml:space="preserve"> sisters Isis and Nephthys that travelled to the ends of the earth in search of the pieces of Osiris’ body, so he was able to be reborn as a mummified king.</w:t>
      </w:r>
      <w:r w:rsidR="00983F19">
        <w:rPr>
          <w:rStyle w:val="FootnoteReference"/>
          <w:rFonts w:ascii="Arial" w:hAnsi="Arial" w:cs="Arial"/>
        </w:rPr>
        <w:footnoteReference w:id="229"/>
      </w:r>
      <w:r w:rsidR="00983F19">
        <w:rPr>
          <w:rFonts w:ascii="Arial" w:hAnsi="Arial" w:cs="Arial"/>
        </w:rPr>
        <w:t xml:space="preserve"> When Isis conceived her son, she showed the same protective spirit as </w:t>
      </w:r>
      <w:r w:rsidR="00B65CB1">
        <w:rPr>
          <w:rFonts w:ascii="Arial" w:hAnsi="Arial" w:cs="Arial"/>
        </w:rPr>
        <w:t>s</w:t>
      </w:r>
      <w:r w:rsidR="00983F19">
        <w:rPr>
          <w:rFonts w:ascii="Arial" w:hAnsi="Arial" w:cs="Arial"/>
        </w:rPr>
        <w:t xml:space="preserve">he hid him from Seth, until it was safe for Horus to be brought </w:t>
      </w:r>
      <w:r w:rsidR="009B2B7B">
        <w:rPr>
          <w:noProof/>
          <w:lang w:eastAsia="en-GB"/>
        </w:rPr>
        <w:lastRenderedPageBreak/>
        <w:drawing>
          <wp:anchor distT="0" distB="0" distL="114300" distR="114300" simplePos="0" relativeHeight="251699200" behindDoc="0" locked="0" layoutInCell="1" allowOverlap="1">
            <wp:simplePos x="0" y="0"/>
            <wp:positionH relativeFrom="column">
              <wp:posOffset>3023870</wp:posOffset>
            </wp:positionH>
            <wp:positionV relativeFrom="paragraph">
              <wp:posOffset>0</wp:posOffset>
            </wp:positionV>
            <wp:extent cx="1885950" cy="2691130"/>
            <wp:effectExtent l="0" t="0" r="0" b="0"/>
            <wp:wrapSquare wrapText="bothSides"/>
            <wp:docPr id="26" name="Picture 26" descr="Isis with Horus the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is with Horus the Child"/>
                    <pic:cNvPicPr>
                      <a:picLocks noChangeAspect="1" noChangeArrowheads="1"/>
                    </pic:cNvPicPr>
                  </pic:nvPicPr>
                  <pic:blipFill rotWithShape="1">
                    <a:blip r:embed="rId30">
                      <a:extLst>
                        <a:ext uri="{28A0092B-C50C-407E-A947-70E740481C1C}">
                          <a14:useLocalDpi xmlns:a14="http://schemas.microsoft.com/office/drawing/2010/main" val="0"/>
                        </a:ext>
                      </a:extLst>
                    </a:blip>
                    <a:srcRect l="16359" r="10027"/>
                    <a:stretch/>
                  </pic:blipFill>
                  <pic:spPr bwMode="auto">
                    <a:xfrm>
                      <a:off x="0" y="0"/>
                      <a:ext cx="1885950" cy="2691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5CB1">
        <w:rPr>
          <w:rFonts w:ascii="Arial" w:hAnsi="Arial" w:cs="Arial"/>
        </w:rPr>
        <w:t>before the tribunal of the gods, and declared to be Osiris’ son and heir.</w:t>
      </w:r>
      <w:r w:rsidR="00983F19">
        <w:rPr>
          <w:rStyle w:val="FootnoteReference"/>
          <w:rFonts w:ascii="Arial" w:hAnsi="Arial" w:cs="Arial"/>
        </w:rPr>
        <w:footnoteReference w:id="230"/>
      </w:r>
      <w:r w:rsidR="00983F19">
        <w:rPr>
          <w:rFonts w:ascii="Arial" w:hAnsi="Arial" w:cs="Arial"/>
        </w:rPr>
        <w:t xml:space="preserve"> Due to this story in particular, motherhood became one of the more popular qualities of Isis that she was favoured for, and in the Late Period she was commonly shown breastfeeding the baby Horus (See </w:t>
      </w:r>
      <w:r w:rsidR="009B2B7B" w:rsidRPr="00575D4D">
        <w:rPr>
          <w:rFonts w:ascii="Arial" w:hAnsi="Arial" w:cs="Arial"/>
          <w:noProof/>
          <w:lang w:eastAsia="en-GB"/>
        </w:rPr>
        <mc:AlternateContent>
          <mc:Choice Requires="wps">
            <w:drawing>
              <wp:anchor distT="45720" distB="45720" distL="114300" distR="114300" simplePos="0" relativeHeight="251701248" behindDoc="0" locked="0" layoutInCell="1" allowOverlap="1" wp14:anchorId="18776A05" wp14:editId="382AF60B">
                <wp:simplePos x="0" y="0"/>
                <wp:positionH relativeFrom="column">
                  <wp:posOffset>3021330</wp:posOffset>
                </wp:positionH>
                <wp:positionV relativeFrom="page">
                  <wp:posOffset>3656965</wp:posOffset>
                </wp:positionV>
                <wp:extent cx="1885950" cy="847725"/>
                <wp:effectExtent l="0" t="0" r="19050" b="285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847725"/>
                        </a:xfrm>
                        <a:prstGeom prst="rect">
                          <a:avLst/>
                        </a:prstGeom>
                        <a:solidFill>
                          <a:srgbClr val="FFFFFF"/>
                        </a:solidFill>
                        <a:ln w="9525">
                          <a:solidFill>
                            <a:srgbClr val="000000"/>
                          </a:solidFill>
                          <a:miter lim="800000"/>
                          <a:headEnd/>
                          <a:tailEnd/>
                        </a:ln>
                      </wps:spPr>
                      <wps:txbx>
                        <w:txbxContent>
                          <w:p w:rsidR="00FB2511" w:rsidRDefault="00FB2511" w:rsidP="00983F19">
                            <w:pPr>
                              <w:jc w:val="center"/>
                              <w:rPr>
                                <w:rFonts w:ascii="Arial" w:hAnsi="Arial" w:cs="Arial"/>
                              </w:rPr>
                            </w:pPr>
                            <w:r>
                              <w:rPr>
                                <w:rFonts w:ascii="Arial" w:hAnsi="Arial" w:cs="Arial"/>
                              </w:rPr>
                              <w:t>Fig. 14: Isis with Horus the child, the Walters Art Museum, 2018, Baltimore</w:t>
                            </w:r>
                          </w:p>
                          <w:p w:rsidR="00FB2511" w:rsidRPr="00575D4D" w:rsidRDefault="00FB2511" w:rsidP="00983F19">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76A05" id="_x0000_s1040" type="#_x0000_t202" style="position:absolute;margin-left:237.9pt;margin-top:287.95pt;width:148.5pt;height:66.7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">
                <v:textbox>
                  <w:txbxContent>
                    <w:p w:rsidR="00FB2511" w:rsidRDefault="00FB2511" w:rsidP="00983F19">
                      <w:pPr>
                        <w:jc w:val="center"/>
                        <w:rPr>
                          <w:rFonts w:ascii="Arial" w:hAnsi="Arial" w:cs="Arial"/>
                        </w:rPr>
                      </w:pPr>
                      <w:r>
                        <w:rPr>
                          <w:rFonts w:ascii="Arial" w:hAnsi="Arial" w:cs="Arial"/>
                        </w:rPr>
                        <w:t>Fig. 14: Isis with Horus the child, the Walters Art Museum, 2018, Baltimore</w:t>
                      </w:r>
                    </w:p>
                    <w:p w:rsidR="00FB2511" w:rsidRPr="00575D4D" w:rsidRDefault="00FB2511" w:rsidP="00983F19">
                      <w:pPr>
                        <w:rPr>
                          <w:rFonts w:ascii="Arial" w:hAnsi="Arial" w:cs="Arial"/>
                        </w:rPr>
                      </w:pPr>
                    </w:p>
                  </w:txbxContent>
                </v:textbox>
                <w10:wrap type="square" anchory="page"/>
              </v:shape>
            </w:pict>
          </mc:Fallback>
        </mc:AlternateContent>
      </w:r>
      <w:r w:rsidR="00983F19">
        <w:rPr>
          <w:rFonts w:ascii="Arial" w:hAnsi="Arial" w:cs="Arial"/>
        </w:rPr>
        <w:t>Fig.14). Due to these qualities, Isis’ importance to women increased, being viewed as a protector during childbirth, a patroness of marriage, and was even credited to have created the incredibly female art of weaving.</w:t>
      </w:r>
      <w:r w:rsidR="00983F19">
        <w:rPr>
          <w:rStyle w:val="FootnoteReference"/>
          <w:rFonts w:ascii="Arial" w:hAnsi="Arial" w:cs="Arial"/>
        </w:rPr>
        <w:footnoteReference w:id="231"/>
      </w:r>
      <w:r w:rsidR="00983F19">
        <w:rPr>
          <w:rFonts w:ascii="Arial" w:hAnsi="Arial" w:cs="Arial"/>
        </w:rPr>
        <w:t xml:space="preserve"> This all being considered, Isis was also depicted to have a scheming aspect to her personality.</w:t>
      </w:r>
      <w:r w:rsidR="004924C1">
        <w:rPr>
          <w:rFonts w:ascii="Arial" w:hAnsi="Arial" w:cs="Arial"/>
        </w:rPr>
        <w:t xml:space="preserve"> Isis was known to have incredible magic skills, and it was these skills that she used against Seth when protecting her son. As well as this</w:t>
      </w:r>
      <w:r w:rsidR="00B65CB1">
        <w:rPr>
          <w:rFonts w:ascii="Arial" w:hAnsi="Arial" w:cs="Arial"/>
        </w:rPr>
        <w:t>,</w:t>
      </w:r>
      <w:r w:rsidR="004924C1">
        <w:rPr>
          <w:rFonts w:ascii="Arial" w:hAnsi="Arial" w:cs="Arial"/>
        </w:rPr>
        <w:t xml:space="preserve"> the story of Isis and Re’s magical battle also tells of how Isis used her magical powers to trick Re into </w:t>
      </w:r>
      <w:r w:rsidR="000603B0">
        <w:rPr>
          <w:rFonts w:ascii="Arial" w:hAnsi="Arial" w:cs="Arial"/>
        </w:rPr>
        <w:t>revealing his true name to her. In this story, Isis creates a snake that bites the sun god, and she only agrees to heal him once he reveals his true name to her, increasing her magical prowess</w:t>
      </w:r>
      <w:r w:rsidR="000603B0">
        <w:rPr>
          <w:rStyle w:val="FootnoteReference"/>
          <w:rFonts w:ascii="Arial" w:hAnsi="Arial" w:cs="Arial"/>
        </w:rPr>
        <w:footnoteReference w:id="232"/>
      </w:r>
      <w:r w:rsidR="000603B0">
        <w:rPr>
          <w:rFonts w:ascii="Arial" w:hAnsi="Arial" w:cs="Arial"/>
        </w:rPr>
        <w:t xml:space="preserve"> and </w:t>
      </w:r>
      <w:r w:rsidR="004924C1">
        <w:rPr>
          <w:rFonts w:ascii="Arial" w:hAnsi="Arial" w:cs="Arial"/>
        </w:rPr>
        <w:t>allowing her to become his equal in terms of her magical powers.</w:t>
      </w:r>
      <w:r w:rsidR="004924C1">
        <w:rPr>
          <w:rStyle w:val="FootnoteReference"/>
          <w:rFonts w:ascii="Arial" w:hAnsi="Arial" w:cs="Arial"/>
        </w:rPr>
        <w:footnoteReference w:id="233"/>
      </w:r>
      <w:r w:rsidR="004924C1">
        <w:rPr>
          <w:rFonts w:ascii="Arial" w:hAnsi="Arial" w:cs="Arial"/>
        </w:rPr>
        <w:t xml:space="preserve"> </w:t>
      </w:r>
      <w:r w:rsidR="000603B0">
        <w:rPr>
          <w:rFonts w:ascii="Arial" w:hAnsi="Arial" w:cs="Arial"/>
        </w:rPr>
        <w:t xml:space="preserve">With all this in mind, it seems that though Isis had a cult, she rarely had large temples dedicated to her. </w:t>
      </w:r>
    </w:p>
    <w:p w:rsidR="004924C1" w:rsidRDefault="009B2B7B">
      <w:pPr>
        <w:spacing w:line="480" w:lineRule="auto"/>
        <w:ind w:right="95"/>
        <w:rPr>
          <w:rFonts w:ascii="Arial" w:hAnsi="Arial" w:cs="Arial"/>
        </w:rPr>
      </w:pPr>
      <w:r>
        <w:rPr>
          <w:noProof/>
          <w:lang w:eastAsia="en-GB"/>
        </w:rPr>
        <w:lastRenderedPageBreak/>
        <w:drawing>
          <wp:anchor distT="0" distB="0" distL="114300" distR="114300" simplePos="0" relativeHeight="251709440" behindDoc="0" locked="0" layoutInCell="1" allowOverlap="1">
            <wp:simplePos x="0" y="0"/>
            <wp:positionH relativeFrom="column">
              <wp:posOffset>3163570</wp:posOffset>
            </wp:positionH>
            <wp:positionV relativeFrom="paragraph">
              <wp:posOffset>3844290</wp:posOffset>
            </wp:positionV>
            <wp:extent cx="1764030" cy="3200400"/>
            <wp:effectExtent l="0" t="0" r="7620" b="0"/>
            <wp:wrapSquare wrapText="bothSides"/>
            <wp:docPr id="35" name="Picture 35" descr="File:Statue of Egyptian Goddess Hathor from Luxur Museum Egy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le:Statue of Egyptian Goddess Hathor from Luxur Museum Egypt.jpg"/>
                    <pic:cNvPicPr>
                      <a:picLocks noChangeAspect="1" noChangeArrowheads="1"/>
                    </pic:cNvPicPr>
                  </pic:nvPicPr>
                  <pic:blipFill rotWithShape="1">
                    <a:blip r:embed="rId31">
                      <a:extLst>
                        <a:ext uri="{28A0092B-C50C-407E-A947-70E740481C1C}">
                          <a14:useLocalDpi xmlns:a14="http://schemas.microsoft.com/office/drawing/2010/main" val="0"/>
                        </a:ext>
                      </a:extLst>
                    </a:blip>
                    <a:srcRect l="16385" r="10122"/>
                    <a:stretch/>
                  </pic:blipFill>
                  <pic:spPr bwMode="auto">
                    <a:xfrm>
                      <a:off x="0" y="0"/>
                      <a:ext cx="1764030" cy="3200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5D4D">
        <w:rPr>
          <w:rFonts w:ascii="Arial" w:hAnsi="Arial" w:cs="Arial"/>
          <w:noProof/>
          <w:lang w:eastAsia="en-GB"/>
        </w:rPr>
        <mc:AlternateContent>
          <mc:Choice Requires="wps">
            <w:drawing>
              <wp:anchor distT="45720" distB="45720" distL="114300" distR="114300" simplePos="0" relativeHeight="251704320" behindDoc="0" locked="0" layoutInCell="1" allowOverlap="1" wp14:anchorId="23070C1E" wp14:editId="6068AA9F">
                <wp:simplePos x="0" y="0"/>
                <wp:positionH relativeFrom="column">
                  <wp:posOffset>2760345</wp:posOffset>
                </wp:positionH>
                <wp:positionV relativeFrom="page">
                  <wp:posOffset>3676650</wp:posOffset>
                </wp:positionV>
                <wp:extent cx="2171700" cy="1028700"/>
                <wp:effectExtent l="0" t="0" r="19050"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028700"/>
                        </a:xfrm>
                        <a:prstGeom prst="rect">
                          <a:avLst/>
                        </a:prstGeom>
                        <a:solidFill>
                          <a:srgbClr val="FFFFFF"/>
                        </a:solidFill>
                        <a:ln w="9525">
                          <a:solidFill>
                            <a:srgbClr val="000000"/>
                          </a:solidFill>
                          <a:miter lim="800000"/>
                          <a:headEnd/>
                          <a:tailEnd/>
                        </a:ln>
                      </wps:spPr>
                      <wps:txbx>
                        <w:txbxContent>
                          <w:p w:rsidR="00FB2511" w:rsidRPr="00575D4D" w:rsidRDefault="00FB2511" w:rsidP="004924C1">
                            <w:pPr>
                              <w:jc w:val="center"/>
                              <w:rPr>
                                <w:rFonts w:ascii="Arial" w:hAnsi="Arial" w:cs="Arial"/>
                              </w:rPr>
                            </w:pPr>
                            <w:r>
                              <w:rPr>
                                <w:rFonts w:ascii="Arial" w:hAnsi="Arial" w:cs="Arial"/>
                              </w:rPr>
                              <w:t>Fig. 15: Icon with Virgin Mary and Child, the British Museum, © Trustees of the British Museum, 2017,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70C1E" id="_x0000_s1041" type="#_x0000_t202" style="position:absolute;margin-left:217.35pt;margin-top:289.5pt;width:171pt;height:81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">
                <v:textbox>
                  <w:txbxContent>
                    <w:p w:rsidR="00FB2511" w:rsidRPr="00575D4D" w:rsidRDefault="00FB2511" w:rsidP="004924C1">
                      <w:pPr>
                        <w:jc w:val="center"/>
                        <w:rPr>
                          <w:rFonts w:ascii="Arial" w:hAnsi="Arial" w:cs="Arial"/>
                        </w:rPr>
                      </w:pPr>
                      <w:r>
                        <w:rPr>
                          <w:rFonts w:ascii="Arial" w:hAnsi="Arial" w:cs="Arial"/>
                        </w:rPr>
                        <w:t>Fig. 15: Icon with Virgin Mary and Child, the British Museum, © Trustees of the British Museum, 2017, London</w:t>
                      </w:r>
                    </w:p>
                  </w:txbxContent>
                </v:textbox>
                <w10:wrap type="square" anchory="page"/>
              </v:shape>
            </w:pict>
          </mc:Fallback>
        </mc:AlternateContent>
      </w:r>
      <w:r>
        <w:rPr>
          <w:noProof/>
          <w:lang w:eastAsia="en-GB"/>
        </w:rPr>
        <w:drawing>
          <wp:anchor distT="0" distB="0" distL="114300" distR="114300" simplePos="0" relativeHeight="251705344" behindDoc="0" locked="0" layoutInCell="1" allowOverlap="1">
            <wp:simplePos x="0" y="0"/>
            <wp:positionH relativeFrom="column">
              <wp:posOffset>2758440</wp:posOffset>
            </wp:positionH>
            <wp:positionV relativeFrom="paragraph">
              <wp:posOffset>69215</wp:posOffset>
            </wp:positionV>
            <wp:extent cx="2171700" cy="2664460"/>
            <wp:effectExtent l="0" t="0" r="0" b="2540"/>
            <wp:wrapSquare wrapText="bothSides"/>
            <wp:docPr id="32" name="Picture 32" descr="Before conservation treatment 2006.   Centrepiece of icon; painted in egg tempera on gold and wood; within a depressed triple arch with double moulding, the Mother of God Eleousa (&quot;compassionate&quot;) or Glykophilousa (&quot;tender&quot;); above, two saints. The icon set in a gilded frame with an internal beaded b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fore conservation treatment 2006.   Centrepiece of icon; painted in egg tempera on gold and wood; within a depressed triple arch with double moulding, the Mother of God Eleousa (&quot;compassionate&quot;) or Glykophilousa (&quot;tender&quot;); above, two saints. The icon set in a gilded frame with an internal beaded borde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71700" cy="2664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03B0">
        <w:rPr>
          <w:rFonts w:ascii="Arial" w:hAnsi="Arial" w:cs="Arial"/>
        </w:rPr>
        <w:t>Instead of temples, she has small chapel-buildings, and is often venerated alongside Osiris and Horus inside their temples.</w:t>
      </w:r>
      <w:r w:rsidR="000603B0">
        <w:rPr>
          <w:rStyle w:val="FootnoteReference"/>
          <w:rFonts w:ascii="Arial" w:hAnsi="Arial" w:cs="Arial"/>
        </w:rPr>
        <w:footnoteReference w:id="234"/>
      </w:r>
      <w:r w:rsidR="000603B0">
        <w:rPr>
          <w:rFonts w:ascii="Arial" w:hAnsi="Arial" w:cs="Arial"/>
        </w:rPr>
        <w:t xml:space="preserve"> </w:t>
      </w:r>
      <w:r w:rsidR="004924C1">
        <w:rPr>
          <w:rFonts w:ascii="Arial" w:hAnsi="Arial" w:cs="Arial"/>
        </w:rPr>
        <w:t xml:space="preserve">Watterson claims that the cult of Isis became so prominent in wider religious thought, that it was only superseded by that of the Virgin Mary and the young Jesus. She claims that it is a wide belief that the images of Mary and Jesus derived </w:t>
      </w:r>
      <w:r w:rsidR="000603B0">
        <w:rPr>
          <w:rFonts w:ascii="Arial" w:hAnsi="Arial" w:cs="Arial"/>
        </w:rPr>
        <w:t>from images of Isis and her son</w:t>
      </w:r>
      <w:r w:rsidR="004924C1">
        <w:rPr>
          <w:rStyle w:val="FootnoteReference"/>
          <w:rFonts w:ascii="Arial" w:hAnsi="Arial" w:cs="Arial"/>
        </w:rPr>
        <w:footnoteReference w:id="235"/>
      </w:r>
      <w:r w:rsidR="000603B0">
        <w:rPr>
          <w:rFonts w:ascii="Arial" w:hAnsi="Arial" w:cs="Arial"/>
        </w:rPr>
        <w:t xml:space="preserve"> (See Fig.15)</w:t>
      </w:r>
      <w:r w:rsidR="00B65CB1">
        <w:rPr>
          <w:rFonts w:ascii="Arial" w:hAnsi="Arial" w:cs="Arial"/>
        </w:rPr>
        <w:t>.</w:t>
      </w:r>
    </w:p>
    <w:p w:rsidR="0058692B" w:rsidRDefault="005F6EF3" w:rsidP="0058692B">
      <w:pPr>
        <w:spacing w:line="480" w:lineRule="auto"/>
        <w:ind w:right="95"/>
        <w:rPr>
          <w:rFonts w:ascii="Arial" w:hAnsi="Arial" w:cs="Arial"/>
        </w:rPr>
      </w:pPr>
      <w:r w:rsidRPr="00575D4D">
        <w:rPr>
          <w:rFonts w:ascii="Arial" w:hAnsi="Arial" w:cs="Arial"/>
          <w:noProof/>
          <w:lang w:eastAsia="en-GB"/>
        </w:rPr>
        <mc:AlternateContent>
          <mc:Choice Requires="wps">
            <w:drawing>
              <wp:anchor distT="45720" distB="45720" distL="114300" distR="114300" simplePos="0" relativeHeight="251711488" behindDoc="0" locked="0" layoutInCell="1" allowOverlap="1" wp14:anchorId="1B6CDF54" wp14:editId="3AC0589B">
                <wp:simplePos x="0" y="0"/>
                <wp:positionH relativeFrom="column">
                  <wp:posOffset>3155950</wp:posOffset>
                </wp:positionH>
                <wp:positionV relativeFrom="page">
                  <wp:posOffset>8008620</wp:posOffset>
                </wp:positionV>
                <wp:extent cx="1760220" cy="1062990"/>
                <wp:effectExtent l="0" t="0" r="11430" b="2286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1062990"/>
                        </a:xfrm>
                        <a:prstGeom prst="rect">
                          <a:avLst/>
                        </a:prstGeom>
                        <a:solidFill>
                          <a:srgbClr val="FFFFFF"/>
                        </a:solidFill>
                        <a:ln w="9525">
                          <a:solidFill>
                            <a:srgbClr val="000000"/>
                          </a:solidFill>
                          <a:miter lim="800000"/>
                          <a:headEnd/>
                          <a:tailEnd/>
                        </a:ln>
                      </wps:spPr>
                      <wps:txbx>
                        <w:txbxContent>
                          <w:p w:rsidR="00FB2511" w:rsidRPr="00575D4D" w:rsidRDefault="00FB2511" w:rsidP="0024705A">
                            <w:pPr>
                              <w:jc w:val="center"/>
                              <w:rPr>
                                <w:rFonts w:ascii="Arial" w:hAnsi="Arial" w:cs="Arial"/>
                              </w:rPr>
                            </w:pPr>
                            <w:r>
                              <w:rPr>
                                <w:rFonts w:ascii="Arial" w:hAnsi="Arial" w:cs="Arial"/>
                              </w:rPr>
                              <w:t>Fig.16: Statue of Egyptian Goddess Hathor, Luxor Museum, © Kim Bach 2004, Luxor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6CDF54" id="_x0000_s1042" type="#_x0000_t202" style="position:absolute;margin-left:248.5pt;margin-top:630.6pt;width:138.6pt;height:83.7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">
                <v:textbox>
                  <w:txbxContent>
                    <w:p w:rsidR="00FB2511" w:rsidRPr="00575D4D" w:rsidRDefault="00FB2511" w:rsidP="0024705A">
                      <w:pPr>
                        <w:jc w:val="center"/>
                        <w:rPr>
                          <w:rFonts w:ascii="Arial" w:hAnsi="Arial" w:cs="Arial"/>
                        </w:rPr>
                      </w:pPr>
                      <w:r>
                        <w:rPr>
                          <w:rFonts w:ascii="Arial" w:hAnsi="Arial" w:cs="Arial"/>
                        </w:rPr>
                        <w:t>Fig.16: Statue of Egyptian Goddess Hathor, Luxor Museum, © Kim Bach 2004, Luxor</w:t>
                      </w:r>
                    </w:p>
                  </w:txbxContent>
                </v:textbox>
                <w10:wrap type="square" anchory="page"/>
              </v:shape>
            </w:pict>
          </mc:Fallback>
        </mc:AlternateContent>
      </w:r>
      <w:r w:rsidR="00560E18">
        <w:rPr>
          <w:rFonts w:ascii="Arial" w:hAnsi="Arial" w:cs="Arial"/>
        </w:rPr>
        <w:t xml:space="preserve">Hathor (See Fig. 16) </w:t>
      </w:r>
      <w:r w:rsidR="00D1538D">
        <w:rPr>
          <w:rFonts w:ascii="Arial" w:hAnsi="Arial" w:cs="Arial"/>
        </w:rPr>
        <w:t>was a second goddess that was seen essential to the seat of Kingship,</w:t>
      </w:r>
      <w:r w:rsidR="00D1538D">
        <w:rPr>
          <w:rStyle w:val="FootnoteReference"/>
          <w:rFonts w:ascii="Arial" w:hAnsi="Arial" w:cs="Arial"/>
        </w:rPr>
        <w:footnoteReference w:id="236"/>
      </w:r>
      <w:r w:rsidR="00D1538D">
        <w:rPr>
          <w:rFonts w:ascii="Arial" w:hAnsi="Arial" w:cs="Arial"/>
        </w:rPr>
        <w:t xml:space="preserve"> Hathor being the consort of the mythical pharaoh, Horus.</w:t>
      </w:r>
      <w:r w:rsidR="00D1538D">
        <w:rPr>
          <w:rStyle w:val="FootnoteReference"/>
          <w:rFonts w:ascii="Arial" w:hAnsi="Arial" w:cs="Arial"/>
        </w:rPr>
        <w:footnoteReference w:id="237"/>
      </w:r>
      <w:r w:rsidR="00D1538D">
        <w:rPr>
          <w:rFonts w:ascii="Arial" w:hAnsi="Arial" w:cs="Arial"/>
        </w:rPr>
        <w:t xml:space="preserve"> Hathor had more temples dedicated to her than any other goddess.</w:t>
      </w:r>
      <w:r w:rsidR="00D1538D">
        <w:rPr>
          <w:rStyle w:val="FootnoteReference"/>
          <w:rFonts w:ascii="Arial" w:hAnsi="Arial" w:cs="Arial"/>
        </w:rPr>
        <w:footnoteReference w:id="238"/>
      </w:r>
      <w:r w:rsidR="00631410">
        <w:rPr>
          <w:rFonts w:ascii="Arial" w:hAnsi="Arial" w:cs="Arial"/>
        </w:rPr>
        <w:t xml:space="preserve"> Yet, though</w:t>
      </w:r>
      <w:r w:rsidR="00D1538D">
        <w:rPr>
          <w:rFonts w:ascii="Arial" w:hAnsi="Arial" w:cs="Arial"/>
        </w:rPr>
        <w:t xml:space="preserve"> Hathor was said to be such an important deity, it was often her more negative</w:t>
      </w:r>
      <w:r w:rsidR="001E5815">
        <w:rPr>
          <w:rFonts w:ascii="Arial" w:hAnsi="Arial" w:cs="Arial"/>
        </w:rPr>
        <w:t xml:space="preserve"> aspects that were highlighted</w:t>
      </w:r>
      <w:r w:rsidR="00FB343A">
        <w:rPr>
          <w:rFonts w:ascii="Arial" w:hAnsi="Arial" w:cs="Arial"/>
        </w:rPr>
        <w:t xml:space="preserve">, </w:t>
      </w:r>
      <w:r w:rsidR="001E5815">
        <w:rPr>
          <w:rFonts w:ascii="Arial" w:hAnsi="Arial" w:cs="Arial"/>
        </w:rPr>
        <w:t xml:space="preserve">as done in </w:t>
      </w:r>
      <w:r w:rsidR="00D1538D">
        <w:rPr>
          <w:rFonts w:ascii="Arial" w:hAnsi="Arial" w:cs="Arial"/>
        </w:rPr>
        <w:t xml:space="preserve">the Papyrus </w:t>
      </w:r>
      <w:r w:rsidR="00D1538D">
        <w:rPr>
          <w:rFonts w:ascii="Arial" w:hAnsi="Arial" w:cs="Arial"/>
        </w:rPr>
        <w:lastRenderedPageBreak/>
        <w:t>Isinger</w:t>
      </w:r>
      <w:r w:rsidR="00D1538D">
        <w:rPr>
          <w:rStyle w:val="FootnoteReference"/>
          <w:rFonts w:ascii="Arial" w:hAnsi="Arial" w:cs="Arial"/>
        </w:rPr>
        <w:footnoteReference w:id="239"/>
      </w:r>
      <w:r w:rsidR="00D1538D">
        <w:rPr>
          <w:rFonts w:ascii="Arial" w:hAnsi="Arial" w:cs="Arial"/>
        </w:rPr>
        <w:t xml:space="preserve"> </w:t>
      </w:r>
      <w:r w:rsidR="001E5815">
        <w:rPr>
          <w:rFonts w:ascii="Arial" w:hAnsi="Arial" w:cs="Arial"/>
        </w:rPr>
        <w:t>(See A1.9)</w:t>
      </w:r>
      <w:r w:rsidR="00F04346">
        <w:rPr>
          <w:rFonts w:ascii="Arial" w:hAnsi="Arial" w:cs="Arial"/>
        </w:rPr>
        <w:t>.</w:t>
      </w:r>
      <w:r w:rsidR="001E5815">
        <w:rPr>
          <w:rFonts w:ascii="Arial" w:hAnsi="Arial" w:cs="Arial"/>
        </w:rPr>
        <w:t xml:space="preserve"> </w:t>
      </w:r>
      <w:r w:rsidR="00631410">
        <w:rPr>
          <w:rFonts w:ascii="Arial" w:hAnsi="Arial" w:cs="Arial"/>
        </w:rPr>
        <w:t>Tyldesley states that she was the god of love</w:t>
      </w:r>
      <w:r w:rsidR="00D1538D">
        <w:rPr>
          <w:rFonts w:ascii="Arial" w:hAnsi="Arial" w:cs="Arial"/>
        </w:rPr>
        <w:t>, drunkenness, and music.</w:t>
      </w:r>
      <w:r w:rsidR="00D1538D">
        <w:rPr>
          <w:rStyle w:val="FootnoteReference"/>
          <w:rFonts w:ascii="Arial" w:hAnsi="Arial" w:cs="Arial"/>
        </w:rPr>
        <w:footnoteReference w:id="240"/>
      </w:r>
      <w:r w:rsidR="00D1538D">
        <w:rPr>
          <w:rFonts w:ascii="Arial" w:hAnsi="Arial" w:cs="Arial"/>
        </w:rPr>
        <w:t xml:space="preserve"> If Isis was seen as the ideal mother, Hathor was her opposite, embodying female sexuality and inebriation.</w:t>
      </w:r>
      <w:r w:rsidR="00CE4F28">
        <w:rPr>
          <w:rStyle w:val="FootnoteReference"/>
          <w:rFonts w:ascii="Arial" w:hAnsi="Arial" w:cs="Arial"/>
        </w:rPr>
        <w:footnoteReference w:id="241"/>
      </w:r>
      <w:r w:rsidR="00CE4F28">
        <w:rPr>
          <w:rFonts w:ascii="Arial" w:hAnsi="Arial" w:cs="Arial"/>
        </w:rPr>
        <w:t xml:space="preserve"> </w:t>
      </w:r>
      <w:r w:rsidR="005C6A9C">
        <w:rPr>
          <w:rFonts w:ascii="Arial" w:hAnsi="Arial" w:cs="Arial"/>
        </w:rPr>
        <w:t xml:space="preserve">Hathor, alongside goddesses such as Mut and Sekhmet were presented to be angry and violent goddesses. It was the violence of goddesses such as Hathor – </w:t>
      </w:r>
      <w:r w:rsidR="00631410">
        <w:rPr>
          <w:rFonts w:ascii="Arial" w:hAnsi="Arial" w:cs="Arial"/>
        </w:rPr>
        <w:t>identified through the eye of Re</w:t>
      </w:r>
      <w:r w:rsidR="005C6A9C">
        <w:rPr>
          <w:rFonts w:ascii="Arial" w:hAnsi="Arial" w:cs="Arial"/>
        </w:rPr>
        <w:t xml:space="preserve"> – had the capabilities to destroy Egypt, a male god needed to bring the state of Egypt back to one of peace.</w:t>
      </w:r>
      <w:r w:rsidR="005C6A9C">
        <w:rPr>
          <w:rStyle w:val="FootnoteReference"/>
          <w:rFonts w:ascii="Arial" w:hAnsi="Arial" w:cs="Arial"/>
        </w:rPr>
        <w:footnoteReference w:id="242"/>
      </w:r>
      <w:r w:rsidR="00631410">
        <w:rPr>
          <w:rFonts w:ascii="Arial" w:hAnsi="Arial" w:cs="Arial"/>
        </w:rPr>
        <w:t xml:space="preserve"> In one story, Re</w:t>
      </w:r>
      <w:r w:rsidR="005C6A9C">
        <w:rPr>
          <w:rFonts w:ascii="Arial" w:hAnsi="Arial" w:cs="Arial"/>
        </w:rPr>
        <w:t xml:space="preserve"> sends Hathor to destroy the e</w:t>
      </w:r>
      <w:r w:rsidR="00F24B2B">
        <w:rPr>
          <w:rFonts w:ascii="Arial" w:hAnsi="Arial" w:cs="Arial"/>
        </w:rPr>
        <w:t>ntirety of mankind, but later</w:t>
      </w:r>
      <w:r w:rsidR="00631410">
        <w:rPr>
          <w:rFonts w:ascii="Arial" w:hAnsi="Arial" w:cs="Arial"/>
        </w:rPr>
        <w:t xml:space="preserve"> changes his mind and tries</w:t>
      </w:r>
      <w:r w:rsidR="005C6A9C">
        <w:rPr>
          <w:rFonts w:ascii="Arial" w:hAnsi="Arial" w:cs="Arial"/>
        </w:rPr>
        <w:t xml:space="preserve"> to stop the devastation. B</w:t>
      </w:r>
      <w:r w:rsidR="00631410">
        <w:rPr>
          <w:rFonts w:ascii="Arial" w:hAnsi="Arial" w:cs="Arial"/>
        </w:rPr>
        <w:t xml:space="preserve">ut, the only way in which he is able to pacify Hathor is </w:t>
      </w:r>
      <w:r w:rsidR="005C6A9C">
        <w:rPr>
          <w:rFonts w:ascii="Arial" w:hAnsi="Arial" w:cs="Arial"/>
        </w:rPr>
        <w:t>by getting her drunk.</w:t>
      </w:r>
      <w:r w:rsidR="005C6A9C">
        <w:rPr>
          <w:rStyle w:val="FootnoteReference"/>
          <w:rFonts w:ascii="Arial" w:hAnsi="Arial" w:cs="Arial"/>
        </w:rPr>
        <w:footnoteReference w:id="243"/>
      </w:r>
      <w:r w:rsidR="005C6A9C">
        <w:rPr>
          <w:rFonts w:ascii="Arial" w:hAnsi="Arial" w:cs="Arial"/>
        </w:rPr>
        <w:t xml:space="preserve"> Because of the violent capabilities of Hathor, a large amount of her worship was undertaken in order to keep her pacified, so she would not attempt to cause havoc again.</w:t>
      </w:r>
      <w:r w:rsidR="005C6A9C">
        <w:rPr>
          <w:rStyle w:val="FootnoteReference"/>
          <w:rFonts w:ascii="Arial" w:hAnsi="Arial" w:cs="Arial"/>
        </w:rPr>
        <w:footnoteReference w:id="244"/>
      </w:r>
      <w:r w:rsidR="005C6A9C">
        <w:rPr>
          <w:rFonts w:ascii="Arial" w:hAnsi="Arial" w:cs="Arial"/>
        </w:rPr>
        <w:t xml:space="preserve"> Yet, when even such a belief is pervasive about a goddess, it was also known that Hathor did have a caring side – much alike Isis. She is a loving wife to her husband Horus, and is shown to heal </w:t>
      </w:r>
      <w:r w:rsidR="00560E18">
        <w:rPr>
          <w:rFonts w:ascii="Arial" w:hAnsi="Arial" w:cs="Arial"/>
        </w:rPr>
        <w:t>his sight</w:t>
      </w:r>
      <w:r w:rsidR="005C6A9C">
        <w:rPr>
          <w:rFonts w:ascii="Arial" w:hAnsi="Arial" w:cs="Arial"/>
        </w:rPr>
        <w:t xml:space="preserve"> after one of Seth’s attacks</w:t>
      </w:r>
      <w:r w:rsidR="00560E18">
        <w:rPr>
          <w:rFonts w:ascii="Arial" w:hAnsi="Arial" w:cs="Arial"/>
        </w:rPr>
        <w:t xml:space="preserve"> results him having his eyes gouged</w:t>
      </w:r>
      <w:r w:rsidR="005C6A9C">
        <w:rPr>
          <w:rFonts w:ascii="Arial" w:hAnsi="Arial" w:cs="Arial"/>
        </w:rPr>
        <w:t>, before bearing him a son.</w:t>
      </w:r>
      <w:r w:rsidR="005C6A9C">
        <w:rPr>
          <w:rStyle w:val="FootnoteReference"/>
          <w:rFonts w:ascii="Arial" w:hAnsi="Arial" w:cs="Arial"/>
        </w:rPr>
        <w:footnoteReference w:id="245"/>
      </w:r>
      <w:r w:rsidR="00F24B2B">
        <w:rPr>
          <w:rFonts w:ascii="Arial" w:hAnsi="Arial" w:cs="Arial"/>
        </w:rPr>
        <w:t xml:space="preserve"> D</w:t>
      </w:r>
      <w:r w:rsidR="00CE4F28">
        <w:rPr>
          <w:rFonts w:ascii="Arial" w:hAnsi="Arial" w:cs="Arial"/>
        </w:rPr>
        <w:t>ue to her relationship with sexuality, Hathor was also viewed as a fertility goddess,</w:t>
      </w:r>
      <w:r w:rsidR="005C6A9C">
        <w:rPr>
          <w:rFonts w:ascii="Arial" w:hAnsi="Arial" w:cs="Arial"/>
        </w:rPr>
        <w:t xml:space="preserve"> known as the </w:t>
      </w:r>
      <w:r w:rsidR="007F3B06">
        <w:rPr>
          <w:rFonts w:ascii="Arial" w:hAnsi="Arial" w:cs="Arial"/>
        </w:rPr>
        <w:t>“</w:t>
      </w:r>
      <w:r w:rsidR="005C6A9C" w:rsidRPr="007F3B06">
        <w:rPr>
          <w:rFonts w:ascii="Arial" w:hAnsi="Arial" w:cs="Arial"/>
          <w:i/>
        </w:rPr>
        <w:t>Mistress of the Vagina</w:t>
      </w:r>
      <w:r w:rsidR="007F3B06">
        <w:rPr>
          <w:rFonts w:ascii="Arial" w:hAnsi="Arial" w:cs="Arial"/>
        </w:rPr>
        <w:t>”</w:t>
      </w:r>
      <w:r w:rsidR="005C6A9C">
        <w:rPr>
          <w:rStyle w:val="FootnoteReference"/>
          <w:rFonts w:ascii="Arial" w:hAnsi="Arial" w:cs="Arial"/>
        </w:rPr>
        <w:footnoteReference w:id="246"/>
      </w:r>
      <w:r w:rsidR="00CE4F28">
        <w:rPr>
          <w:rFonts w:ascii="Arial" w:hAnsi="Arial" w:cs="Arial"/>
        </w:rPr>
        <w:t xml:space="preserve"> bringing fertility to women and protecting them in childbirth. This relationship with protection in childbirth also connected her to the funerary sphere, aiding with the rebirth of the </w:t>
      </w:r>
      <w:r w:rsidR="00CE4F28">
        <w:rPr>
          <w:rFonts w:ascii="Arial" w:hAnsi="Arial" w:cs="Arial"/>
        </w:rPr>
        <w:lastRenderedPageBreak/>
        <w:t>dead into the afterlife.</w:t>
      </w:r>
      <w:r w:rsidR="00CE4F28">
        <w:rPr>
          <w:rStyle w:val="FootnoteReference"/>
          <w:rFonts w:ascii="Arial" w:hAnsi="Arial" w:cs="Arial"/>
        </w:rPr>
        <w:footnoteReference w:id="247"/>
      </w:r>
      <w:r w:rsidR="005C6A9C">
        <w:rPr>
          <w:rFonts w:ascii="Arial" w:hAnsi="Arial" w:cs="Arial"/>
        </w:rPr>
        <w:t xml:space="preserve"> In Hathor’s bovine form, she was seen to be a giver of life through her milk, acting as a royal nurse to the king, the king being depicted suckling at her even as an adult.</w:t>
      </w:r>
      <w:r w:rsidR="005C6A9C">
        <w:rPr>
          <w:rStyle w:val="FootnoteReference"/>
          <w:rFonts w:ascii="Arial" w:hAnsi="Arial" w:cs="Arial"/>
        </w:rPr>
        <w:footnoteReference w:id="248"/>
      </w:r>
    </w:p>
    <w:p w:rsidR="00F24B2B" w:rsidRDefault="0075037D" w:rsidP="0058692B">
      <w:pPr>
        <w:spacing w:line="480" w:lineRule="auto"/>
        <w:ind w:right="95"/>
        <w:rPr>
          <w:rFonts w:ascii="Arial" w:hAnsi="Arial" w:cs="Arial"/>
        </w:rPr>
      </w:pPr>
      <w:r>
        <w:rPr>
          <w:rFonts w:ascii="Arial" w:hAnsi="Arial" w:cs="Arial"/>
          <w:noProof/>
          <w:lang w:eastAsia="en-GB"/>
        </w:rPr>
        <w:drawing>
          <wp:anchor distT="0" distB="0" distL="114300" distR="114300" simplePos="0" relativeHeight="251712512" behindDoc="0" locked="0" layoutInCell="1" allowOverlap="1">
            <wp:simplePos x="0" y="0"/>
            <wp:positionH relativeFrom="column">
              <wp:posOffset>2648585</wp:posOffset>
            </wp:positionH>
            <wp:positionV relativeFrom="paragraph">
              <wp:posOffset>1629410</wp:posOffset>
            </wp:positionV>
            <wp:extent cx="2211705" cy="3330575"/>
            <wp:effectExtent l="0" t="0" r="0" b="317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Head_and_upper_body_of_the_goddess_Sekhmet,_Kelvingrove_Art_Gallery_and_Museum,_Glasgow..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211705" cy="3330575"/>
                    </a:xfrm>
                    <a:prstGeom prst="rect">
                      <a:avLst/>
                    </a:prstGeom>
                  </pic:spPr>
                </pic:pic>
              </a:graphicData>
            </a:graphic>
            <wp14:sizeRelH relativeFrom="margin">
              <wp14:pctWidth>0</wp14:pctWidth>
            </wp14:sizeRelH>
            <wp14:sizeRelV relativeFrom="margin">
              <wp14:pctHeight>0</wp14:pctHeight>
            </wp14:sizeRelV>
          </wp:anchor>
        </w:drawing>
      </w:r>
      <w:r w:rsidRPr="00575D4D">
        <w:rPr>
          <w:rFonts w:ascii="Arial" w:hAnsi="Arial" w:cs="Arial"/>
          <w:noProof/>
          <w:lang w:eastAsia="en-GB"/>
        </w:rPr>
        <mc:AlternateContent>
          <mc:Choice Requires="wps">
            <w:drawing>
              <wp:anchor distT="45720" distB="45720" distL="114300" distR="114300" simplePos="0" relativeHeight="251714560" behindDoc="0" locked="0" layoutInCell="1" allowOverlap="1" wp14:anchorId="7B4C1E92" wp14:editId="323DCF2F">
                <wp:simplePos x="0" y="0"/>
                <wp:positionH relativeFrom="column">
                  <wp:posOffset>2636520</wp:posOffset>
                </wp:positionH>
                <wp:positionV relativeFrom="page">
                  <wp:posOffset>7096125</wp:posOffset>
                </wp:positionV>
                <wp:extent cx="2219960" cy="1254125"/>
                <wp:effectExtent l="0" t="0" r="27940" b="2222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9960" cy="1254125"/>
                        </a:xfrm>
                        <a:prstGeom prst="rect">
                          <a:avLst/>
                        </a:prstGeom>
                        <a:solidFill>
                          <a:srgbClr val="FFFFFF"/>
                        </a:solidFill>
                        <a:ln w="9525">
                          <a:solidFill>
                            <a:srgbClr val="000000"/>
                          </a:solidFill>
                          <a:miter lim="800000"/>
                          <a:headEnd/>
                          <a:tailEnd/>
                        </a:ln>
                      </wps:spPr>
                      <wps:txbx>
                        <w:txbxContent>
                          <w:p w:rsidR="00FB2511" w:rsidRPr="00575D4D" w:rsidRDefault="00FB2511" w:rsidP="00560E18">
                            <w:pPr>
                              <w:jc w:val="center"/>
                              <w:rPr>
                                <w:rFonts w:ascii="Arial" w:hAnsi="Arial" w:cs="Arial"/>
                              </w:rPr>
                            </w:pPr>
                            <w:r>
                              <w:rPr>
                                <w:rFonts w:ascii="Arial" w:hAnsi="Arial" w:cs="Arial"/>
                              </w:rPr>
                              <w:t>Fig.17: Head and Upper Body of the goddess Sekhmet, Kelvingrove Art Gallery and Museum © Osama Shukir Muhammad Amin, 2013, Glasgow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C1E92" id="_x0000_s1043" type="#_x0000_t202" style="position:absolute;margin-left:207.6pt;margin-top:558.75pt;width:174.8pt;height:98.7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">
                <v:textbox>
                  <w:txbxContent>
                    <w:p w:rsidR="00FB2511" w:rsidRPr="00575D4D" w:rsidRDefault="00FB2511" w:rsidP="00560E18">
                      <w:pPr>
                        <w:jc w:val="center"/>
                        <w:rPr>
                          <w:rFonts w:ascii="Arial" w:hAnsi="Arial" w:cs="Arial"/>
                        </w:rPr>
                      </w:pPr>
                      <w:r>
                        <w:rPr>
                          <w:rFonts w:ascii="Arial" w:hAnsi="Arial" w:cs="Arial"/>
                        </w:rPr>
                        <w:t>Fig.17: Head and Upper Body of the goddess Sekhmet, Kelvingrove Art Gallery and Museum © Osama Shukir Muhammad Amin, 2013, Glasgow</w:t>
                      </w:r>
                    </w:p>
                  </w:txbxContent>
                </v:textbox>
                <w10:wrap type="square" anchory="page"/>
              </v:shape>
            </w:pict>
          </mc:Fallback>
        </mc:AlternateContent>
      </w:r>
      <w:r w:rsidR="00F24B2B">
        <w:rPr>
          <w:rFonts w:ascii="Arial" w:hAnsi="Arial" w:cs="Arial"/>
        </w:rPr>
        <w:t>One of the goddesses largely related to Hathor was Sekhmet,</w:t>
      </w:r>
      <w:r w:rsidR="0058692B">
        <w:rPr>
          <w:rFonts w:ascii="Arial" w:hAnsi="Arial" w:cs="Arial"/>
        </w:rPr>
        <w:t xml:space="preserve"> (see Fig. 17)</w:t>
      </w:r>
      <w:r w:rsidR="00F24B2B">
        <w:rPr>
          <w:rFonts w:ascii="Arial" w:hAnsi="Arial" w:cs="Arial"/>
        </w:rPr>
        <w:t xml:space="preserve"> the consort of Ptah, based at Memphis.</w:t>
      </w:r>
      <w:r w:rsidR="00F24B2B">
        <w:rPr>
          <w:rStyle w:val="FootnoteReference"/>
          <w:rFonts w:ascii="Arial" w:hAnsi="Arial" w:cs="Arial"/>
        </w:rPr>
        <w:footnoteReference w:id="249"/>
      </w:r>
      <w:r w:rsidR="00F24B2B">
        <w:rPr>
          <w:rFonts w:ascii="Arial" w:hAnsi="Arial" w:cs="Arial"/>
        </w:rPr>
        <w:t xml:space="preserve"> The two aspects of her personality included both war, and healing.</w:t>
      </w:r>
      <w:r w:rsidR="00F24B2B">
        <w:rPr>
          <w:rStyle w:val="FootnoteReference"/>
          <w:rFonts w:ascii="Arial" w:hAnsi="Arial" w:cs="Arial"/>
        </w:rPr>
        <w:footnoteReference w:id="250"/>
      </w:r>
      <w:r w:rsidR="00F24B2B">
        <w:rPr>
          <w:rFonts w:ascii="Arial" w:hAnsi="Arial" w:cs="Arial"/>
        </w:rPr>
        <w:t xml:space="preserve"> Sekhmet was a lion-headed goddess, mainly venerated as the patroness of war and sickness.</w:t>
      </w:r>
      <w:r w:rsidR="00F24B2B">
        <w:rPr>
          <w:rStyle w:val="FootnoteReference"/>
          <w:rFonts w:ascii="Arial" w:hAnsi="Arial" w:cs="Arial"/>
        </w:rPr>
        <w:footnoteReference w:id="251"/>
      </w:r>
      <w:r w:rsidR="00F24B2B">
        <w:rPr>
          <w:rFonts w:ascii="Arial" w:hAnsi="Arial" w:cs="Arial"/>
        </w:rPr>
        <w:t xml:space="preserve"> </w:t>
      </w:r>
      <w:r w:rsidR="009F107F">
        <w:rPr>
          <w:rFonts w:ascii="Arial" w:hAnsi="Arial" w:cs="Arial"/>
        </w:rPr>
        <w:t>Sekhmet was often credited with the ability to breathe fire at her enemies, this leading to her adoption by kings as a symbol of power in warfare, coming to bear titles such as “</w:t>
      </w:r>
      <w:r w:rsidR="009F107F">
        <w:rPr>
          <w:rFonts w:ascii="Arial" w:hAnsi="Arial" w:cs="Arial"/>
          <w:i/>
        </w:rPr>
        <w:t>The Smiter of the Nubians”,</w:t>
      </w:r>
      <w:r w:rsidR="009F107F">
        <w:rPr>
          <w:rStyle w:val="FootnoteReference"/>
          <w:rFonts w:ascii="Arial" w:hAnsi="Arial" w:cs="Arial"/>
          <w:i/>
        </w:rPr>
        <w:footnoteReference w:id="252"/>
      </w:r>
      <w:r w:rsidR="009F107F">
        <w:rPr>
          <w:rFonts w:ascii="Arial" w:hAnsi="Arial" w:cs="Arial"/>
        </w:rPr>
        <w:t xml:space="preserve"> and the hot desert winds being referred to as the </w:t>
      </w:r>
      <w:r w:rsidR="007F3B06">
        <w:rPr>
          <w:rFonts w:ascii="Arial" w:hAnsi="Arial" w:cs="Arial"/>
        </w:rPr>
        <w:t>“</w:t>
      </w:r>
      <w:r w:rsidR="00631410">
        <w:rPr>
          <w:rFonts w:ascii="Arial" w:hAnsi="Arial" w:cs="Arial"/>
          <w:i/>
        </w:rPr>
        <w:t>B</w:t>
      </w:r>
      <w:r w:rsidR="009F107F" w:rsidRPr="007F3B06">
        <w:rPr>
          <w:rFonts w:ascii="Arial" w:hAnsi="Arial" w:cs="Arial"/>
          <w:i/>
        </w:rPr>
        <w:t>reath of Sekhmet</w:t>
      </w:r>
      <w:r w:rsidR="007F3B06">
        <w:rPr>
          <w:rFonts w:ascii="Arial" w:hAnsi="Arial" w:cs="Arial"/>
        </w:rPr>
        <w:t>”</w:t>
      </w:r>
      <w:r w:rsidR="009F107F">
        <w:rPr>
          <w:rFonts w:ascii="Arial" w:hAnsi="Arial" w:cs="Arial"/>
        </w:rPr>
        <w:t>.</w:t>
      </w:r>
      <w:r w:rsidR="009F107F">
        <w:rPr>
          <w:rStyle w:val="FootnoteReference"/>
          <w:rFonts w:ascii="Arial" w:hAnsi="Arial" w:cs="Arial"/>
        </w:rPr>
        <w:footnoteReference w:id="253"/>
      </w:r>
      <w:r w:rsidR="009F107F">
        <w:rPr>
          <w:rFonts w:ascii="Arial" w:hAnsi="Arial" w:cs="Arial"/>
        </w:rPr>
        <w:t xml:space="preserve"> As well as aiding the king in his conquests and battles, Wilkinson states that she also protected the king in a motherly manner.</w:t>
      </w:r>
      <w:r w:rsidR="009F107F">
        <w:rPr>
          <w:rStyle w:val="FootnoteReference"/>
          <w:rFonts w:ascii="Arial" w:hAnsi="Arial" w:cs="Arial"/>
        </w:rPr>
        <w:footnoteReference w:id="254"/>
      </w:r>
      <w:r w:rsidR="009F107F">
        <w:rPr>
          <w:rFonts w:ascii="Arial" w:hAnsi="Arial" w:cs="Arial"/>
          <w:i/>
        </w:rPr>
        <w:t xml:space="preserve"> </w:t>
      </w:r>
      <w:r w:rsidR="00F24B2B">
        <w:rPr>
          <w:rFonts w:ascii="Arial" w:hAnsi="Arial" w:cs="Arial"/>
        </w:rPr>
        <w:t xml:space="preserve">Quite often, Sekhmet has been interchanged with Hathor in her and Re’s destruction story, both of </w:t>
      </w:r>
      <w:r w:rsidR="00F24B2B">
        <w:rPr>
          <w:rFonts w:ascii="Arial" w:hAnsi="Arial" w:cs="Arial"/>
        </w:rPr>
        <w:lastRenderedPageBreak/>
        <w:t>these goddesses viewed to have such violent capabilities. Even with these violent capabilities, Sekhmet was seen to be the protectress of doctors.</w:t>
      </w:r>
      <w:r w:rsidR="00F24B2B">
        <w:rPr>
          <w:rStyle w:val="FootnoteReference"/>
          <w:rFonts w:ascii="Arial" w:hAnsi="Arial" w:cs="Arial"/>
        </w:rPr>
        <w:footnoteReference w:id="255"/>
      </w:r>
      <w:r w:rsidR="00F24B2B">
        <w:rPr>
          <w:rFonts w:ascii="Arial" w:hAnsi="Arial" w:cs="Arial"/>
        </w:rPr>
        <w:t xml:space="preserve"> If she was able to create plagues and sickness, she could also heal. </w:t>
      </w:r>
      <w:r w:rsidR="009F107F">
        <w:rPr>
          <w:rFonts w:ascii="Arial" w:hAnsi="Arial" w:cs="Arial"/>
        </w:rPr>
        <w:t xml:space="preserve">When in her persona of healing, Sekhmet was referred to as the </w:t>
      </w:r>
      <w:r w:rsidR="007F3B06">
        <w:rPr>
          <w:rFonts w:ascii="Arial" w:hAnsi="Arial" w:cs="Arial"/>
        </w:rPr>
        <w:t>“</w:t>
      </w:r>
      <w:r w:rsidR="00631410">
        <w:rPr>
          <w:rFonts w:ascii="Arial" w:hAnsi="Arial" w:cs="Arial"/>
          <w:i/>
        </w:rPr>
        <w:t>Mistress of L</w:t>
      </w:r>
      <w:r w:rsidR="009F107F" w:rsidRPr="007F3B06">
        <w:rPr>
          <w:rFonts w:ascii="Arial" w:hAnsi="Arial" w:cs="Arial"/>
          <w:i/>
        </w:rPr>
        <w:t>ife</w:t>
      </w:r>
      <w:r w:rsidR="007F3B06">
        <w:rPr>
          <w:rFonts w:ascii="Arial" w:hAnsi="Arial" w:cs="Arial"/>
        </w:rPr>
        <w:t>”</w:t>
      </w:r>
      <w:r w:rsidR="009F107F">
        <w:rPr>
          <w:rFonts w:ascii="Arial" w:hAnsi="Arial" w:cs="Arial"/>
        </w:rPr>
        <w:t>,</w:t>
      </w:r>
      <w:r w:rsidR="009F107F">
        <w:rPr>
          <w:rStyle w:val="FootnoteReference"/>
          <w:rFonts w:ascii="Arial" w:hAnsi="Arial" w:cs="Arial"/>
        </w:rPr>
        <w:footnoteReference w:id="256"/>
      </w:r>
      <w:r w:rsidR="009F107F">
        <w:rPr>
          <w:rFonts w:ascii="Arial" w:hAnsi="Arial" w:cs="Arial"/>
        </w:rPr>
        <w:t xml:space="preserve"> with the power to ward off pestilence. </w:t>
      </w:r>
      <w:r w:rsidR="009F107F">
        <w:rPr>
          <w:rFonts w:ascii="Arial" w:hAnsi="Arial" w:cs="Arial"/>
        </w:rPr>
        <w:br/>
        <w:t>Though Sekhmet was based at Memphis, there are examples of temples dedicated to her in other areas, one notable one being in Abusir, representations of her here being dated to before the 5</w:t>
      </w:r>
      <w:r w:rsidR="009F107F" w:rsidRPr="009F107F">
        <w:rPr>
          <w:rFonts w:ascii="Arial" w:hAnsi="Arial" w:cs="Arial"/>
          <w:vertAlign w:val="superscript"/>
        </w:rPr>
        <w:t>th</w:t>
      </w:r>
      <w:r w:rsidR="009F107F">
        <w:rPr>
          <w:rFonts w:ascii="Arial" w:hAnsi="Arial" w:cs="Arial"/>
        </w:rPr>
        <w:t xml:space="preserve"> dynasty.</w:t>
      </w:r>
      <w:r w:rsidR="009F107F">
        <w:rPr>
          <w:rStyle w:val="FootnoteReference"/>
          <w:rFonts w:ascii="Arial" w:hAnsi="Arial" w:cs="Arial"/>
        </w:rPr>
        <w:footnoteReference w:id="257"/>
      </w:r>
    </w:p>
    <w:p w:rsidR="00113D94" w:rsidRDefault="00113D94" w:rsidP="00113D94">
      <w:pPr>
        <w:spacing w:line="480" w:lineRule="auto"/>
        <w:ind w:right="-23"/>
        <w:rPr>
          <w:rFonts w:ascii="Arial" w:hAnsi="Arial" w:cs="Arial"/>
        </w:rPr>
      </w:pPr>
      <w:r>
        <w:rPr>
          <w:rFonts w:ascii="Arial" w:hAnsi="Arial" w:cs="Arial"/>
        </w:rPr>
        <w:t xml:space="preserve">Maat was both known </w:t>
      </w:r>
      <w:r w:rsidR="00631410">
        <w:rPr>
          <w:rFonts w:ascii="Arial" w:hAnsi="Arial" w:cs="Arial"/>
        </w:rPr>
        <w:t xml:space="preserve">to be the personification of </w:t>
      </w:r>
      <w:r>
        <w:rPr>
          <w:rFonts w:ascii="Arial" w:hAnsi="Arial" w:cs="Arial"/>
        </w:rPr>
        <w:t>positive cosmic order, and the goddess of social order, justice, and truth.</w:t>
      </w:r>
      <w:r>
        <w:rPr>
          <w:rStyle w:val="FootnoteReference"/>
          <w:rFonts w:ascii="Arial" w:hAnsi="Arial" w:cs="Arial"/>
        </w:rPr>
        <w:footnoteReference w:id="258"/>
      </w:r>
      <w:r>
        <w:rPr>
          <w:rFonts w:ascii="Arial" w:hAnsi="Arial" w:cs="Arial"/>
        </w:rPr>
        <w:t xml:space="preserve"> Because the </w:t>
      </w:r>
      <w:r w:rsidR="00631410">
        <w:rPr>
          <w:rFonts w:ascii="Arial" w:hAnsi="Arial" w:cs="Arial"/>
        </w:rPr>
        <w:t>image</w:t>
      </w:r>
      <w:r>
        <w:rPr>
          <w:rFonts w:ascii="Arial" w:hAnsi="Arial" w:cs="Arial"/>
        </w:rPr>
        <w:t xml:space="preserve"> of cosmic order was a female god, Watterson presents the concept that because of this, women must have been regarded in some sense a force of stability.</w:t>
      </w:r>
      <w:r>
        <w:rPr>
          <w:rStyle w:val="FootnoteReference"/>
          <w:rFonts w:ascii="Arial" w:hAnsi="Arial" w:cs="Arial"/>
        </w:rPr>
        <w:footnoteReference w:id="259"/>
      </w:r>
      <w:r>
        <w:rPr>
          <w:rFonts w:ascii="Arial" w:hAnsi="Arial" w:cs="Arial"/>
        </w:rPr>
        <w:t xml:space="preserve"> What </w:t>
      </w:r>
      <w:r w:rsidR="00423F2A">
        <w:rPr>
          <w:rFonts w:ascii="Arial" w:hAnsi="Arial" w:cs="Arial"/>
        </w:rPr>
        <w:t>is thought to be the reason why</w:t>
      </w:r>
      <w:r>
        <w:rPr>
          <w:rFonts w:ascii="Arial" w:hAnsi="Arial" w:cs="Arial"/>
        </w:rPr>
        <w:t xml:space="preserve"> Maat is so close to the seat of the king is because of her recognition as a </w:t>
      </w:r>
      <w:r w:rsidR="007F3B06">
        <w:rPr>
          <w:rFonts w:ascii="Arial" w:hAnsi="Arial" w:cs="Arial"/>
        </w:rPr>
        <w:t>“</w:t>
      </w:r>
      <w:r w:rsidR="00631410">
        <w:rPr>
          <w:rFonts w:ascii="Arial" w:hAnsi="Arial" w:cs="Arial"/>
          <w:i/>
        </w:rPr>
        <w:t>D</w:t>
      </w:r>
      <w:r w:rsidRPr="007F3B06">
        <w:rPr>
          <w:rFonts w:ascii="Arial" w:hAnsi="Arial" w:cs="Arial"/>
          <w:i/>
        </w:rPr>
        <w:t>aughter of Re</w:t>
      </w:r>
      <w:r w:rsidR="007F3B06">
        <w:rPr>
          <w:rFonts w:ascii="Arial" w:hAnsi="Arial" w:cs="Arial"/>
        </w:rPr>
        <w:t>”</w:t>
      </w:r>
      <w:r>
        <w:rPr>
          <w:rFonts w:ascii="Arial" w:hAnsi="Arial" w:cs="Arial"/>
        </w:rPr>
        <w:t xml:space="preserve">. The King was known to be the </w:t>
      </w:r>
      <w:r w:rsidR="007F3B06">
        <w:rPr>
          <w:rFonts w:ascii="Arial" w:hAnsi="Arial" w:cs="Arial"/>
        </w:rPr>
        <w:t>“</w:t>
      </w:r>
      <w:r w:rsidRPr="007F3B06">
        <w:rPr>
          <w:rFonts w:ascii="Arial" w:hAnsi="Arial" w:cs="Arial"/>
          <w:i/>
        </w:rPr>
        <w:t>Son of Re</w:t>
      </w:r>
      <w:r w:rsidR="007F3B06">
        <w:rPr>
          <w:rFonts w:ascii="Arial" w:hAnsi="Arial" w:cs="Arial"/>
        </w:rPr>
        <w:t>”</w:t>
      </w:r>
      <w:r>
        <w:rPr>
          <w:rFonts w:ascii="Arial" w:hAnsi="Arial" w:cs="Arial"/>
        </w:rPr>
        <w:t xml:space="preserve"> and thus, Maat was his sister, this relationship being viewed as </w:t>
      </w:r>
      <w:r w:rsidR="007F3B06">
        <w:rPr>
          <w:rFonts w:ascii="Arial" w:hAnsi="Arial" w:cs="Arial"/>
        </w:rPr>
        <w:t>“</w:t>
      </w:r>
      <w:r w:rsidR="007F3B06" w:rsidRPr="007F3B06">
        <w:rPr>
          <w:rFonts w:ascii="Arial" w:hAnsi="Arial" w:cs="Arial"/>
          <w:i/>
        </w:rPr>
        <w:t>vital</w:t>
      </w:r>
      <w:r w:rsidR="007F3B06">
        <w:rPr>
          <w:rFonts w:ascii="Arial" w:hAnsi="Arial" w:cs="Arial"/>
        </w:rPr>
        <w:t>”</w:t>
      </w:r>
      <w:r>
        <w:rPr>
          <w:rStyle w:val="FootnoteReference"/>
          <w:rFonts w:ascii="Arial" w:hAnsi="Arial" w:cs="Arial"/>
        </w:rPr>
        <w:footnoteReference w:id="260"/>
      </w:r>
      <w:r>
        <w:rPr>
          <w:rFonts w:ascii="Arial" w:hAnsi="Arial" w:cs="Arial"/>
        </w:rPr>
        <w:t xml:space="preserve"> by Wilkinson. The king’s legitimacy was based on how well he was able to control Maat, and upholding it to </w:t>
      </w:r>
      <w:r w:rsidR="0075037D">
        <w:rPr>
          <w:noProof/>
          <w:lang w:eastAsia="en-GB"/>
        </w:rPr>
        <w:lastRenderedPageBreak/>
        <w:drawing>
          <wp:anchor distT="0" distB="0" distL="114300" distR="114300" simplePos="0" relativeHeight="251706368" behindDoc="0" locked="0" layoutInCell="1" allowOverlap="1">
            <wp:simplePos x="0" y="0"/>
            <wp:positionH relativeFrom="column">
              <wp:posOffset>1469390</wp:posOffset>
            </wp:positionH>
            <wp:positionV relativeFrom="paragraph">
              <wp:posOffset>0</wp:posOffset>
            </wp:positionV>
            <wp:extent cx="3317240" cy="2388870"/>
            <wp:effectExtent l="0" t="0" r="0" b="0"/>
            <wp:wrapSquare wrapText="bothSides"/>
            <wp:docPr id="33" name="Picture 33" descr="http://www.britishmuseum.org/collectionimages/AN00684/AN00684647_001_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britishmuseum.org/collectionimages/AN00684/AN00684647_001_l.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317240" cy="238887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ensure that Egypt as a whole would not fall into ruin. Because of this link, many kings were known by the title of </w:t>
      </w:r>
      <w:r w:rsidR="007F3B06">
        <w:rPr>
          <w:rFonts w:ascii="Arial" w:hAnsi="Arial" w:cs="Arial"/>
        </w:rPr>
        <w:t>“</w:t>
      </w:r>
      <w:r w:rsidR="00423F2A">
        <w:rPr>
          <w:rFonts w:ascii="Arial" w:hAnsi="Arial" w:cs="Arial"/>
          <w:i/>
        </w:rPr>
        <w:t>B</w:t>
      </w:r>
      <w:r w:rsidRPr="007F3B06">
        <w:rPr>
          <w:rFonts w:ascii="Arial" w:hAnsi="Arial" w:cs="Arial"/>
          <w:i/>
        </w:rPr>
        <w:t xml:space="preserve">eloved of </w:t>
      </w:r>
      <w:r w:rsidR="0075037D" w:rsidRPr="00575D4D">
        <w:rPr>
          <w:rFonts w:ascii="Arial" w:hAnsi="Arial" w:cs="Arial"/>
          <w:noProof/>
          <w:lang w:eastAsia="en-GB"/>
        </w:rPr>
        <mc:AlternateContent>
          <mc:Choice Requires="wps">
            <w:drawing>
              <wp:anchor distT="45720" distB="45720" distL="114300" distR="114300" simplePos="0" relativeHeight="251708416" behindDoc="0" locked="0" layoutInCell="1" allowOverlap="1" wp14:anchorId="78956104" wp14:editId="15B7DBD4">
                <wp:simplePos x="0" y="0"/>
                <wp:positionH relativeFrom="column">
                  <wp:posOffset>1466215</wp:posOffset>
                </wp:positionH>
                <wp:positionV relativeFrom="page">
                  <wp:posOffset>3384550</wp:posOffset>
                </wp:positionV>
                <wp:extent cx="3317240" cy="750570"/>
                <wp:effectExtent l="0" t="0" r="16510" b="1143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7240" cy="750570"/>
                        </a:xfrm>
                        <a:prstGeom prst="rect">
                          <a:avLst/>
                        </a:prstGeom>
                        <a:solidFill>
                          <a:srgbClr val="FFFFFF"/>
                        </a:solidFill>
                        <a:ln w="9525">
                          <a:solidFill>
                            <a:srgbClr val="000000"/>
                          </a:solidFill>
                          <a:miter lim="800000"/>
                          <a:headEnd/>
                          <a:tailEnd/>
                        </a:ln>
                      </wps:spPr>
                      <wps:txbx>
                        <w:txbxContent>
                          <w:p w:rsidR="00FB2511" w:rsidRPr="00575D4D" w:rsidRDefault="00FB2511" w:rsidP="00076298">
                            <w:pPr>
                              <w:jc w:val="center"/>
                              <w:rPr>
                                <w:rFonts w:ascii="Arial" w:hAnsi="Arial" w:cs="Arial"/>
                              </w:rPr>
                            </w:pPr>
                            <w:r>
                              <w:rPr>
                                <w:rFonts w:ascii="Arial" w:hAnsi="Arial" w:cs="Arial"/>
                              </w:rPr>
                              <w:t>Fig. 18: Ani’s Judgement, Papyrus Ani © Trustees of the British Museum, 2017,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56104" id="_x0000_s1044" type="#_x0000_t202" style="position:absolute;margin-left:115.45pt;margin-top:266.5pt;width:261.2pt;height:59.1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">
                <v:textbox>
                  <w:txbxContent>
                    <w:p w:rsidR="00FB2511" w:rsidRPr="00575D4D" w:rsidRDefault="00FB2511" w:rsidP="00076298">
                      <w:pPr>
                        <w:jc w:val="center"/>
                        <w:rPr>
                          <w:rFonts w:ascii="Arial" w:hAnsi="Arial" w:cs="Arial"/>
                        </w:rPr>
                      </w:pPr>
                      <w:r>
                        <w:rPr>
                          <w:rFonts w:ascii="Arial" w:hAnsi="Arial" w:cs="Arial"/>
                        </w:rPr>
                        <w:t>Fig. 18: Ani’s Judgement, Papyrus Ani © Trustees of the British Museum, 2017, London</w:t>
                      </w:r>
                    </w:p>
                  </w:txbxContent>
                </v:textbox>
                <w10:wrap type="square" anchory="page"/>
              </v:shape>
            </w:pict>
          </mc:Fallback>
        </mc:AlternateContent>
      </w:r>
      <w:r w:rsidR="00423F2A">
        <w:rPr>
          <w:rFonts w:ascii="Arial" w:hAnsi="Arial" w:cs="Arial"/>
          <w:i/>
        </w:rPr>
        <w:t>M</w:t>
      </w:r>
      <w:r w:rsidRPr="007F3B06">
        <w:rPr>
          <w:rFonts w:ascii="Arial" w:hAnsi="Arial" w:cs="Arial"/>
          <w:i/>
        </w:rPr>
        <w:t>aat</w:t>
      </w:r>
      <w:r w:rsidR="007F3B06">
        <w:rPr>
          <w:rFonts w:ascii="Arial" w:hAnsi="Arial" w:cs="Arial"/>
        </w:rPr>
        <w:t>”</w:t>
      </w:r>
      <w:r>
        <w:rPr>
          <w:rFonts w:ascii="Arial" w:hAnsi="Arial" w:cs="Arial"/>
        </w:rPr>
        <w:t>.</w:t>
      </w:r>
      <w:r>
        <w:rPr>
          <w:rStyle w:val="FootnoteReference"/>
          <w:rFonts w:ascii="Arial" w:hAnsi="Arial" w:cs="Arial"/>
        </w:rPr>
        <w:footnoteReference w:id="261"/>
      </w:r>
      <w:r>
        <w:rPr>
          <w:rFonts w:ascii="Arial" w:hAnsi="Arial" w:cs="Arial"/>
        </w:rPr>
        <w:br/>
        <w:t xml:space="preserve">Maat was not only present in the upholding of the cosmic order, but an aspect of her was also relevant when it came to the judgement of the dead. The dual form of Maat can be seen in some </w:t>
      </w:r>
      <w:r w:rsidR="00076298">
        <w:rPr>
          <w:rFonts w:ascii="Arial" w:hAnsi="Arial" w:cs="Arial"/>
        </w:rPr>
        <w:t>depictions of the Hall of Two Truths, but if not, the common form for Maat to be seen in these scenes is as the feather</w:t>
      </w:r>
      <w:r w:rsidR="00076298" w:rsidRPr="00076298">
        <w:t xml:space="preserve"> </w:t>
      </w:r>
      <w:r w:rsidR="00076298">
        <w:rPr>
          <w:rFonts w:ascii="Arial" w:hAnsi="Arial" w:cs="Arial"/>
        </w:rPr>
        <w:t>on the other side of the scales to the heart</w:t>
      </w:r>
      <w:r w:rsidR="0024705A">
        <w:rPr>
          <w:rFonts w:ascii="Arial" w:hAnsi="Arial" w:cs="Arial"/>
        </w:rPr>
        <w:t xml:space="preserve"> (See </w:t>
      </w:r>
      <w:r w:rsidR="00560E18">
        <w:rPr>
          <w:rFonts w:ascii="Arial" w:hAnsi="Arial" w:cs="Arial"/>
        </w:rPr>
        <w:t>Fig. 18</w:t>
      </w:r>
      <w:r w:rsidR="00D02F6D">
        <w:rPr>
          <w:rFonts w:ascii="Arial" w:hAnsi="Arial" w:cs="Arial"/>
        </w:rPr>
        <w:t>)</w:t>
      </w:r>
      <w:r w:rsidR="00076298">
        <w:rPr>
          <w:rFonts w:ascii="Arial" w:hAnsi="Arial" w:cs="Arial"/>
        </w:rPr>
        <w:t xml:space="preserve"> or even as a small image of the goddess herself in the same place.</w:t>
      </w:r>
      <w:r w:rsidR="00076298">
        <w:rPr>
          <w:rStyle w:val="FootnoteReference"/>
          <w:rFonts w:ascii="Arial" w:hAnsi="Arial" w:cs="Arial"/>
        </w:rPr>
        <w:footnoteReference w:id="262"/>
      </w:r>
      <w:r w:rsidR="00076298">
        <w:rPr>
          <w:rFonts w:ascii="Arial" w:hAnsi="Arial" w:cs="Arial"/>
        </w:rPr>
        <w:t xml:space="preserve"> The gods themselves that act as judges of the dead are sometimes referred to as the </w:t>
      </w:r>
      <w:r w:rsidR="007F3B06">
        <w:rPr>
          <w:rFonts w:ascii="Arial" w:hAnsi="Arial" w:cs="Arial"/>
        </w:rPr>
        <w:t>“</w:t>
      </w:r>
      <w:r w:rsidR="00076298" w:rsidRPr="007F3B06">
        <w:rPr>
          <w:rFonts w:ascii="Arial" w:hAnsi="Arial" w:cs="Arial"/>
          <w:i/>
        </w:rPr>
        <w:t>Council of Maat</w:t>
      </w:r>
      <w:r w:rsidR="007F3B06">
        <w:rPr>
          <w:rFonts w:ascii="Arial" w:hAnsi="Arial" w:cs="Arial"/>
        </w:rPr>
        <w:t>”</w:t>
      </w:r>
      <w:r w:rsidR="00D02F6D">
        <w:rPr>
          <w:rFonts w:ascii="Arial" w:hAnsi="Arial" w:cs="Arial"/>
        </w:rPr>
        <w:t>.</w:t>
      </w:r>
      <w:r w:rsidR="00076298">
        <w:rPr>
          <w:rStyle w:val="FootnoteReference"/>
          <w:rFonts w:ascii="Arial" w:hAnsi="Arial" w:cs="Arial"/>
        </w:rPr>
        <w:footnoteReference w:id="263"/>
      </w:r>
      <w:r w:rsidR="00D02F6D">
        <w:rPr>
          <w:rFonts w:ascii="Arial" w:hAnsi="Arial" w:cs="Arial"/>
        </w:rPr>
        <w:t xml:space="preserve"> Maat is mainly depicted in the temples of other deities, being offered to gods such as Amun, Re, and Ptah, and sometimes her husband, Thoth.</w:t>
      </w:r>
      <w:r w:rsidR="00D02F6D">
        <w:rPr>
          <w:rStyle w:val="FootnoteReference"/>
          <w:rFonts w:ascii="Arial" w:hAnsi="Arial" w:cs="Arial"/>
        </w:rPr>
        <w:footnoteReference w:id="264"/>
      </w:r>
    </w:p>
    <w:p w:rsidR="00ED5BD7" w:rsidRDefault="0075037D" w:rsidP="00113D94">
      <w:pPr>
        <w:spacing w:line="480" w:lineRule="auto"/>
        <w:ind w:right="-23"/>
        <w:rPr>
          <w:rFonts w:ascii="Arial" w:hAnsi="Arial" w:cs="Arial"/>
        </w:rPr>
      </w:pPr>
      <w:r w:rsidRPr="00575D4D">
        <w:rPr>
          <w:rFonts w:ascii="Arial" w:hAnsi="Arial" w:cs="Arial"/>
          <w:noProof/>
          <w:lang w:eastAsia="en-GB"/>
        </w:rPr>
        <w:lastRenderedPageBreak/>
        <mc:AlternateContent>
          <mc:Choice Requires="wps">
            <w:drawing>
              <wp:anchor distT="45720" distB="45720" distL="114300" distR="114300" simplePos="0" relativeHeight="251717632" behindDoc="0" locked="0" layoutInCell="1" allowOverlap="1" wp14:anchorId="3AB65FE9" wp14:editId="018A2F36">
                <wp:simplePos x="0" y="0"/>
                <wp:positionH relativeFrom="column">
                  <wp:posOffset>1556385</wp:posOffset>
                </wp:positionH>
                <wp:positionV relativeFrom="page">
                  <wp:posOffset>3298190</wp:posOffset>
                </wp:positionV>
                <wp:extent cx="3449955" cy="488950"/>
                <wp:effectExtent l="0" t="0" r="17145" b="2540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9955" cy="488950"/>
                        </a:xfrm>
                        <a:prstGeom prst="rect">
                          <a:avLst/>
                        </a:prstGeom>
                        <a:solidFill>
                          <a:srgbClr val="FFFFFF"/>
                        </a:solidFill>
                        <a:ln w="9525">
                          <a:solidFill>
                            <a:srgbClr val="000000"/>
                          </a:solidFill>
                          <a:miter lim="800000"/>
                          <a:headEnd/>
                          <a:tailEnd/>
                        </a:ln>
                      </wps:spPr>
                      <wps:txbx>
                        <w:txbxContent>
                          <w:p w:rsidR="00FB2511" w:rsidRPr="00575D4D" w:rsidRDefault="00FB2511" w:rsidP="00560E18">
                            <w:pPr>
                              <w:jc w:val="center"/>
                              <w:rPr>
                                <w:rFonts w:ascii="Arial" w:hAnsi="Arial" w:cs="Arial"/>
                              </w:rPr>
                            </w:pPr>
                            <w:r>
                              <w:rPr>
                                <w:rFonts w:ascii="Arial" w:hAnsi="Arial" w:cs="Arial"/>
                              </w:rPr>
                              <w:t>Fig. 19: Geb, Nut, Shu, Greenfiled Papyrus © Trustees of the British Museum, 1995,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65FE9" id="_x0000_s1045" type="#_x0000_t202" style="position:absolute;margin-left:122.55pt;margin-top:259.7pt;width:271.65pt;height:38.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">
                <v:textbox>
                  <w:txbxContent>
                    <w:p w:rsidR="00FB2511" w:rsidRPr="00575D4D" w:rsidRDefault="00FB2511" w:rsidP="00560E18">
                      <w:pPr>
                        <w:jc w:val="center"/>
                        <w:rPr>
                          <w:rFonts w:ascii="Arial" w:hAnsi="Arial" w:cs="Arial"/>
                        </w:rPr>
                      </w:pPr>
                      <w:r>
                        <w:rPr>
                          <w:rFonts w:ascii="Arial" w:hAnsi="Arial" w:cs="Arial"/>
                        </w:rPr>
                        <w:t>Fig. 19: Geb, Nut, Shu, Greenfiled Papyrus © Trustees of the British Museum, 1995, London</w:t>
                      </w:r>
                    </w:p>
                  </w:txbxContent>
                </v:textbox>
                <w10:wrap type="square" anchory="page"/>
              </v:shape>
            </w:pict>
          </mc:Fallback>
        </mc:AlternateContent>
      </w:r>
      <w:r>
        <w:rPr>
          <w:noProof/>
          <w:lang w:eastAsia="en-GB"/>
        </w:rPr>
        <w:drawing>
          <wp:anchor distT="0" distB="0" distL="114300" distR="114300" simplePos="0" relativeHeight="251715584" behindDoc="0" locked="0" layoutInCell="1" allowOverlap="1">
            <wp:simplePos x="0" y="0"/>
            <wp:positionH relativeFrom="column">
              <wp:posOffset>1555750</wp:posOffset>
            </wp:positionH>
            <wp:positionV relativeFrom="paragraph">
              <wp:posOffset>0</wp:posOffset>
            </wp:positionV>
            <wp:extent cx="3449955" cy="2323465"/>
            <wp:effectExtent l="0" t="0" r="0" b="635"/>
            <wp:wrapSquare wrapText="bothSides"/>
            <wp:docPr id="39" name="Picture 39" descr="File:Geb, Nut, Sh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le:Geb, Nut, Shu.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49955" cy="2323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2F6D">
        <w:rPr>
          <w:rFonts w:ascii="Arial" w:hAnsi="Arial" w:cs="Arial"/>
        </w:rPr>
        <w:t>Though there was seemingly no such thing as a mother goddess in the Egyptian pantheon</w:t>
      </w:r>
      <w:r w:rsidR="00560E18">
        <w:rPr>
          <w:rFonts w:ascii="Arial" w:hAnsi="Arial" w:cs="Arial"/>
        </w:rPr>
        <w:t>,</w:t>
      </w:r>
      <w:r w:rsidR="00D02F6D">
        <w:rPr>
          <w:rStyle w:val="FootnoteReference"/>
          <w:rFonts w:ascii="Arial" w:hAnsi="Arial" w:cs="Arial"/>
        </w:rPr>
        <w:footnoteReference w:id="265"/>
      </w:r>
      <w:r w:rsidR="00D02F6D">
        <w:rPr>
          <w:rFonts w:ascii="Arial" w:hAnsi="Arial" w:cs="Arial"/>
        </w:rPr>
        <w:t xml:space="preserve"> the closest that comes to this personification could be interpreted to be the sky goddess, Nut</w:t>
      </w:r>
      <w:r w:rsidR="00711126">
        <w:rPr>
          <w:rFonts w:ascii="Arial" w:hAnsi="Arial" w:cs="Arial"/>
        </w:rPr>
        <w:t xml:space="preserve"> (See Fig. 19)</w:t>
      </w:r>
      <w:r w:rsidR="00D02F6D">
        <w:rPr>
          <w:rFonts w:ascii="Arial" w:hAnsi="Arial" w:cs="Arial"/>
        </w:rPr>
        <w:t>. Nut was the personification of heaven,</w:t>
      </w:r>
      <w:r w:rsidR="00D02F6D">
        <w:rPr>
          <w:rStyle w:val="FootnoteReference"/>
          <w:rFonts w:ascii="Arial" w:hAnsi="Arial" w:cs="Arial"/>
        </w:rPr>
        <w:footnoteReference w:id="266"/>
      </w:r>
      <w:r w:rsidR="00D02F6D">
        <w:rPr>
          <w:rFonts w:ascii="Arial" w:hAnsi="Arial" w:cs="Arial"/>
        </w:rPr>
        <w:t xml:space="preserve"> the daughter of the deities of air and moisture (Shu and Tefnut).</w:t>
      </w:r>
      <w:r w:rsidR="00D02F6D">
        <w:rPr>
          <w:rStyle w:val="FootnoteReference"/>
          <w:rFonts w:ascii="Arial" w:hAnsi="Arial" w:cs="Arial"/>
        </w:rPr>
        <w:footnoteReference w:id="267"/>
      </w:r>
      <w:r w:rsidR="00D02F6D">
        <w:rPr>
          <w:rFonts w:ascii="Arial" w:hAnsi="Arial" w:cs="Arial"/>
        </w:rPr>
        <w:t xml:space="preserve"> Nut represents the vault that separated the swirling waters of chaos from the world</w:t>
      </w:r>
      <w:r w:rsidR="00711126">
        <w:rPr>
          <w:rFonts w:ascii="Arial" w:hAnsi="Arial" w:cs="Arial"/>
        </w:rPr>
        <w:t xml:space="preserve"> below</w:t>
      </w:r>
      <w:r w:rsidR="00D02F6D">
        <w:rPr>
          <w:rFonts w:ascii="Arial" w:hAnsi="Arial" w:cs="Arial"/>
        </w:rPr>
        <w:t>.</w:t>
      </w:r>
      <w:r w:rsidR="00D02F6D">
        <w:rPr>
          <w:rStyle w:val="FootnoteReference"/>
          <w:rFonts w:ascii="Arial" w:hAnsi="Arial" w:cs="Arial"/>
        </w:rPr>
        <w:footnoteReference w:id="268"/>
      </w:r>
      <w:r w:rsidR="00D02F6D">
        <w:rPr>
          <w:rFonts w:ascii="Arial" w:hAnsi="Arial" w:cs="Arial"/>
        </w:rPr>
        <w:t xml:space="preserve"> When the sky thundered and rained, it was thought that these came from both the laughter and tears of the sky goddess.</w:t>
      </w:r>
      <w:r w:rsidR="00D02F6D">
        <w:rPr>
          <w:rStyle w:val="FootnoteReference"/>
          <w:rFonts w:ascii="Arial" w:hAnsi="Arial" w:cs="Arial"/>
        </w:rPr>
        <w:footnoteReference w:id="269"/>
      </w:r>
      <w:r w:rsidR="00D02F6D">
        <w:rPr>
          <w:rFonts w:ascii="Arial" w:hAnsi="Arial" w:cs="Arial"/>
        </w:rPr>
        <w:t xml:space="preserve"> Perhaps one of Nut’s most famous roles came from how she was the one who protected the deities travelling through the sky in the night, swallowing them in the evening then giving birth to them in the morning. It is in this sense that she was perceived to be something of a ‘mother earth’, encircling the earth and birthing the deities that upheld the balance every morning when the sun rose.</w:t>
      </w:r>
      <w:r w:rsidR="00D02F6D">
        <w:rPr>
          <w:rStyle w:val="FootnoteReference"/>
          <w:rFonts w:ascii="Arial" w:hAnsi="Arial" w:cs="Arial"/>
        </w:rPr>
        <w:footnoteReference w:id="270"/>
      </w:r>
      <w:r w:rsidR="00D02F6D">
        <w:rPr>
          <w:rFonts w:ascii="Arial" w:hAnsi="Arial" w:cs="Arial"/>
        </w:rPr>
        <w:t xml:space="preserve"> </w:t>
      </w:r>
      <w:r w:rsidR="00ED5BD7">
        <w:rPr>
          <w:rFonts w:ascii="Arial" w:hAnsi="Arial" w:cs="Arial"/>
        </w:rPr>
        <w:t xml:space="preserve">Wilkinson presents the interpretation that the ancient Egyptians may have believed that the Milky Way in the sky was Nut, as spell 176 of the Book of the Dead mentions a </w:t>
      </w:r>
      <w:r w:rsidR="00ED5BD7">
        <w:rPr>
          <w:rFonts w:ascii="Arial" w:hAnsi="Arial" w:cs="Arial"/>
        </w:rPr>
        <w:lastRenderedPageBreak/>
        <w:t>band of stars stretching over the sky, the following spells</w:t>
      </w:r>
      <w:r w:rsidR="00423F2A">
        <w:rPr>
          <w:rFonts w:ascii="Arial" w:hAnsi="Arial" w:cs="Arial"/>
        </w:rPr>
        <w:t xml:space="preserve"> beginning her invocation</w:t>
      </w:r>
      <w:r w:rsidR="00ED5BD7">
        <w:rPr>
          <w:rFonts w:ascii="Arial" w:hAnsi="Arial" w:cs="Arial"/>
        </w:rPr>
        <w:t>.</w:t>
      </w:r>
      <w:r w:rsidR="00ED5BD7">
        <w:rPr>
          <w:rStyle w:val="FootnoteReference"/>
          <w:rFonts w:ascii="Arial" w:hAnsi="Arial" w:cs="Arial"/>
        </w:rPr>
        <w:footnoteReference w:id="271"/>
      </w:r>
      <w:r w:rsidR="00ED5BD7">
        <w:rPr>
          <w:rFonts w:ascii="Arial" w:hAnsi="Arial" w:cs="Arial"/>
        </w:rPr>
        <w:t xml:space="preserve"> In the Pyramid Texts, Nut is shown to be represented as a heavenly cow,</w:t>
      </w:r>
      <w:r w:rsidR="00ED5BD7">
        <w:rPr>
          <w:rStyle w:val="FootnoteReference"/>
          <w:rFonts w:ascii="Arial" w:hAnsi="Arial" w:cs="Arial"/>
        </w:rPr>
        <w:footnoteReference w:id="272"/>
      </w:r>
      <w:r w:rsidR="00ED5BD7">
        <w:rPr>
          <w:rFonts w:ascii="Arial" w:hAnsi="Arial" w:cs="Arial"/>
        </w:rPr>
        <w:t xml:space="preserve"> and as a goddess who addresses the king as his mother.</w:t>
      </w:r>
      <w:r w:rsidR="00ED5BD7">
        <w:rPr>
          <w:rStyle w:val="FootnoteReference"/>
          <w:rFonts w:ascii="Arial" w:hAnsi="Arial" w:cs="Arial"/>
        </w:rPr>
        <w:footnoteReference w:id="273"/>
      </w:r>
      <w:r w:rsidR="00711126">
        <w:rPr>
          <w:rFonts w:ascii="Arial" w:hAnsi="Arial" w:cs="Arial"/>
        </w:rPr>
        <w:t xml:space="preserve"> </w:t>
      </w:r>
      <w:r w:rsidR="007F3B06">
        <w:rPr>
          <w:rFonts w:ascii="Arial" w:hAnsi="Arial" w:cs="Arial"/>
        </w:rPr>
        <w:t>Nut did not</w:t>
      </w:r>
      <w:r w:rsidR="00ED5BD7">
        <w:rPr>
          <w:rFonts w:ascii="Arial" w:hAnsi="Arial" w:cs="Arial"/>
        </w:rPr>
        <w:t xml:space="preserve"> have any temples dedicated to her as a single deity, more so represented in almost every astronomical ceiling in not only </w:t>
      </w:r>
      <w:r w:rsidR="00AF52E0">
        <w:rPr>
          <w:rFonts w:ascii="Arial" w:hAnsi="Arial" w:cs="Arial"/>
        </w:rPr>
        <w:t>temples, but also a large number</w:t>
      </w:r>
      <w:r w:rsidR="00ED5BD7">
        <w:rPr>
          <w:rFonts w:ascii="Arial" w:hAnsi="Arial" w:cs="Arial"/>
        </w:rPr>
        <w:t xml:space="preserve"> of tomb buildings.</w:t>
      </w:r>
      <w:r w:rsidR="00ED5BD7">
        <w:rPr>
          <w:rStyle w:val="FootnoteReference"/>
          <w:rFonts w:ascii="Arial" w:hAnsi="Arial" w:cs="Arial"/>
        </w:rPr>
        <w:footnoteReference w:id="274"/>
      </w:r>
    </w:p>
    <w:p w:rsidR="00243FE0" w:rsidRDefault="00423F2A" w:rsidP="00113D94">
      <w:pPr>
        <w:spacing w:line="480" w:lineRule="auto"/>
        <w:ind w:right="-23"/>
        <w:rPr>
          <w:rFonts w:ascii="Arial" w:hAnsi="Arial" w:cs="Arial"/>
        </w:rPr>
      </w:pPr>
      <w:r>
        <w:rPr>
          <w:rFonts w:ascii="Arial" w:hAnsi="Arial" w:cs="Arial"/>
        </w:rPr>
        <w:t>In ancient Egypt, there were</w:t>
      </w:r>
      <w:r w:rsidR="00AF52E0">
        <w:rPr>
          <w:rFonts w:ascii="Arial" w:hAnsi="Arial" w:cs="Arial"/>
        </w:rPr>
        <w:t xml:space="preserve"> an incredible number</w:t>
      </w:r>
      <w:r w:rsidR="00ED5BD7">
        <w:rPr>
          <w:rFonts w:ascii="Arial" w:hAnsi="Arial" w:cs="Arial"/>
        </w:rPr>
        <w:t xml:space="preserve"> of goddesses, only a small number having been discussed in this chapter. In the modern world, there are examples of goddesses having a large amount of power in each of their respective religions. Most commonly, these goddesses are venerated due to the maternal characteristics that are seen in the female. In these religious systems, a common descriptor that becomes apparent is that of </w:t>
      </w:r>
      <w:r w:rsidR="00711126">
        <w:rPr>
          <w:rFonts w:ascii="Arial" w:hAnsi="Arial" w:cs="Arial"/>
        </w:rPr>
        <w:t>‘</w:t>
      </w:r>
      <w:r w:rsidR="00ED5BD7">
        <w:rPr>
          <w:rFonts w:ascii="Arial" w:hAnsi="Arial" w:cs="Arial"/>
        </w:rPr>
        <w:t>mother earth</w:t>
      </w:r>
      <w:r w:rsidR="00711126">
        <w:rPr>
          <w:rFonts w:ascii="Arial" w:hAnsi="Arial" w:cs="Arial"/>
        </w:rPr>
        <w:t>’</w:t>
      </w:r>
      <w:r w:rsidR="00ED5BD7">
        <w:rPr>
          <w:rStyle w:val="FootnoteReference"/>
          <w:rFonts w:ascii="Arial" w:hAnsi="Arial" w:cs="Arial"/>
        </w:rPr>
        <w:footnoteReference w:id="275"/>
      </w:r>
      <w:r w:rsidR="00243FE0">
        <w:rPr>
          <w:rFonts w:ascii="Arial" w:hAnsi="Arial" w:cs="Arial"/>
        </w:rPr>
        <w:t xml:space="preserve"> (something that as previously mentioned, does not seem to appear as a single deity in ancient Egypt). </w:t>
      </w:r>
      <w:r w:rsidR="00711126">
        <w:rPr>
          <w:rFonts w:ascii="Arial" w:hAnsi="Arial" w:cs="Arial"/>
        </w:rPr>
        <w:t xml:space="preserve">In his documentary, </w:t>
      </w:r>
      <w:r w:rsidR="00243FE0">
        <w:rPr>
          <w:rFonts w:ascii="Arial" w:hAnsi="Arial" w:cs="Arial"/>
        </w:rPr>
        <w:t>Campbell argues that the reason for the veneration of the mother is the link between fertility and the female:</w:t>
      </w:r>
    </w:p>
    <w:p w:rsidR="00243FE0" w:rsidRPr="00243FE0" w:rsidRDefault="00243FE0" w:rsidP="008A4ABA">
      <w:pPr>
        <w:spacing w:line="360" w:lineRule="auto"/>
        <w:ind w:left="567" w:right="828"/>
        <w:rPr>
          <w:rFonts w:ascii="Arial" w:hAnsi="Arial" w:cs="Arial"/>
        </w:rPr>
      </w:pPr>
      <w:r>
        <w:rPr>
          <w:rFonts w:ascii="Arial" w:hAnsi="Arial" w:cs="Arial"/>
          <w:i/>
        </w:rPr>
        <w:t>“The human woman gives birth as the earth gives birth to plants”</w:t>
      </w:r>
      <w:r>
        <w:rPr>
          <w:rStyle w:val="FootnoteReference"/>
          <w:rFonts w:ascii="Arial" w:hAnsi="Arial" w:cs="Arial"/>
          <w:i/>
        </w:rPr>
        <w:footnoteReference w:id="276"/>
      </w:r>
    </w:p>
    <w:p w:rsidR="00F4690B" w:rsidRDefault="00ED5BD7" w:rsidP="00113D94">
      <w:pPr>
        <w:spacing w:line="480" w:lineRule="auto"/>
        <w:ind w:right="-23"/>
        <w:rPr>
          <w:rFonts w:ascii="Arial" w:hAnsi="Arial" w:cs="Arial"/>
        </w:rPr>
      </w:pPr>
      <w:r>
        <w:rPr>
          <w:rFonts w:ascii="Arial" w:hAnsi="Arial" w:cs="Arial"/>
        </w:rPr>
        <w:t xml:space="preserve"> In Hinduism, Shaktism is known to be one of the more major traditions. Within this tradition, the aspect of reality is given female qualities, and it is a goddess known as Devi that reigns supreme. These goddesses and </w:t>
      </w:r>
      <w:r>
        <w:rPr>
          <w:rFonts w:ascii="Arial" w:hAnsi="Arial" w:cs="Arial"/>
        </w:rPr>
        <w:lastRenderedPageBreak/>
        <w:t>female aspects are revered massively in not only temples, but also Hindu festivals.</w:t>
      </w:r>
      <w:r>
        <w:rPr>
          <w:rStyle w:val="FootnoteReference"/>
          <w:rFonts w:ascii="Arial" w:hAnsi="Arial" w:cs="Arial"/>
        </w:rPr>
        <w:footnoteReference w:id="277"/>
      </w:r>
      <w:r>
        <w:rPr>
          <w:rFonts w:ascii="Arial" w:hAnsi="Arial" w:cs="Arial"/>
        </w:rPr>
        <w:t xml:space="preserve"> </w:t>
      </w:r>
      <w:r w:rsidR="00E45F88">
        <w:rPr>
          <w:rFonts w:ascii="Arial" w:hAnsi="Arial" w:cs="Arial"/>
        </w:rPr>
        <w:br/>
      </w:r>
      <w:r>
        <w:rPr>
          <w:rFonts w:ascii="Arial" w:hAnsi="Arial" w:cs="Arial"/>
        </w:rPr>
        <w:t>In the religion of Buddhism, Tara is a goddess whose main aspects revolve around the theme of motherhood, known to be the “</w:t>
      </w:r>
      <w:r w:rsidR="00423F2A">
        <w:rPr>
          <w:rFonts w:ascii="Arial" w:hAnsi="Arial" w:cs="Arial"/>
          <w:i/>
        </w:rPr>
        <w:t>Loving/Supreme M</w:t>
      </w:r>
      <w:r w:rsidRPr="00711126">
        <w:rPr>
          <w:rFonts w:ascii="Arial" w:hAnsi="Arial" w:cs="Arial"/>
          <w:i/>
        </w:rPr>
        <w:t>other</w:t>
      </w:r>
      <w:r>
        <w:rPr>
          <w:rFonts w:ascii="Arial" w:hAnsi="Arial" w:cs="Arial"/>
        </w:rPr>
        <w:t>”, “</w:t>
      </w:r>
      <w:r w:rsidR="00423F2A">
        <w:rPr>
          <w:rFonts w:ascii="Arial" w:hAnsi="Arial" w:cs="Arial"/>
          <w:i/>
        </w:rPr>
        <w:t>Mother of the W</w:t>
      </w:r>
      <w:r w:rsidRPr="00711126">
        <w:rPr>
          <w:rFonts w:ascii="Arial" w:hAnsi="Arial" w:cs="Arial"/>
          <w:i/>
        </w:rPr>
        <w:t>orld</w:t>
      </w:r>
      <w:r>
        <w:rPr>
          <w:rFonts w:ascii="Arial" w:hAnsi="Arial" w:cs="Arial"/>
        </w:rPr>
        <w:t>”, and the “</w:t>
      </w:r>
      <w:r w:rsidR="00423F2A">
        <w:rPr>
          <w:rFonts w:ascii="Arial" w:hAnsi="Arial" w:cs="Arial"/>
          <w:i/>
        </w:rPr>
        <w:t>M</w:t>
      </w:r>
      <w:r w:rsidRPr="00711126">
        <w:rPr>
          <w:rFonts w:ascii="Arial" w:hAnsi="Arial" w:cs="Arial"/>
          <w:i/>
        </w:rPr>
        <w:t>other of all Buddhas</w:t>
      </w:r>
      <w:r>
        <w:rPr>
          <w:rFonts w:ascii="Arial" w:hAnsi="Arial" w:cs="Arial"/>
        </w:rPr>
        <w:t>”.</w:t>
      </w:r>
      <w:r w:rsidR="00E45F88">
        <w:rPr>
          <w:rFonts w:ascii="Arial" w:hAnsi="Arial" w:cs="Arial"/>
        </w:rPr>
        <w:br/>
      </w:r>
      <w:r>
        <w:rPr>
          <w:rFonts w:ascii="Arial" w:hAnsi="Arial" w:cs="Arial"/>
        </w:rPr>
        <w:t xml:space="preserve"> </w:t>
      </w:r>
      <w:r w:rsidR="00243FE0">
        <w:rPr>
          <w:rFonts w:ascii="Arial" w:hAnsi="Arial" w:cs="Arial"/>
        </w:rPr>
        <w:t>An example of a rather rare veneration of a single mother goddess can be found among the people of the Southern Nuba in Sudan. These people believe the instrument of creation was that of a creator goddess, acting as a “</w:t>
      </w:r>
      <w:r w:rsidR="00423F2A">
        <w:rPr>
          <w:rFonts w:ascii="Arial" w:hAnsi="Arial" w:cs="Arial"/>
          <w:i/>
        </w:rPr>
        <w:t>Great M</w:t>
      </w:r>
      <w:r w:rsidR="00243FE0" w:rsidRPr="00711126">
        <w:rPr>
          <w:rFonts w:ascii="Arial" w:hAnsi="Arial" w:cs="Arial"/>
          <w:i/>
        </w:rPr>
        <w:t>other</w:t>
      </w:r>
      <w:r w:rsidR="00243FE0">
        <w:rPr>
          <w:rFonts w:ascii="Arial" w:hAnsi="Arial" w:cs="Arial"/>
        </w:rPr>
        <w:t>”, who was able to give birth to not only the earth, but to all of mankind.</w:t>
      </w:r>
      <w:r w:rsidR="00243FE0">
        <w:rPr>
          <w:rStyle w:val="FootnoteReference"/>
          <w:rFonts w:ascii="Arial" w:hAnsi="Arial" w:cs="Arial"/>
        </w:rPr>
        <w:footnoteReference w:id="278"/>
      </w:r>
      <w:r w:rsidR="00243FE0">
        <w:rPr>
          <w:rFonts w:ascii="Arial" w:hAnsi="Arial" w:cs="Arial"/>
        </w:rPr>
        <w:br/>
        <w:t>There are examples of religions in the modern day that though they may not have the representation of a mother earth, they do have examples of women in their mythologies. In Judaism (and to an extent, certain branches of Christianity), there is the story of Lilith, who was made by God with the intention of being Adam’s first wife. But, she was unable to fulfil the role when she refused to be subservient to him.</w:t>
      </w:r>
      <w:r w:rsidR="00243FE0">
        <w:rPr>
          <w:rStyle w:val="FootnoteReference"/>
          <w:rFonts w:ascii="Arial" w:hAnsi="Arial" w:cs="Arial"/>
        </w:rPr>
        <w:footnoteReference w:id="279"/>
      </w:r>
      <w:r w:rsidR="00243FE0">
        <w:rPr>
          <w:rFonts w:ascii="Arial" w:hAnsi="Arial" w:cs="Arial"/>
        </w:rPr>
        <w:t xml:space="preserve"> In this sense, this mythical woman could be related to some of the goddesses we see in ancient Egypt with their more negative natures. This being said, few stories tell of Lilith as a positive entity, so this argument may be hard to justify.</w:t>
      </w:r>
      <w:r w:rsidR="008E2EC8">
        <w:rPr>
          <w:rFonts w:ascii="Arial" w:hAnsi="Arial" w:cs="Arial"/>
        </w:rPr>
        <w:br/>
        <w:t xml:space="preserve">Perhaps one of the most interesting comparisons to make between ancient </w:t>
      </w:r>
      <w:r w:rsidR="005E422F">
        <w:rPr>
          <w:rFonts w:ascii="Arial" w:hAnsi="Arial" w:cs="Arial"/>
        </w:rPr>
        <w:t>Egyptian</w:t>
      </w:r>
      <w:r w:rsidR="008E2EC8">
        <w:rPr>
          <w:rFonts w:ascii="Arial" w:hAnsi="Arial" w:cs="Arial"/>
        </w:rPr>
        <w:t xml:space="preserve"> mythology and modern religion is the idea of Isis and the Virgin </w:t>
      </w:r>
      <w:r w:rsidR="008E2EC8">
        <w:rPr>
          <w:rFonts w:ascii="Arial" w:hAnsi="Arial" w:cs="Arial"/>
        </w:rPr>
        <w:lastRenderedPageBreak/>
        <w:t>Mary being linked, as mentioned previously. Both Isis and Mary are viewed as god-bearing women</w:t>
      </w:r>
      <w:r w:rsidR="008E2EC8">
        <w:rPr>
          <w:rStyle w:val="FootnoteReference"/>
          <w:rFonts w:ascii="Arial" w:hAnsi="Arial" w:cs="Arial"/>
        </w:rPr>
        <w:footnoteReference w:id="280"/>
      </w:r>
      <w:r w:rsidR="008E2EC8">
        <w:rPr>
          <w:rFonts w:ascii="Arial" w:hAnsi="Arial" w:cs="Arial"/>
        </w:rPr>
        <w:t xml:space="preserve"> (though, </w:t>
      </w:r>
      <w:r w:rsidR="00423F2A">
        <w:rPr>
          <w:rFonts w:ascii="Arial" w:hAnsi="Arial" w:cs="Arial"/>
        </w:rPr>
        <w:t>Isis is a god herself). T</w:t>
      </w:r>
      <w:r w:rsidR="008E2EC8">
        <w:rPr>
          <w:rFonts w:ascii="Arial" w:hAnsi="Arial" w:cs="Arial"/>
        </w:rPr>
        <w:t>he story of Isis and Horus is not one that is assumed to be a type of creation story, whereas the one of Mary and Jesus is said by Boss to “</w:t>
      </w:r>
      <w:r w:rsidR="008E2EC8" w:rsidRPr="00711126">
        <w:rPr>
          <w:rFonts w:ascii="Arial" w:hAnsi="Arial" w:cs="Arial"/>
          <w:i/>
        </w:rPr>
        <w:t>invoke the creation of the world</w:t>
      </w:r>
      <w:r w:rsidR="008E2EC8">
        <w:rPr>
          <w:rFonts w:ascii="Arial" w:hAnsi="Arial" w:cs="Arial"/>
        </w:rPr>
        <w:t>”.</w:t>
      </w:r>
      <w:r w:rsidR="008E2EC8">
        <w:rPr>
          <w:rStyle w:val="FootnoteReference"/>
          <w:rFonts w:ascii="Arial" w:hAnsi="Arial" w:cs="Arial"/>
        </w:rPr>
        <w:footnoteReference w:id="281"/>
      </w:r>
      <w:r w:rsidR="008E2EC8">
        <w:rPr>
          <w:rFonts w:ascii="Arial" w:hAnsi="Arial" w:cs="Arial"/>
        </w:rPr>
        <w:t xml:space="preserve"> Though, potentially a comparison can be made in the way in whi</w:t>
      </w:r>
      <w:r w:rsidR="00F4690B">
        <w:rPr>
          <w:rFonts w:ascii="Arial" w:hAnsi="Arial" w:cs="Arial"/>
        </w:rPr>
        <w:t>ch in the story of Mary</w:t>
      </w:r>
      <w:r w:rsidR="008E2EC8">
        <w:rPr>
          <w:rFonts w:ascii="Arial" w:hAnsi="Arial" w:cs="Arial"/>
        </w:rPr>
        <w:t>, God accomplishes one of his most important acts through impregnating Mary,</w:t>
      </w:r>
      <w:r w:rsidR="008E2EC8">
        <w:rPr>
          <w:rStyle w:val="FootnoteReference"/>
          <w:rFonts w:ascii="Arial" w:hAnsi="Arial" w:cs="Arial"/>
        </w:rPr>
        <w:footnoteReference w:id="282"/>
      </w:r>
      <w:r w:rsidR="008E2EC8">
        <w:rPr>
          <w:rFonts w:ascii="Arial" w:hAnsi="Arial" w:cs="Arial"/>
        </w:rPr>
        <w:t xml:space="preserve"> and the Egyptian creation myth also centres around a male deity creating the world on his own.</w:t>
      </w:r>
      <w:r w:rsidR="008E2EC8">
        <w:rPr>
          <w:rStyle w:val="FootnoteReference"/>
          <w:rFonts w:ascii="Arial" w:hAnsi="Arial" w:cs="Arial"/>
        </w:rPr>
        <w:footnoteReference w:id="283"/>
      </w:r>
      <w:r w:rsidR="008E2EC8">
        <w:rPr>
          <w:rFonts w:ascii="Arial" w:hAnsi="Arial" w:cs="Arial"/>
        </w:rPr>
        <w:t xml:space="preserve"> Here, the ever so male-centred aspects of religion are apparent, and in both </w:t>
      </w:r>
      <w:r w:rsidR="005E422F">
        <w:rPr>
          <w:rFonts w:ascii="Arial" w:hAnsi="Arial" w:cs="Arial"/>
        </w:rPr>
        <w:t>Egyptian</w:t>
      </w:r>
      <w:r w:rsidR="0024705A">
        <w:rPr>
          <w:rFonts w:ascii="Arial" w:hAnsi="Arial" w:cs="Arial"/>
        </w:rPr>
        <w:t xml:space="preserve"> (as discussed previously)</w:t>
      </w:r>
      <w:r w:rsidR="008E2EC8">
        <w:rPr>
          <w:rFonts w:ascii="Arial" w:hAnsi="Arial" w:cs="Arial"/>
        </w:rPr>
        <w:t xml:space="preserve"> and Christian mythology, both are inc</w:t>
      </w:r>
      <w:r w:rsidR="005E422F">
        <w:rPr>
          <w:rFonts w:ascii="Arial" w:hAnsi="Arial" w:cs="Arial"/>
        </w:rPr>
        <w:t xml:space="preserve">redibly male-centred. </w:t>
      </w:r>
    </w:p>
    <w:p w:rsidR="00EC2B1F" w:rsidRDefault="005E422F" w:rsidP="00113D94">
      <w:pPr>
        <w:spacing w:line="480" w:lineRule="auto"/>
        <w:ind w:right="-23"/>
        <w:rPr>
          <w:rFonts w:ascii="Arial" w:hAnsi="Arial" w:cs="Arial"/>
        </w:rPr>
      </w:pPr>
      <w:r>
        <w:rPr>
          <w:rFonts w:ascii="Arial" w:hAnsi="Arial" w:cs="Arial"/>
        </w:rPr>
        <w:t>In terms of the trends in gender-equality in worship spaces, it</w:t>
      </w:r>
      <w:r w:rsidR="007F3B06">
        <w:rPr>
          <w:rFonts w:ascii="Arial" w:hAnsi="Arial" w:cs="Arial"/>
        </w:rPr>
        <w:t xml:space="preserve"> was not </w:t>
      </w:r>
      <w:r w:rsidR="008E2EC8">
        <w:rPr>
          <w:rFonts w:ascii="Arial" w:hAnsi="Arial" w:cs="Arial"/>
        </w:rPr>
        <w:t>until the mid-1960s that most protestant denominations agreed to ordain women to the pastorate.</w:t>
      </w:r>
      <w:r>
        <w:rPr>
          <w:rStyle w:val="FootnoteReference"/>
          <w:rFonts w:ascii="Arial" w:hAnsi="Arial" w:cs="Arial"/>
        </w:rPr>
        <w:footnoteReference w:id="284"/>
      </w:r>
      <w:r w:rsidR="008E2EC8">
        <w:rPr>
          <w:rFonts w:ascii="Arial" w:hAnsi="Arial" w:cs="Arial"/>
        </w:rPr>
        <w:t xml:space="preserve"> </w:t>
      </w:r>
      <w:r>
        <w:rPr>
          <w:rFonts w:ascii="Arial" w:hAnsi="Arial" w:cs="Arial"/>
        </w:rPr>
        <w:t>Still, to this day, the Orthodox Church and the Roman Catholic Church refuse to ordain women.</w:t>
      </w:r>
      <w:r>
        <w:rPr>
          <w:rStyle w:val="FootnoteReference"/>
          <w:rFonts w:ascii="Arial" w:hAnsi="Arial" w:cs="Arial"/>
        </w:rPr>
        <w:footnoteReference w:id="285"/>
      </w:r>
      <w:r>
        <w:rPr>
          <w:rFonts w:ascii="Arial" w:hAnsi="Arial" w:cs="Arial"/>
        </w:rPr>
        <w:t xml:space="preserve"> Even though many branches of Protestantism allow women into the clergy, some fundamentalists refuse to hire w</w:t>
      </w:r>
      <w:r w:rsidR="00423F2A">
        <w:rPr>
          <w:rFonts w:ascii="Arial" w:hAnsi="Arial" w:cs="Arial"/>
        </w:rPr>
        <w:t>omen to be in these positions in the church. Even some female members of</w:t>
      </w:r>
      <w:r>
        <w:rPr>
          <w:rFonts w:ascii="Arial" w:hAnsi="Arial" w:cs="Arial"/>
        </w:rPr>
        <w:t xml:space="preserve"> these churches believe the call for women in</w:t>
      </w:r>
      <w:r w:rsidR="00423F2A">
        <w:rPr>
          <w:rFonts w:ascii="Arial" w:hAnsi="Arial" w:cs="Arial"/>
        </w:rPr>
        <w:t xml:space="preserve"> the higher levels</w:t>
      </w:r>
      <w:r>
        <w:rPr>
          <w:rFonts w:ascii="Arial" w:hAnsi="Arial" w:cs="Arial"/>
        </w:rPr>
        <w:t xml:space="preserve"> was an attack on their duty to care in the home.</w:t>
      </w:r>
      <w:r>
        <w:rPr>
          <w:rStyle w:val="FootnoteReference"/>
          <w:rFonts w:ascii="Arial" w:hAnsi="Arial" w:cs="Arial"/>
        </w:rPr>
        <w:footnoteReference w:id="286"/>
      </w:r>
      <w:r>
        <w:rPr>
          <w:rFonts w:ascii="Arial" w:hAnsi="Arial" w:cs="Arial"/>
        </w:rPr>
        <w:t xml:space="preserve"> So, in these ways, it seems rather comparable to the way in which women were treated in the realm of Egyptian religion – mainly </w:t>
      </w:r>
      <w:r>
        <w:rPr>
          <w:rFonts w:ascii="Arial" w:hAnsi="Arial" w:cs="Arial"/>
        </w:rPr>
        <w:lastRenderedPageBreak/>
        <w:t>restricted to the home, worshipping and providing in the way that good women should.</w:t>
      </w: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E45F88" w:rsidRDefault="00E45F88" w:rsidP="00741065">
      <w:pPr>
        <w:spacing w:line="480" w:lineRule="auto"/>
        <w:ind w:right="-23"/>
        <w:rPr>
          <w:rFonts w:ascii="Arial" w:hAnsi="Arial" w:cs="Arial"/>
          <w:b/>
        </w:rPr>
      </w:pPr>
    </w:p>
    <w:p w:rsidR="00741065" w:rsidRDefault="00741065" w:rsidP="00741065">
      <w:pPr>
        <w:spacing w:line="480" w:lineRule="auto"/>
        <w:ind w:right="-23"/>
        <w:rPr>
          <w:rFonts w:ascii="Arial" w:hAnsi="Arial" w:cs="Arial"/>
          <w:b/>
        </w:rPr>
      </w:pPr>
      <w:r>
        <w:rPr>
          <w:rFonts w:ascii="Arial" w:hAnsi="Arial" w:cs="Arial"/>
          <w:b/>
        </w:rPr>
        <w:lastRenderedPageBreak/>
        <w:t>Conclusion</w:t>
      </w:r>
    </w:p>
    <w:p w:rsidR="006827D3" w:rsidRDefault="00741065">
      <w:pPr>
        <w:spacing w:line="480" w:lineRule="auto"/>
        <w:ind w:right="-23"/>
        <w:rPr>
          <w:rFonts w:ascii="Arial" w:hAnsi="Arial" w:cs="Arial"/>
        </w:rPr>
      </w:pPr>
      <w:r>
        <w:rPr>
          <w:rFonts w:ascii="Arial" w:hAnsi="Arial" w:cs="Arial"/>
        </w:rPr>
        <w:t>In conclusion, this essay has aimed to bring a new concept when understanding the lives of women in ancient Egypt, and how they did indeed have some levels of privilege in their lives when compared to the status of women in the world today, and in very modern history. Whether it be due to the status women saw in divorce (being able to initiate the divorce themselves</w:t>
      </w:r>
      <w:r>
        <w:rPr>
          <w:rStyle w:val="FootnoteReference"/>
          <w:rFonts w:ascii="Arial" w:hAnsi="Arial" w:cs="Arial"/>
        </w:rPr>
        <w:footnoteReference w:id="287"/>
      </w:r>
      <w:r>
        <w:rPr>
          <w:rFonts w:ascii="Arial" w:hAnsi="Arial" w:cs="Arial"/>
        </w:rPr>
        <w:t>), the manner in which domestic violence was handled (Men could be charged with beating their wives</w:t>
      </w:r>
      <w:r>
        <w:rPr>
          <w:rStyle w:val="FootnoteReference"/>
          <w:rFonts w:ascii="Arial" w:hAnsi="Arial" w:cs="Arial"/>
        </w:rPr>
        <w:footnoteReference w:id="288"/>
      </w:r>
      <w:r>
        <w:rPr>
          <w:rFonts w:ascii="Arial" w:hAnsi="Arial" w:cs="Arial"/>
        </w:rPr>
        <w:t>), how in the case of the seat of the Pharaoh, they were able to be fluid in their gender presentations,</w:t>
      </w:r>
      <w:r>
        <w:rPr>
          <w:rStyle w:val="FootnoteReference"/>
          <w:rFonts w:ascii="Arial" w:hAnsi="Arial" w:cs="Arial"/>
        </w:rPr>
        <w:footnoteReference w:id="289"/>
      </w:r>
      <w:r>
        <w:rPr>
          <w:rFonts w:ascii="Arial" w:hAnsi="Arial" w:cs="Arial"/>
        </w:rPr>
        <w:t xml:space="preserve"> how their sexuality and fertility was not seen as a dangerous subject to be on show,</w:t>
      </w:r>
      <w:r>
        <w:rPr>
          <w:rStyle w:val="FootnoteReference"/>
          <w:rFonts w:ascii="Arial" w:hAnsi="Arial" w:cs="Arial"/>
        </w:rPr>
        <w:footnoteReference w:id="290"/>
      </w:r>
      <w:r>
        <w:rPr>
          <w:rFonts w:ascii="Arial" w:hAnsi="Arial" w:cs="Arial"/>
        </w:rPr>
        <w:t xml:space="preserve"> or the prominence of the female in Egyptian mythology</w:t>
      </w:r>
      <w:r>
        <w:rPr>
          <w:rStyle w:val="FootnoteReference"/>
          <w:rFonts w:ascii="Arial" w:hAnsi="Arial" w:cs="Arial"/>
        </w:rPr>
        <w:footnoteReference w:id="291"/>
      </w:r>
      <w:r>
        <w:rPr>
          <w:rFonts w:ascii="Arial" w:hAnsi="Arial" w:cs="Arial"/>
        </w:rPr>
        <w:t xml:space="preserve"> and in some modern religions today.</w:t>
      </w:r>
      <w:r>
        <w:rPr>
          <w:rStyle w:val="FootnoteReference"/>
          <w:rFonts w:ascii="Arial" w:hAnsi="Arial" w:cs="Arial"/>
        </w:rPr>
        <w:footnoteReference w:id="292"/>
      </w:r>
      <w:r>
        <w:rPr>
          <w:rFonts w:ascii="Arial" w:hAnsi="Arial" w:cs="Arial"/>
        </w:rPr>
        <w:t xml:space="preserve"> When a level of privilege is not seen, a comparison has been able to have been found in the lives of these modern and ancient women, such as the nature of concepts of purification around childbirth,</w:t>
      </w:r>
      <w:r>
        <w:rPr>
          <w:rStyle w:val="FootnoteReference"/>
          <w:rFonts w:ascii="Arial" w:hAnsi="Arial" w:cs="Arial"/>
        </w:rPr>
        <w:footnoteReference w:id="293"/>
      </w:r>
      <w:r>
        <w:rPr>
          <w:rFonts w:ascii="Arial" w:hAnsi="Arial" w:cs="Arial"/>
        </w:rPr>
        <w:t xml:space="preserve"> how there are examples of male </w:t>
      </w:r>
      <w:r w:rsidRPr="005E32AF">
        <w:rPr>
          <w:rFonts w:ascii="Arial" w:hAnsi="Arial" w:cs="Arial"/>
        </w:rPr>
        <w:t>primogeniture</w:t>
      </w:r>
      <w:r>
        <w:rPr>
          <w:rFonts w:ascii="Arial" w:hAnsi="Arial" w:cs="Arial"/>
        </w:rPr>
        <w:t xml:space="preserve"> still in the world today</w:t>
      </w:r>
      <w:r>
        <w:rPr>
          <w:rStyle w:val="FootnoteReference"/>
          <w:rFonts w:ascii="Arial" w:hAnsi="Arial" w:cs="Arial"/>
        </w:rPr>
        <w:footnoteReference w:id="294"/>
      </w:r>
      <w:r>
        <w:rPr>
          <w:rFonts w:ascii="Arial" w:hAnsi="Arial" w:cs="Arial"/>
        </w:rPr>
        <w:t xml:space="preserve"> alike what was seen in ancient Egypt, and the inequality that is seen in seats of power.</w:t>
      </w:r>
      <w:r>
        <w:rPr>
          <w:rStyle w:val="FootnoteReference"/>
          <w:rFonts w:ascii="Arial" w:hAnsi="Arial" w:cs="Arial"/>
        </w:rPr>
        <w:footnoteReference w:id="295"/>
      </w:r>
      <w:r>
        <w:rPr>
          <w:rFonts w:ascii="Arial" w:hAnsi="Arial" w:cs="Arial"/>
        </w:rPr>
        <w:t xml:space="preserve"> The issues of female literacy and pay gaps have also been raised and comparisons found between the modern day and ancient Egypt, as well as the views on the male-ownership of female sexuality,</w:t>
      </w:r>
      <w:r>
        <w:rPr>
          <w:rStyle w:val="FootnoteReference"/>
          <w:rFonts w:ascii="Arial" w:hAnsi="Arial" w:cs="Arial"/>
        </w:rPr>
        <w:footnoteReference w:id="296"/>
      </w:r>
      <w:r>
        <w:rPr>
          <w:rFonts w:ascii="Arial" w:hAnsi="Arial" w:cs="Arial"/>
        </w:rPr>
        <w:t xml:space="preserve"> and gender </w:t>
      </w:r>
      <w:r>
        <w:rPr>
          <w:rFonts w:ascii="Arial" w:hAnsi="Arial" w:cs="Arial"/>
        </w:rPr>
        <w:lastRenderedPageBreak/>
        <w:t>inequality in religious institutions.</w:t>
      </w:r>
      <w:r>
        <w:rPr>
          <w:rStyle w:val="FootnoteReference"/>
          <w:rFonts w:ascii="Arial" w:hAnsi="Arial" w:cs="Arial"/>
        </w:rPr>
        <w:footnoteReference w:id="297"/>
      </w:r>
      <w:r>
        <w:rPr>
          <w:rFonts w:ascii="Arial" w:hAnsi="Arial" w:cs="Arial"/>
        </w:rPr>
        <w:br/>
        <w:t xml:space="preserve">Hopefully these considerations have allowed for preconceptions to have been reviewed, and the lives of women in an ancient society re-examined from a stereotype that all women in ancient history were massively downtrodden. I have in no way made the argument that women had a large amount of power, but perhaps simply more than a casual reader may assume. With this essay, I hope more research </w:t>
      </w:r>
      <w:r w:rsidR="00AF52E0">
        <w:rPr>
          <w:rFonts w:ascii="Arial" w:hAnsi="Arial" w:cs="Arial"/>
        </w:rPr>
        <w:t>in</w:t>
      </w:r>
      <w:r>
        <w:rPr>
          <w:rFonts w:ascii="Arial" w:hAnsi="Arial" w:cs="Arial"/>
        </w:rPr>
        <w:t>to the lives of women in ancient Egypt may continue, and likewise beliefs and conclusions be drawn.</w:t>
      </w:r>
    </w:p>
    <w:p w:rsidR="006827D3" w:rsidRDefault="006827D3">
      <w:pPr>
        <w:rPr>
          <w:rFonts w:ascii="Arial" w:hAnsi="Arial" w:cs="Arial"/>
        </w:rPr>
      </w:pPr>
      <w:r>
        <w:rPr>
          <w:rFonts w:ascii="Arial" w:hAnsi="Arial" w:cs="Arial"/>
        </w:rPr>
        <w:br w:type="page"/>
      </w:r>
    </w:p>
    <w:p w:rsidR="00931A4C" w:rsidRDefault="00931A4C">
      <w:pPr>
        <w:spacing w:line="480" w:lineRule="auto"/>
        <w:ind w:right="-23"/>
        <w:rPr>
          <w:rFonts w:ascii="Arial" w:hAnsi="Arial" w:cs="Arial"/>
          <w:b/>
        </w:rPr>
      </w:pPr>
      <w:r>
        <w:rPr>
          <w:rFonts w:ascii="Arial" w:hAnsi="Arial" w:cs="Arial"/>
          <w:b/>
        </w:rPr>
        <w:lastRenderedPageBreak/>
        <w:t>Appendix 1</w:t>
      </w:r>
    </w:p>
    <w:p w:rsidR="00931A4C" w:rsidRDefault="00931A4C">
      <w:pPr>
        <w:spacing w:line="480" w:lineRule="auto"/>
        <w:ind w:right="-23"/>
        <w:rPr>
          <w:rFonts w:ascii="Arial" w:hAnsi="Arial" w:cs="Arial"/>
        </w:rPr>
      </w:pPr>
      <w:r>
        <w:rPr>
          <w:rFonts w:ascii="Arial" w:hAnsi="Arial" w:cs="Arial"/>
        </w:rPr>
        <w:t>A1.1</w:t>
      </w:r>
      <w:r w:rsidR="000E350D">
        <w:rPr>
          <w:rFonts w:ascii="Arial" w:hAnsi="Arial" w:cs="Arial"/>
        </w:rPr>
        <w:t>………………………………………</w:t>
      </w:r>
      <w:r>
        <w:rPr>
          <w:rFonts w:ascii="Arial" w:hAnsi="Arial" w:cs="Arial"/>
        </w:rPr>
        <w:t>Leviticus, 12: 1-8</w:t>
      </w:r>
      <w:r w:rsidR="000E350D">
        <w:rPr>
          <w:rFonts w:ascii="Arial" w:hAnsi="Arial" w:cs="Arial"/>
        </w:rPr>
        <w:t>: purification rituals</w:t>
      </w:r>
      <w:r>
        <w:rPr>
          <w:rFonts w:ascii="Arial" w:hAnsi="Arial" w:cs="Arial"/>
        </w:rPr>
        <w:br/>
        <w:t>A1.2</w:t>
      </w:r>
      <w:r w:rsidR="000E350D">
        <w:rPr>
          <w:rFonts w:ascii="Arial" w:hAnsi="Arial" w:cs="Arial"/>
        </w:rPr>
        <w:t>………………………………………</w:t>
      </w:r>
      <w:r>
        <w:rPr>
          <w:rFonts w:ascii="Arial" w:hAnsi="Arial" w:cs="Arial"/>
        </w:rPr>
        <w:t>Ostracon Nash 5</w:t>
      </w:r>
      <w:r w:rsidR="000E350D">
        <w:rPr>
          <w:rFonts w:ascii="Arial" w:hAnsi="Arial" w:cs="Arial"/>
        </w:rPr>
        <w:t>: domestic violence</w:t>
      </w:r>
    </w:p>
    <w:p w:rsidR="00931A4C" w:rsidRDefault="00931A4C">
      <w:pPr>
        <w:spacing w:line="480" w:lineRule="auto"/>
        <w:ind w:right="-23"/>
        <w:rPr>
          <w:rFonts w:ascii="Arial" w:hAnsi="Arial" w:cs="Arial"/>
        </w:rPr>
      </w:pPr>
      <w:r>
        <w:rPr>
          <w:rFonts w:ascii="Arial" w:hAnsi="Arial" w:cs="Arial"/>
        </w:rPr>
        <w:t>A1.3</w:t>
      </w:r>
      <w:r w:rsidR="000E350D">
        <w:rPr>
          <w:rFonts w:ascii="Arial" w:hAnsi="Arial" w:cs="Arial"/>
        </w:rPr>
        <w:t>……………………………………………………</w:t>
      </w:r>
      <w:r w:rsidR="00F4690B">
        <w:rPr>
          <w:rFonts w:ascii="Arial" w:hAnsi="Arial" w:cs="Arial"/>
        </w:rPr>
        <w:t>..</w:t>
      </w:r>
      <w:r w:rsidR="000E350D">
        <w:rPr>
          <w:rFonts w:ascii="Arial" w:hAnsi="Arial" w:cs="Arial"/>
        </w:rPr>
        <w:t xml:space="preserve">Titulary of </w:t>
      </w:r>
      <w:r>
        <w:rPr>
          <w:rFonts w:ascii="Arial" w:hAnsi="Arial" w:cs="Arial"/>
        </w:rPr>
        <w:t>Sobekneferu</w:t>
      </w:r>
    </w:p>
    <w:p w:rsidR="000E350D" w:rsidRDefault="000E350D">
      <w:pPr>
        <w:spacing w:line="480" w:lineRule="auto"/>
        <w:ind w:right="-23"/>
        <w:rPr>
          <w:rFonts w:ascii="Arial" w:hAnsi="Arial" w:cs="Arial"/>
        </w:rPr>
      </w:pPr>
      <w:r>
        <w:rPr>
          <w:rFonts w:ascii="Arial" w:hAnsi="Arial" w:cs="Arial"/>
        </w:rPr>
        <w:t>A1.</w:t>
      </w:r>
      <w:r w:rsidR="00931A4C">
        <w:rPr>
          <w:rFonts w:ascii="Arial" w:hAnsi="Arial" w:cs="Arial"/>
        </w:rPr>
        <w:t>4</w:t>
      </w:r>
      <w:r>
        <w:rPr>
          <w:rFonts w:ascii="Arial" w:hAnsi="Arial" w:cs="Arial"/>
        </w:rPr>
        <w:t>………………………………</w:t>
      </w:r>
      <w:r w:rsidR="00F4690B">
        <w:rPr>
          <w:rFonts w:ascii="Arial" w:hAnsi="Arial" w:cs="Arial"/>
        </w:rPr>
        <w:t>.</w:t>
      </w:r>
      <w:r w:rsidR="00931A4C">
        <w:rPr>
          <w:rFonts w:ascii="Arial" w:hAnsi="Arial" w:cs="Arial"/>
        </w:rPr>
        <w:t>Hatshepsut</w:t>
      </w:r>
      <w:r>
        <w:rPr>
          <w:rFonts w:ascii="Arial" w:hAnsi="Arial" w:cs="Arial"/>
        </w:rPr>
        <w:t>’s declaration as king by Amun</w:t>
      </w:r>
      <w:r w:rsidR="00931A4C">
        <w:rPr>
          <w:rFonts w:ascii="Arial" w:hAnsi="Arial" w:cs="Arial"/>
        </w:rPr>
        <w:t xml:space="preserve"> </w:t>
      </w:r>
    </w:p>
    <w:p w:rsidR="000E350D" w:rsidRDefault="00931A4C">
      <w:pPr>
        <w:spacing w:line="480" w:lineRule="auto"/>
        <w:ind w:right="-23"/>
        <w:rPr>
          <w:rFonts w:ascii="Arial" w:hAnsi="Arial" w:cs="Arial"/>
        </w:rPr>
      </w:pPr>
      <w:r>
        <w:rPr>
          <w:rFonts w:ascii="Arial" w:hAnsi="Arial" w:cs="Arial"/>
        </w:rPr>
        <w:t>A1.5</w:t>
      </w:r>
      <w:r w:rsidR="000E350D">
        <w:rPr>
          <w:rFonts w:ascii="Arial" w:hAnsi="Arial" w:cs="Arial"/>
        </w:rPr>
        <w:t>………………</w:t>
      </w:r>
      <w:r w:rsidR="00F4690B">
        <w:rPr>
          <w:rFonts w:ascii="Arial" w:hAnsi="Arial" w:cs="Arial"/>
        </w:rPr>
        <w:t>.</w:t>
      </w:r>
      <w:r>
        <w:rPr>
          <w:rFonts w:ascii="Arial" w:hAnsi="Arial" w:cs="Arial"/>
        </w:rPr>
        <w:t xml:space="preserve">Tale </w:t>
      </w:r>
      <w:r w:rsidR="000E350D">
        <w:rPr>
          <w:rFonts w:ascii="Arial" w:hAnsi="Arial" w:cs="Arial"/>
        </w:rPr>
        <w:t xml:space="preserve">of the Eloquent Peasant: women’s food production </w:t>
      </w:r>
    </w:p>
    <w:p w:rsidR="00931A4C" w:rsidRDefault="00931A4C">
      <w:pPr>
        <w:spacing w:line="480" w:lineRule="auto"/>
        <w:ind w:right="-23"/>
        <w:rPr>
          <w:rFonts w:ascii="Arial" w:hAnsi="Arial" w:cs="Arial"/>
        </w:rPr>
      </w:pPr>
      <w:r>
        <w:rPr>
          <w:rFonts w:ascii="Arial" w:hAnsi="Arial" w:cs="Arial"/>
        </w:rPr>
        <w:t>A1.6</w:t>
      </w:r>
      <w:r w:rsidR="000E350D">
        <w:rPr>
          <w:rFonts w:ascii="Arial" w:hAnsi="Arial" w:cs="Arial"/>
        </w:rPr>
        <w:t>…………</w:t>
      </w:r>
      <w:r w:rsidR="00F4690B">
        <w:rPr>
          <w:rFonts w:ascii="Arial" w:hAnsi="Arial" w:cs="Arial"/>
        </w:rPr>
        <w:t>..</w:t>
      </w:r>
      <w:r>
        <w:rPr>
          <w:rFonts w:ascii="Arial" w:hAnsi="Arial" w:cs="Arial"/>
        </w:rPr>
        <w:t>Papyrus Ani</w:t>
      </w:r>
      <w:r w:rsidR="000E350D">
        <w:rPr>
          <w:rFonts w:ascii="Arial" w:hAnsi="Arial" w:cs="Arial"/>
        </w:rPr>
        <w:t xml:space="preserve">: warning men of the dangers of travelling alone </w:t>
      </w:r>
    </w:p>
    <w:p w:rsidR="00931A4C" w:rsidRPr="000E350D" w:rsidRDefault="00931A4C">
      <w:pPr>
        <w:spacing w:line="480" w:lineRule="auto"/>
        <w:ind w:right="-23"/>
        <w:rPr>
          <w:rFonts w:ascii="Arial" w:hAnsi="Arial" w:cs="Arial"/>
        </w:rPr>
      </w:pPr>
      <w:r>
        <w:rPr>
          <w:rFonts w:ascii="Arial" w:hAnsi="Arial" w:cs="Arial"/>
        </w:rPr>
        <w:t>A1.7</w:t>
      </w:r>
      <w:r w:rsidR="000E350D">
        <w:rPr>
          <w:rFonts w:ascii="Arial" w:hAnsi="Arial" w:cs="Arial"/>
        </w:rPr>
        <w:t>………………………………</w:t>
      </w:r>
      <w:r w:rsidR="00F4690B">
        <w:rPr>
          <w:rFonts w:ascii="Arial" w:hAnsi="Arial" w:cs="Arial"/>
        </w:rPr>
        <w:t>..</w:t>
      </w:r>
      <w:r w:rsidR="000E350D">
        <w:rPr>
          <w:rFonts w:ascii="Arial" w:hAnsi="Arial" w:cs="Arial"/>
        </w:rPr>
        <w:t>Papyrus Insinger: men controlling women</w:t>
      </w:r>
    </w:p>
    <w:p w:rsidR="001E5815" w:rsidRDefault="00931A4C">
      <w:pPr>
        <w:spacing w:line="480" w:lineRule="auto"/>
        <w:ind w:right="-23"/>
        <w:rPr>
          <w:rFonts w:ascii="Arial" w:hAnsi="Arial" w:cs="Arial"/>
        </w:rPr>
      </w:pPr>
      <w:r>
        <w:rPr>
          <w:rFonts w:ascii="Arial" w:hAnsi="Arial" w:cs="Arial"/>
        </w:rPr>
        <w:t>A1.8</w:t>
      </w:r>
      <w:r w:rsidR="000E350D">
        <w:rPr>
          <w:rFonts w:ascii="Arial" w:hAnsi="Arial" w:cs="Arial"/>
        </w:rPr>
        <w:t>………………Westcar Papyrus: men’s physical preferences in women</w:t>
      </w:r>
    </w:p>
    <w:p w:rsidR="001E5815" w:rsidRDefault="001E5815">
      <w:pPr>
        <w:rPr>
          <w:rFonts w:ascii="Arial" w:hAnsi="Arial" w:cs="Arial"/>
        </w:rPr>
      </w:pPr>
      <w:r>
        <w:rPr>
          <w:rFonts w:ascii="Arial" w:hAnsi="Arial" w:cs="Arial"/>
        </w:rPr>
        <w:br w:type="page"/>
      </w:r>
    </w:p>
    <w:p w:rsidR="00931A4C" w:rsidRDefault="001E5815">
      <w:pPr>
        <w:spacing w:line="480" w:lineRule="auto"/>
        <w:ind w:right="-23"/>
        <w:rPr>
          <w:rFonts w:ascii="Arial" w:hAnsi="Arial" w:cs="Arial"/>
          <w:u w:val="single"/>
        </w:rPr>
      </w:pPr>
      <w:r>
        <w:rPr>
          <w:rFonts w:ascii="Arial" w:hAnsi="Arial" w:cs="Arial"/>
          <w:u w:val="single"/>
        </w:rPr>
        <w:lastRenderedPageBreak/>
        <w:t>A1.1</w:t>
      </w:r>
    </w:p>
    <w:p w:rsidR="001E5815" w:rsidRDefault="001E5815">
      <w:pPr>
        <w:spacing w:line="480" w:lineRule="auto"/>
        <w:ind w:right="-23"/>
        <w:rPr>
          <w:rFonts w:ascii="Arial" w:hAnsi="Arial" w:cs="Arial"/>
        </w:rPr>
      </w:pPr>
      <w:r>
        <w:rPr>
          <w:rFonts w:ascii="Arial" w:hAnsi="Arial" w:cs="Arial"/>
        </w:rPr>
        <w:t>“</w:t>
      </w:r>
      <w:r>
        <w:rPr>
          <w:rFonts w:ascii="Arial" w:hAnsi="Arial" w:cs="Arial"/>
          <w:i/>
        </w:rPr>
        <w:t>A woman who becomes pregnant and gives birth to a son will be ceremonially unclean for seven days, as she is unclean during her monthly period. […] The woman must wait thirty-three days to be purified from her bleeding. […] If she gives birth to a daughter, for two weeks the woman will be unclean, as during her period. Then she must wait sixty-six days to be purified from her bleeding. […] (Offerings) shall be made before the Lord to make atonement for her, and then she will be ceremonially clean from her flow of blood</w:t>
      </w:r>
      <w:r>
        <w:rPr>
          <w:rFonts w:ascii="Arial" w:hAnsi="Arial" w:cs="Arial"/>
        </w:rPr>
        <w:t>”</w:t>
      </w:r>
      <w:r>
        <w:rPr>
          <w:rStyle w:val="FootnoteReference"/>
          <w:rFonts w:ascii="Arial" w:hAnsi="Arial" w:cs="Arial"/>
        </w:rPr>
        <w:footnoteReference w:id="298"/>
      </w:r>
    </w:p>
    <w:p w:rsidR="001E5815" w:rsidRDefault="001E5815">
      <w:pPr>
        <w:spacing w:line="480" w:lineRule="auto"/>
        <w:ind w:right="-23"/>
        <w:rPr>
          <w:rFonts w:ascii="Arial" w:hAnsi="Arial" w:cs="Arial"/>
          <w:u w:val="single"/>
        </w:rPr>
      </w:pPr>
      <w:r>
        <w:rPr>
          <w:rFonts w:ascii="Arial" w:hAnsi="Arial" w:cs="Arial"/>
          <w:u w:val="single"/>
        </w:rPr>
        <w:t>A1.2</w:t>
      </w:r>
    </w:p>
    <w:p w:rsidR="001E5815" w:rsidRDefault="001E5815">
      <w:pPr>
        <w:spacing w:line="480" w:lineRule="auto"/>
        <w:ind w:right="-23"/>
        <w:rPr>
          <w:rFonts w:ascii="Arial" w:hAnsi="Arial" w:cs="Arial"/>
          <w:i/>
        </w:rPr>
      </w:pPr>
      <w:r>
        <w:rPr>
          <w:rFonts w:ascii="Arial" w:hAnsi="Arial" w:cs="Arial"/>
          <w:i/>
        </w:rPr>
        <w:t xml:space="preserve">“My husband […] then he made a beating, he made a beating again […] and I caused the […] to fetch his mother. He was found guilty and caused […] and I said to him ‘If you are […] in the presence of the court’ and he swore </w:t>
      </w:r>
      <w:r w:rsidRPr="00A975CF">
        <w:rPr>
          <w:rFonts w:ascii="Arial" w:hAnsi="Arial" w:cs="Arial"/>
        </w:rPr>
        <w:t>[an oath of the lord]</w:t>
      </w:r>
      <w:r>
        <w:rPr>
          <w:rFonts w:ascii="Arial" w:hAnsi="Arial" w:cs="Arial"/>
          <w:i/>
        </w:rPr>
        <w:t xml:space="preserve"> saying ‘as Amon endures, as [the ruler] endures […]”</w:t>
      </w:r>
      <w:r>
        <w:rPr>
          <w:rStyle w:val="FootnoteReference"/>
          <w:rFonts w:ascii="Arial" w:hAnsi="Arial" w:cs="Arial"/>
          <w:i/>
        </w:rPr>
        <w:footnoteReference w:id="299"/>
      </w:r>
    </w:p>
    <w:p w:rsidR="001E5815" w:rsidRDefault="001E5815">
      <w:pPr>
        <w:spacing w:line="480" w:lineRule="auto"/>
        <w:ind w:right="-23"/>
        <w:rPr>
          <w:rFonts w:ascii="Arial" w:hAnsi="Arial" w:cs="Arial"/>
          <w:u w:val="single"/>
        </w:rPr>
      </w:pPr>
      <w:r>
        <w:rPr>
          <w:rFonts w:ascii="Arial" w:hAnsi="Arial" w:cs="Arial"/>
          <w:u w:val="single"/>
        </w:rPr>
        <w:t>A1.3</w:t>
      </w:r>
    </w:p>
    <w:p w:rsidR="001E5815" w:rsidRDefault="001E5815">
      <w:pPr>
        <w:spacing w:line="480" w:lineRule="auto"/>
        <w:ind w:right="-23"/>
        <w:rPr>
          <w:rFonts w:ascii="Arial" w:hAnsi="Arial" w:cs="Arial"/>
        </w:rPr>
      </w:pPr>
      <w:r>
        <w:rPr>
          <w:rFonts w:ascii="Arial" w:hAnsi="Arial" w:cs="Arial"/>
          <w:i/>
        </w:rPr>
        <w:t>“The Horus, She who is beloved of Re, She of the two ladies, Powerful Daughter, Mistress of the two lands, the Golden Falcon, enduring of appearances, King of upper and lower Egypt</w:t>
      </w:r>
      <w:r>
        <w:rPr>
          <w:rFonts w:ascii="Arial" w:hAnsi="Arial" w:cs="Arial"/>
        </w:rPr>
        <w:t>”</w:t>
      </w:r>
      <w:r>
        <w:rPr>
          <w:rStyle w:val="FootnoteReference"/>
          <w:rFonts w:ascii="Arial" w:hAnsi="Arial" w:cs="Arial"/>
        </w:rPr>
        <w:footnoteReference w:id="300"/>
      </w:r>
    </w:p>
    <w:p w:rsidR="001E5815" w:rsidRDefault="001E5815">
      <w:pPr>
        <w:spacing w:line="480" w:lineRule="auto"/>
        <w:ind w:right="-23"/>
        <w:rPr>
          <w:rFonts w:ascii="Arial" w:hAnsi="Arial" w:cs="Arial"/>
        </w:rPr>
      </w:pPr>
    </w:p>
    <w:p w:rsidR="001E5815" w:rsidRDefault="001E5815">
      <w:pPr>
        <w:spacing w:line="480" w:lineRule="auto"/>
        <w:ind w:right="-23"/>
        <w:rPr>
          <w:rFonts w:ascii="Arial" w:hAnsi="Arial" w:cs="Arial"/>
        </w:rPr>
      </w:pPr>
    </w:p>
    <w:p w:rsidR="001E5815" w:rsidRDefault="001E5815">
      <w:pPr>
        <w:spacing w:line="480" w:lineRule="auto"/>
        <w:ind w:right="-23"/>
        <w:rPr>
          <w:rFonts w:ascii="Arial" w:hAnsi="Arial" w:cs="Arial"/>
        </w:rPr>
      </w:pPr>
    </w:p>
    <w:p w:rsidR="001E5815" w:rsidRPr="001E5815" w:rsidRDefault="001E5815">
      <w:pPr>
        <w:spacing w:line="480" w:lineRule="auto"/>
        <w:ind w:right="-23"/>
        <w:rPr>
          <w:rFonts w:ascii="Arial" w:hAnsi="Arial" w:cs="Arial"/>
        </w:rPr>
      </w:pPr>
      <w:r>
        <w:rPr>
          <w:rFonts w:ascii="Arial" w:hAnsi="Arial" w:cs="Arial"/>
          <w:u w:val="single"/>
        </w:rPr>
        <w:t>A1.4</w:t>
      </w:r>
    </w:p>
    <w:p w:rsidR="001E5815" w:rsidRPr="001E5815" w:rsidRDefault="001E5815">
      <w:pPr>
        <w:spacing w:line="480" w:lineRule="auto"/>
        <w:ind w:right="-23"/>
        <w:rPr>
          <w:rFonts w:ascii="Arial" w:hAnsi="Arial" w:cs="Arial"/>
          <w:i/>
        </w:rPr>
      </w:pPr>
      <w:r>
        <w:rPr>
          <w:rFonts w:ascii="Arial" w:hAnsi="Arial" w:cs="Arial"/>
        </w:rPr>
        <w:t>“</w:t>
      </w:r>
      <w:r>
        <w:rPr>
          <w:rFonts w:ascii="Arial" w:hAnsi="Arial" w:cs="Arial"/>
          <w:i/>
        </w:rPr>
        <w:t>Come to me in peace, daughter of my loins, beloved Maatkare, thou art the king that takes possession of the diadem of the Throne of Horus of the Living, eternally”</w:t>
      </w:r>
      <w:r>
        <w:rPr>
          <w:rStyle w:val="FootnoteReference"/>
          <w:rFonts w:ascii="Arial" w:hAnsi="Arial" w:cs="Arial"/>
          <w:i/>
        </w:rPr>
        <w:footnoteReference w:id="301"/>
      </w:r>
    </w:p>
    <w:p w:rsidR="001E5815" w:rsidRDefault="001E5815">
      <w:pPr>
        <w:spacing w:line="480" w:lineRule="auto"/>
        <w:ind w:right="-23"/>
        <w:rPr>
          <w:rFonts w:ascii="Arial" w:hAnsi="Arial" w:cs="Arial"/>
          <w:u w:val="single"/>
        </w:rPr>
      </w:pPr>
      <w:r>
        <w:rPr>
          <w:rFonts w:ascii="Arial" w:hAnsi="Arial" w:cs="Arial"/>
          <w:u w:val="single"/>
        </w:rPr>
        <w:t>A1.5</w:t>
      </w:r>
    </w:p>
    <w:p w:rsidR="001E5815" w:rsidRDefault="001E5815">
      <w:pPr>
        <w:spacing w:line="480" w:lineRule="auto"/>
        <w:ind w:right="-23"/>
        <w:rPr>
          <w:rFonts w:ascii="Arial" w:hAnsi="Arial" w:cs="Arial"/>
        </w:rPr>
      </w:pPr>
      <w:r>
        <w:rPr>
          <w:rFonts w:ascii="Arial" w:hAnsi="Arial" w:cs="Arial"/>
          <w:i/>
        </w:rPr>
        <w:t xml:space="preserve">“Look, you have twenty gallons of barley as food for you and your children. Now make for me these six gallons of barley into bread and beer for every day in which </w:t>
      </w:r>
      <w:r w:rsidR="00F4690B">
        <w:rPr>
          <w:rFonts w:ascii="Arial" w:hAnsi="Arial" w:cs="Arial"/>
        </w:rPr>
        <w:t>[I shall travel]</w:t>
      </w:r>
      <w:r>
        <w:rPr>
          <w:rFonts w:ascii="Arial" w:hAnsi="Arial" w:cs="Arial"/>
        </w:rPr>
        <w:t>.”</w:t>
      </w:r>
      <w:r>
        <w:rPr>
          <w:rStyle w:val="FootnoteReference"/>
          <w:rFonts w:ascii="Arial" w:hAnsi="Arial" w:cs="Arial"/>
        </w:rPr>
        <w:footnoteReference w:id="302"/>
      </w:r>
    </w:p>
    <w:p w:rsidR="001E5815" w:rsidRDefault="001E5815">
      <w:pPr>
        <w:spacing w:line="480" w:lineRule="auto"/>
        <w:ind w:right="-23"/>
        <w:rPr>
          <w:rFonts w:ascii="Arial" w:hAnsi="Arial" w:cs="Arial"/>
          <w:u w:val="single"/>
        </w:rPr>
      </w:pPr>
      <w:r>
        <w:rPr>
          <w:rFonts w:ascii="Arial" w:hAnsi="Arial" w:cs="Arial"/>
          <w:u w:val="single"/>
        </w:rPr>
        <w:t>A1.6</w:t>
      </w:r>
    </w:p>
    <w:p w:rsidR="001E5815" w:rsidRDefault="001E5815">
      <w:pPr>
        <w:spacing w:line="480" w:lineRule="auto"/>
        <w:ind w:right="-23"/>
        <w:rPr>
          <w:rFonts w:ascii="Arial" w:hAnsi="Arial" w:cs="Arial"/>
          <w:i/>
        </w:rPr>
      </w:pPr>
      <w:r>
        <w:rPr>
          <w:rFonts w:ascii="Arial" w:hAnsi="Arial" w:cs="Arial"/>
        </w:rPr>
        <w:t>“</w:t>
      </w:r>
      <w:r>
        <w:rPr>
          <w:rFonts w:ascii="Arial" w:hAnsi="Arial" w:cs="Arial"/>
          <w:i/>
        </w:rPr>
        <w:t>A deep water whose course is unknown, such is a woman away from her husband. ‘I am pretty’ she tells you daily, when she has no witnesses, she is ready to ensnare you, a great deadly crime when it is heard”</w:t>
      </w:r>
      <w:r>
        <w:rPr>
          <w:rStyle w:val="FootnoteReference"/>
          <w:rFonts w:ascii="Arial" w:hAnsi="Arial" w:cs="Arial"/>
          <w:i/>
        </w:rPr>
        <w:footnoteReference w:id="303"/>
      </w:r>
    </w:p>
    <w:p w:rsidR="001E5815" w:rsidRDefault="001E5815">
      <w:pPr>
        <w:spacing w:line="480" w:lineRule="auto"/>
        <w:ind w:right="-23"/>
        <w:rPr>
          <w:rFonts w:ascii="Arial" w:hAnsi="Arial" w:cs="Arial"/>
          <w:u w:val="single"/>
        </w:rPr>
      </w:pPr>
      <w:r>
        <w:rPr>
          <w:rFonts w:ascii="Arial" w:hAnsi="Arial" w:cs="Arial"/>
          <w:u w:val="single"/>
        </w:rPr>
        <w:t>A1.7</w:t>
      </w:r>
    </w:p>
    <w:p w:rsidR="001E5815" w:rsidRDefault="001E5815">
      <w:pPr>
        <w:spacing w:line="480" w:lineRule="auto"/>
        <w:ind w:right="-23"/>
        <w:rPr>
          <w:rFonts w:ascii="Arial" w:hAnsi="Arial" w:cs="Arial"/>
        </w:rPr>
      </w:pPr>
      <w:r>
        <w:rPr>
          <w:rFonts w:ascii="Arial" w:hAnsi="Arial" w:cs="Arial"/>
        </w:rPr>
        <w:t>“</w:t>
      </w:r>
      <w:r>
        <w:rPr>
          <w:rFonts w:ascii="Arial" w:hAnsi="Arial" w:cs="Arial"/>
          <w:i/>
        </w:rPr>
        <w:t>Even a wise man can be harmed by his love for a woman, if a woman is beautiful you should show your superiority over her”</w:t>
      </w:r>
      <w:r>
        <w:rPr>
          <w:rStyle w:val="FootnoteReference"/>
          <w:rFonts w:ascii="Arial" w:hAnsi="Arial" w:cs="Arial"/>
          <w:i/>
        </w:rPr>
        <w:footnoteReference w:id="304"/>
      </w:r>
    </w:p>
    <w:p w:rsidR="0075037D" w:rsidRDefault="0075037D">
      <w:pPr>
        <w:spacing w:line="480" w:lineRule="auto"/>
        <w:ind w:right="-23"/>
        <w:rPr>
          <w:rFonts w:ascii="Arial" w:hAnsi="Arial" w:cs="Arial"/>
          <w:u w:val="single"/>
        </w:rPr>
      </w:pPr>
    </w:p>
    <w:p w:rsidR="0075037D" w:rsidRDefault="0075037D">
      <w:pPr>
        <w:spacing w:line="480" w:lineRule="auto"/>
        <w:ind w:right="-23"/>
        <w:rPr>
          <w:rFonts w:ascii="Arial" w:hAnsi="Arial" w:cs="Arial"/>
          <w:u w:val="single"/>
        </w:rPr>
      </w:pPr>
    </w:p>
    <w:p w:rsidR="0075037D" w:rsidRDefault="0075037D">
      <w:pPr>
        <w:spacing w:line="480" w:lineRule="auto"/>
        <w:ind w:right="-23"/>
        <w:rPr>
          <w:rFonts w:ascii="Arial" w:hAnsi="Arial" w:cs="Arial"/>
          <w:u w:val="single"/>
        </w:rPr>
      </w:pPr>
    </w:p>
    <w:p w:rsidR="001E5815" w:rsidRDefault="001E5815">
      <w:pPr>
        <w:spacing w:line="480" w:lineRule="auto"/>
        <w:ind w:right="-23"/>
        <w:rPr>
          <w:rFonts w:ascii="Arial" w:hAnsi="Arial" w:cs="Arial"/>
          <w:u w:val="single"/>
        </w:rPr>
      </w:pPr>
      <w:r>
        <w:rPr>
          <w:rFonts w:ascii="Arial" w:hAnsi="Arial" w:cs="Arial"/>
          <w:u w:val="single"/>
        </w:rPr>
        <w:lastRenderedPageBreak/>
        <w:t>A1.8</w:t>
      </w:r>
    </w:p>
    <w:p w:rsidR="001E5815" w:rsidRDefault="001E5815">
      <w:pPr>
        <w:spacing w:line="480" w:lineRule="auto"/>
        <w:ind w:right="-23"/>
        <w:rPr>
          <w:rFonts w:ascii="Arial" w:hAnsi="Arial" w:cs="Arial"/>
          <w:i/>
        </w:rPr>
      </w:pPr>
      <w:r>
        <w:rPr>
          <w:rFonts w:ascii="Arial" w:hAnsi="Arial" w:cs="Arial"/>
        </w:rPr>
        <w:t>“</w:t>
      </w:r>
      <w:r>
        <w:rPr>
          <w:rFonts w:ascii="Arial" w:hAnsi="Arial" w:cs="Arial"/>
          <w:i/>
        </w:rPr>
        <w:t>Twenty women with the shapeliest of bodies, breasts, and braids, who have not yet given birth. Also let there be brought twenty nets and give these nets to the women in place of their clothes”</w:t>
      </w:r>
      <w:r>
        <w:rPr>
          <w:rStyle w:val="FootnoteReference"/>
          <w:rFonts w:ascii="Arial" w:hAnsi="Arial" w:cs="Arial"/>
          <w:i/>
        </w:rPr>
        <w:footnoteReference w:id="305"/>
      </w:r>
    </w:p>
    <w:p w:rsidR="001E5815" w:rsidRDefault="001E5815">
      <w:pPr>
        <w:spacing w:line="480" w:lineRule="auto"/>
        <w:ind w:right="-23"/>
        <w:rPr>
          <w:rFonts w:ascii="Arial" w:hAnsi="Arial" w:cs="Arial"/>
          <w:u w:val="single"/>
        </w:rPr>
      </w:pPr>
      <w:r>
        <w:rPr>
          <w:rFonts w:ascii="Arial" w:hAnsi="Arial" w:cs="Arial"/>
          <w:u w:val="single"/>
        </w:rPr>
        <w:t>A1.9</w:t>
      </w:r>
    </w:p>
    <w:p w:rsidR="001E5815" w:rsidRPr="001E5815" w:rsidRDefault="001E5815" w:rsidP="001E5815">
      <w:pPr>
        <w:tabs>
          <w:tab w:val="left" w:pos="8647"/>
        </w:tabs>
        <w:spacing w:line="360" w:lineRule="auto"/>
        <w:ind w:right="-23"/>
        <w:rPr>
          <w:rFonts w:ascii="Arial" w:hAnsi="Arial" w:cs="Arial"/>
        </w:rPr>
      </w:pPr>
      <w:r>
        <w:rPr>
          <w:rFonts w:ascii="Arial" w:hAnsi="Arial" w:cs="Arial"/>
          <w:i/>
        </w:rPr>
        <w:t>“The work of Mut and Hathor is what acts among women</w:t>
      </w:r>
      <w:r>
        <w:rPr>
          <w:rFonts w:ascii="Arial" w:hAnsi="Arial" w:cs="Arial"/>
        </w:rPr>
        <w:t>”</w:t>
      </w:r>
      <w:r>
        <w:rPr>
          <w:rStyle w:val="FootnoteReference"/>
          <w:rFonts w:ascii="Arial" w:hAnsi="Arial" w:cs="Arial"/>
        </w:rPr>
        <w:footnoteReference w:id="306"/>
      </w: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1E5815" w:rsidRDefault="001E5815">
      <w:pPr>
        <w:spacing w:line="480" w:lineRule="auto"/>
        <w:ind w:right="-23"/>
        <w:rPr>
          <w:rFonts w:ascii="Arial" w:hAnsi="Arial" w:cs="Arial"/>
          <w:b/>
        </w:rPr>
      </w:pPr>
    </w:p>
    <w:p w:rsidR="0075037D" w:rsidRDefault="0075037D">
      <w:pPr>
        <w:spacing w:line="480" w:lineRule="auto"/>
        <w:ind w:right="-23"/>
        <w:rPr>
          <w:rFonts w:ascii="Arial" w:hAnsi="Arial" w:cs="Arial"/>
          <w:b/>
        </w:rPr>
      </w:pPr>
    </w:p>
    <w:p w:rsidR="00871FB5" w:rsidRPr="001E5815" w:rsidRDefault="006827D3">
      <w:pPr>
        <w:spacing w:line="480" w:lineRule="auto"/>
        <w:ind w:right="-23"/>
        <w:rPr>
          <w:rFonts w:ascii="Arial" w:hAnsi="Arial" w:cs="Arial"/>
        </w:rPr>
      </w:pPr>
      <w:r>
        <w:rPr>
          <w:rFonts w:ascii="Arial" w:hAnsi="Arial" w:cs="Arial"/>
          <w:b/>
        </w:rPr>
        <w:lastRenderedPageBreak/>
        <w:t>Bibliography</w:t>
      </w:r>
    </w:p>
    <w:p w:rsidR="00E420EC" w:rsidRDefault="00E420EC" w:rsidP="00E420EC">
      <w:pPr>
        <w:pStyle w:val="ListParagraph"/>
        <w:numPr>
          <w:ilvl w:val="0"/>
          <w:numId w:val="2"/>
        </w:numPr>
        <w:spacing w:line="240" w:lineRule="auto"/>
        <w:rPr>
          <w:rFonts w:ascii="Arial" w:hAnsi="Arial" w:cs="Arial"/>
        </w:rPr>
      </w:pPr>
      <w:r>
        <w:rPr>
          <w:rFonts w:ascii="Arial" w:hAnsi="Arial" w:cs="Arial"/>
        </w:rPr>
        <w:t xml:space="preserve">Amin. O. S. M, 2013, </w:t>
      </w:r>
      <w:r>
        <w:rPr>
          <w:rFonts w:ascii="Arial" w:hAnsi="Arial" w:cs="Arial"/>
          <w:i/>
        </w:rPr>
        <w:t>Head and Body of the Goddess Sekhmet, Kelvingrove Art Gallery and Museum, Glasgow</w:t>
      </w:r>
      <w:r>
        <w:rPr>
          <w:rFonts w:ascii="Arial" w:hAnsi="Arial" w:cs="Arial"/>
        </w:rPr>
        <w:t xml:space="preserve">, Wikimedia Commons, </w:t>
      </w:r>
      <w:hyperlink r:id="rId36" w:history="1">
        <w:r w:rsidRPr="00DB2CC0">
          <w:rPr>
            <w:rStyle w:val="Hyperlink"/>
            <w:rFonts w:ascii="Arial" w:hAnsi="Arial" w:cs="Arial"/>
          </w:rPr>
          <w:t>https://upload.wikimedia.org/wikipedia/commons/9/96/Head_and_upper_body_of_the_goddess_Sekhmet%2C_Kelvingrove_Art_Gallery_and_Museum%2C_Glasgow..JPG</w:t>
        </w:r>
      </w:hyperlink>
      <w:r>
        <w:rPr>
          <w:rFonts w:ascii="Arial" w:hAnsi="Arial" w:cs="Arial"/>
        </w:rPr>
        <w:t xml:space="preserve"> [Last Accessed: 37/04/2018]</w:t>
      </w:r>
      <w:r>
        <w:rPr>
          <w:rFonts w:ascii="Arial" w:hAnsi="Arial" w:cs="Arial"/>
        </w:rPr>
        <w:br/>
      </w:r>
    </w:p>
    <w:p w:rsidR="00E420EC" w:rsidRDefault="009552EB" w:rsidP="006E64FE">
      <w:pPr>
        <w:pStyle w:val="ListParagraph"/>
        <w:numPr>
          <w:ilvl w:val="0"/>
          <w:numId w:val="2"/>
        </w:numPr>
        <w:spacing w:line="240" w:lineRule="auto"/>
        <w:rPr>
          <w:rFonts w:ascii="Arial" w:hAnsi="Arial" w:cs="Arial"/>
        </w:rPr>
      </w:pPr>
      <w:r w:rsidRPr="00896E7B">
        <w:rPr>
          <w:rFonts w:ascii="Arial" w:hAnsi="Arial" w:cs="Arial"/>
        </w:rPr>
        <w:t xml:space="preserve">Amnesty International, 2005, </w:t>
      </w:r>
      <w:r w:rsidRPr="00896E7B">
        <w:rPr>
          <w:rFonts w:ascii="Arial" w:hAnsi="Arial" w:cs="Arial"/>
          <w:i/>
        </w:rPr>
        <w:t xml:space="preserve">Yemen: Yemen’s Dark Side: Discrimination and Violence against Women and Girls, </w:t>
      </w:r>
      <w:r w:rsidRPr="00896E7B">
        <w:rPr>
          <w:rFonts w:ascii="Arial" w:hAnsi="Arial" w:cs="Arial"/>
        </w:rPr>
        <w:t xml:space="preserve">London, Amnesty International: </w:t>
      </w:r>
      <w:hyperlink r:id="rId37" w:history="1">
        <w:r w:rsidRPr="00896E7B">
          <w:rPr>
            <w:rStyle w:val="Hyperlink"/>
            <w:rFonts w:ascii="Arial" w:hAnsi="Arial" w:cs="Arial"/>
          </w:rPr>
          <w:t>https://web.archive.org/web/20151210214138/https://www.amnesty.org/en/documents/mde31/014/2009/en/</w:t>
        </w:r>
      </w:hyperlink>
      <w:r w:rsidRPr="00896E7B">
        <w:rPr>
          <w:rFonts w:ascii="Arial" w:hAnsi="Arial" w:cs="Arial"/>
        </w:rPr>
        <w:t xml:space="preserve"> [Last Accessed: 13/02/2018]</w:t>
      </w:r>
      <w:r w:rsidR="00E420EC">
        <w:rPr>
          <w:rFonts w:ascii="Arial" w:hAnsi="Arial" w:cs="Arial"/>
        </w:rPr>
        <w:br/>
      </w:r>
    </w:p>
    <w:p w:rsidR="008B0B06" w:rsidRDefault="00E420EC" w:rsidP="008B0B06">
      <w:pPr>
        <w:pStyle w:val="ListParagraph"/>
        <w:numPr>
          <w:ilvl w:val="0"/>
          <w:numId w:val="2"/>
        </w:numPr>
        <w:spacing w:line="240" w:lineRule="auto"/>
        <w:rPr>
          <w:rFonts w:ascii="Arial" w:hAnsi="Arial" w:cs="Arial"/>
        </w:rPr>
      </w:pPr>
      <w:r>
        <w:rPr>
          <w:rFonts w:ascii="Arial" w:hAnsi="Arial" w:cs="Arial"/>
        </w:rPr>
        <w:t xml:space="preserve">Bach. K, 2004, </w:t>
      </w:r>
      <w:r>
        <w:rPr>
          <w:rFonts w:ascii="Arial" w:hAnsi="Arial" w:cs="Arial"/>
          <w:i/>
        </w:rPr>
        <w:t>Statue of Egyptian Goddess Hathor from Luxor Museum, Egypt</w:t>
      </w:r>
      <w:r>
        <w:rPr>
          <w:rFonts w:ascii="Arial" w:hAnsi="Arial" w:cs="Arial"/>
        </w:rPr>
        <w:t xml:space="preserve">, Wikimedia Commons, </w:t>
      </w:r>
      <w:hyperlink r:id="rId38" w:history="1">
        <w:r w:rsidRPr="00DB2CC0">
          <w:rPr>
            <w:rStyle w:val="Hyperlink"/>
            <w:rFonts w:ascii="Arial" w:hAnsi="Arial" w:cs="Arial"/>
          </w:rPr>
          <w:t>https://upload.wikimedia.org/wikipedia/commons/1/12/Statue_of_Egyptian_Goddess_Hathor_from_Luxur_Museum_Egypt.jpg</w:t>
        </w:r>
      </w:hyperlink>
      <w:r>
        <w:rPr>
          <w:rFonts w:ascii="Arial" w:hAnsi="Arial" w:cs="Arial"/>
        </w:rPr>
        <w:t xml:space="preserve"> [Last Accessed: 27/04/2018]</w:t>
      </w:r>
      <w:r w:rsidR="008B0B06">
        <w:rPr>
          <w:rFonts w:ascii="Arial" w:hAnsi="Arial" w:cs="Arial"/>
        </w:rPr>
        <w:br/>
      </w:r>
    </w:p>
    <w:p w:rsidR="009552EB" w:rsidRPr="008B0B06" w:rsidRDefault="008B0B06" w:rsidP="008B0B06">
      <w:pPr>
        <w:pStyle w:val="ListParagraph"/>
        <w:numPr>
          <w:ilvl w:val="0"/>
          <w:numId w:val="2"/>
        </w:numPr>
        <w:spacing w:line="240" w:lineRule="auto"/>
        <w:rPr>
          <w:rFonts w:ascii="Arial" w:hAnsi="Arial" w:cs="Arial"/>
        </w:rPr>
      </w:pPr>
      <w:r>
        <w:rPr>
          <w:rFonts w:ascii="Arial" w:hAnsi="Arial" w:cs="Arial"/>
        </w:rPr>
        <w:t xml:space="preserve">Barras. J, 2009, </w:t>
      </w:r>
      <w:r>
        <w:rPr>
          <w:rFonts w:ascii="Arial" w:hAnsi="Arial" w:cs="Arial"/>
          <w:i/>
        </w:rPr>
        <w:t>Ancient Egyptian Tomb Art</w:t>
      </w:r>
      <w:r>
        <w:rPr>
          <w:rFonts w:ascii="Arial" w:hAnsi="Arial" w:cs="Arial"/>
        </w:rPr>
        <w:t xml:space="preserve">, Flickr </w:t>
      </w:r>
      <w:hyperlink r:id="rId39" w:history="1">
        <w:r w:rsidRPr="00DB2CC0">
          <w:rPr>
            <w:rStyle w:val="Hyperlink"/>
            <w:rFonts w:ascii="Arial" w:hAnsi="Arial" w:cs="Arial"/>
          </w:rPr>
          <w:t>https://www.flickr.com/photos/ddtmmm/3397735423</w:t>
        </w:r>
      </w:hyperlink>
      <w:r>
        <w:rPr>
          <w:rFonts w:ascii="Arial" w:hAnsi="Arial" w:cs="Arial"/>
        </w:rPr>
        <w:t xml:space="preserve"> [Last Accessed: 02/05/2018]</w:t>
      </w:r>
      <w:r w:rsidR="009552EB" w:rsidRPr="008B0B06">
        <w:rPr>
          <w:rFonts w:ascii="Arial" w:hAnsi="Arial" w:cs="Arial"/>
        </w:rPr>
        <w:br/>
      </w:r>
    </w:p>
    <w:p w:rsidR="00A3335C" w:rsidRDefault="009552EB" w:rsidP="003D67CA">
      <w:pPr>
        <w:pStyle w:val="ListParagraph"/>
        <w:numPr>
          <w:ilvl w:val="0"/>
          <w:numId w:val="2"/>
        </w:numPr>
        <w:spacing w:line="240" w:lineRule="auto"/>
        <w:rPr>
          <w:rFonts w:ascii="Arial" w:hAnsi="Arial" w:cs="Arial"/>
          <w:szCs w:val="28"/>
        </w:rPr>
      </w:pPr>
      <w:r w:rsidRPr="00896E7B">
        <w:rPr>
          <w:rFonts w:ascii="Arial" w:hAnsi="Arial" w:cs="Arial"/>
          <w:szCs w:val="28"/>
        </w:rPr>
        <w:t xml:space="preserve">Boss. S. J, 2003, </w:t>
      </w:r>
      <w:r w:rsidRPr="00896E7B">
        <w:rPr>
          <w:rFonts w:ascii="Arial" w:hAnsi="Arial" w:cs="Arial"/>
          <w:i/>
          <w:szCs w:val="28"/>
        </w:rPr>
        <w:t>Mary</w:t>
      </w:r>
      <w:r w:rsidR="003D67CA">
        <w:rPr>
          <w:rFonts w:ascii="Arial" w:hAnsi="Arial" w:cs="Arial"/>
          <w:szCs w:val="28"/>
        </w:rPr>
        <w:t>, London, Continuum</w:t>
      </w:r>
      <w:r w:rsidR="00A3335C">
        <w:rPr>
          <w:rFonts w:ascii="Arial" w:hAnsi="Arial" w:cs="Arial"/>
          <w:szCs w:val="28"/>
        </w:rPr>
        <w:br/>
      </w:r>
    </w:p>
    <w:p w:rsidR="00A3335C" w:rsidRDefault="00A3335C" w:rsidP="003D67CA">
      <w:pPr>
        <w:pStyle w:val="ListParagraph"/>
        <w:numPr>
          <w:ilvl w:val="0"/>
          <w:numId w:val="2"/>
        </w:numPr>
        <w:spacing w:line="240" w:lineRule="auto"/>
        <w:rPr>
          <w:rFonts w:ascii="Arial" w:hAnsi="Arial" w:cs="Arial"/>
          <w:szCs w:val="28"/>
        </w:rPr>
      </w:pPr>
      <w:r>
        <w:rPr>
          <w:rFonts w:ascii="Arial" w:hAnsi="Arial" w:cs="Arial"/>
          <w:szCs w:val="28"/>
        </w:rPr>
        <w:t xml:space="preserve">British Museum, 2018, </w:t>
      </w:r>
      <w:r>
        <w:rPr>
          <w:rFonts w:ascii="Arial" w:hAnsi="Arial" w:cs="Arial"/>
          <w:i/>
          <w:szCs w:val="28"/>
        </w:rPr>
        <w:t>Papyrus</w:t>
      </w:r>
      <w:r>
        <w:rPr>
          <w:rFonts w:ascii="Arial" w:hAnsi="Arial" w:cs="Arial"/>
          <w:szCs w:val="28"/>
        </w:rPr>
        <w:t xml:space="preserve">, BM EA10416 </w:t>
      </w:r>
      <w:r>
        <w:rPr>
          <w:rFonts w:ascii="Arial" w:hAnsi="Arial" w:cs="Arial"/>
          <w:szCs w:val="28"/>
        </w:rPr>
        <w:br/>
      </w:r>
    </w:p>
    <w:p w:rsidR="00E420EC" w:rsidRDefault="00A3335C" w:rsidP="00A3335C">
      <w:pPr>
        <w:pStyle w:val="ListParagraph"/>
        <w:numPr>
          <w:ilvl w:val="0"/>
          <w:numId w:val="2"/>
        </w:numPr>
        <w:spacing w:line="240" w:lineRule="auto"/>
        <w:rPr>
          <w:rFonts w:ascii="Arial" w:hAnsi="Arial" w:cs="Arial"/>
          <w:szCs w:val="28"/>
        </w:rPr>
      </w:pPr>
      <w:r>
        <w:rPr>
          <w:rFonts w:ascii="Arial" w:hAnsi="Arial" w:cs="Arial"/>
          <w:szCs w:val="28"/>
        </w:rPr>
        <w:t>British Museum, 1910,</w:t>
      </w:r>
      <w:r>
        <w:rPr>
          <w:rFonts w:ascii="Arial" w:hAnsi="Arial" w:cs="Arial"/>
          <w:i/>
          <w:szCs w:val="28"/>
        </w:rPr>
        <w:t xml:space="preserve"> Greenfield Papyrus</w:t>
      </w:r>
      <w:r>
        <w:rPr>
          <w:rFonts w:ascii="Arial" w:hAnsi="Arial" w:cs="Arial"/>
          <w:szCs w:val="28"/>
        </w:rPr>
        <w:t xml:space="preserve">, BM EA10554,87, </w:t>
      </w:r>
      <w:hyperlink r:id="rId40" w:history="1">
        <w:r w:rsidRPr="00DB2CC0">
          <w:rPr>
            <w:rStyle w:val="Hyperlink"/>
            <w:rFonts w:ascii="Arial" w:hAnsi="Arial" w:cs="Arial"/>
            <w:szCs w:val="28"/>
          </w:rPr>
          <w:t>http://www.britishmuseum.org/research/collection_online/collection_object_details.aspx?objectId=114900&amp;partId=1</w:t>
        </w:r>
      </w:hyperlink>
      <w:r>
        <w:rPr>
          <w:rFonts w:ascii="Arial" w:hAnsi="Arial" w:cs="Arial"/>
          <w:szCs w:val="28"/>
        </w:rPr>
        <w:t xml:space="preserve"> [Last Accessed: 27/04/2018]</w:t>
      </w:r>
      <w:r w:rsidR="00E420EC">
        <w:rPr>
          <w:rFonts w:ascii="Arial" w:hAnsi="Arial" w:cs="Arial"/>
          <w:szCs w:val="28"/>
        </w:rPr>
        <w:br/>
      </w:r>
    </w:p>
    <w:p w:rsidR="00351A06" w:rsidRDefault="00E420EC" w:rsidP="00E420EC">
      <w:pPr>
        <w:pStyle w:val="ListParagraph"/>
        <w:numPr>
          <w:ilvl w:val="0"/>
          <w:numId w:val="2"/>
        </w:numPr>
        <w:spacing w:line="240" w:lineRule="auto"/>
        <w:rPr>
          <w:rFonts w:ascii="Arial" w:hAnsi="Arial" w:cs="Arial"/>
          <w:szCs w:val="28"/>
        </w:rPr>
      </w:pPr>
      <w:r>
        <w:rPr>
          <w:rFonts w:ascii="Arial" w:hAnsi="Arial" w:cs="Arial"/>
          <w:szCs w:val="28"/>
        </w:rPr>
        <w:t xml:space="preserve">British Museum, 1996, </w:t>
      </w:r>
      <w:r w:rsidRPr="00E420EC">
        <w:rPr>
          <w:rFonts w:ascii="Arial" w:hAnsi="Arial" w:cs="Arial"/>
          <w:i/>
          <w:szCs w:val="28"/>
        </w:rPr>
        <w:t>Icon with Virgin Mary and Child</w:t>
      </w:r>
      <w:r>
        <w:rPr>
          <w:rFonts w:ascii="Arial" w:hAnsi="Arial" w:cs="Arial"/>
          <w:szCs w:val="28"/>
        </w:rPr>
        <w:t xml:space="preserve">, 1996,1103.1, </w:t>
      </w:r>
      <w:hyperlink r:id="rId41" w:history="1">
        <w:r w:rsidRPr="00DB2CC0">
          <w:rPr>
            <w:rStyle w:val="Hyperlink"/>
            <w:rFonts w:ascii="Arial" w:hAnsi="Arial" w:cs="Arial"/>
            <w:szCs w:val="28"/>
          </w:rPr>
          <w:t>http://www.britishmuseum.org/research/collection_online/collection_object_details.aspx?objectId=58654&amp;partId=1</w:t>
        </w:r>
      </w:hyperlink>
      <w:r>
        <w:rPr>
          <w:rFonts w:ascii="Arial" w:hAnsi="Arial" w:cs="Arial"/>
          <w:szCs w:val="28"/>
        </w:rPr>
        <w:t xml:space="preserve"> [Last Accessed: 27/04/2018]</w:t>
      </w:r>
      <w:r w:rsidR="00351A06">
        <w:rPr>
          <w:rFonts w:ascii="Arial" w:hAnsi="Arial" w:cs="Arial"/>
          <w:szCs w:val="28"/>
        </w:rPr>
        <w:br/>
      </w:r>
    </w:p>
    <w:p w:rsidR="007E753C" w:rsidRDefault="00351A06" w:rsidP="00351A06">
      <w:pPr>
        <w:pStyle w:val="ListParagraph"/>
        <w:numPr>
          <w:ilvl w:val="0"/>
          <w:numId w:val="2"/>
        </w:numPr>
        <w:spacing w:line="240" w:lineRule="auto"/>
        <w:rPr>
          <w:rFonts w:ascii="Arial" w:hAnsi="Arial" w:cs="Arial"/>
          <w:szCs w:val="28"/>
        </w:rPr>
      </w:pPr>
      <w:r>
        <w:rPr>
          <w:rFonts w:ascii="Arial" w:hAnsi="Arial" w:cs="Arial"/>
          <w:szCs w:val="28"/>
        </w:rPr>
        <w:t xml:space="preserve">British Museum, 1820, Nebamun Hunting in the Marshes, </w:t>
      </w:r>
      <w:r>
        <w:rPr>
          <w:rFonts w:ascii="Arial" w:hAnsi="Arial" w:cs="Arial"/>
          <w:i/>
          <w:szCs w:val="28"/>
        </w:rPr>
        <w:t xml:space="preserve">The Tomb-Chapel of Nebamun, </w:t>
      </w:r>
      <w:r>
        <w:rPr>
          <w:rFonts w:ascii="Arial" w:hAnsi="Arial" w:cs="Arial"/>
          <w:szCs w:val="28"/>
        </w:rPr>
        <w:t xml:space="preserve">BM EA 37983, </w:t>
      </w:r>
      <w:hyperlink r:id="rId42" w:history="1">
        <w:r w:rsidRPr="00DB2CC0">
          <w:rPr>
            <w:rStyle w:val="Hyperlink"/>
            <w:rFonts w:ascii="Arial" w:hAnsi="Arial" w:cs="Arial"/>
            <w:szCs w:val="28"/>
          </w:rPr>
          <w:t>http://www.britishmuseum.org/visiting/galleries/ancient_egypt/room_61_tomb-chapel_nebamun.aspx</w:t>
        </w:r>
      </w:hyperlink>
      <w:r>
        <w:rPr>
          <w:rFonts w:ascii="Arial" w:hAnsi="Arial" w:cs="Arial"/>
          <w:i/>
          <w:szCs w:val="28"/>
        </w:rPr>
        <w:t xml:space="preserve"> </w:t>
      </w:r>
      <w:r>
        <w:rPr>
          <w:rFonts w:ascii="Arial" w:hAnsi="Arial" w:cs="Arial"/>
          <w:szCs w:val="28"/>
        </w:rPr>
        <w:t>[Last Accessed: 27/04/2018]</w:t>
      </w:r>
      <w:r w:rsidR="007E753C">
        <w:rPr>
          <w:rFonts w:ascii="Arial" w:hAnsi="Arial" w:cs="Arial"/>
          <w:szCs w:val="28"/>
        </w:rPr>
        <w:br/>
      </w:r>
    </w:p>
    <w:p w:rsidR="00E420EC" w:rsidRDefault="007E753C" w:rsidP="006E64FE">
      <w:pPr>
        <w:pStyle w:val="ListParagraph"/>
        <w:numPr>
          <w:ilvl w:val="0"/>
          <w:numId w:val="2"/>
        </w:numPr>
        <w:spacing w:line="240" w:lineRule="auto"/>
        <w:rPr>
          <w:rFonts w:ascii="Arial" w:hAnsi="Arial" w:cs="Arial"/>
          <w:szCs w:val="28"/>
        </w:rPr>
      </w:pPr>
      <w:r>
        <w:rPr>
          <w:rFonts w:ascii="Arial" w:hAnsi="Arial" w:cs="Arial"/>
          <w:szCs w:val="28"/>
        </w:rPr>
        <w:t xml:space="preserve">British Museum, 1959, </w:t>
      </w:r>
      <w:r>
        <w:rPr>
          <w:rFonts w:ascii="Arial" w:hAnsi="Arial" w:cs="Arial"/>
          <w:i/>
          <w:szCs w:val="28"/>
        </w:rPr>
        <w:t xml:space="preserve">Ostracon, </w:t>
      </w:r>
      <w:r>
        <w:rPr>
          <w:rFonts w:ascii="Arial" w:hAnsi="Arial" w:cs="Arial"/>
          <w:szCs w:val="28"/>
        </w:rPr>
        <w:t xml:space="preserve">GD Nash Selection, </w:t>
      </w:r>
      <w:r w:rsidRPr="007E753C">
        <w:rPr>
          <w:rFonts w:ascii="Arial" w:hAnsi="Arial" w:cs="Arial"/>
          <w:szCs w:val="28"/>
        </w:rPr>
        <w:t>BM EA65943M</w:t>
      </w:r>
      <w:r>
        <w:rPr>
          <w:rFonts w:ascii="Arial" w:hAnsi="Arial" w:cs="Arial"/>
          <w:szCs w:val="28"/>
        </w:rPr>
        <w:t xml:space="preserve">, </w:t>
      </w:r>
      <w:hyperlink r:id="rId43" w:history="1">
        <w:r w:rsidRPr="00DB2CC0">
          <w:rPr>
            <w:rStyle w:val="Hyperlink"/>
            <w:rFonts w:ascii="Arial" w:hAnsi="Arial" w:cs="Arial"/>
            <w:szCs w:val="28"/>
          </w:rPr>
          <w:t>http://www.britishmuseum.org/research/collection_online/collection_</w:t>
        </w:r>
        <w:r w:rsidRPr="00DB2CC0">
          <w:rPr>
            <w:rStyle w:val="Hyperlink"/>
            <w:rFonts w:ascii="Arial" w:hAnsi="Arial" w:cs="Arial"/>
            <w:szCs w:val="28"/>
          </w:rPr>
          <w:lastRenderedPageBreak/>
          <w:t>object_details.aspx?objectId=152263&amp;partId=1</w:t>
        </w:r>
      </w:hyperlink>
      <w:r>
        <w:rPr>
          <w:rFonts w:ascii="Arial" w:hAnsi="Arial" w:cs="Arial"/>
          <w:szCs w:val="28"/>
        </w:rPr>
        <w:t xml:space="preserve"> [Last Accessed: 27/04/2018]</w:t>
      </w:r>
      <w:r w:rsidR="00E420EC">
        <w:rPr>
          <w:rFonts w:ascii="Arial" w:hAnsi="Arial" w:cs="Arial"/>
          <w:szCs w:val="28"/>
        </w:rPr>
        <w:br/>
      </w:r>
    </w:p>
    <w:p w:rsidR="00A3335C" w:rsidRDefault="00E420EC" w:rsidP="00A3335C">
      <w:pPr>
        <w:pStyle w:val="ListParagraph"/>
        <w:numPr>
          <w:ilvl w:val="0"/>
          <w:numId w:val="2"/>
        </w:numPr>
        <w:spacing w:line="240" w:lineRule="auto"/>
        <w:rPr>
          <w:rFonts w:ascii="Arial" w:hAnsi="Arial" w:cs="Arial"/>
          <w:szCs w:val="28"/>
        </w:rPr>
      </w:pPr>
      <w:r>
        <w:rPr>
          <w:rFonts w:ascii="Arial" w:hAnsi="Arial" w:cs="Arial"/>
          <w:szCs w:val="28"/>
        </w:rPr>
        <w:t xml:space="preserve">British Museum, 1888, </w:t>
      </w:r>
      <w:r>
        <w:rPr>
          <w:rFonts w:ascii="Arial" w:hAnsi="Arial" w:cs="Arial"/>
          <w:i/>
          <w:szCs w:val="28"/>
        </w:rPr>
        <w:t>Papyrus Ani</w:t>
      </w:r>
      <w:r>
        <w:rPr>
          <w:rFonts w:ascii="Arial" w:hAnsi="Arial" w:cs="Arial"/>
          <w:szCs w:val="28"/>
        </w:rPr>
        <w:t xml:space="preserve">, </w:t>
      </w:r>
      <w:r w:rsidR="00A3335C">
        <w:rPr>
          <w:rFonts w:ascii="Arial" w:hAnsi="Arial" w:cs="Arial"/>
          <w:szCs w:val="28"/>
        </w:rPr>
        <w:t xml:space="preserve">BM EA10470,3, </w:t>
      </w:r>
      <w:hyperlink r:id="rId44" w:history="1">
        <w:r w:rsidR="00A3335C" w:rsidRPr="00DB2CC0">
          <w:rPr>
            <w:rStyle w:val="Hyperlink"/>
            <w:rFonts w:ascii="Arial" w:hAnsi="Arial" w:cs="Arial"/>
            <w:szCs w:val="28"/>
          </w:rPr>
          <w:t>http://www.britishmuseum.org/research/collection_online/collection_object_details.aspx?objectId=113335&amp;partId=1</w:t>
        </w:r>
      </w:hyperlink>
      <w:r w:rsidR="00A3335C">
        <w:rPr>
          <w:rFonts w:ascii="Arial" w:hAnsi="Arial" w:cs="Arial"/>
          <w:szCs w:val="28"/>
        </w:rPr>
        <w:t xml:space="preserve"> [Last Accessed: 27/04/2018]</w:t>
      </w:r>
      <w:r w:rsidR="00A3335C">
        <w:rPr>
          <w:rFonts w:ascii="Arial" w:hAnsi="Arial" w:cs="Arial"/>
          <w:szCs w:val="28"/>
        </w:rPr>
        <w:br/>
      </w:r>
    </w:p>
    <w:p w:rsidR="00A3335C" w:rsidRDefault="00A3335C" w:rsidP="00A3335C">
      <w:pPr>
        <w:pStyle w:val="ListParagraph"/>
        <w:numPr>
          <w:ilvl w:val="0"/>
          <w:numId w:val="2"/>
        </w:numPr>
        <w:spacing w:line="240" w:lineRule="auto"/>
        <w:rPr>
          <w:rFonts w:ascii="Arial" w:hAnsi="Arial" w:cs="Arial"/>
          <w:szCs w:val="28"/>
        </w:rPr>
      </w:pPr>
      <w:r>
        <w:rPr>
          <w:rFonts w:ascii="Arial" w:hAnsi="Arial" w:cs="Arial"/>
          <w:szCs w:val="28"/>
        </w:rPr>
        <w:t xml:space="preserve">British Museum, 1930, </w:t>
      </w:r>
      <w:r>
        <w:rPr>
          <w:rFonts w:ascii="Arial" w:hAnsi="Arial" w:cs="Arial"/>
          <w:i/>
          <w:szCs w:val="28"/>
        </w:rPr>
        <w:t>Papyrus Chester Beatty</w:t>
      </w:r>
      <w:r>
        <w:rPr>
          <w:rFonts w:ascii="Arial" w:hAnsi="Arial" w:cs="Arial"/>
          <w:szCs w:val="28"/>
        </w:rPr>
        <w:t xml:space="preserve"> </w:t>
      </w:r>
      <w:r>
        <w:rPr>
          <w:rFonts w:ascii="Arial" w:hAnsi="Arial" w:cs="Arial"/>
          <w:i/>
          <w:szCs w:val="28"/>
        </w:rPr>
        <w:t xml:space="preserve">2, </w:t>
      </w:r>
      <w:r>
        <w:rPr>
          <w:rFonts w:ascii="Arial" w:hAnsi="Arial" w:cs="Arial"/>
          <w:szCs w:val="28"/>
        </w:rPr>
        <w:t>BM EA10682,1</w:t>
      </w:r>
      <w:r>
        <w:rPr>
          <w:rFonts w:ascii="Arial" w:hAnsi="Arial" w:cs="Arial"/>
          <w:szCs w:val="28"/>
        </w:rPr>
        <w:br/>
      </w:r>
    </w:p>
    <w:p w:rsidR="00E420EC" w:rsidRDefault="00A3335C" w:rsidP="00A3335C">
      <w:pPr>
        <w:pStyle w:val="ListParagraph"/>
        <w:numPr>
          <w:ilvl w:val="0"/>
          <w:numId w:val="2"/>
        </w:numPr>
        <w:spacing w:line="240" w:lineRule="auto"/>
        <w:rPr>
          <w:rFonts w:ascii="Arial" w:hAnsi="Arial" w:cs="Arial"/>
          <w:szCs w:val="28"/>
        </w:rPr>
      </w:pPr>
      <w:r>
        <w:rPr>
          <w:rFonts w:ascii="Arial" w:hAnsi="Arial" w:cs="Arial"/>
          <w:szCs w:val="28"/>
        </w:rPr>
        <w:t xml:space="preserve">British Museum, 1840, </w:t>
      </w:r>
      <w:r>
        <w:rPr>
          <w:rFonts w:ascii="Arial" w:hAnsi="Arial" w:cs="Arial"/>
          <w:i/>
          <w:szCs w:val="28"/>
        </w:rPr>
        <w:t xml:space="preserve">Tale of the Eloquent Peasant, </w:t>
      </w:r>
      <w:r>
        <w:rPr>
          <w:rFonts w:ascii="Arial" w:hAnsi="Arial" w:cs="Arial"/>
          <w:szCs w:val="28"/>
        </w:rPr>
        <w:t xml:space="preserve">BM EA10274 </w:t>
      </w:r>
      <w:r w:rsidR="00E420EC">
        <w:rPr>
          <w:rFonts w:ascii="Arial" w:hAnsi="Arial" w:cs="Arial"/>
          <w:szCs w:val="28"/>
        </w:rPr>
        <w:br/>
      </w:r>
    </w:p>
    <w:p w:rsidR="00E420EC" w:rsidRDefault="00E420EC" w:rsidP="006E64FE">
      <w:pPr>
        <w:pStyle w:val="ListParagraph"/>
        <w:numPr>
          <w:ilvl w:val="0"/>
          <w:numId w:val="2"/>
        </w:numPr>
        <w:spacing w:line="240" w:lineRule="auto"/>
        <w:rPr>
          <w:rFonts w:ascii="Arial" w:hAnsi="Arial" w:cs="Arial"/>
          <w:szCs w:val="28"/>
        </w:rPr>
      </w:pPr>
      <w:r>
        <w:rPr>
          <w:rFonts w:ascii="Arial" w:hAnsi="Arial" w:cs="Arial"/>
          <w:szCs w:val="28"/>
        </w:rPr>
        <w:t xml:space="preserve">British Museum, 1857, </w:t>
      </w:r>
      <w:r>
        <w:rPr>
          <w:rFonts w:ascii="Arial" w:hAnsi="Arial" w:cs="Arial"/>
          <w:i/>
          <w:szCs w:val="28"/>
        </w:rPr>
        <w:t>The D’Orbiney Papyrus</w:t>
      </w:r>
      <w:r>
        <w:rPr>
          <w:rFonts w:ascii="Arial" w:hAnsi="Arial" w:cs="Arial"/>
          <w:szCs w:val="28"/>
        </w:rPr>
        <w:t xml:space="preserve">, BM EA10183,10, </w:t>
      </w:r>
      <w:hyperlink r:id="rId45" w:history="1">
        <w:r w:rsidRPr="00DB2CC0">
          <w:rPr>
            <w:rStyle w:val="Hyperlink"/>
            <w:rFonts w:ascii="Arial" w:hAnsi="Arial" w:cs="Arial"/>
            <w:szCs w:val="28"/>
          </w:rPr>
          <w:t>http://www.britishmuseum.org/research/collection_online/collection_object_details.aspx?objectId=113985&amp;partId=1</w:t>
        </w:r>
      </w:hyperlink>
      <w:r>
        <w:rPr>
          <w:rFonts w:ascii="Arial" w:hAnsi="Arial" w:cs="Arial"/>
          <w:szCs w:val="28"/>
        </w:rPr>
        <w:t xml:space="preserve"> [Last Accessed: 27/04/2018]</w:t>
      </w:r>
      <w:r>
        <w:rPr>
          <w:rFonts w:ascii="Arial" w:hAnsi="Arial" w:cs="Arial"/>
          <w:szCs w:val="28"/>
        </w:rPr>
        <w:br/>
      </w:r>
    </w:p>
    <w:p w:rsidR="003D5FE6" w:rsidRDefault="00E420EC" w:rsidP="00E420EC">
      <w:pPr>
        <w:pStyle w:val="ListParagraph"/>
        <w:numPr>
          <w:ilvl w:val="0"/>
          <w:numId w:val="2"/>
        </w:numPr>
        <w:spacing w:line="240" w:lineRule="auto"/>
        <w:rPr>
          <w:rFonts w:ascii="Arial" w:hAnsi="Arial" w:cs="Arial"/>
          <w:szCs w:val="28"/>
        </w:rPr>
      </w:pPr>
      <w:r>
        <w:rPr>
          <w:rFonts w:ascii="Arial" w:hAnsi="Arial" w:cs="Arial"/>
          <w:szCs w:val="28"/>
        </w:rPr>
        <w:t xml:space="preserve">Brooklyn Museum, 2018, </w:t>
      </w:r>
      <w:r>
        <w:rPr>
          <w:rFonts w:ascii="Arial" w:hAnsi="Arial" w:cs="Arial"/>
          <w:i/>
          <w:szCs w:val="28"/>
        </w:rPr>
        <w:t>Princess Sobeknakht Suckling a Prince</w:t>
      </w:r>
      <w:r>
        <w:rPr>
          <w:rFonts w:ascii="Arial" w:hAnsi="Arial" w:cs="Arial"/>
          <w:szCs w:val="28"/>
        </w:rPr>
        <w:t xml:space="preserve">, Charles Edwin Wilbour Fund,  43.137, </w:t>
      </w:r>
      <w:hyperlink r:id="rId46" w:history="1">
        <w:r w:rsidRPr="00DB2CC0">
          <w:rPr>
            <w:rStyle w:val="Hyperlink"/>
            <w:rFonts w:ascii="Arial" w:hAnsi="Arial" w:cs="Arial"/>
            <w:szCs w:val="28"/>
          </w:rPr>
          <w:t>https://www.brooklynmuseum.org/opencollection/objects/3463</w:t>
        </w:r>
      </w:hyperlink>
      <w:r>
        <w:rPr>
          <w:rFonts w:ascii="Arial" w:hAnsi="Arial" w:cs="Arial"/>
          <w:szCs w:val="28"/>
        </w:rPr>
        <w:t xml:space="preserve"> [Last Accessed: 27/04/2018]</w:t>
      </w:r>
      <w:r w:rsidR="003D5FE6">
        <w:rPr>
          <w:rFonts w:ascii="Arial" w:hAnsi="Arial" w:cs="Arial"/>
          <w:szCs w:val="28"/>
        </w:rPr>
        <w:br/>
      </w:r>
    </w:p>
    <w:p w:rsidR="009552EB" w:rsidRPr="00E420EC" w:rsidRDefault="003D5FE6" w:rsidP="00E420EC">
      <w:pPr>
        <w:pStyle w:val="ListParagraph"/>
        <w:numPr>
          <w:ilvl w:val="0"/>
          <w:numId w:val="2"/>
        </w:numPr>
        <w:spacing w:line="240" w:lineRule="auto"/>
        <w:rPr>
          <w:rFonts w:ascii="Arial" w:hAnsi="Arial" w:cs="Arial"/>
          <w:szCs w:val="28"/>
        </w:rPr>
      </w:pPr>
      <w:r>
        <w:rPr>
          <w:rFonts w:ascii="Arial" w:hAnsi="Arial" w:cs="Arial"/>
        </w:rPr>
        <w:t xml:space="preserve">Brooklyn Museum, 2010, </w:t>
      </w:r>
      <w:r>
        <w:rPr>
          <w:rFonts w:ascii="Arial" w:hAnsi="Arial" w:cs="Arial"/>
          <w:i/>
        </w:rPr>
        <w:t xml:space="preserve">The Wilbour Papyrus, </w:t>
      </w:r>
      <w:r>
        <w:rPr>
          <w:rFonts w:ascii="Arial" w:hAnsi="Arial" w:cs="Arial"/>
        </w:rPr>
        <w:t xml:space="preserve">Charles Edwin Wilbour Fund, </w:t>
      </w:r>
      <w:r w:rsidRPr="00B30388">
        <w:rPr>
          <w:rFonts w:ascii="Arial" w:hAnsi="Arial" w:cs="Arial"/>
        </w:rPr>
        <w:t>34.5596.4</w:t>
      </w:r>
      <w:r w:rsidR="009552EB" w:rsidRPr="00E420EC">
        <w:rPr>
          <w:rFonts w:ascii="Arial" w:hAnsi="Arial" w:cs="Arial"/>
          <w:szCs w:val="28"/>
        </w:rPr>
        <w:br/>
      </w:r>
    </w:p>
    <w:p w:rsidR="009552EB" w:rsidRPr="00896E7B" w:rsidRDefault="009552EB" w:rsidP="009552EB">
      <w:pPr>
        <w:pStyle w:val="ListParagraph"/>
        <w:numPr>
          <w:ilvl w:val="0"/>
          <w:numId w:val="2"/>
        </w:numPr>
        <w:rPr>
          <w:rFonts w:ascii="Arial" w:hAnsi="Arial" w:cs="Arial"/>
        </w:rPr>
      </w:pPr>
      <w:r w:rsidRPr="00896E7B">
        <w:rPr>
          <w:rFonts w:ascii="Arial" w:hAnsi="Arial" w:cs="Arial"/>
        </w:rPr>
        <w:t xml:space="preserve">(A) Bryan. B. M, (eds.), 1997, </w:t>
      </w:r>
      <w:r w:rsidRPr="00896E7B">
        <w:rPr>
          <w:rFonts w:ascii="Arial" w:hAnsi="Arial" w:cs="Arial"/>
          <w:i/>
        </w:rPr>
        <w:t>Mistress of the House, Mistress of Heaven</w:t>
      </w:r>
      <w:r w:rsidRPr="00896E7B">
        <w:rPr>
          <w:rFonts w:ascii="Arial" w:hAnsi="Arial" w:cs="Arial"/>
        </w:rPr>
        <w:t>, Vermont, Hudson Hills Press</w:t>
      </w:r>
      <w:r w:rsidRPr="00896E7B">
        <w:rPr>
          <w:rFonts w:ascii="Arial" w:hAnsi="Arial" w:cs="Arial"/>
        </w:rPr>
        <w:br/>
      </w:r>
    </w:p>
    <w:p w:rsidR="003D5FE6" w:rsidRDefault="009552EB" w:rsidP="009552EB">
      <w:pPr>
        <w:pStyle w:val="ListParagraph"/>
        <w:numPr>
          <w:ilvl w:val="0"/>
          <w:numId w:val="2"/>
        </w:numPr>
        <w:rPr>
          <w:rFonts w:ascii="Arial" w:hAnsi="Arial" w:cs="Arial"/>
        </w:rPr>
      </w:pPr>
      <w:r w:rsidRPr="00896E7B">
        <w:rPr>
          <w:rFonts w:ascii="Arial" w:hAnsi="Arial" w:cs="Arial"/>
        </w:rPr>
        <w:t xml:space="preserve">(B) Bryan. B. M, 1997, In Women Good and Bad Fortune are on Earth, Status and Roles of Women in Egyptian Culture, In: Bryan. B. M (eds.) </w:t>
      </w:r>
      <w:r w:rsidRPr="00896E7B">
        <w:rPr>
          <w:rFonts w:ascii="Arial" w:hAnsi="Arial" w:cs="Arial"/>
          <w:i/>
        </w:rPr>
        <w:t>Mistress of the House, Mistress of Heaven</w:t>
      </w:r>
      <w:r w:rsidRPr="00896E7B">
        <w:rPr>
          <w:rFonts w:ascii="Arial" w:hAnsi="Arial" w:cs="Arial"/>
        </w:rPr>
        <w:t>, Vermont, Hudson Hills Press</w:t>
      </w:r>
      <w:r w:rsidR="003D5FE6">
        <w:rPr>
          <w:rFonts w:ascii="Arial" w:hAnsi="Arial" w:cs="Arial"/>
        </w:rPr>
        <w:br/>
      </w:r>
    </w:p>
    <w:p w:rsidR="009552EB" w:rsidRPr="00896E7B" w:rsidRDefault="003D5FE6" w:rsidP="009552EB">
      <w:pPr>
        <w:pStyle w:val="ListParagraph"/>
        <w:numPr>
          <w:ilvl w:val="0"/>
          <w:numId w:val="2"/>
        </w:numPr>
        <w:rPr>
          <w:rFonts w:ascii="Arial" w:hAnsi="Arial" w:cs="Arial"/>
        </w:rPr>
      </w:pPr>
      <w:r>
        <w:rPr>
          <w:rFonts w:ascii="Arial" w:hAnsi="Arial" w:cs="Arial"/>
        </w:rPr>
        <w:t xml:space="preserve">Cairo Museum, 2018, </w:t>
      </w:r>
      <w:r>
        <w:rPr>
          <w:rFonts w:ascii="Arial" w:hAnsi="Arial" w:cs="Arial"/>
          <w:i/>
        </w:rPr>
        <w:t xml:space="preserve">Papyrus Boulaq 4, </w:t>
      </w:r>
      <w:r>
        <w:rPr>
          <w:rFonts w:ascii="Arial" w:hAnsi="Arial" w:cs="Arial"/>
        </w:rPr>
        <w:t>CG 8731</w:t>
      </w:r>
      <w:r w:rsidR="009552EB" w:rsidRPr="00896E7B">
        <w:rPr>
          <w:rFonts w:ascii="Arial" w:hAnsi="Arial" w:cs="Arial"/>
        </w:rPr>
        <w:t xml:space="preserve"> </w:t>
      </w:r>
      <w:r w:rsidR="009552EB" w:rsidRPr="00896E7B">
        <w:rPr>
          <w:rFonts w:ascii="Arial" w:hAnsi="Arial" w:cs="Arial"/>
        </w:rPr>
        <w:br/>
      </w:r>
    </w:p>
    <w:p w:rsidR="00B6684C" w:rsidRPr="003D5FE6" w:rsidRDefault="009552EB" w:rsidP="003D5FE6">
      <w:pPr>
        <w:pStyle w:val="ListParagraph"/>
        <w:numPr>
          <w:ilvl w:val="0"/>
          <w:numId w:val="2"/>
        </w:numPr>
        <w:rPr>
          <w:rFonts w:ascii="Arial" w:hAnsi="Arial" w:cs="Arial"/>
        </w:rPr>
      </w:pPr>
      <w:r w:rsidRPr="00896E7B">
        <w:rPr>
          <w:rFonts w:ascii="Arial" w:hAnsi="Arial" w:cs="Arial"/>
        </w:rPr>
        <w:t xml:space="preserve"> </w:t>
      </w:r>
      <w:r w:rsidRPr="00896E7B">
        <w:rPr>
          <w:rFonts w:ascii="Arial" w:hAnsi="Arial" w:cs="Arial"/>
          <w:szCs w:val="28"/>
        </w:rPr>
        <w:t xml:space="preserve">Campbell. J, 1988, </w:t>
      </w:r>
      <w:r w:rsidRPr="00896E7B">
        <w:rPr>
          <w:rFonts w:ascii="Arial" w:hAnsi="Arial" w:cs="Arial"/>
          <w:i/>
          <w:szCs w:val="28"/>
        </w:rPr>
        <w:t>Joseph Campbell and the Power of Myth: Love and the Goddesses</w:t>
      </w:r>
      <w:r w:rsidRPr="00896E7B">
        <w:rPr>
          <w:rFonts w:ascii="Arial" w:hAnsi="Arial" w:cs="Arial"/>
          <w:szCs w:val="28"/>
        </w:rPr>
        <w:t xml:space="preserve"> – Season 1, Episode 5, PBS, </w:t>
      </w:r>
      <w:hyperlink r:id="rId47" w:history="1">
        <w:r w:rsidRPr="00896E7B">
          <w:rPr>
            <w:rStyle w:val="Hyperlink"/>
            <w:rFonts w:ascii="Arial" w:hAnsi="Arial" w:cs="Arial"/>
            <w:szCs w:val="28"/>
          </w:rPr>
          <w:t>http://www.tv.com/shows/joseph-campbell-and-the-power-of-myth/love-and-the-goddess-459330/</w:t>
        </w:r>
      </w:hyperlink>
      <w:r w:rsidR="00B6684C" w:rsidRPr="00896E7B">
        <w:rPr>
          <w:rStyle w:val="Hyperlink"/>
          <w:rFonts w:ascii="Arial" w:hAnsi="Arial" w:cs="Arial"/>
          <w:szCs w:val="28"/>
        </w:rPr>
        <w:t xml:space="preserve"> </w:t>
      </w:r>
      <w:r w:rsidR="00B6684C" w:rsidRPr="00896E7B">
        <w:rPr>
          <w:rFonts w:ascii="Arial" w:hAnsi="Arial" w:cs="Arial"/>
        </w:rPr>
        <w:t>[Last Accessed: 23/04/2018]</w:t>
      </w:r>
      <w:r w:rsidR="00B30388">
        <w:rPr>
          <w:rFonts w:ascii="Arial" w:hAnsi="Arial" w:cs="Arial"/>
        </w:rPr>
        <w:br/>
      </w:r>
    </w:p>
    <w:p w:rsidR="00B6684C" w:rsidRPr="00896E7B" w:rsidRDefault="00B6684C" w:rsidP="00B6684C">
      <w:pPr>
        <w:pStyle w:val="ListParagraph"/>
        <w:numPr>
          <w:ilvl w:val="0"/>
          <w:numId w:val="2"/>
        </w:numPr>
        <w:spacing w:line="240" w:lineRule="auto"/>
        <w:rPr>
          <w:rFonts w:ascii="Arial" w:hAnsi="Arial" w:cs="Arial"/>
          <w:szCs w:val="28"/>
        </w:rPr>
      </w:pPr>
      <w:r w:rsidRPr="00896E7B">
        <w:rPr>
          <w:rFonts w:ascii="Arial" w:hAnsi="Arial" w:cs="Arial"/>
          <w:szCs w:val="28"/>
        </w:rPr>
        <w:t xml:space="preserve">Corcos. C. A, 2012, </w:t>
      </w:r>
      <w:r w:rsidRPr="00896E7B">
        <w:rPr>
          <w:rFonts w:ascii="Arial" w:hAnsi="Arial" w:cs="Arial"/>
          <w:i/>
          <w:szCs w:val="28"/>
        </w:rPr>
        <w:t xml:space="preserve">From Agnatic Succession to Absolute Primogeniture: The Shift to Equal Rights of Succession to Thrones and Titles in the Modern European Constitutional Monarchy, </w:t>
      </w:r>
      <w:r w:rsidRPr="00896E7B">
        <w:rPr>
          <w:rFonts w:ascii="Arial" w:hAnsi="Arial" w:cs="Arial"/>
          <w:szCs w:val="28"/>
        </w:rPr>
        <w:t xml:space="preserve">Digital Commons, </w:t>
      </w:r>
      <w:hyperlink r:id="rId48" w:history="1">
        <w:r w:rsidRPr="00896E7B">
          <w:rPr>
            <w:rStyle w:val="Hyperlink"/>
            <w:rFonts w:ascii="Arial" w:hAnsi="Arial" w:cs="Arial"/>
            <w:szCs w:val="28"/>
          </w:rPr>
          <w:t>https://digitalcommons.law.msu.edu/cgi/viewcontent.cgi?article=1066&amp;context=lr</w:t>
        </w:r>
      </w:hyperlink>
      <w:r w:rsidRPr="00896E7B">
        <w:rPr>
          <w:rFonts w:ascii="Arial" w:hAnsi="Arial" w:cs="Arial"/>
          <w:szCs w:val="28"/>
        </w:rPr>
        <w:t xml:space="preserve"> [Last Accessed: 19/02/2018]</w:t>
      </w:r>
      <w:r w:rsidRPr="00896E7B">
        <w:rPr>
          <w:rFonts w:ascii="Arial" w:hAnsi="Arial" w:cs="Arial"/>
          <w:szCs w:val="28"/>
        </w:rPr>
        <w:br/>
      </w:r>
    </w:p>
    <w:p w:rsidR="003D5FE6" w:rsidRDefault="00B6684C" w:rsidP="003D5FE6">
      <w:pPr>
        <w:pStyle w:val="ListParagraph"/>
        <w:numPr>
          <w:ilvl w:val="0"/>
          <w:numId w:val="2"/>
        </w:numPr>
        <w:spacing w:line="240" w:lineRule="auto"/>
        <w:rPr>
          <w:rFonts w:ascii="Arial" w:hAnsi="Arial" w:cs="Arial"/>
          <w:szCs w:val="28"/>
        </w:rPr>
      </w:pPr>
      <w:r w:rsidRPr="00896E7B">
        <w:rPr>
          <w:rFonts w:ascii="Arial" w:hAnsi="Arial" w:cs="Arial"/>
          <w:szCs w:val="28"/>
        </w:rPr>
        <w:lastRenderedPageBreak/>
        <w:t xml:space="preserve">Davis. E. C, 2009, (Trans) Gender Identification and the Regulation of Gender Diversity, In: Cvetkovich. A, Jagose. A, (eds) </w:t>
      </w:r>
      <w:r w:rsidRPr="00896E7B">
        <w:rPr>
          <w:rFonts w:ascii="Arial" w:hAnsi="Arial" w:cs="Arial"/>
          <w:i/>
          <w:szCs w:val="28"/>
        </w:rPr>
        <w:t>A Journal of Lesbian and Gay Studies</w:t>
      </w:r>
      <w:r w:rsidRPr="00896E7B">
        <w:rPr>
          <w:rFonts w:ascii="Arial" w:hAnsi="Arial" w:cs="Arial"/>
          <w:szCs w:val="28"/>
        </w:rPr>
        <w:t>, Vol. 15, No.1, Durham, Duke University Press</w:t>
      </w:r>
      <w:r w:rsidR="003D5FE6">
        <w:rPr>
          <w:rFonts w:ascii="Arial" w:hAnsi="Arial" w:cs="Arial"/>
          <w:szCs w:val="28"/>
        </w:rPr>
        <w:br/>
      </w:r>
    </w:p>
    <w:p w:rsidR="003D5FE6" w:rsidRDefault="003D5FE6" w:rsidP="003D5FE6">
      <w:pPr>
        <w:pStyle w:val="ListParagraph"/>
        <w:numPr>
          <w:ilvl w:val="0"/>
          <w:numId w:val="2"/>
        </w:numPr>
        <w:rPr>
          <w:rFonts w:ascii="Arial" w:hAnsi="Arial" w:cs="Arial"/>
        </w:rPr>
      </w:pPr>
      <w:r>
        <w:rPr>
          <w:rFonts w:ascii="Arial" w:hAnsi="Arial" w:cs="Arial"/>
        </w:rPr>
        <w:t xml:space="preserve">Egyptian Museum Berlin, 1843, </w:t>
      </w:r>
      <w:r>
        <w:rPr>
          <w:rFonts w:ascii="Arial" w:hAnsi="Arial" w:cs="Arial"/>
          <w:i/>
        </w:rPr>
        <w:t>A Dialogue Between a Man and his Ba</w:t>
      </w:r>
      <w:r>
        <w:rPr>
          <w:rFonts w:ascii="Arial" w:hAnsi="Arial" w:cs="Arial"/>
        </w:rPr>
        <w:t>, Berlin 3024</w:t>
      </w:r>
      <w:r>
        <w:rPr>
          <w:rFonts w:ascii="Arial" w:hAnsi="Arial" w:cs="Arial"/>
        </w:rPr>
        <w:br/>
      </w:r>
    </w:p>
    <w:p w:rsidR="00B6684C" w:rsidRPr="003D5FE6" w:rsidRDefault="003D5FE6" w:rsidP="003D5FE6">
      <w:pPr>
        <w:pStyle w:val="ListParagraph"/>
        <w:numPr>
          <w:ilvl w:val="0"/>
          <w:numId w:val="2"/>
        </w:numPr>
        <w:spacing w:line="240" w:lineRule="auto"/>
        <w:rPr>
          <w:rFonts w:ascii="Arial" w:hAnsi="Arial" w:cs="Arial"/>
          <w:szCs w:val="28"/>
        </w:rPr>
      </w:pPr>
      <w:r>
        <w:rPr>
          <w:rFonts w:ascii="Arial" w:hAnsi="Arial" w:cs="Arial"/>
        </w:rPr>
        <w:t xml:space="preserve">Egyptian Museum Berlin, 1886, </w:t>
      </w:r>
      <w:r>
        <w:rPr>
          <w:rFonts w:ascii="Arial" w:hAnsi="Arial" w:cs="Arial"/>
          <w:i/>
        </w:rPr>
        <w:t>Westcar Papyrus</w:t>
      </w:r>
      <w:r>
        <w:rPr>
          <w:rFonts w:ascii="Arial" w:hAnsi="Arial" w:cs="Arial"/>
        </w:rPr>
        <w:t>, Berlin 3033</w:t>
      </w:r>
      <w:r w:rsidR="00B6684C" w:rsidRPr="003D5FE6">
        <w:rPr>
          <w:rFonts w:ascii="Arial" w:hAnsi="Arial" w:cs="Arial"/>
          <w:szCs w:val="28"/>
        </w:rPr>
        <w:br/>
      </w:r>
    </w:p>
    <w:p w:rsidR="00E420EC" w:rsidRDefault="00B6684C" w:rsidP="00B6684C">
      <w:pPr>
        <w:pStyle w:val="ListParagraph"/>
        <w:numPr>
          <w:ilvl w:val="0"/>
          <w:numId w:val="2"/>
        </w:numPr>
        <w:spacing w:line="240" w:lineRule="auto"/>
        <w:rPr>
          <w:rFonts w:ascii="Arial" w:hAnsi="Arial" w:cs="Arial"/>
          <w:szCs w:val="28"/>
        </w:rPr>
      </w:pPr>
      <w:r w:rsidRPr="00896E7B">
        <w:rPr>
          <w:rFonts w:ascii="Arial" w:hAnsi="Arial" w:cs="Arial"/>
          <w:szCs w:val="28"/>
        </w:rPr>
        <w:t xml:space="preserve">Evans. T, 2018, </w:t>
      </w:r>
      <w:r w:rsidRPr="00896E7B">
        <w:rPr>
          <w:rFonts w:ascii="Arial" w:hAnsi="Arial" w:cs="Arial"/>
          <w:i/>
          <w:szCs w:val="28"/>
        </w:rPr>
        <w:t>Understanding the Gender Pay Gap in the UK,</w:t>
      </w:r>
      <w:r w:rsidRPr="00896E7B">
        <w:rPr>
          <w:rFonts w:ascii="Arial" w:hAnsi="Arial" w:cs="Arial"/>
          <w:szCs w:val="28"/>
        </w:rPr>
        <w:t xml:space="preserve"> Newport, Office for National Statistics: </w:t>
      </w:r>
      <w:hyperlink r:id="rId49" w:anchor="a-breakdown-of-the-gender-pay-gap" w:history="1">
        <w:r w:rsidRPr="00896E7B">
          <w:rPr>
            <w:rStyle w:val="Hyperlink"/>
            <w:rFonts w:ascii="Arial" w:hAnsi="Arial" w:cs="Arial"/>
            <w:szCs w:val="28"/>
          </w:rPr>
          <w:t>https://www.ons.gov.uk/employmentandlabourmarket/peopleinwork/earningsandworkinghours/articles/understandingthegenderpaygapintheuk/2018-01-17#a-breakdown-of-the-gender-pay-gap</w:t>
        </w:r>
      </w:hyperlink>
      <w:r w:rsidRPr="00896E7B">
        <w:rPr>
          <w:rFonts w:ascii="Arial" w:hAnsi="Arial" w:cs="Arial"/>
          <w:szCs w:val="28"/>
        </w:rPr>
        <w:t xml:space="preserve"> [Last Accessed: 22/02/2018]</w:t>
      </w:r>
      <w:r w:rsidR="00E420EC">
        <w:rPr>
          <w:rFonts w:ascii="Arial" w:hAnsi="Arial" w:cs="Arial"/>
          <w:szCs w:val="28"/>
        </w:rPr>
        <w:br/>
      </w:r>
    </w:p>
    <w:p w:rsidR="009552EB" w:rsidRPr="00896E7B" w:rsidRDefault="00E420EC" w:rsidP="00B6684C">
      <w:pPr>
        <w:pStyle w:val="ListParagraph"/>
        <w:numPr>
          <w:ilvl w:val="0"/>
          <w:numId w:val="2"/>
        </w:numPr>
        <w:spacing w:line="240" w:lineRule="auto"/>
        <w:rPr>
          <w:rFonts w:ascii="Arial" w:hAnsi="Arial" w:cs="Arial"/>
          <w:szCs w:val="28"/>
        </w:rPr>
      </w:pPr>
      <w:r>
        <w:rPr>
          <w:rFonts w:ascii="Arial" w:hAnsi="Arial" w:cs="Arial"/>
        </w:rPr>
        <w:t xml:space="preserve">H. Fechheimer, 1941, Bust of a Woman, now Identified as Sobekneferu, </w:t>
      </w:r>
      <w:r>
        <w:rPr>
          <w:rFonts w:ascii="Arial" w:hAnsi="Arial" w:cs="Arial"/>
          <w:i/>
        </w:rPr>
        <w:t>Die Plastik der Ägypter</w:t>
      </w:r>
      <w:r w:rsidR="00F4690B">
        <w:rPr>
          <w:rFonts w:ascii="Arial" w:hAnsi="Arial" w:cs="Arial"/>
        </w:rPr>
        <w:t>, B. Cassirer, Berlin</w:t>
      </w:r>
      <w:r w:rsidR="00B6684C" w:rsidRPr="00896E7B">
        <w:rPr>
          <w:rFonts w:ascii="Arial" w:hAnsi="Arial" w:cs="Arial"/>
          <w:szCs w:val="28"/>
        </w:rPr>
        <w:br/>
      </w:r>
    </w:p>
    <w:p w:rsidR="007E753C" w:rsidRDefault="00B6684C" w:rsidP="00B6684C">
      <w:pPr>
        <w:pStyle w:val="ListParagraph"/>
        <w:numPr>
          <w:ilvl w:val="0"/>
          <w:numId w:val="2"/>
        </w:numPr>
        <w:spacing w:line="240" w:lineRule="auto"/>
        <w:rPr>
          <w:rFonts w:ascii="Arial" w:hAnsi="Arial" w:cs="Arial"/>
          <w:szCs w:val="28"/>
        </w:rPr>
      </w:pPr>
      <w:r w:rsidRPr="00896E7B">
        <w:rPr>
          <w:rFonts w:ascii="Arial" w:hAnsi="Arial" w:cs="Arial"/>
          <w:szCs w:val="28"/>
        </w:rPr>
        <w:t xml:space="preserve">Filer. J, 2013, </w:t>
      </w:r>
      <w:r w:rsidRPr="00896E7B">
        <w:rPr>
          <w:rFonts w:ascii="Arial" w:hAnsi="Arial" w:cs="Arial"/>
          <w:i/>
          <w:szCs w:val="28"/>
        </w:rPr>
        <w:t>Some Notes on Health Problems in Ancient Egypt and Nubia: Part 2</w:t>
      </w:r>
      <w:r w:rsidRPr="00896E7B">
        <w:rPr>
          <w:rFonts w:ascii="Arial" w:hAnsi="Arial" w:cs="Arial"/>
          <w:szCs w:val="28"/>
        </w:rPr>
        <w:t xml:space="preserve">, Joyce Filer Egyptologist, </w:t>
      </w:r>
      <w:hyperlink r:id="rId50" w:history="1">
        <w:r w:rsidRPr="00896E7B">
          <w:rPr>
            <w:rStyle w:val="Hyperlink"/>
            <w:rFonts w:ascii="Arial" w:hAnsi="Arial" w:cs="Arial"/>
            <w:szCs w:val="28"/>
          </w:rPr>
          <w:t>https://joycefiler.wordpress.com/2013/04/30/notes-on-health-problems-in-ancient-egypt-and-nubia-part-2/</w:t>
        </w:r>
      </w:hyperlink>
      <w:r w:rsidRPr="00896E7B">
        <w:rPr>
          <w:rFonts w:ascii="Arial" w:hAnsi="Arial" w:cs="Arial"/>
          <w:szCs w:val="28"/>
        </w:rPr>
        <w:t xml:space="preserve"> [Last Accessed: </w:t>
      </w:r>
      <w:r w:rsidR="007E753C">
        <w:rPr>
          <w:rFonts w:ascii="Arial" w:hAnsi="Arial" w:cs="Arial"/>
          <w:szCs w:val="28"/>
        </w:rPr>
        <w:t>27/04/2018</w:t>
      </w:r>
      <w:r w:rsidRPr="00896E7B">
        <w:rPr>
          <w:rFonts w:ascii="Arial" w:hAnsi="Arial" w:cs="Arial"/>
          <w:szCs w:val="28"/>
        </w:rPr>
        <w:t>]</w:t>
      </w:r>
      <w:r w:rsidR="007E753C">
        <w:rPr>
          <w:rFonts w:ascii="Arial" w:hAnsi="Arial" w:cs="Arial"/>
          <w:szCs w:val="28"/>
        </w:rPr>
        <w:br/>
      </w:r>
    </w:p>
    <w:p w:rsidR="00472253" w:rsidRDefault="007E753C" w:rsidP="007E753C">
      <w:pPr>
        <w:pStyle w:val="ListParagraph"/>
        <w:numPr>
          <w:ilvl w:val="0"/>
          <w:numId w:val="2"/>
        </w:numPr>
        <w:spacing w:line="240" w:lineRule="auto"/>
        <w:rPr>
          <w:rFonts w:ascii="Arial" w:hAnsi="Arial" w:cs="Arial"/>
          <w:szCs w:val="28"/>
        </w:rPr>
      </w:pPr>
      <w:r>
        <w:rPr>
          <w:rFonts w:ascii="Arial" w:hAnsi="Arial" w:cs="Arial"/>
          <w:szCs w:val="28"/>
        </w:rPr>
        <w:t xml:space="preserve">Filer. J, 2013, </w:t>
      </w:r>
      <w:r>
        <w:rPr>
          <w:rFonts w:ascii="Arial" w:hAnsi="Arial" w:cs="Arial"/>
          <w:i/>
          <w:szCs w:val="28"/>
        </w:rPr>
        <w:t>Healed Head Injury, Giza/Gizeh, 600-300 BC</w:t>
      </w:r>
      <w:r>
        <w:rPr>
          <w:rFonts w:ascii="Arial" w:hAnsi="Arial" w:cs="Arial"/>
          <w:szCs w:val="28"/>
        </w:rPr>
        <w:t xml:space="preserve">, Joyce Filer Egyptologist, </w:t>
      </w:r>
      <w:hyperlink r:id="rId51" w:history="1">
        <w:r w:rsidRPr="00DB2CC0">
          <w:rPr>
            <w:rStyle w:val="Hyperlink"/>
            <w:rFonts w:ascii="Arial" w:hAnsi="Arial" w:cs="Arial"/>
            <w:szCs w:val="28"/>
          </w:rPr>
          <w:t>https://joycefiler.wordpress.com/2013/04/30/notes-on-health-problems-in-ancient-egypt-and-nubia-part-2/</w:t>
        </w:r>
      </w:hyperlink>
      <w:r>
        <w:rPr>
          <w:rFonts w:ascii="Arial" w:hAnsi="Arial" w:cs="Arial"/>
          <w:szCs w:val="28"/>
        </w:rPr>
        <w:t xml:space="preserve"> [Last Accessed: 27/04/2018]</w:t>
      </w:r>
      <w:r w:rsidR="00472253">
        <w:rPr>
          <w:rFonts w:ascii="Arial" w:hAnsi="Arial" w:cs="Arial"/>
          <w:szCs w:val="28"/>
        </w:rPr>
        <w:br/>
      </w:r>
    </w:p>
    <w:p w:rsidR="00B6684C" w:rsidRPr="00896E7B" w:rsidRDefault="00472253" w:rsidP="00472253">
      <w:pPr>
        <w:pStyle w:val="ListParagraph"/>
        <w:numPr>
          <w:ilvl w:val="0"/>
          <w:numId w:val="2"/>
        </w:numPr>
        <w:spacing w:line="240" w:lineRule="auto"/>
        <w:rPr>
          <w:rFonts w:ascii="Arial" w:hAnsi="Arial" w:cs="Arial"/>
          <w:szCs w:val="28"/>
        </w:rPr>
      </w:pPr>
      <w:r>
        <w:rPr>
          <w:rFonts w:ascii="Arial" w:hAnsi="Arial" w:cs="Arial"/>
          <w:szCs w:val="28"/>
        </w:rPr>
        <w:t xml:space="preserve">Graham. K,  2016, Hieroglyphs showing Thuthmose III on the left and Hatshepsut on the right, she having the trappings of the greater role, </w:t>
      </w:r>
      <w:r>
        <w:rPr>
          <w:rFonts w:ascii="Arial" w:hAnsi="Arial" w:cs="Arial"/>
          <w:i/>
          <w:szCs w:val="28"/>
        </w:rPr>
        <w:t xml:space="preserve">Blocks Showing Queen Hatshepsut as a Woman Unearthed, </w:t>
      </w:r>
      <w:r>
        <w:rPr>
          <w:rFonts w:ascii="Arial" w:hAnsi="Arial" w:cs="Arial"/>
          <w:szCs w:val="28"/>
        </w:rPr>
        <w:t xml:space="preserve">Digital Journal, </w:t>
      </w:r>
      <w:hyperlink r:id="rId52" w:history="1">
        <w:r w:rsidRPr="00DB2CC0">
          <w:rPr>
            <w:rStyle w:val="Hyperlink"/>
            <w:rFonts w:ascii="Arial" w:hAnsi="Arial" w:cs="Arial"/>
            <w:szCs w:val="28"/>
          </w:rPr>
          <w:t>http://www.digitaljournal.com/science/blocks-showing-queen-hatshepsut-as-a-woman-unearthed/article/463497</w:t>
        </w:r>
      </w:hyperlink>
      <w:r>
        <w:rPr>
          <w:rFonts w:ascii="Arial" w:hAnsi="Arial" w:cs="Arial"/>
          <w:szCs w:val="28"/>
        </w:rPr>
        <w:t xml:space="preserve"> [Last Accessed: 27/04/2018]</w:t>
      </w:r>
      <w:r w:rsidR="00B6684C" w:rsidRPr="00896E7B">
        <w:rPr>
          <w:rFonts w:ascii="Arial" w:hAnsi="Arial" w:cs="Arial"/>
          <w:szCs w:val="28"/>
        </w:rPr>
        <w:br/>
      </w:r>
    </w:p>
    <w:p w:rsidR="00B6684C" w:rsidRPr="00896E7B" w:rsidRDefault="00B6684C" w:rsidP="00B6684C">
      <w:pPr>
        <w:pStyle w:val="ListParagraph"/>
        <w:numPr>
          <w:ilvl w:val="0"/>
          <w:numId w:val="2"/>
        </w:numPr>
        <w:rPr>
          <w:rFonts w:ascii="Arial" w:hAnsi="Arial" w:cs="Arial"/>
        </w:rPr>
      </w:pPr>
      <w:r w:rsidRPr="00896E7B">
        <w:rPr>
          <w:rFonts w:ascii="Arial" w:hAnsi="Arial" w:cs="Arial"/>
        </w:rPr>
        <w:t xml:space="preserve">Graves-Brown. C, 2010, </w:t>
      </w:r>
      <w:r w:rsidRPr="00896E7B">
        <w:rPr>
          <w:rFonts w:ascii="Arial" w:hAnsi="Arial" w:cs="Arial"/>
          <w:i/>
        </w:rPr>
        <w:t>Dancing for Hathor: Women in Ancient Egypt</w:t>
      </w:r>
      <w:r w:rsidRPr="00896E7B">
        <w:rPr>
          <w:rFonts w:ascii="Arial" w:hAnsi="Arial" w:cs="Arial"/>
        </w:rPr>
        <w:t>, London, Continuum</w:t>
      </w:r>
      <w:r w:rsidRPr="00896E7B">
        <w:rPr>
          <w:rFonts w:ascii="Arial" w:hAnsi="Arial" w:cs="Arial"/>
        </w:rPr>
        <w:br/>
      </w:r>
    </w:p>
    <w:p w:rsidR="00B6684C" w:rsidRPr="00896E7B" w:rsidRDefault="00B6684C" w:rsidP="00B6684C">
      <w:pPr>
        <w:pStyle w:val="ListParagraph"/>
        <w:numPr>
          <w:ilvl w:val="0"/>
          <w:numId w:val="2"/>
        </w:numPr>
        <w:rPr>
          <w:rFonts w:ascii="Arial" w:hAnsi="Arial" w:cs="Arial"/>
          <w:spacing w:val="4"/>
          <w:shd w:val="clear" w:color="auto" w:fill="FFFFFF"/>
        </w:rPr>
      </w:pPr>
      <w:r w:rsidRPr="00896E7B">
        <w:rPr>
          <w:rFonts w:ascii="Arial" w:eastAsia="Times New Roman" w:hAnsi="Arial" w:cs="Arial"/>
          <w:lang w:eastAsia="en-GB"/>
        </w:rPr>
        <w:t xml:space="preserve">Hatipoğlu Sümer. Z, 2014, Gender, Religiosity, Sexual Activity, Sexual Knowledge, and Attitudes Toward Controversial Aspects of Sexuality, In: </w:t>
      </w:r>
      <w:r w:rsidRPr="00896E7B">
        <w:rPr>
          <w:rFonts w:ascii="Arial" w:eastAsia="Times New Roman" w:hAnsi="Arial" w:cs="Arial"/>
          <w:i/>
          <w:lang w:eastAsia="en-GB"/>
        </w:rPr>
        <w:t>Journal of Religion and Health</w:t>
      </w:r>
      <w:r w:rsidRPr="00896E7B">
        <w:rPr>
          <w:rFonts w:ascii="Arial" w:eastAsia="Times New Roman" w:hAnsi="Arial" w:cs="Arial"/>
          <w:lang w:eastAsia="en-GB"/>
        </w:rPr>
        <w:t xml:space="preserve">, Vol. 54, Issue 6, Springer US, </w:t>
      </w:r>
      <w:hyperlink r:id="rId53" w:history="1">
        <w:r w:rsidRPr="00896E7B">
          <w:rPr>
            <w:rStyle w:val="Hyperlink"/>
            <w:rFonts w:ascii="Arial" w:hAnsi="Arial" w:cs="Arial"/>
            <w:spacing w:val="4"/>
            <w:shd w:val="clear" w:color="auto" w:fill="FFFFFF"/>
          </w:rPr>
          <w:t>https://doi.org/10.1007/s10943-014-9831-5</w:t>
        </w:r>
      </w:hyperlink>
      <w:r w:rsidRPr="00896E7B">
        <w:rPr>
          <w:rFonts w:ascii="Arial" w:hAnsi="Arial" w:cs="Arial"/>
          <w:color w:val="333333"/>
          <w:spacing w:val="4"/>
          <w:shd w:val="clear" w:color="auto" w:fill="FFFFFF"/>
        </w:rPr>
        <w:t xml:space="preserve"> </w:t>
      </w:r>
      <w:r w:rsidRPr="00896E7B">
        <w:rPr>
          <w:rFonts w:ascii="Arial" w:hAnsi="Arial" w:cs="Arial"/>
          <w:spacing w:val="4"/>
          <w:shd w:val="clear" w:color="auto" w:fill="FFFFFF"/>
        </w:rPr>
        <w:t>[Last Accessed: 16/11/2017]</w:t>
      </w:r>
      <w:r w:rsidRPr="00896E7B">
        <w:rPr>
          <w:rFonts w:ascii="Arial" w:hAnsi="Arial" w:cs="Arial"/>
          <w:spacing w:val="4"/>
          <w:shd w:val="clear" w:color="auto" w:fill="FFFFFF"/>
        </w:rPr>
        <w:br/>
      </w:r>
    </w:p>
    <w:p w:rsidR="00B6684C" w:rsidRPr="00896E7B" w:rsidRDefault="00B6684C" w:rsidP="00B6684C">
      <w:pPr>
        <w:pStyle w:val="ListParagraph"/>
        <w:numPr>
          <w:ilvl w:val="0"/>
          <w:numId w:val="2"/>
        </w:numPr>
        <w:rPr>
          <w:rFonts w:ascii="Arial" w:hAnsi="Arial" w:cs="Arial"/>
        </w:rPr>
      </w:pPr>
      <w:r w:rsidRPr="00896E7B">
        <w:rPr>
          <w:rFonts w:ascii="Arial" w:hAnsi="Arial" w:cs="Arial"/>
        </w:rPr>
        <w:lastRenderedPageBreak/>
        <w:t xml:space="preserve">Hastrup. K, 1993, the Semantics of Biology: Virginity, In: Ardener. S, </w:t>
      </w:r>
      <w:r w:rsidRPr="00896E7B">
        <w:rPr>
          <w:rFonts w:ascii="Arial" w:hAnsi="Arial" w:cs="Arial"/>
          <w:i/>
        </w:rPr>
        <w:t>Defining Females, the Nature of Women in Society</w:t>
      </w:r>
      <w:r w:rsidRPr="00896E7B">
        <w:rPr>
          <w:rFonts w:ascii="Arial" w:hAnsi="Arial" w:cs="Arial"/>
        </w:rPr>
        <w:t>, Oxford, Berg Publishers Ltd.</w:t>
      </w:r>
      <w:r w:rsidRPr="00896E7B">
        <w:rPr>
          <w:rFonts w:ascii="Arial" w:hAnsi="Arial" w:cs="Arial"/>
        </w:rPr>
        <w:br/>
      </w:r>
    </w:p>
    <w:p w:rsidR="00B6684C" w:rsidRPr="00896E7B" w:rsidRDefault="00B6684C" w:rsidP="00B6684C">
      <w:pPr>
        <w:pStyle w:val="ListParagraph"/>
        <w:numPr>
          <w:ilvl w:val="0"/>
          <w:numId w:val="2"/>
        </w:numPr>
        <w:rPr>
          <w:rFonts w:ascii="Arial" w:hAnsi="Arial" w:cs="Arial"/>
        </w:rPr>
      </w:pPr>
      <w:r w:rsidRPr="00896E7B">
        <w:rPr>
          <w:rFonts w:ascii="Arial" w:hAnsi="Arial" w:cs="Arial"/>
        </w:rPr>
        <w:t xml:space="preserve">Johnson. J. H, 1997, the Legal Status of Women in Ancient Egypt, In: Bryan. B. M, (eds.) </w:t>
      </w:r>
      <w:r w:rsidRPr="00896E7B">
        <w:rPr>
          <w:rFonts w:ascii="Arial" w:hAnsi="Arial" w:cs="Arial"/>
          <w:i/>
        </w:rPr>
        <w:t>Mistress of the House, Mistress of Heaven</w:t>
      </w:r>
      <w:r w:rsidRPr="00896E7B">
        <w:rPr>
          <w:rFonts w:ascii="Arial" w:hAnsi="Arial" w:cs="Arial"/>
        </w:rPr>
        <w:t xml:space="preserve">, Vermont, Hudson Hills Press </w:t>
      </w:r>
      <w:r w:rsidRPr="00896E7B">
        <w:rPr>
          <w:rFonts w:ascii="Arial" w:hAnsi="Arial" w:cs="Arial"/>
        </w:rPr>
        <w:br/>
      </w:r>
    </w:p>
    <w:p w:rsidR="00B30388" w:rsidRDefault="00B6684C" w:rsidP="00B30388">
      <w:pPr>
        <w:pStyle w:val="ListParagraph"/>
        <w:numPr>
          <w:ilvl w:val="0"/>
          <w:numId w:val="2"/>
        </w:numPr>
        <w:spacing w:line="240" w:lineRule="auto"/>
        <w:rPr>
          <w:rFonts w:ascii="Arial" w:hAnsi="Arial" w:cs="Arial"/>
          <w:szCs w:val="28"/>
        </w:rPr>
      </w:pPr>
      <w:r w:rsidRPr="00896E7B">
        <w:rPr>
          <w:rFonts w:ascii="Arial" w:hAnsi="Arial" w:cs="Arial"/>
          <w:szCs w:val="28"/>
        </w:rPr>
        <w:t xml:space="preserve">Kvam. K. E, Schearing. L. S, Ziegler. V. H, 1999, </w:t>
      </w:r>
      <w:r w:rsidRPr="00896E7B">
        <w:rPr>
          <w:rFonts w:ascii="Arial" w:hAnsi="Arial" w:cs="Arial"/>
          <w:i/>
          <w:szCs w:val="28"/>
        </w:rPr>
        <w:t xml:space="preserve">Eve and Adam: Jewish, Christian, and Muslim Readings on Genesis and Gender, </w:t>
      </w:r>
      <w:r w:rsidRPr="00896E7B">
        <w:rPr>
          <w:rFonts w:ascii="Arial" w:hAnsi="Arial" w:cs="Arial"/>
          <w:szCs w:val="28"/>
        </w:rPr>
        <w:t>Indiana, Indiana University Press</w:t>
      </w:r>
      <w:r w:rsidR="00B30388">
        <w:rPr>
          <w:rFonts w:ascii="Arial" w:hAnsi="Arial" w:cs="Arial"/>
          <w:szCs w:val="28"/>
        </w:rPr>
        <w:br/>
      </w:r>
    </w:p>
    <w:p w:rsidR="00B6684C" w:rsidRPr="00B30388" w:rsidRDefault="00B30388" w:rsidP="00B30388">
      <w:pPr>
        <w:pStyle w:val="ListParagraph"/>
        <w:numPr>
          <w:ilvl w:val="0"/>
          <w:numId w:val="2"/>
        </w:numPr>
        <w:rPr>
          <w:rFonts w:ascii="Arial" w:hAnsi="Arial" w:cs="Arial"/>
        </w:rPr>
      </w:pPr>
      <w:r w:rsidRPr="00B30388">
        <w:rPr>
          <w:rFonts w:ascii="Arial" w:hAnsi="Arial" w:cs="Arial"/>
        </w:rPr>
        <w:t xml:space="preserve">Leviticus, 12:1-8, </w:t>
      </w:r>
      <w:r w:rsidRPr="00B30388">
        <w:rPr>
          <w:rFonts w:ascii="Arial" w:hAnsi="Arial" w:cs="Arial"/>
          <w:i/>
        </w:rPr>
        <w:t>Holy Bible</w:t>
      </w:r>
      <w:r w:rsidRPr="00B30388">
        <w:rPr>
          <w:rFonts w:ascii="Arial" w:hAnsi="Arial" w:cs="Arial"/>
        </w:rPr>
        <w:t>, New International Version</w:t>
      </w:r>
      <w:r w:rsidR="00B6684C" w:rsidRPr="00B30388">
        <w:rPr>
          <w:rFonts w:ascii="Arial" w:hAnsi="Arial" w:cs="Arial"/>
          <w:szCs w:val="28"/>
        </w:rPr>
        <w:br/>
      </w:r>
    </w:p>
    <w:p w:rsidR="00B6684C" w:rsidRPr="00896E7B" w:rsidRDefault="00B6684C" w:rsidP="00B6684C">
      <w:pPr>
        <w:pStyle w:val="ListParagraph"/>
        <w:numPr>
          <w:ilvl w:val="0"/>
          <w:numId w:val="2"/>
        </w:numPr>
        <w:spacing w:line="240" w:lineRule="auto"/>
        <w:rPr>
          <w:rFonts w:ascii="Arial" w:hAnsi="Arial" w:cs="Arial"/>
        </w:rPr>
      </w:pPr>
      <w:r w:rsidRPr="00896E7B">
        <w:rPr>
          <w:rFonts w:ascii="Arial" w:hAnsi="Arial" w:cs="Arial"/>
        </w:rPr>
        <w:t xml:space="preserve">Martin. R, Santos. A, 2015, </w:t>
      </w:r>
      <w:r w:rsidRPr="00896E7B">
        <w:rPr>
          <w:rFonts w:ascii="Arial" w:hAnsi="Arial" w:cs="Arial"/>
          <w:i/>
        </w:rPr>
        <w:t>Getting Divorced in the Philippines where it’s Against The Law</w:t>
      </w:r>
      <w:r w:rsidRPr="00896E7B">
        <w:rPr>
          <w:rFonts w:ascii="Arial" w:hAnsi="Arial" w:cs="Arial"/>
        </w:rPr>
        <w:t xml:space="preserve">, Washington, National Public Radio, </w:t>
      </w:r>
      <w:hyperlink r:id="rId54" w:history="1">
        <w:r w:rsidRPr="00896E7B">
          <w:rPr>
            <w:rStyle w:val="Hyperlink"/>
            <w:rFonts w:ascii="Arial" w:hAnsi="Arial" w:cs="Arial"/>
          </w:rPr>
          <w:t>https://www.npr.org/2015/07/02/419554813/getting-divorced-in-the-philippines-where-its-against-the-law</w:t>
        </w:r>
      </w:hyperlink>
      <w:r w:rsidRPr="00896E7B">
        <w:rPr>
          <w:rFonts w:ascii="Arial" w:hAnsi="Arial" w:cs="Arial"/>
        </w:rPr>
        <w:t xml:space="preserve"> [Last Accessed: 20/02/2018]</w:t>
      </w:r>
      <w:r w:rsidRPr="00896E7B">
        <w:rPr>
          <w:rFonts w:ascii="Arial" w:hAnsi="Arial" w:cs="Arial"/>
        </w:rPr>
        <w:br/>
      </w:r>
    </w:p>
    <w:p w:rsidR="00B6684C" w:rsidRPr="00896E7B" w:rsidRDefault="00B6684C" w:rsidP="00B6684C">
      <w:pPr>
        <w:pStyle w:val="ListParagraph"/>
        <w:numPr>
          <w:ilvl w:val="0"/>
          <w:numId w:val="2"/>
        </w:numPr>
        <w:spacing w:line="240" w:lineRule="auto"/>
        <w:rPr>
          <w:rFonts w:ascii="Arial" w:hAnsi="Arial" w:cs="Arial"/>
          <w:szCs w:val="28"/>
        </w:rPr>
      </w:pPr>
      <w:r w:rsidRPr="00896E7B">
        <w:rPr>
          <w:rFonts w:ascii="Arial" w:hAnsi="Arial" w:cs="Arial"/>
          <w:szCs w:val="28"/>
        </w:rPr>
        <w:t xml:space="preserve">Mbiti. J. S, 1991, </w:t>
      </w:r>
      <w:r w:rsidRPr="00896E7B">
        <w:rPr>
          <w:rFonts w:ascii="Arial" w:hAnsi="Arial" w:cs="Arial"/>
          <w:i/>
          <w:szCs w:val="28"/>
        </w:rPr>
        <w:t>Introduction to African Religion</w:t>
      </w:r>
      <w:r w:rsidRPr="00896E7B">
        <w:rPr>
          <w:rFonts w:ascii="Arial" w:hAnsi="Arial" w:cs="Arial"/>
          <w:szCs w:val="28"/>
        </w:rPr>
        <w:t>, Oxford, Heinemann Educational Books</w:t>
      </w:r>
      <w:r w:rsidRPr="00896E7B">
        <w:rPr>
          <w:rFonts w:ascii="Arial" w:hAnsi="Arial" w:cs="Arial"/>
          <w:szCs w:val="28"/>
        </w:rPr>
        <w:br/>
      </w:r>
    </w:p>
    <w:p w:rsidR="00CD5877" w:rsidRDefault="00B6684C" w:rsidP="00B6684C">
      <w:pPr>
        <w:pStyle w:val="ListParagraph"/>
        <w:numPr>
          <w:ilvl w:val="0"/>
          <w:numId w:val="2"/>
        </w:numPr>
        <w:rPr>
          <w:rFonts w:ascii="Arial" w:hAnsi="Arial" w:cs="Arial"/>
        </w:rPr>
      </w:pPr>
      <w:r w:rsidRPr="00896E7B">
        <w:rPr>
          <w:rFonts w:ascii="Arial" w:hAnsi="Arial" w:cs="Arial"/>
        </w:rPr>
        <w:t xml:space="preserve">McCarthy H. L, 2008, Rules of decorum and expressions of gender fluidity in Tawosret’s tomb, In: Graves-Brown. C, 2008, </w:t>
      </w:r>
      <w:r w:rsidRPr="00896E7B">
        <w:rPr>
          <w:rFonts w:ascii="Arial" w:hAnsi="Arial" w:cs="Arial"/>
          <w:i/>
        </w:rPr>
        <w:t>Sex and Gender in Ancient Egypt</w:t>
      </w:r>
      <w:r w:rsidRPr="00896E7B">
        <w:rPr>
          <w:rFonts w:ascii="Arial" w:hAnsi="Arial" w:cs="Arial"/>
        </w:rPr>
        <w:t xml:space="preserve">, The Classical Press of Wales, Swansea </w:t>
      </w:r>
      <w:r w:rsidR="00CD5877">
        <w:rPr>
          <w:rFonts w:ascii="Arial" w:hAnsi="Arial" w:cs="Arial"/>
        </w:rPr>
        <w:br/>
      </w:r>
    </w:p>
    <w:p w:rsidR="007E753C" w:rsidRDefault="00CD5877" w:rsidP="00B6684C">
      <w:pPr>
        <w:pStyle w:val="ListParagraph"/>
        <w:numPr>
          <w:ilvl w:val="0"/>
          <w:numId w:val="2"/>
        </w:numPr>
        <w:rPr>
          <w:rFonts w:ascii="Arial" w:hAnsi="Arial" w:cs="Arial"/>
        </w:rPr>
      </w:pPr>
      <w:r>
        <w:rPr>
          <w:rFonts w:ascii="Arial" w:hAnsi="Arial" w:cs="Arial"/>
        </w:rPr>
        <w:t xml:space="preserve">McCarthy. H. L, 2008, Scene from the antechamber of KV 14 showing the replacement of Twosret’s image with a painted coulomb containing Setnakht’s cartouches, titles, and epithets, Rules of Decorum and Expressions of Gender Fluidity in Tawosret’s Tomb, In: Graves-Brown, 2008, </w:t>
      </w:r>
      <w:r>
        <w:rPr>
          <w:rFonts w:ascii="Arial" w:hAnsi="Arial" w:cs="Arial"/>
          <w:i/>
        </w:rPr>
        <w:t>Sex and Gender in Ancient Egypt</w:t>
      </w:r>
      <w:r>
        <w:rPr>
          <w:rFonts w:ascii="Arial" w:hAnsi="Arial" w:cs="Arial"/>
        </w:rPr>
        <w:t xml:space="preserve">, The Classical </w:t>
      </w:r>
      <w:r w:rsidR="00F4690B">
        <w:rPr>
          <w:rFonts w:ascii="Arial" w:hAnsi="Arial" w:cs="Arial"/>
        </w:rPr>
        <w:t>Press of Wales, Swansea</w:t>
      </w:r>
      <w:r w:rsidR="007E753C">
        <w:rPr>
          <w:rFonts w:ascii="Arial" w:hAnsi="Arial" w:cs="Arial"/>
        </w:rPr>
        <w:br/>
      </w:r>
    </w:p>
    <w:p w:rsidR="00B6684C" w:rsidRPr="00896E7B" w:rsidRDefault="007E753C" w:rsidP="00CD5877">
      <w:pPr>
        <w:pStyle w:val="ListParagraph"/>
        <w:numPr>
          <w:ilvl w:val="0"/>
          <w:numId w:val="2"/>
        </w:numPr>
        <w:rPr>
          <w:rFonts w:ascii="Arial" w:hAnsi="Arial" w:cs="Arial"/>
        </w:rPr>
      </w:pPr>
      <w:r>
        <w:rPr>
          <w:rFonts w:ascii="Arial" w:hAnsi="Arial" w:cs="Arial"/>
        </w:rPr>
        <w:t xml:space="preserve">Metropolitan Museum of Art, </w:t>
      </w:r>
      <w:r w:rsidR="00CD5877">
        <w:rPr>
          <w:rFonts w:ascii="Arial" w:hAnsi="Arial" w:cs="Arial"/>
        </w:rPr>
        <w:t xml:space="preserve">2018, </w:t>
      </w:r>
      <w:r w:rsidR="00CD5877">
        <w:rPr>
          <w:rFonts w:ascii="Arial" w:hAnsi="Arial" w:cs="Arial"/>
          <w:i/>
        </w:rPr>
        <w:t>Kneeling Statue of Hatshepsut</w:t>
      </w:r>
      <w:r w:rsidR="00CD5877">
        <w:rPr>
          <w:rFonts w:ascii="Arial" w:hAnsi="Arial" w:cs="Arial"/>
        </w:rPr>
        <w:t xml:space="preserve">, Rodgers Fund, 23.3.1, </w:t>
      </w:r>
      <w:hyperlink r:id="rId55" w:history="1">
        <w:r w:rsidR="00CD5877" w:rsidRPr="00DB2CC0">
          <w:rPr>
            <w:rStyle w:val="Hyperlink"/>
            <w:rFonts w:ascii="Arial" w:hAnsi="Arial" w:cs="Arial"/>
          </w:rPr>
          <w:t>https://www.metmuseum.org/art/collection/search/546756</w:t>
        </w:r>
      </w:hyperlink>
      <w:r w:rsidR="00CD5877">
        <w:rPr>
          <w:rFonts w:ascii="Arial" w:hAnsi="Arial" w:cs="Arial"/>
        </w:rPr>
        <w:t xml:space="preserve"> [Last Accessed: 27/04/2018]</w:t>
      </w:r>
      <w:r w:rsidR="00B6684C" w:rsidRPr="00896E7B">
        <w:rPr>
          <w:rFonts w:ascii="Arial" w:hAnsi="Arial" w:cs="Arial"/>
          <w:szCs w:val="28"/>
        </w:rPr>
        <w:br/>
      </w:r>
    </w:p>
    <w:p w:rsidR="006E64FE" w:rsidRDefault="00B6684C" w:rsidP="00B6684C">
      <w:pPr>
        <w:pStyle w:val="ListParagraph"/>
        <w:numPr>
          <w:ilvl w:val="0"/>
          <w:numId w:val="2"/>
        </w:numPr>
        <w:rPr>
          <w:rFonts w:ascii="Arial" w:hAnsi="Arial" w:cs="Arial"/>
        </w:rPr>
      </w:pPr>
      <w:r w:rsidRPr="00896E7B">
        <w:rPr>
          <w:rFonts w:ascii="Arial" w:hAnsi="Arial" w:cs="Arial"/>
        </w:rPr>
        <w:t xml:space="preserve">Moore. R, 2015, </w:t>
      </w:r>
      <w:r w:rsidRPr="00896E7B">
        <w:rPr>
          <w:rFonts w:ascii="Arial" w:hAnsi="Arial" w:cs="Arial"/>
          <w:i/>
        </w:rPr>
        <w:t>Women In Christian Traditions: Instructor’s Guide</w:t>
      </w:r>
      <w:r w:rsidRPr="00896E7B">
        <w:rPr>
          <w:rFonts w:ascii="Arial" w:hAnsi="Arial" w:cs="Arial"/>
        </w:rPr>
        <w:t>, New York, NYU Press</w:t>
      </w:r>
      <w:r w:rsidR="006E64FE">
        <w:rPr>
          <w:rFonts w:ascii="Arial" w:hAnsi="Arial" w:cs="Arial"/>
        </w:rPr>
        <w:br/>
      </w:r>
    </w:p>
    <w:p w:rsidR="00B6684C" w:rsidRPr="00896E7B" w:rsidRDefault="006E64FE" w:rsidP="006E64FE">
      <w:pPr>
        <w:pStyle w:val="ListParagraph"/>
        <w:numPr>
          <w:ilvl w:val="0"/>
          <w:numId w:val="2"/>
        </w:numPr>
        <w:rPr>
          <w:rFonts w:ascii="Arial" w:hAnsi="Arial" w:cs="Arial"/>
        </w:rPr>
      </w:pPr>
      <w:r>
        <w:rPr>
          <w:rFonts w:ascii="Arial" w:hAnsi="Arial" w:cs="Arial"/>
        </w:rPr>
        <w:t xml:space="preserve">Nielsen. R, 2013, Erotic and Satirical Papyrus, </w:t>
      </w:r>
      <w:r>
        <w:rPr>
          <w:rFonts w:ascii="Arial" w:hAnsi="Arial" w:cs="Arial"/>
          <w:i/>
        </w:rPr>
        <w:t>Museum Review – Museo Egizio – Turin, Italy</w:t>
      </w:r>
      <w:r>
        <w:rPr>
          <w:rFonts w:ascii="Arial" w:hAnsi="Arial" w:cs="Arial"/>
        </w:rPr>
        <w:t xml:space="preserve">, Turin Museum Item C.2031 (CGT 55001), </w:t>
      </w:r>
      <w:hyperlink r:id="rId56" w:history="1">
        <w:r w:rsidRPr="00DB2CC0">
          <w:rPr>
            <w:rStyle w:val="Hyperlink"/>
            <w:rFonts w:ascii="Arial" w:hAnsi="Arial" w:cs="Arial"/>
          </w:rPr>
          <w:t>https://sites.google.com/site/nwarce/blog-2/museumreview-museoegizio%E2%80%93turinitaly</w:t>
        </w:r>
      </w:hyperlink>
      <w:r>
        <w:rPr>
          <w:rFonts w:ascii="Arial" w:hAnsi="Arial" w:cs="Arial"/>
        </w:rPr>
        <w:t xml:space="preserve"> [Last Accessed: 27/04/2018]</w:t>
      </w:r>
      <w:r w:rsidR="00B6684C" w:rsidRPr="00896E7B">
        <w:rPr>
          <w:rFonts w:ascii="Arial" w:hAnsi="Arial" w:cs="Arial"/>
        </w:rPr>
        <w:br/>
      </w:r>
    </w:p>
    <w:p w:rsidR="00B6684C" w:rsidRPr="00896E7B" w:rsidRDefault="00B6684C" w:rsidP="00B6684C">
      <w:pPr>
        <w:pStyle w:val="ListParagraph"/>
        <w:numPr>
          <w:ilvl w:val="0"/>
          <w:numId w:val="2"/>
        </w:numPr>
        <w:spacing w:line="240" w:lineRule="auto"/>
        <w:rPr>
          <w:rFonts w:ascii="Arial" w:hAnsi="Arial" w:cs="Arial"/>
        </w:rPr>
      </w:pPr>
      <w:r w:rsidRPr="00896E7B">
        <w:rPr>
          <w:rFonts w:ascii="Arial" w:hAnsi="Arial" w:cs="Arial"/>
        </w:rPr>
        <w:lastRenderedPageBreak/>
        <w:t xml:space="preserve">Orloff. L. E, Feldman. P, 2017, </w:t>
      </w:r>
      <w:r w:rsidRPr="00896E7B">
        <w:rPr>
          <w:rFonts w:ascii="Arial" w:hAnsi="Arial" w:cs="Arial"/>
          <w:i/>
        </w:rPr>
        <w:t>Domestic Violence and Sexual Assault Policy Timeline Highlighting Accomplishments on Behalf of Immigrants and Women of Colour</w:t>
      </w:r>
      <w:r w:rsidRPr="00896E7B">
        <w:rPr>
          <w:rFonts w:ascii="Arial" w:hAnsi="Arial" w:cs="Arial"/>
        </w:rPr>
        <w:t xml:space="preserve">, Washington, American University Washington College of Law, </w:t>
      </w:r>
      <w:hyperlink r:id="rId57" w:history="1">
        <w:r w:rsidRPr="00896E7B">
          <w:rPr>
            <w:rStyle w:val="Hyperlink"/>
            <w:rFonts w:ascii="Arial" w:hAnsi="Arial" w:cs="Arial"/>
          </w:rPr>
          <w:t>http://library.niwap.org/wp-content/uploads/Herstory-2016.pdf</w:t>
        </w:r>
      </w:hyperlink>
      <w:r w:rsidRPr="00896E7B">
        <w:rPr>
          <w:rFonts w:ascii="Arial" w:hAnsi="Arial" w:cs="Arial"/>
        </w:rPr>
        <w:t xml:space="preserve"> [Last Accessed: 13/02/2018]</w:t>
      </w:r>
      <w:r w:rsidRPr="00896E7B">
        <w:rPr>
          <w:rFonts w:ascii="Arial" w:hAnsi="Arial" w:cs="Arial"/>
        </w:rPr>
        <w:br/>
      </w:r>
    </w:p>
    <w:p w:rsidR="00B30388" w:rsidRPr="003D5FE6" w:rsidRDefault="00B6684C" w:rsidP="003D5FE6">
      <w:pPr>
        <w:pStyle w:val="ListParagraph"/>
        <w:numPr>
          <w:ilvl w:val="0"/>
          <w:numId w:val="2"/>
        </w:numPr>
        <w:rPr>
          <w:rFonts w:ascii="Arial" w:hAnsi="Arial" w:cs="Arial"/>
        </w:rPr>
      </w:pPr>
      <w:r w:rsidRPr="00896E7B">
        <w:rPr>
          <w:rFonts w:ascii="Arial" w:hAnsi="Arial" w:cs="Arial"/>
        </w:rPr>
        <w:t xml:space="preserve">Papp. L. J, Hagerman. C, Gnoleba. M. A, </w:t>
      </w:r>
      <w:r w:rsidRPr="00896E7B">
        <w:rPr>
          <w:rFonts w:ascii="Arial" w:hAnsi="Arial" w:cs="Arial"/>
          <w:i/>
        </w:rPr>
        <w:t>et al</w:t>
      </w:r>
      <w:r w:rsidRPr="00896E7B">
        <w:rPr>
          <w:rFonts w:ascii="Arial" w:hAnsi="Arial" w:cs="Arial"/>
        </w:rPr>
        <w:t>, 2015, Exploring Perceptions of Slut-Shaming on Facebook: Evidence for a Reverse Sexual Double Standard</w:t>
      </w:r>
      <w:r w:rsidRPr="00896E7B">
        <w:rPr>
          <w:rFonts w:ascii="Arial" w:hAnsi="Arial" w:cs="Arial"/>
          <w:i/>
        </w:rPr>
        <w:t xml:space="preserve">, </w:t>
      </w:r>
      <w:r w:rsidRPr="00896E7B">
        <w:rPr>
          <w:rFonts w:ascii="Arial" w:hAnsi="Arial" w:cs="Arial"/>
        </w:rPr>
        <w:t xml:space="preserve">In: </w:t>
      </w:r>
      <w:r w:rsidRPr="00896E7B">
        <w:rPr>
          <w:rFonts w:ascii="Arial" w:hAnsi="Arial" w:cs="Arial"/>
          <w:i/>
        </w:rPr>
        <w:t xml:space="preserve">Gender Issues, </w:t>
      </w:r>
      <w:r w:rsidRPr="00896E7B">
        <w:rPr>
          <w:rFonts w:ascii="Arial" w:hAnsi="Arial" w:cs="Arial"/>
        </w:rPr>
        <w:t xml:space="preserve">Vol. 32, Issue 1, Springer US, </w:t>
      </w:r>
      <w:hyperlink r:id="rId58" w:history="1">
        <w:r w:rsidRPr="00896E7B">
          <w:rPr>
            <w:rStyle w:val="Hyperlink"/>
            <w:rFonts w:ascii="Arial" w:hAnsi="Arial" w:cs="Arial"/>
            <w:spacing w:val="4"/>
            <w:shd w:val="clear" w:color="auto" w:fill="FFFFFF"/>
          </w:rPr>
          <w:t>https://doi.org/10.1007/s12147-014-9133-y</w:t>
        </w:r>
      </w:hyperlink>
      <w:r w:rsidRPr="00896E7B">
        <w:rPr>
          <w:rFonts w:ascii="Arial" w:hAnsi="Arial" w:cs="Arial"/>
          <w:color w:val="333333"/>
          <w:spacing w:val="4"/>
          <w:shd w:val="clear" w:color="auto" w:fill="FFFFFF"/>
        </w:rPr>
        <w:t xml:space="preserve"> </w:t>
      </w:r>
      <w:r w:rsidRPr="00896E7B">
        <w:rPr>
          <w:rFonts w:ascii="Arial" w:hAnsi="Arial" w:cs="Arial"/>
        </w:rPr>
        <w:t>[Last Accessed: 16/11/2017]</w:t>
      </w:r>
      <w:r w:rsidR="00B30388" w:rsidRPr="003D5FE6">
        <w:rPr>
          <w:rFonts w:ascii="Arial" w:hAnsi="Arial" w:cs="Arial"/>
        </w:rPr>
        <w:br/>
      </w:r>
    </w:p>
    <w:p w:rsidR="00B30388" w:rsidRDefault="003D5FE6" w:rsidP="00B30388">
      <w:pPr>
        <w:pStyle w:val="ListParagraph"/>
        <w:numPr>
          <w:ilvl w:val="0"/>
          <w:numId w:val="2"/>
        </w:numPr>
        <w:rPr>
          <w:rFonts w:ascii="Arial" w:hAnsi="Arial" w:cs="Arial"/>
        </w:rPr>
      </w:pPr>
      <w:r>
        <w:rPr>
          <w:rFonts w:ascii="Arial" w:hAnsi="Arial" w:cs="Arial"/>
        </w:rPr>
        <w:t>National Museum of Antiquities, 2018</w:t>
      </w:r>
      <w:r w:rsidRPr="003D5FE6">
        <w:rPr>
          <w:rFonts w:ascii="Arial" w:hAnsi="Arial" w:cs="Arial"/>
          <w:i/>
        </w:rPr>
        <w:t xml:space="preserve">, </w:t>
      </w:r>
      <w:r w:rsidR="00B30388" w:rsidRPr="003D5FE6">
        <w:rPr>
          <w:rFonts w:ascii="Arial" w:hAnsi="Arial" w:cs="Arial"/>
          <w:i/>
        </w:rPr>
        <w:t>Papyrus Insinger</w:t>
      </w:r>
      <w:r w:rsidR="00B30388" w:rsidRPr="00B30388">
        <w:rPr>
          <w:rFonts w:ascii="Arial" w:hAnsi="Arial" w:cs="Arial"/>
        </w:rPr>
        <w:t>, F</w:t>
      </w:r>
      <w:r w:rsidR="00B30388">
        <w:rPr>
          <w:rFonts w:ascii="Arial" w:hAnsi="Arial" w:cs="Arial"/>
        </w:rPr>
        <w:t>95/5.1</w:t>
      </w:r>
      <w:r w:rsidR="00B30388">
        <w:rPr>
          <w:rFonts w:ascii="Arial" w:hAnsi="Arial" w:cs="Arial"/>
        </w:rPr>
        <w:br/>
      </w:r>
    </w:p>
    <w:p w:rsidR="00B30388" w:rsidRDefault="00F4690B" w:rsidP="00B30388">
      <w:pPr>
        <w:pStyle w:val="ListParagraph"/>
        <w:numPr>
          <w:ilvl w:val="0"/>
          <w:numId w:val="2"/>
        </w:numPr>
        <w:rPr>
          <w:rFonts w:ascii="Arial" w:hAnsi="Arial" w:cs="Arial"/>
        </w:rPr>
      </w:pPr>
      <w:r>
        <w:rPr>
          <w:rFonts w:ascii="Arial" w:hAnsi="Arial" w:cs="Arial"/>
        </w:rPr>
        <w:t>Pyramid Text, Spell</w:t>
      </w:r>
      <w:r w:rsidR="00B30388">
        <w:rPr>
          <w:rFonts w:ascii="Arial" w:hAnsi="Arial" w:cs="Arial"/>
        </w:rPr>
        <w:t xml:space="preserve"> 1344</w:t>
      </w:r>
      <w:r w:rsidR="00B30388">
        <w:rPr>
          <w:rFonts w:ascii="Arial" w:hAnsi="Arial" w:cs="Arial"/>
        </w:rPr>
        <w:br/>
      </w:r>
    </w:p>
    <w:p w:rsidR="00B6684C" w:rsidRPr="00B30388" w:rsidRDefault="00F4690B" w:rsidP="00B30388">
      <w:pPr>
        <w:pStyle w:val="ListParagraph"/>
        <w:numPr>
          <w:ilvl w:val="0"/>
          <w:numId w:val="2"/>
        </w:numPr>
        <w:rPr>
          <w:rFonts w:ascii="Arial" w:hAnsi="Arial" w:cs="Arial"/>
        </w:rPr>
      </w:pPr>
      <w:r>
        <w:rPr>
          <w:rFonts w:ascii="Arial" w:hAnsi="Arial" w:cs="Arial"/>
        </w:rPr>
        <w:t>Pyramid Text, Spell</w:t>
      </w:r>
      <w:r w:rsidR="00B30388">
        <w:rPr>
          <w:rFonts w:ascii="Arial" w:hAnsi="Arial" w:cs="Arial"/>
        </w:rPr>
        <w:t xml:space="preserve"> 616</w:t>
      </w:r>
      <w:r w:rsidR="00B6684C" w:rsidRPr="00B30388">
        <w:rPr>
          <w:rFonts w:ascii="Arial" w:hAnsi="Arial" w:cs="Arial"/>
        </w:rPr>
        <w:br/>
      </w:r>
    </w:p>
    <w:p w:rsidR="00B6684C" w:rsidRPr="00896E7B" w:rsidRDefault="00B6684C" w:rsidP="00B6684C">
      <w:pPr>
        <w:pStyle w:val="ListParagraph"/>
        <w:numPr>
          <w:ilvl w:val="0"/>
          <w:numId w:val="2"/>
        </w:numPr>
        <w:spacing w:line="240" w:lineRule="auto"/>
        <w:rPr>
          <w:rFonts w:ascii="Arial" w:hAnsi="Arial" w:cs="Arial"/>
        </w:rPr>
      </w:pPr>
      <w:r w:rsidRPr="00896E7B">
        <w:rPr>
          <w:rFonts w:ascii="Arial" w:hAnsi="Arial" w:cs="Arial"/>
        </w:rPr>
        <w:t xml:space="preserve">Rights of Women, 2014, </w:t>
      </w:r>
      <w:r w:rsidRPr="00896E7B">
        <w:rPr>
          <w:rFonts w:ascii="Arial" w:hAnsi="Arial" w:cs="Arial"/>
          <w:i/>
        </w:rPr>
        <w:t>A Guide to Divorce</w:t>
      </w:r>
      <w:r w:rsidRPr="00896E7B">
        <w:rPr>
          <w:rFonts w:ascii="Arial" w:hAnsi="Arial" w:cs="Arial"/>
        </w:rPr>
        <w:t>, London</w:t>
      </w:r>
      <w:r w:rsidR="00F4690B">
        <w:rPr>
          <w:rFonts w:ascii="Arial" w:hAnsi="Arial" w:cs="Arial"/>
        </w:rPr>
        <w:t>,</w:t>
      </w:r>
      <w:r w:rsidRPr="00896E7B">
        <w:rPr>
          <w:rFonts w:ascii="Arial" w:hAnsi="Arial" w:cs="Arial"/>
        </w:rPr>
        <w:t xml:space="preserve"> Rights of Women: </w:t>
      </w:r>
      <w:hyperlink r:id="rId59" w:history="1">
        <w:r w:rsidRPr="00896E7B">
          <w:rPr>
            <w:rStyle w:val="Hyperlink"/>
            <w:rFonts w:ascii="Arial" w:hAnsi="Arial" w:cs="Arial"/>
          </w:rPr>
          <w:t>http://rightsofwomen.org.uk/get-information/family-law/divorce/</w:t>
        </w:r>
      </w:hyperlink>
      <w:r w:rsidRPr="00896E7B">
        <w:rPr>
          <w:rFonts w:ascii="Arial" w:hAnsi="Arial" w:cs="Arial"/>
        </w:rPr>
        <w:t xml:space="preserve"> [Last Accessed: 20/02/2018]</w:t>
      </w:r>
      <w:r w:rsidRPr="00896E7B">
        <w:rPr>
          <w:rFonts w:ascii="Arial" w:hAnsi="Arial" w:cs="Arial"/>
        </w:rPr>
        <w:br/>
      </w:r>
    </w:p>
    <w:p w:rsidR="00B6684C" w:rsidRPr="00896E7B" w:rsidRDefault="00B6684C" w:rsidP="00B6684C">
      <w:pPr>
        <w:pStyle w:val="ListParagraph"/>
        <w:numPr>
          <w:ilvl w:val="0"/>
          <w:numId w:val="2"/>
        </w:numPr>
        <w:spacing w:line="240" w:lineRule="auto"/>
        <w:rPr>
          <w:rFonts w:ascii="Arial" w:hAnsi="Arial" w:cs="Arial"/>
        </w:rPr>
      </w:pPr>
      <w:r w:rsidRPr="00896E7B">
        <w:rPr>
          <w:rFonts w:ascii="Arial" w:hAnsi="Arial" w:cs="Arial"/>
        </w:rPr>
        <w:t xml:space="preserve">Ringrose. J, Renold. E, 2011, Slut-shaming, girl power and ‘sexualisation’: thinking through the politics of the international SlutWalks with teen girls, In: </w:t>
      </w:r>
      <w:r w:rsidRPr="00896E7B">
        <w:rPr>
          <w:rFonts w:ascii="Arial" w:hAnsi="Arial" w:cs="Arial"/>
          <w:i/>
        </w:rPr>
        <w:t xml:space="preserve">Gender and Education, </w:t>
      </w:r>
      <w:r w:rsidRPr="00896E7B">
        <w:rPr>
          <w:rFonts w:ascii="Arial" w:hAnsi="Arial" w:cs="Arial"/>
        </w:rPr>
        <w:t xml:space="preserve">Vol. 24, #3, Routledge, </w:t>
      </w:r>
      <w:hyperlink r:id="rId60" w:history="1">
        <w:r w:rsidRPr="00896E7B">
          <w:rPr>
            <w:rStyle w:val="Hyperlink"/>
            <w:rFonts w:ascii="Arial" w:hAnsi="Arial" w:cs="Arial"/>
          </w:rPr>
          <w:t>http://dx.doi.org/10.1080/09540253.2011.645023</w:t>
        </w:r>
      </w:hyperlink>
      <w:r w:rsidRPr="00896E7B">
        <w:rPr>
          <w:rFonts w:ascii="Arial" w:hAnsi="Arial" w:cs="Arial"/>
        </w:rPr>
        <w:t xml:space="preserve"> [Last Accessed: 16/11/2017]</w:t>
      </w:r>
      <w:r w:rsidRPr="00896E7B">
        <w:rPr>
          <w:rFonts w:ascii="Arial" w:hAnsi="Arial" w:cs="Arial"/>
        </w:rPr>
        <w:br/>
      </w:r>
    </w:p>
    <w:p w:rsidR="00B6684C" w:rsidRPr="00896E7B" w:rsidRDefault="00B6684C" w:rsidP="00B6684C">
      <w:pPr>
        <w:pStyle w:val="ListParagraph"/>
        <w:numPr>
          <w:ilvl w:val="0"/>
          <w:numId w:val="2"/>
        </w:numPr>
        <w:rPr>
          <w:rFonts w:ascii="Arial" w:hAnsi="Arial" w:cs="Arial"/>
        </w:rPr>
      </w:pPr>
      <w:r w:rsidRPr="00896E7B">
        <w:rPr>
          <w:rFonts w:ascii="Arial" w:hAnsi="Arial" w:cs="Arial"/>
        </w:rPr>
        <w:t xml:space="preserve">Robins. G, 1993, </w:t>
      </w:r>
      <w:r w:rsidRPr="00896E7B">
        <w:rPr>
          <w:rFonts w:ascii="Arial" w:hAnsi="Arial" w:cs="Arial"/>
          <w:i/>
        </w:rPr>
        <w:t>Women in Ancient Egypt</w:t>
      </w:r>
      <w:r w:rsidRPr="00896E7B">
        <w:rPr>
          <w:rFonts w:ascii="Arial" w:hAnsi="Arial" w:cs="Arial"/>
        </w:rPr>
        <w:t xml:space="preserve">, London, British Museum Press </w:t>
      </w:r>
      <w:r w:rsidRPr="00896E7B">
        <w:rPr>
          <w:rFonts w:ascii="Arial" w:hAnsi="Arial" w:cs="Arial"/>
        </w:rPr>
        <w:br/>
      </w:r>
    </w:p>
    <w:p w:rsidR="00472253" w:rsidRDefault="00B6684C" w:rsidP="00B6684C">
      <w:pPr>
        <w:pStyle w:val="ListParagraph"/>
        <w:numPr>
          <w:ilvl w:val="0"/>
          <w:numId w:val="2"/>
        </w:numPr>
        <w:rPr>
          <w:rFonts w:ascii="Arial" w:hAnsi="Arial" w:cs="Arial"/>
        </w:rPr>
      </w:pPr>
      <w:r w:rsidRPr="00896E7B">
        <w:rPr>
          <w:rFonts w:ascii="Arial" w:hAnsi="Arial" w:cs="Arial"/>
        </w:rPr>
        <w:t xml:space="preserve">Roehrig. C. H, 1997, Women’s Work: Some Occupations of Non-Royal Women as Depicted in Ancient Egyptian Art, In: Bryan. B. M, (eds.) </w:t>
      </w:r>
      <w:r w:rsidRPr="00896E7B">
        <w:rPr>
          <w:rFonts w:ascii="Arial" w:hAnsi="Arial" w:cs="Arial"/>
          <w:i/>
        </w:rPr>
        <w:t>Mistress of the House, Mistress of Heaven</w:t>
      </w:r>
      <w:r w:rsidRPr="00896E7B">
        <w:rPr>
          <w:rFonts w:ascii="Arial" w:hAnsi="Arial" w:cs="Arial"/>
        </w:rPr>
        <w:t>, Vermont, Hudson Hills Press</w:t>
      </w:r>
      <w:r w:rsidR="00472253">
        <w:rPr>
          <w:rFonts w:ascii="Arial" w:hAnsi="Arial" w:cs="Arial"/>
        </w:rPr>
        <w:br/>
      </w:r>
    </w:p>
    <w:p w:rsidR="00B6684C" w:rsidRPr="00896E7B" w:rsidRDefault="00472253" w:rsidP="00B6684C">
      <w:pPr>
        <w:pStyle w:val="ListParagraph"/>
        <w:numPr>
          <w:ilvl w:val="0"/>
          <w:numId w:val="2"/>
        </w:numPr>
        <w:rPr>
          <w:rFonts w:ascii="Arial" w:hAnsi="Arial" w:cs="Arial"/>
        </w:rPr>
      </w:pPr>
      <w:r>
        <w:rPr>
          <w:rFonts w:ascii="Arial" w:hAnsi="Arial" w:cs="Arial"/>
        </w:rPr>
        <w:t xml:space="preserve">Seidel. M, Shedid. A. G, 1992, Nakht and Tawy Make an Offering, </w:t>
      </w:r>
      <w:r>
        <w:rPr>
          <w:rFonts w:ascii="Arial" w:hAnsi="Arial" w:cs="Arial"/>
          <w:i/>
        </w:rPr>
        <w:t>Das Grab des Nacht: Kunst und Geschichte eines Beamtengrabes der 18 Dynastie in Theben-West</w:t>
      </w:r>
      <w:r>
        <w:rPr>
          <w:rFonts w:ascii="Arial" w:hAnsi="Arial" w:cs="Arial"/>
        </w:rPr>
        <w:t xml:space="preserve">, Verlag Phillip von Zabern in Wissenschaftliche Buchgesellschaft, Darmstadt </w:t>
      </w:r>
      <w:r w:rsidR="00B6684C" w:rsidRPr="00896E7B">
        <w:rPr>
          <w:rFonts w:ascii="Arial" w:hAnsi="Arial" w:cs="Arial"/>
        </w:rPr>
        <w:br/>
      </w:r>
    </w:p>
    <w:p w:rsidR="00472253" w:rsidRDefault="00B6684C" w:rsidP="00B6684C">
      <w:pPr>
        <w:pStyle w:val="ListParagraph"/>
        <w:numPr>
          <w:ilvl w:val="0"/>
          <w:numId w:val="2"/>
        </w:numPr>
        <w:spacing w:line="240" w:lineRule="auto"/>
        <w:rPr>
          <w:rFonts w:ascii="Arial" w:hAnsi="Arial" w:cs="Arial"/>
          <w:szCs w:val="28"/>
        </w:rPr>
      </w:pPr>
      <w:r w:rsidRPr="00896E7B">
        <w:rPr>
          <w:rFonts w:ascii="Arial" w:hAnsi="Arial" w:cs="Arial"/>
          <w:szCs w:val="28"/>
        </w:rPr>
        <w:t xml:space="preserve">Shaw. M, 2015, </w:t>
      </w:r>
      <w:r w:rsidRPr="00896E7B">
        <w:rPr>
          <w:rFonts w:ascii="Arial" w:hAnsi="Arial" w:cs="Arial"/>
          <w:i/>
          <w:szCs w:val="28"/>
        </w:rPr>
        <w:t xml:space="preserve">Buddhist Goddesses of India, Princeton, </w:t>
      </w:r>
      <w:r w:rsidRPr="00896E7B">
        <w:rPr>
          <w:rFonts w:ascii="Arial" w:hAnsi="Arial" w:cs="Arial"/>
          <w:szCs w:val="28"/>
        </w:rPr>
        <w:t>Princeton University Press</w:t>
      </w:r>
      <w:r w:rsidR="00472253">
        <w:rPr>
          <w:rFonts w:ascii="Arial" w:hAnsi="Arial" w:cs="Arial"/>
          <w:szCs w:val="28"/>
        </w:rPr>
        <w:br/>
      </w:r>
    </w:p>
    <w:p w:rsidR="00B6684C" w:rsidRPr="00896E7B" w:rsidRDefault="00472253" w:rsidP="00472253">
      <w:pPr>
        <w:pStyle w:val="ListParagraph"/>
        <w:numPr>
          <w:ilvl w:val="0"/>
          <w:numId w:val="2"/>
        </w:numPr>
        <w:spacing w:line="240" w:lineRule="auto"/>
        <w:rPr>
          <w:rFonts w:ascii="Arial" w:hAnsi="Arial" w:cs="Arial"/>
          <w:szCs w:val="28"/>
        </w:rPr>
      </w:pPr>
      <w:r>
        <w:rPr>
          <w:rFonts w:ascii="Arial" w:hAnsi="Arial" w:cs="Arial"/>
          <w:szCs w:val="28"/>
        </w:rPr>
        <w:t xml:space="preserve">Soly. E, 2016, </w:t>
      </w:r>
      <w:r w:rsidRPr="00A66E51">
        <w:rPr>
          <w:rFonts w:ascii="Arial" w:hAnsi="Arial" w:cs="Arial"/>
        </w:rPr>
        <w:t>Heqt puts the breath of life into the nostrils of the newly created babe</w:t>
      </w:r>
      <w:r>
        <w:rPr>
          <w:rFonts w:ascii="Arial" w:hAnsi="Arial" w:cs="Arial"/>
        </w:rPr>
        <w:t xml:space="preserve">, </w:t>
      </w:r>
      <w:r>
        <w:rPr>
          <w:rFonts w:ascii="Arial" w:hAnsi="Arial" w:cs="Arial"/>
          <w:i/>
        </w:rPr>
        <w:t>Hatshepsut’s Divine Birth in the Mortuary Temple of Hatshepsut</w:t>
      </w:r>
      <w:r>
        <w:rPr>
          <w:rFonts w:ascii="Arial" w:hAnsi="Arial" w:cs="Arial"/>
        </w:rPr>
        <w:t xml:space="preserve">, The Ancient Egypt, </w:t>
      </w:r>
      <w:hyperlink r:id="rId61" w:history="1">
        <w:r w:rsidRPr="00DB2CC0">
          <w:rPr>
            <w:rStyle w:val="Hyperlink"/>
            <w:rFonts w:ascii="Arial" w:hAnsi="Arial" w:cs="Arial"/>
          </w:rPr>
          <w:t>https://the-ancient-</w:t>
        </w:r>
        <w:r w:rsidRPr="00DB2CC0">
          <w:rPr>
            <w:rStyle w:val="Hyperlink"/>
            <w:rFonts w:ascii="Arial" w:hAnsi="Arial" w:cs="Arial"/>
          </w:rPr>
          <w:lastRenderedPageBreak/>
          <w:t>pharaohs.blogspot.co.uk/2016/09/hatshepsuts-divine-birth-in-mortuary.html</w:t>
        </w:r>
      </w:hyperlink>
      <w:r>
        <w:rPr>
          <w:rFonts w:ascii="Arial" w:hAnsi="Arial" w:cs="Arial"/>
        </w:rPr>
        <w:t xml:space="preserve"> [Last Accessed: 27/04/2018]</w:t>
      </w:r>
      <w:r w:rsidR="00B6684C" w:rsidRPr="00896E7B">
        <w:rPr>
          <w:rFonts w:ascii="Arial" w:hAnsi="Arial" w:cs="Arial"/>
          <w:szCs w:val="28"/>
        </w:rPr>
        <w:br/>
      </w:r>
    </w:p>
    <w:p w:rsidR="00B30388" w:rsidRDefault="00B6684C" w:rsidP="00B6684C">
      <w:pPr>
        <w:pStyle w:val="ListParagraph"/>
        <w:numPr>
          <w:ilvl w:val="0"/>
          <w:numId w:val="2"/>
        </w:numPr>
        <w:rPr>
          <w:rFonts w:ascii="Arial" w:hAnsi="Arial" w:cs="Arial"/>
        </w:rPr>
      </w:pPr>
      <w:r w:rsidRPr="00896E7B">
        <w:rPr>
          <w:rFonts w:ascii="Arial" w:hAnsi="Arial" w:cs="Arial"/>
        </w:rPr>
        <w:t xml:space="preserve">Taylor. S, 2011, </w:t>
      </w:r>
      <w:r w:rsidRPr="00896E7B">
        <w:rPr>
          <w:rFonts w:ascii="Arial" w:hAnsi="Arial" w:cs="Arial"/>
          <w:i/>
        </w:rPr>
        <w:t>Proper men, Proper women: Gender roles in contemporary UK society</w:t>
      </w:r>
      <w:r w:rsidRPr="00896E7B">
        <w:rPr>
          <w:rFonts w:ascii="Arial" w:hAnsi="Arial" w:cs="Arial"/>
        </w:rPr>
        <w:t xml:space="preserve">, Open Learn, </w:t>
      </w:r>
      <w:hyperlink r:id="rId62" w:history="1">
        <w:r w:rsidRPr="00896E7B">
          <w:rPr>
            <w:rStyle w:val="Hyperlink"/>
            <w:rFonts w:ascii="Arial" w:hAnsi="Arial" w:cs="Arial"/>
          </w:rPr>
          <w:t>http://www.open.edu/openlearn/body-mind/proper-men-proper-women-gender-roles-contemporary-uk-society#</w:t>
        </w:r>
      </w:hyperlink>
      <w:r w:rsidRPr="00896E7B">
        <w:rPr>
          <w:rFonts w:ascii="Arial" w:hAnsi="Arial" w:cs="Arial"/>
        </w:rPr>
        <w:t>, [Last Accessed: 13/02/2018]</w:t>
      </w:r>
      <w:r w:rsidR="00B30388">
        <w:rPr>
          <w:rFonts w:ascii="Arial" w:hAnsi="Arial" w:cs="Arial"/>
        </w:rPr>
        <w:br/>
      </w:r>
    </w:p>
    <w:p w:rsidR="00B6684C" w:rsidRPr="00B30388" w:rsidRDefault="003D5FE6" w:rsidP="00B30388">
      <w:pPr>
        <w:pStyle w:val="ListParagraph"/>
        <w:numPr>
          <w:ilvl w:val="0"/>
          <w:numId w:val="2"/>
        </w:numPr>
        <w:rPr>
          <w:rFonts w:ascii="Arial" w:hAnsi="Arial" w:cs="Arial"/>
        </w:rPr>
      </w:pPr>
      <w:r>
        <w:rPr>
          <w:rFonts w:ascii="Arial" w:hAnsi="Arial" w:cs="Arial"/>
        </w:rPr>
        <w:t xml:space="preserve">Museuo Egizio, 2018, </w:t>
      </w:r>
      <w:r>
        <w:rPr>
          <w:rFonts w:ascii="Arial" w:hAnsi="Arial" w:cs="Arial"/>
          <w:i/>
        </w:rPr>
        <w:t>Turin Erotic Papyrus,</w:t>
      </w:r>
      <w:r>
        <w:rPr>
          <w:rFonts w:ascii="Arial" w:hAnsi="Arial" w:cs="Arial"/>
        </w:rPr>
        <w:t xml:space="preserve"> </w:t>
      </w:r>
      <w:r w:rsidR="00B30388" w:rsidRPr="00B30388">
        <w:rPr>
          <w:rFonts w:ascii="Arial" w:hAnsi="Arial" w:cs="Arial"/>
        </w:rPr>
        <w:t>55001</w:t>
      </w:r>
      <w:r w:rsidR="00B6684C" w:rsidRPr="00B30388">
        <w:rPr>
          <w:rFonts w:ascii="Arial" w:hAnsi="Arial" w:cs="Arial"/>
        </w:rPr>
        <w:br/>
      </w:r>
    </w:p>
    <w:p w:rsidR="00B6684C" w:rsidRPr="00896E7B" w:rsidRDefault="00B6684C" w:rsidP="00B6684C">
      <w:pPr>
        <w:pStyle w:val="ListParagraph"/>
        <w:numPr>
          <w:ilvl w:val="0"/>
          <w:numId w:val="2"/>
        </w:numPr>
        <w:rPr>
          <w:rFonts w:ascii="Arial" w:hAnsi="Arial" w:cs="Arial"/>
          <w:i/>
        </w:rPr>
      </w:pPr>
      <w:r w:rsidRPr="00896E7B">
        <w:rPr>
          <w:rFonts w:ascii="Arial" w:hAnsi="Arial" w:cs="Arial"/>
        </w:rPr>
        <w:t xml:space="preserve">Tydesley. J, 1994, </w:t>
      </w:r>
      <w:r w:rsidRPr="00896E7B">
        <w:rPr>
          <w:rFonts w:ascii="Arial" w:hAnsi="Arial" w:cs="Arial"/>
          <w:i/>
        </w:rPr>
        <w:t>Daughters of Isis, Women of Ancient Egypt</w:t>
      </w:r>
      <w:r w:rsidRPr="00896E7B">
        <w:rPr>
          <w:rFonts w:ascii="Arial" w:hAnsi="Arial" w:cs="Arial"/>
        </w:rPr>
        <w:t>, London, Penguin Books</w:t>
      </w:r>
      <w:r w:rsidRPr="00896E7B">
        <w:rPr>
          <w:rFonts w:ascii="Arial" w:hAnsi="Arial" w:cs="Arial"/>
        </w:rPr>
        <w:br/>
      </w:r>
    </w:p>
    <w:p w:rsidR="00B6684C" w:rsidRPr="00896E7B" w:rsidRDefault="00B6684C" w:rsidP="00B6684C">
      <w:pPr>
        <w:pStyle w:val="ListParagraph"/>
        <w:numPr>
          <w:ilvl w:val="0"/>
          <w:numId w:val="2"/>
        </w:numPr>
        <w:rPr>
          <w:rFonts w:ascii="Arial" w:hAnsi="Arial" w:cs="Arial"/>
        </w:rPr>
      </w:pPr>
      <w:r w:rsidRPr="00896E7B">
        <w:rPr>
          <w:rFonts w:ascii="Arial" w:hAnsi="Arial" w:cs="Arial"/>
        </w:rPr>
        <w:t xml:space="preserve">Tyldesley. J, 2006, </w:t>
      </w:r>
      <w:r w:rsidRPr="00896E7B">
        <w:rPr>
          <w:rFonts w:ascii="Arial" w:hAnsi="Arial" w:cs="Arial"/>
          <w:i/>
        </w:rPr>
        <w:t>Chronicles of the Queens of Egypt</w:t>
      </w:r>
      <w:r w:rsidRPr="00896E7B">
        <w:rPr>
          <w:rFonts w:ascii="Arial" w:hAnsi="Arial" w:cs="Arial"/>
        </w:rPr>
        <w:t>, London, Thames and Hudson</w:t>
      </w:r>
      <w:r w:rsidRPr="00896E7B">
        <w:rPr>
          <w:rFonts w:ascii="Arial" w:hAnsi="Arial" w:cs="Arial"/>
        </w:rPr>
        <w:br/>
      </w:r>
    </w:p>
    <w:p w:rsidR="006E64FE" w:rsidRDefault="00844FB9" w:rsidP="006E64FE">
      <w:pPr>
        <w:pStyle w:val="ListParagraph"/>
        <w:numPr>
          <w:ilvl w:val="0"/>
          <w:numId w:val="2"/>
        </w:numPr>
        <w:spacing w:line="240" w:lineRule="auto"/>
        <w:rPr>
          <w:rFonts w:ascii="Arial" w:hAnsi="Arial" w:cs="Arial"/>
          <w:szCs w:val="28"/>
        </w:rPr>
      </w:pPr>
      <w:r w:rsidRPr="00896E7B">
        <w:rPr>
          <w:rFonts w:ascii="Arial" w:hAnsi="Arial" w:cs="Arial"/>
          <w:szCs w:val="28"/>
        </w:rPr>
        <w:t xml:space="preserve">UNICEF, 2018, </w:t>
      </w:r>
      <w:r w:rsidRPr="00896E7B">
        <w:rPr>
          <w:rFonts w:ascii="Arial" w:hAnsi="Arial" w:cs="Arial"/>
          <w:i/>
          <w:szCs w:val="28"/>
        </w:rPr>
        <w:t>Literacy among Youth is rising, but Young Women Lag Behind</w:t>
      </w:r>
      <w:r w:rsidRPr="00896E7B">
        <w:rPr>
          <w:rFonts w:ascii="Arial" w:hAnsi="Arial" w:cs="Arial"/>
          <w:szCs w:val="28"/>
        </w:rPr>
        <w:t xml:space="preserve">, New York, UNICEF: </w:t>
      </w:r>
      <w:hyperlink r:id="rId63" w:history="1">
        <w:r w:rsidRPr="00896E7B">
          <w:rPr>
            <w:rStyle w:val="Hyperlink"/>
            <w:rFonts w:ascii="Arial" w:hAnsi="Arial" w:cs="Arial"/>
            <w:szCs w:val="28"/>
          </w:rPr>
          <w:t>https://data.unicef.org/topic/education/literacy/</w:t>
        </w:r>
      </w:hyperlink>
      <w:r w:rsidRPr="00896E7B">
        <w:rPr>
          <w:rFonts w:ascii="Arial" w:hAnsi="Arial" w:cs="Arial"/>
          <w:szCs w:val="28"/>
        </w:rPr>
        <w:t xml:space="preserve"> [Last Accessed: </w:t>
      </w:r>
      <w:r w:rsidR="006E64FE">
        <w:rPr>
          <w:rFonts w:ascii="Arial" w:hAnsi="Arial" w:cs="Arial"/>
          <w:szCs w:val="28"/>
        </w:rPr>
        <w:t>27/04/2018</w:t>
      </w:r>
      <w:r w:rsidRPr="00896E7B">
        <w:rPr>
          <w:rFonts w:ascii="Arial" w:hAnsi="Arial" w:cs="Arial"/>
          <w:szCs w:val="28"/>
        </w:rPr>
        <w:t>]</w:t>
      </w:r>
      <w:r w:rsidR="006E64FE">
        <w:rPr>
          <w:rFonts w:ascii="Arial" w:hAnsi="Arial" w:cs="Arial"/>
          <w:szCs w:val="28"/>
        </w:rPr>
        <w:br/>
      </w:r>
    </w:p>
    <w:p w:rsidR="00844FB9" w:rsidRPr="006E64FE" w:rsidRDefault="006E64FE" w:rsidP="006E64FE">
      <w:pPr>
        <w:pStyle w:val="ListParagraph"/>
        <w:numPr>
          <w:ilvl w:val="0"/>
          <w:numId w:val="2"/>
        </w:numPr>
        <w:spacing w:line="240" w:lineRule="auto"/>
        <w:rPr>
          <w:rFonts w:ascii="Arial" w:hAnsi="Arial" w:cs="Arial"/>
          <w:szCs w:val="28"/>
        </w:rPr>
      </w:pPr>
      <w:r>
        <w:rPr>
          <w:rFonts w:ascii="Arial" w:hAnsi="Arial" w:cs="Arial"/>
          <w:szCs w:val="28"/>
        </w:rPr>
        <w:t xml:space="preserve">UNICEF, 2018, UNESCO Institute for Statistics Global Databases, 2014, Based on survey data for the most recent year available during the period 2005-2012, </w:t>
      </w:r>
      <w:r>
        <w:rPr>
          <w:rFonts w:ascii="Arial" w:hAnsi="Arial" w:cs="Arial"/>
          <w:i/>
          <w:szCs w:val="28"/>
        </w:rPr>
        <w:t>Literacy Among Youth is Rising, but Young Women Lag Behind</w:t>
      </w:r>
      <w:r>
        <w:rPr>
          <w:rFonts w:ascii="Arial" w:hAnsi="Arial" w:cs="Arial"/>
          <w:szCs w:val="28"/>
        </w:rPr>
        <w:t xml:space="preserve">, </w:t>
      </w:r>
      <w:hyperlink r:id="rId64" w:history="1">
        <w:r w:rsidRPr="00DB2CC0">
          <w:rPr>
            <w:rStyle w:val="Hyperlink"/>
            <w:rFonts w:ascii="Arial" w:hAnsi="Arial" w:cs="Arial"/>
            <w:szCs w:val="28"/>
          </w:rPr>
          <w:t>https://data.unicef.org/topic/education/literacy/#</w:t>
        </w:r>
      </w:hyperlink>
      <w:r>
        <w:rPr>
          <w:rFonts w:ascii="Arial" w:hAnsi="Arial" w:cs="Arial"/>
          <w:szCs w:val="28"/>
        </w:rPr>
        <w:t xml:space="preserve"> [Last Accessed: 27/04/2018]</w:t>
      </w:r>
      <w:r w:rsidR="00844FB9" w:rsidRPr="006E64FE">
        <w:rPr>
          <w:rFonts w:ascii="Arial" w:hAnsi="Arial" w:cs="Arial"/>
          <w:szCs w:val="28"/>
        </w:rPr>
        <w:br/>
      </w:r>
    </w:p>
    <w:p w:rsidR="00351A06" w:rsidRDefault="00844FB9" w:rsidP="00844FB9">
      <w:pPr>
        <w:pStyle w:val="ListParagraph"/>
        <w:numPr>
          <w:ilvl w:val="0"/>
          <w:numId w:val="2"/>
        </w:numPr>
        <w:spacing w:line="240" w:lineRule="auto"/>
        <w:rPr>
          <w:rFonts w:ascii="Arial" w:hAnsi="Arial" w:cs="Arial"/>
          <w:szCs w:val="28"/>
        </w:rPr>
      </w:pPr>
      <w:r w:rsidRPr="00896E7B">
        <w:rPr>
          <w:rFonts w:ascii="Arial" w:hAnsi="Arial" w:cs="Arial"/>
          <w:szCs w:val="28"/>
        </w:rPr>
        <w:t xml:space="preserve">UN Women, 2017, </w:t>
      </w:r>
      <w:r w:rsidRPr="00896E7B">
        <w:rPr>
          <w:rFonts w:ascii="Arial" w:hAnsi="Arial" w:cs="Arial"/>
          <w:i/>
          <w:szCs w:val="28"/>
        </w:rPr>
        <w:t>Facts and Figures: Leadership and Political Participation</w:t>
      </w:r>
      <w:r w:rsidRPr="00896E7B">
        <w:rPr>
          <w:rFonts w:ascii="Arial" w:hAnsi="Arial" w:cs="Arial"/>
          <w:szCs w:val="28"/>
        </w:rPr>
        <w:t xml:space="preserve">, New York, United Nations: </w:t>
      </w:r>
      <w:hyperlink r:id="rId65" w:history="1">
        <w:r w:rsidRPr="00896E7B">
          <w:rPr>
            <w:rStyle w:val="Hyperlink"/>
            <w:rFonts w:ascii="Arial" w:hAnsi="Arial" w:cs="Arial"/>
            <w:szCs w:val="28"/>
          </w:rPr>
          <w:t>http://www.unwomen.org/en/what-we-do/leadership-and-political-participation/facts-and-figures</w:t>
        </w:r>
      </w:hyperlink>
      <w:r w:rsidRPr="00896E7B">
        <w:rPr>
          <w:rFonts w:ascii="Arial" w:hAnsi="Arial" w:cs="Arial"/>
          <w:szCs w:val="28"/>
        </w:rPr>
        <w:t xml:space="preserve"> [Last Accessed: 19/02/2018]</w:t>
      </w:r>
      <w:r w:rsidR="00351A06">
        <w:rPr>
          <w:rFonts w:ascii="Arial" w:hAnsi="Arial" w:cs="Arial"/>
          <w:szCs w:val="28"/>
        </w:rPr>
        <w:br/>
      </w:r>
    </w:p>
    <w:p w:rsidR="00B6684C" w:rsidRPr="00896E7B" w:rsidRDefault="00351A06" w:rsidP="00351A06">
      <w:pPr>
        <w:pStyle w:val="ListParagraph"/>
        <w:numPr>
          <w:ilvl w:val="0"/>
          <w:numId w:val="2"/>
        </w:numPr>
        <w:spacing w:line="240" w:lineRule="auto"/>
        <w:rPr>
          <w:rFonts w:ascii="Arial" w:hAnsi="Arial" w:cs="Arial"/>
          <w:szCs w:val="28"/>
        </w:rPr>
      </w:pPr>
      <w:r>
        <w:rPr>
          <w:rFonts w:ascii="Arial" w:hAnsi="Arial" w:cs="Arial"/>
          <w:szCs w:val="28"/>
        </w:rPr>
        <w:t xml:space="preserve">Walters Art Museum, 1931, Isis With Horus the Child, </w:t>
      </w:r>
      <w:r>
        <w:rPr>
          <w:rFonts w:ascii="Arial" w:hAnsi="Arial" w:cs="Arial"/>
          <w:i/>
          <w:szCs w:val="28"/>
        </w:rPr>
        <w:t>Egyptian Art</w:t>
      </w:r>
      <w:r>
        <w:rPr>
          <w:rFonts w:ascii="Arial" w:hAnsi="Arial" w:cs="Arial"/>
          <w:szCs w:val="28"/>
        </w:rPr>
        <w:t xml:space="preserve">, 54.416, </w:t>
      </w:r>
      <w:hyperlink r:id="rId66" w:history="1">
        <w:r w:rsidRPr="00DB2CC0">
          <w:rPr>
            <w:rStyle w:val="Hyperlink"/>
            <w:rFonts w:ascii="Arial" w:hAnsi="Arial" w:cs="Arial"/>
            <w:szCs w:val="28"/>
          </w:rPr>
          <w:t>http://art.thewalters.org/detail/27595/isis-with-horus-the-child/</w:t>
        </w:r>
      </w:hyperlink>
      <w:r>
        <w:rPr>
          <w:rFonts w:ascii="Arial" w:hAnsi="Arial" w:cs="Arial"/>
          <w:szCs w:val="28"/>
        </w:rPr>
        <w:t xml:space="preserve"> [Last Accessed: 27/04/2018]</w:t>
      </w:r>
      <w:r w:rsidR="00844FB9" w:rsidRPr="00896E7B">
        <w:rPr>
          <w:rFonts w:ascii="Arial" w:hAnsi="Arial" w:cs="Arial"/>
          <w:szCs w:val="28"/>
        </w:rPr>
        <w:br/>
      </w:r>
    </w:p>
    <w:p w:rsidR="00844FB9" w:rsidRPr="00896E7B" w:rsidRDefault="00844FB9" w:rsidP="00844FB9">
      <w:pPr>
        <w:pStyle w:val="ListParagraph"/>
        <w:numPr>
          <w:ilvl w:val="0"/>
          <w:numId w:val="2"/>
        </w:numPr>
        <w:rPr>
          <w:rFonts w:ascii="Arial" w:hAnsi="Arial" w:cs="Arial"/>
          <w:szCs w:val="22"/>
        </w:rPr>
      </w:pPr>
      <w:r w:rsidRPr="00896E7B">
        <w:rPr>
          <w:rFonts w:ascii="Arial" w:hAnsi="Arial" w:cs="Arial"/>
        </w:rPr>
        <w:t xml:space="preserve">Watterson. B, 1998, </w:t>
      </w:r>
      <w:r w:rsidRPr="00896E7B">
        <w:rPr>
          <w:rFonts w:ascii="Arial" w:hAnsi="Arial" w:cs="Arial"/>
          <w:i/>
        </w:rPr>
        <w:t>Women in Ancient Egypt</w:t>
      </w:r>
      <w:r w:rsidRPr="00896E7B">
        <w:rPr>
          <w:rFonts w:ascii="Arial" w:hAnsi="Arial" w:cs="Arial"/>
        </w:rPr>
        <w:t xml:space="preserve">, Wrens Park Publishing, Gloucestershire </w:t>
      </w:r>
      <w:r w:rsidRPr="00896E7B">
        <w:rPr>
          <w:rFonts w:ascii="Arial" w:hAnsi="Arial" w:cs="Arial"/>
        </w:rPr>
        <w:br/>
      </w:r>
    </w:p>
    <w:p w:rsidR="00844FB9" w:rsidRPr="00896E7B" w:rsidRDefault="00844FB9" w:rsidP="00844FB9">
      <w:pPr>
        <w:pStyle w:val="ListParagraph"/>
        <w:numPr>
          <w:ilvl w:val="0"/>
          <w:numId w:val="2"/>
        </w:numPr>
        <w:spacing w:line="240" w:lineRule="auto"/>
        <w:rPr>
          <w:rFonts w:ascii="Arial" w:hAnsi="Arial" w:cs="Arial"/>
        </w:rPr>
      </w:pPr>
      <w:r w:rsidRPr="00896E7B">
        <w:rPr>
          <w:rFonts w:ascii="Arial" w:hAnsi="Arial" w:cs="Arial"/>
        </w:rPr>
        <w:t xml:space="preserve">Webb. W. J, 2001, </w:t>
      </w:r>
      <w:r w:rsidRPr="00896E7B">
        <w:rPr>
          <w:rFonts w:ascii="Arial" w:hAnsi="Arial" w:cs="Arial"/>
          <w:i/>
        </w:rPr>
        <w:t>Slaves, Women, And Homosexuals: Exploring the Hermeneutics of Cultural Analysis</w:t>
      </w:r>
      <w:r w:rsidRPr="00896E7B">
        <w:rPr>
          <w:rFonts w:ascii="Arial" w:hAnsi="Arial" w:cs="Arial"/>
        </w:rPr>
        <w:t>, Illinois, InterVarsity Press.</w:t>
      </w:r>
      <w:r w:rsidRPr="00896E7B">
        <w:rPr>
          <w:rFonts w:ascii="Arial" w:hAnsi="Arial" w:cs="Arial"/>
        </w:rPr>
        <w:br/>
      </w:r>
    </w:p>
    <w:p w:rsidR="00844FB9" w:rsidRPr="00896E7B" w:rsidRDefault="00844FB9" w:rsidP="00844FB9">
      <w:pPr>
        <w:pStyle w:val="ListParagraph"/>
        <w:numPr>
          <w:ilvl w:val="0"/>
          <w:numId w:val="2"/>
        </w:numPr>
        <w:rPr>
          <w:rFonts w:ascii="Arial" w:hAnsi="Arial" w:cs="Arial"/>
        </w:rPr>
      </w:pPr>
      <w:r w:rsidRPr="00896E7B">
        <w:rPr>
          <w:rFonts w:ascii="Arial" w:hAnsi="Arial" w:cs="Arial"/>
        </w:rPr>
        <w:t xml:space="preserve">Weskott. M, 1983, Women’s Studies as a Strategy for Change: between criticism and Vision, In: Bowles. G, Klein. R.D (Eds) </w:t>
      </w:r>
      <w:r w:rsidRPr="00896E7B">
        <w:rPr>
          <w:rFonts w:ascii="Arial" w:hAnsi="Arial" w:cs="Arial"/>
          <w:i/>
        </w:rPr>
        <w:t xml:space="preserve">Theories of Women’s Studies, </w:t>
      </w:r>
      <w:r w:rsidRPr="00896E7B">
        <w:rPr>
          <w:rFonts w:ascii="Arial" w:hAnsi="Arial" w:cs="Arial"/>
        </w:rPr>
        <w:t xml:space="preserve">New York, Routledge and Kegan </w:t>
      </w:r>
      <w:r w:rsidRPr="00896E7B">
        <w:rPr>
          <w:rFonts w:ascii="Arial" w:hAnsi="Arial" w:cs="Arial"/>
        </w:rPr>
        <w:lastRenderedPageBreak/>
        <w:t>Paul</w:t>
      </w:r>
      <w:r w:rsidRPr="00896E7B">
        <w:rPr>
          <w:rFonts w:ascii="Arial" w:hAnsi="Arial" w:cs="Arial"/>
        </w:rPr>
        <w:br/>
      </w:r>
    </w:p>
    <w:p w:rsidR="006827D3" w:rsidRPr="0075037D" w:rsidRDefault="00896E7B" w:rsidP="0075037D">
      <w:pPr>
        <w:pStyle w:val="ListParagraph"/>
        <w:numPr>
          <w:ilvl w:val="0"/>
          <w:numId w:val="2"/>
        </w:numPr>
        <w:spacing w:line="240" w:lineRule="auto"/>
        <w:rPr>
          <w:rFonts w:ascii="Arial" w:hAnsi="Arial" w:cs="Arial"/>
          <w:szCs w:val="28"/>
        </w:rPr>
      </w:pPr>
      <w:r w:rsidRPr="00896E7B">
        <w:rPr>
          <w:rFonts w:ascii="Arial" w:hAnsi="Arial" w:cs="Arial"/>
          <w:szCs w:val="28"/>
        </w:rPr>
        <w:t xml:space="preserve">Wilkinson. R. H, 2003, </w:t>
      </w:r>
      <w:r w:rsidRPr="00896E7B">
        <w:rPr>
          <w:rFonts w:ascii="Arial" w:hAnsi="Arial" w:cs="Arial"/>
          <w:i/>
          <w:szCs w:val="28"/>
        </w:rPr>
        <w:t>The Complete Gods and Goddesses of Ancient Egypt</w:t>
      </w:r>
      <w:r w:rsidRPr="00896E7B">
        <w:rPr>
          <w:rFonts w:ascii="Arial" w:hAnsi="Arial" w:cs="Arial"/>
          <w:szCs w:val="28"/>
        </w:rPr>
        <w:t>, Thames and Hudson, London</w:t>
      </w:r>
    </w:p>
    <w:sectPr w:rsidR="006827D3" w:rsidRPr="0075037D" w:rsidSect="008979C9">
      <w:footerReference w:type="default" r:id="rId67"/>
      <w:pgSz w:w="11906" w:h="16838"/>
      <w:pgMar w:top="1440" w:right="1701" w:bottom="1440" w:left="2268"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36A1" w:rsidRDefault="00D736A1" w:rsidP="0050177C">
      <w:pPr>
        <w:spacing w:after="0" w:line="240" w:lineRule="auto"/>
      </w:pPr>
      <w:r>
        <w:separator/>
      </w:r>
    </w:p>
  </w:endnote>
  <w:endnote w:type="continuationSeparator" w:id="0">
    <w:p w:rsidR="00D736A1" w:rsidRDefault="00D736A1" w:rsidP="00501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Elephant">
    <w:panose1 w:val="02020904090505020303"/>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2511" w:rsidRDefault="00FB2511">
    <w:pPr>
      <w:pStyle w:val="Footer"/>
    </w:pPr>
    <w:r>
      <w:tab/>
    </w: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2511" w:rsidRPr="000858FF" w:rsidRDefault="00FB2511">
    <w:pPr>
      <w:pStyle w:val="Footer"/>
      <w:rPr>
        <w:rFonts w:ascii="Arial" w:hAnsi="Arial" w:cs="Arial"/>
      </w:rPr>
    </w:pPr>
    <w:r>
      <w:tab/>
    </w:r>
    <w:r>
      <w:tab/>
    </w:r>
    <w:r w:rsidRPr="000858FF">
      <w:rPr>
        <w:rFonts w:ascii="Arial" w:hAnsi="Arial" w:cs="Arial"/>
      </w:rPr>
      <w:t>i</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2511" w:rsidRPr="000858FF" w:rsidRDefault="00FB2511">
    <w:pPr>
      <w:pStyle w:val="Footer"/>
      <w:rPr>
        <w:rFonts w:ascii="Arial" w:hAnsi="Arial" w:cs="Arial"/>
      </w:rPr>
    </w:pPr>
    <w:r>
      <w:tab/>
    </w:r>
    <w:r>
      <w:tab/>
    </w:r>
    <w:proofErr w:type="gramStart"/>
    <w:r w:rsidRPr="000858FF">
      <w:rPr>
        <w:rFonts w:ascii="Arial" w:hAnsi="Arial" w:cs="Arial"/>
      </w:rPr>
      <w:t>ii</w:t>
    </w:r>
    <w:proofErr w:type="gramEnd"/>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2511" w:rsidRPr="000858FF" w:rsidRDefault="00FB2511">
    <w:pPr>
      <w:pStyle w:val="Footer"/>
      <w:rPr>
        <w:rFonts w:ascii="Arial" w:hAnsi="Arial" w:cs="Arial"/>
      </w:rPr>
    </w:pPr>
    <w:r>
      <w:tab/>
    </w:r>
    <w:r>
      <w:tab/>
    </w:r>
    <w:proofErr w:type="gramStart"/>
    <w:r w:rsidRPr="000858FF">
      <w:rPr>
        <w:rFonts w:ascii="Arial" w:hAnsi="Arial" w:cs="Arial"/>
      </w:rPr>
      <w:t>ii</w:t>
    </w:r>
    <w:r>
      <w:rPr>
        <w:rFonts w:ascii="Arial" w:hAnsi="Arial" w:cs="Arial"/>
      </w:rPr>
      <w:t>i</w:t>
    </w:r>
    <w:proofErr w:type="gramEnd"/>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2511" w:rsidRPr="00F45F86" w:rsidRDefault="00FB2511">
    <w:pPr>
      <w:pStyle w:val="Footer"/>
      <w:rPr>
        <w:rFonts w:ascii="Arial" w:hAnsi="Arial" w:cs="Arial"/>
      </w:rPr>
    </w:pPr>
    <w:r>
      <w:tab/>
    </w:r>
    <w:r>
      <w:tab/>
    </w:r>
    <w:proofErr w:type="gramStart"/>
    <w:r w:rsidRPr="00F45F86">
      <w:rPr>
        <w:rFonts w:ascii="Arial" w:hAnsi="Arial" w:cs="Arial"/>
      </w:rPr>
      <w:t>iv</w:t>
    </w:r>
    <w:proofErr w:type="gramEnd"/>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2511" w:rsidRPr="00930CC5" w:rsidRDefault="00FB2511">
    <w:pPr>
      <w:pStyle w:val="Footer"/>
      <w:rPr>
        <w:rFonts w:ascii="Arial" w:hAnsi="Arial" w:cs="Arial"/>
      </w:rPr>
    </w:pPr>
    <w:r>
      <w:tab/>
    </w:r>
    <w:r>
      <w:tab/>
    </w:r>
    <w:proofErr w:type="gramStart"/>
    <w:r>
      <w:rPr>
        <w:rFonts w:ascii="Arial" w:hAnsi="Arial" w:cs="Arial"/>
      </w:rPr>
      <w:t>v</w:t>
    </w:r>
    <w:proofErr w:type="gramEnd"/>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6340144"/>
      <w:docPartObj>
        <w:docPartGallery w:val="Page Numbers (Bottom of Page)"/>
        <w:docPartUnique/>
      </w:docPartObj>
    </w:sdtPr>
    <w:sdtEndPr>
      <w:rPr>
        <w:rFonts w:ascii="Arial" w:hAnsi="Arial" w:cs="Arial"/>
        <w:noProof/>
      </w:rPr>
    </w:sdtEndPr>
    <w:sdtContent>
      <w:p w:rsidR="00FB2511" w:rsidRPr="00930CC5" w:rsidRDefault="00FB2511">
        <w:pPr>
          <w:pStyle w:val="Footer"/>
          <w:jc w:val="right"/>
          <w:rPr>
            <w:rFonts w:ascii="Arial" w:hAnsi="Arial" w:cs="Arial"/>
          </w:rPr>
        </w:pPr>
        <w:r w:rsidRPr="00930CC5">
          <w:rPr>
            <w:rFonts w:ascii="Arial" w:hAnsi="Arial" w:cs="Arial"/>
          </w:rPr>
          <w:fldChar w:fldCharType="begin"/>
        </w:r>
        <w:r w:rsidRPr="00930CC5">
          <w:rPr>
            <w:rFonts w:ascii="Arial" w:hAnsi="Arial" w:cs="Arial"/>
          </w:rPr>
          <w:instrText xml:space="preserve"> PAGE   \* MERGEFORMAT </w:instrText>
        </w:r>
        <w:r w:rsidRPr="00930CC5">
          <w:rPr>
            <w:rFonts w:ascii="Arial" w:hAnsi="Arial" w:cs="Arial"/>
          </w:rPr>
          <w:fldChar w:fldCharType="separate"/>
        </w:r>
        <w:r w:rsidR="00FC04B3">
          <w:rPr>
            <w:rFonts w:ascii="Arial" w:hAnsi="Arial" w:cs="Arial"/>
            <w:noProof/>
          </w:rPr>
          <w:t>12</w:t>
        </w:r>
        <w:r w:rsidRPr="00930CC5">
          <w:rPr>
            <w:rFonts w:ascii="Arial" w:hAnsi="Arial" w:cs="Arial"/>
            <w:noProof/>
          </w:rPr>
          <w:fldChar w:fldCharType="end"/>
        </w:r>
      </w:p>
    </w:sdtContent>
  </w:sdt>
  <w:p w:rsidR="00FB2511" w:rsidRPr="00896E7B" w:rsidRDefault="00FB2511">
    <w:pPr>
      <w:pStyle w:val="Footer"/>
      <w:rPr>
        <w:rFonts w:ascii="Arial" w:hAnsi="Arial" w:cs="Arial"/>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36A1" w:rsidRDefault="00D736A1" w:rsidP="0050177C">
      <w:pPr>
        <w:spacing w:after="0" w:line="240" w:lineRule="auto"/>
      </w:pPr>
      <w:r>
        <w:separator/>
      </w:r>
    </w:p>
  </w:footnote>
  <w:footnote w:type="continuationSeparator" w:id="0">
    <w:p w:rsidR="00D736A1" w:rsidRDefault="00D736A1" w:rsidP="0050177C">
      <w:pPr>
        <w:spacing w:after="0" w:line="240" w:lineRule="auto"/>
      </w:pPr>
      <w:r>
        <w:continuationSeparator/>
      </w:r>
    </w:p>
  </w:footnote>
  <w:footnote w:id="1">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Tydesley, 2006, 13</w:t>
      </w:r>
    </w:p>
  </w:footnote>
  <w:footnote w:id="2">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Tydesley, 2006, 11</w:t>
      </w:r>
    </w:p>
  </w:footnote>
  <w:footnote w:id="3">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Tydesley, 1994, 15</w:t>
      </w:r>
    </w:p>
  </w:footnote>
  <w:footnote w:id="4">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57</w:t>
      </w:r>
    </w:p>
  </w:footnote>
  <w:footnote w:id="5">
    <w:p w:rsidR="00FB2511" w:rsidRDefault="00FB2511">
      <w:pPr>
        <w:pStyle w:val="FootnoteText"/>
      </w:pPr>
      <w:r w:rsidRPr="006412E8">
        <w:rPr>
          <w:rStyle w:val="FootnoteReference"/>
          <w:rFonts w:ascii="Arial" w:hAnsi="Arial" w:cs="Arial"/>
        </w:rPr>
        <w:footnoteRef/>
      </w:r>
      <w:r w:rsidRPr="006412E8">
        <w:rPr>
          <w:rFonts w:ascii="Arial" w:hAnsi="Arial" w:cs="Arial"/>
        </w:rPr>
        <w:t xml:space="preserve"> Tydesley, 1994, 15</w:t>
      </w:r>
    </w:p>
  </w:footnote>
  <w:footnote w:id="6">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47</w:t>
      </w:r>
    </w:p>
  </w:footnote>
  <w:footnote w:id="7">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Johnson, 1997, 179</w:t>
      </w:r>
    </w:p>
  </w:footnote>
  <w:footnote w:id="8">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53</w:t>
      </w:r>
    </w:p>
  </w:footnote>
  <w:footnote w:id="9">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Roehrig, 1997, 16</w:t>
      </w:r>
    </w:p>
  </w:footnote>
  <w:footnote w:id="10">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68</w:t>
      </w:r>
    </w:p>
  </w:footnote>
  <w:footnote w:id="11">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Roehrig, 1997, 16</w:t>
      </w:r>
    </w:p>
  </w:footnote>
  <w:footnote w:id="12">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Tyldesley, 2006, 9</w:t>
      </w:r>
    </w:p>
  </w:footnote>
  <w:footnote w:id="13">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Johnson, 1997, 179</w:t>
      </w:r>
    </w:p>
  </w:footnote>
  <w:footnote w:id="14">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Tydesley, 2006, 12</w:t>
      </w:r>
    </w:p>
  </w:footnote>
  <w:footnote w:id="15">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Johnson, 1997, 179</w:t>
      </w:r>
    </w:p>
  </w:footnote>
  <w:footnote w:id="16">
    <w:p w:rsidR="00FB2511" w:rsidRPr="006412E8" w:rsidRDefault="00FB2511" w:rsidP="00715C26">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4</w:t>
      </w:r>
    </w:p>
  </w:footnote>
  <w:footnote w:id="17">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43</w:t>
      </w:r>
    </w:p>
  </w:footnote>
  <w:footnote w:id="18">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41</w:t>
      </w:r>
    </w:p>
  </w:footnote>
  <w:footnote w:id="19">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Johnson, 1997, 183</w:t>
      </w:r>
    </w:p>
  </w:footnote>
  <w:footnote w:id="20">
    <w:p w:rsidR="00FB2511" w:rsidRPr="0086308D" w:rsidRDefault="00FB2511">
      <w:pPr>
        <w:pStyle w:val="FootnoteText"/>
        <w:rPr>
          <w:b/>
        </w:rPr>
      </w:pPr>
      <w:r w:rsidRPr="006412E8">
        <w:rPr>
          <w:rStyle w:val="FootnoteReference"/>
          <w:rFonts w:ascii="Arial" w:hAnsi="Arial" w:cs="Arial"/>
        </w:rPr>
        <w:footnoteRef/>
      </w:r>
      <w:r w:rsidRPr="006412E8">
        <w:rPr>
          <w:rFonts w:ascii="Arial" w:hAnsi="Arial" w:cs="Arial"/>
        </w:rPr>
        <w:t xml:space="preserve"> Johnson, 1997, 183</w:t>
      </w:r>
    </w:p>
  </w:footnote>
  <w:footnote w:id="21">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Johnson, 1997, 175</w:t>
      </w:r>
    </w:p>
  </w:footnote>
  <w:footnote w:id="22">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Rights of Women, 2014</w:t>
      </w:r>
    </w:p>
  </w:footnote>
  <w:footnote w:id="23">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Rights of Women, 2014</w:t>
      </w:r>
    </w:p>
  </w:footnote>
  <w:footnote w:id="24">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Martin, Santos, 2015</w:t>
      </w:r>
    </w:p>
  </w:footnote>
  <w:footnote w:id="25">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Martin, Santos, 2015</w:t>
      </w:r>
    </w:p>
  </w:footnote>
  <w:footnote w:id="26">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27</w:t>
      </w:r>
    </w:p>
  </w:footnote>
  <w:footnote w:id="27">
    <w:p w:rsidR="00FB2511" w:rsidRPr="006412E8" w:rsidRDefault="00FB2511">
      <w:pPr>
        <w:pStyle w:val="FootnoteText"/>
      </w:pPr>
      <w:r w:rsidRPr="006412E8">
        <w:rPr>
          <w:rStyle w:val="FootnoteReference"/>
          <w:rFonts w:ascii="Arial" w:hAnsi="Arial" w:cs="Arial"/>
        </w:rPr>
        <w:footnoteRef/>
      </w:r>
      <w:r w:rsidRPr="006412E8">
        <w:rPr>
          <w:rFonts w:ascii="Arial" w:hAnsi="Arial" w:cs="Arial"/>
        </w:rPr>
        <w:t xml:space="preserve"> Graves-Brown, 2010, 55</w:t>
      </w:r>
    </w:p>
  </w:footnote>
  <w:footnote w:id="28">
    <w:p w:rsidR="00FB2511" w:rsidRPr="0086308D" w:rsidRDefault="00FB2511">
      <w:pPr>
        <w:pStyle w:val="FootnoteText"/>
        <w:rPr>
          <w:rFonts w:ascii="Arial" w:hAnsi="Arial" w:cs="Arial"/>
          <w:b/>
        </w:rPr>
      </w:pPr>
      <w:r w:rsidRPr="006412E8">
        <w:rPr>
          <w:rStyle w:val="FootnoteReference"/>
          <w:rFonts w:ascii="Arial" w:hAnsi="Arial" w:cs="Arial"/>
        </w:rPr>
        <w:footnoteRef/>
      </w:r>
      <w:r w:rsidRPr="006412E8">
        <w:rPr>
          <w:rFonts w:ascii="Arial" w:hAnsi="Arial" w:cs="Arial"/>
        </w:rPr>
        <w:t xml:space="preserve"> </w:t>
      </w:r>
      <w:r>
        <w:rPr>
          <w:rFonts w:ascii="Arial" w:hAnsi="Arial" w:cs="Arial"/>
        </w:rPr>
        <w:t xml:space="preserve">(a) </w:t>
      </w:r>
      <w:r w:rsidRPr="006412E8">
        <w:rPr>
          <w:rFonts w:ascii="Arial" w:hAnsi="Arial" w:cs="Arial"/>
        </w:rPr>
        <w:t>Bryan, 1997, 59</w:t>
      </w:r>
    </w:p>
  </w:footnote>
  <w:footnote w:id="29">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w:t>
      </w:r>
      <w:r>
        <w:rPr>
          <w:rFonts w:ascii="Arial" w:hAnsi="Arial" w:cs="Arial"/>
        </w:rPr>
        <w:t xml:space="preserve">(a) </w:t>
      </w:r>
      <w:r w:rsidRPr="006412E8">
        <w:rPr>
          <w:rFonts w:ascii="Arial" w:hAnsi="Arial" w:cs="Arial"/>
        </w:rPr>
        <w:t>Bryan, 1997, 59</w:t>
      </w:r>
    </w:p>
  </w:footnote>
  <w:footnote w:id="30">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Leviticus, 12: 1-8</w:t>
      </w:r>
    </w:p>
  </w:footnote>
  <w:footnote w:id="31">
    <w:p w:rsidR="00FB2511" w:rsidRPr="006412E8" w:rsidRDefault="00FB2511">
      <w:pPr>
        <w:pStyle w:val="FootnoteText"/>
        <w:rPr>
          <w:b/>
        </w:rPr>
      </w:pPr>
      <w:r w:rsidRPr="006412E8">
        <w:rPr>
          <w:rStyle w:val="FootnoteReference"/>
          <w:rFonts w:ascii="Arial" w:hAnsi="Arial" w:cs="Arial"/>
        </w:rPr>
        <w:footnoteRef/>
      </w:r>
      <w:r w:rsidRPr="006412E8">
        <w:rPr>
          <w:rFonts w:ascii="Arial" w:hAnsi="Arial" w:cs="Arial"/>
        </w:rPr>
        <w:t xml:space="preserve"> Weskott, 1983, 212</w:t>
      </w:r>
    </w:p>
  </w:footnote>
  <w:footnote w:id="32">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BM EA65943</w:t>
      </w:r>
    </w:p>
  </w:footnote>
  <w:footnote w:id="33">
    <w:p w:rsidR="00FB2511" w:rsidRPr="006412E8" w:rsidRDefault="00FB2511" w:rsidP="00684D7B">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40</w:t>
      </w:r>
    </w:p>
  </w:footnote>
  <w:footnote w:id="34">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BM 10416</w:t>
      </w:r>
    </w:p>
  </w:footnote>
  <w:footnote w:id="35">
    <w:p w:rsidR="00FB2511" w:rsidRPr="0086308D" w:rsidRDefault="00FB2511">
      <w:pPr>
        <w:pStyle w:val="FootnoteText"/>
        <w:rPr>
          <w:b/>
        </w:rPr>
      </w:pPr>
      <w:r w:rsidRPr="006412E8">
        <w:rPr>
          <w:rStyle w:val="FootnoteReference"/>
          <w:rFonts w:ascii="Arial" w:hAnsi="Arial" w:cs="Arial"/>
        </w:rPr>
        <w:footnoteRef/>
      </w:r>
      <w:r w:rsidRPr="006412E8">
        <w:rPr>
          <w:rFonts w:ascii="Arial" w:hAnsi="Arial" w:cs="Arial"/>
        </w:rPr>
        <w:t xml:space="preserve"> Graves-Brown, 2010, 42</w:t>
      </w:r>
    </w:p>
  </w:footnote>
  <w:footnote w:id="36">
    <w:p w:rsidR="00FB2511" w:rsidRPr="006412E8" w:rsidRDefault="00FB2511">
      <w:pPr>
        <w:pStyle w:val="FootnoteText"/>
      </w:pPr>
      <w:r w:rsidRPr="006412E8">
        <w:rPr>
          <w:rStyle w:val="FootnoteReference"/>
          <w:rFonts w:ascii="Arial" w:hAnsi="Arial" w:cs="Arial"/>
        </w:rPr>
        <w:footnoteRef/>
      </w:r>
      <w:r w:rsidRPr="006412E8">
        <w:rPr>
          <w:rFonts w:ascii="Arial" w:hAnsi="Arial" w:cs="Arial"/>
        </w:rPr>
        <w:t xml:space="preserve"> Graves-Brown, 2010, 40</w:t>
      </w:r>
    </w:p>
  </w:footnote>
  <w:footnote w:id="37">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Filer, 2013</w:t>
      </w:r>
    </w:p>
  </w:footnote>
  <w:footnote w:id="38">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Filer, 2013</w:t>
      </w:r>
    </w:p>
  </w:footnote>
  <w:footnote w:id="39">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Graves-Brown, 2010, 33</w:t>
      </w:r>
    </w:p>
  </w:footnote>
  <w:footnote w:id="40">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Orloff, Feldman, 2017</w:t>
      </w:r>
    </w:p>
  </w:footnote>
  <w:footnote w:id="41">
    <w:p w:rsidR="00FB2511" w:rsidRPr="006412E8" w:rsidRDefault="00FB2511">
      <w:pPr>
        <w:pStyle w:val="FootnoteText"/>
        <w:rPr>
          <w:rFonts w:ascii="Arial" w:hAnsi="Arial" w:cs="Arial"/>
        </w:rPr>
      </w:pPr>
      <w:r w:rsidRPr="006412E8">
        <w:rPr>
          <w:rStyle w:val="FootnoteReference"/>
          <w:rFonts w:ascii="Arial" w:hAnsi="Arial" w:cs="Arial"/>
        </w:rPr>
        <w:footnoteRef/>
      </w:r>
      <w:r w:rsidRPr="006412E8">
        <w:rPr>
          <w:rFonts w:ascii="Arial" w:hAnsi="Arial" w:cs="Arial"/>
        </w:rPr>
        <w:t xml:space="preserve"> Orloff, Feldman, 2017</w:t>
      </w:r>
    </w:p>
  </w:footnote>
  <w:footnote w:id="42">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Amnesty International, 2005, 4</w:t>
      </w:r>
    </w:p>
  </w:footnote>
  <w:footnote w:id="43">
    <w:p w:rsidR="00FB2511" w:rsidRPr="006E0159" w:rsidRDefault="00FB2511">
      <w:pPr>
        <w:pStyle w:val="FootnoteText"/>
        <w:rPr>
          <w:rFonts w:ascii="Arial" w:hAnsi="Arial" w:cs="Arial"/>
          <w:b/>
        </w:rPr>
      </w:pPr>
      <w:r w:rsidRPr="006E0159">
        <w:rPr>
          <w:rStyle w:val="FootnoteReference"/>
          <w:rFonts w:ascii="Arial" w:hAnsi="Arial" w:cs="Arial"/>
        </w:rPr>
        <w:footnoteRef/>
      </w:r>
      <w:r w:rsidRPr="006E0159">
        <w:rPr>
          <w:rFonts w:ascii="Arial" w:hAnsi="Arial" w:cs="Arial"/>
        </w:rPr>
        <w:t xml:space="preserve"> Amnesty International, 2005, 6</w:t>
      </w:r>
    </w:p>
  </w:footnote>
  <w:footnote w:id="44">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Amnesty International, 2005, 7</w:t>
      </w:r>
    </w:p>
  </w:footnote>
  <w:footnote w:id="45">
    <w:p w:rsidR="00FB2511" w:rsidRDefault="00FB2511">
      <w:pPr>
        <w:pStyle w:val="FootnoteText"/>
      </w:pPr>
      <w:r w:rsidRPr="006E0159">
        <w:rPr>
          <w:rStyle w:val="FootnoteReference"/>
          <w:rFonts w:ascii="Arial" w:hAnsi="Arial" w:cs="Arial"/>
        </w:rPr>
        <w:footnoteRef/>
      </w:r>
      <w:r w:rsidRPr="006E0159">
        <w:rPr>
          <w:rFonts w:ascii="Arial" w:hAnsi="Arial" w:cs="Arial"/>
        </w:rPr>
        <w:t xml:space="preserve"> Graves-Brown. 2010, 129</w:t>
      </w:r>
    </w:p>
  </w:footnote>
  <w:footnote w:id="46">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Graves-Brown, 2010, 105</w:t>
      </w:r>
    </w:p>
  </w:footnote>
  <w:footnote w:id="47">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Graves-Brown, 2010, 129</w:t>
      </w:r>
    </w:p>
  </w:footnote>
  <w:footnote w:id="48">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Graves-Brown, 2010, 123</w:t>
      </w:r>
    </w:p>
  </w:footnote>
  <w:footnote w:id="49">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Davis, 2009</w:t>
      </w:r>
    </w:p>
  </w:footnote>
  <w:footnote w:id="50">
    <w:p w:rsidR="00FB2511" w:rsidRDefault="00FB2511">
      <w:pPr>
        <w:pStyle w:val="FootnoteText"/>
      </w:pPr>
      <w:r w:rsidRPr="006E0159">
        <w:rPr>
          <w:rStyle w:val="FootnoteReference"/>
          <w:rFonts w:ascii="Arial" w:hAnsi="Arial" w:cs="Arial"/>
        </w:rPr>
        <w:footnoteRef/>
      </w:r>
      <w:r w:rsidRPr="006E0159">
        <w:rPr>
          <w:rFonts w:ascii="Arial" w:hAnsi="Arial" w:cs="Arial"/>
        </w:rPr>
        <w:t xml:space="preserve"> Davis, 2009</w:t>
      </w:r>
    </w:p>
  </w:footnote>
  <w:footnote w:id="51">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Davis, 2009</w:t>
      </w:r>
    </w:p>
  </w:footnote>
  <w:footnote w:id="52">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Davis, 2009</w:t>
      </w:r>
    </w:p>
  </w:footnote>
  <w:footnote w:id="53">
    <w:p w:rsidR="00FB2511" w:rsidRPr="006E0159" w:rsidRDefault="00FB2511">
      <w:pPr>
        <w:pStyle w:val="FootnoteText"/>
        <w:rPr>
          <w:rFonts w:ascii="Arial" w:hAnsi="Arial" w:cs="Arial"/>
        </w:rPr>
      </w:pPr>
      <w:r w:rsidRPr="006E0159">
        <w:rPr>
          <w:rStyle w:val="FootnoteReference"/>
          <w:rFonts w:ascii="Arial" w:hAnsi="Arial" w:cs="Arial"/>
        </w:rPr>
        <w:footnoteRef/>
      </w:r>
      <w:r w:rsidRPr="006E0159">
        <w:rPr>
          <w:rFonts w:ascii="Arial" w:hAnsi="Arial" w:cs="Arial"/>
        </w:rPr>
        <w:t xml:space="preserve"> Graves-Brown, 2010, 145</w:t>
      </w:r>
    </w:p>
  </w:footnote>
  <w:footnote w:id="5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220</w:t>
      </w:r>
    </w:p>
  </w:footnote>
  <w:footnote w:id="5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219</w:t>
      </w:r>
    </w:p>
  </w:footnote>
  <w:footnote w:id="5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75</w:t>
      </w:r>
    </w:p>
  </w:footnote>
  <w:footnote w:id="5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218</w:t>
      </w:r>
    </w:p>
  </w:footnote>
  <w:footnote w:id="5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220</w:t>
      </w:r>
    </w:p>
  </w:footnote>
  <w:footnote w:id="5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219</w:t>
      </w:r>
    </w:p>
  </w:footnote>
  <w:footnote w:id="6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75</w:t>
      </w:r>
    </w:p>
  </w:footnote>
  <w:footnote w:id="6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129</w:t>
      </w:r>
    </w:p>
  </w:footnote>
  <w:footnote w:id="62">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Tyldesley, 2010, 75</w:t>
      </w:r>
    </w:p>
  </w:footnote>
  <w:footnote w:id="6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237</w:t>
      </w:r>
    </w:p>
  </w:footnote>
  <w:footnote w:id="6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163</w:t>
      </w:r>
    </w:p>
  </w:footnote>
  <w:footnote w:id="6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84</w:t>
      </w:r>
    </w:p>
  </w:footnote>
  <w:footnote w:id="6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85</w:t>
      </w:r>
    </w:p>
  </w:footnote>
  <w:footnote w:id="6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96</w:t>
      </w:r>
    </w:p>
  </w:footnote>
  <w:footnote w:id="6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102</w:t>
      </w:r>
    </w:p>
  </w:footnote>
  <w:footnote w:id="6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103</w:t>
      </w:r>
    </w:p>
  </w:footnote>
  <w:footnote w:id="7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166</w:t>
      </w:r>
    </w:p>
  </w:footnote>
  <w:footnote w:id="71">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Tyldesley, 1994, 238</w:t>
      </w:r>
    </w:p>
  </w:footnote>
  <w:footnote w:id="7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94</w:t>
      </w:r>
    </w:p>
  </w:footnote>
  <w:footnote w:id="7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93</w:t>
      </w:r>
    </w:p>
  </w:footnote>
  <w:footnote w:id="7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McCarthy, 2008, 93</w:t>
      </w:r>
    </w:p>
  </w:footnote>
  <w:footnote w:id="7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147</w:t>
      </w:r>
    </w:p>
  </w:footnote>
  <w:footnote w:id="7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87</w:t>
      </w:r>
    </w:p>
  </w:footnote>
  <w:footnote w:id="7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Robins, 1993, 45</w:t>
      </w:r>
    </w:p>
  </w:footnote>
  <w:footnote w:id="78">
    <w:p w:rsidR="00FB2511" w:rsidRPr="006E0159"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Robins, 1993, 46</w:t>
      </w:r>
    </w:p>
  </w:footnote>
  <w:footnote w:id="7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Robins, 1993, 46</w:t>
      </w:r>
    </w:p>
  </w:footnote>
  <w:footnote w:id="8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96</w:t>
      </w:r>
    </w:p>
  </w:footnote>
  <w:footnote w:id="8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148</w:t>
      </w:r>
    </w:p>
  </w:footnote>
  <w:footnote w:id="8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148</w:t>
      </w:r>
    </w:p>
  </w:footnote>
  <w:footnote w:id="83">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Graves-Brown, 2010, 157</w:t>
      </w:r>
    </w:p>
  </w:footnote>
  <w:footnote w:id="8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223</w:t>
      </w:r>
    </w:p>
  </w:footnote>
  <w:footnote w:id="8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1994, 225</w:t>
      </w:r>
    </w:p>
  </w:footnote>
  <w:footnote w:id="8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Tydesley, 1994,  225</w:t>
      </w:r>
    </w:p>
  </w:footnote>
  <w:footnote w:id="8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Webb, 2001, 135</w:t>
      </w:r>
    </w:p>
  </w:footnote>
  <w:footnote w:id="8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Webb, 2001, 139</w:t>
      </w:r>
    </w:p>
  </w:footnote>
  <w:footnote w:id="8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2012, 1592</w:t>
      </w:r>
    </w:p>
  </w:footnote>
  <w:footnote w:id="9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2012, 1604</w:t>
      </w:r>
    </w:p>
  </w:footnote>
  <w:footnote w:id="91">
    <w:p w:rsidR="00FB2511" w:rsidRPr="006E0159"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2012, 1593</w:t>
      </w:r>
    </w:p>
  </w:footnote>
  <w:footnote w:id="9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2012, 1592</w:t>
      </w:r>
    </w:p>
  </w:footnote>
  <w:footnote w:id="9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2012, 1599</w:t>
      </w:r>
    </w:p>
  </w:footnote>
  <w:footnote w:id="9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U.N Women, 2017</w:t>
      </w:r>
    </w:p>
  </w:footnote>
  <w:footnote w:id="9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U.N Women, 2017</w:t>
      </w:r>
    </w:p>
  </w:footnote>
  <w:footnote w:id="96">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U.N Women, 2017</w:t>
      </w:r>
    </w:p>
  </w:footnote>
  <w:footnote w:id="9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175</w:t>
      </w:r>
    </w:p>
  </w:footnote>
  <w:footnote w:id="98">
    <w:p w:rsidR="00FB2511" w:rsidRPr="0060161F" w:rsidRDefault="00FB2511">
      <w:pPr>
        <w:pStyle w:val="FootnoteText"/>
        <w:rPr>
          <w:rFonts w:ascii="Arial" w:hAnsi="Arial" w:cs="Arial"/>
        </w:rPr>
      </w:pPr>
      <w:r w:rsidRPr="0060161F">
        <w:rPr>
          <w:rStyle w:val="FootnoteReference"/>
          <w:rFonts w:ascii="Arial" w:hAnsi="Arial" w:cs="Arial"/>
        </w:rPr>
        <w:footnoteRef/>
      </w:r>
      <w:r>
        <w:rPr>
          <w:rFonts w:ascii="Arial" w:hAnsi="Arial" w:cs="Arial"/>
        </w:rPr>
        <w:t>(A)</w:t>
      </w:r>
      <w:r w:rsidRPr="0060161F">
        <w:rPr>
          <w:rFonts w:ascii="Arial" w:hAnsi="Arial" w:cs="Arial"/>
        </w:rPr>
        <w:t xml:space="preserve"> Bryan, 1997, 51</w:t>
      </w:r>
    </w:p>
  </w:footnote>
  <w:footnote w:id="9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12</w:t>
      </w:r>
    </w:p>
  </w:footnote>
  <w:footnote w:id="10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15</w:t>
      </w:r>
    </w:p>
  </w:footnote>
  <w:footnote w:id="10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15</w:t>
      </w:r>
    </w:p>
  </w:footnote>
  <w:footnote w:id="10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BM EA10274</w:t>
      </w:r>
    </w:p>
  </w:footnote>
  <w:footnote w:id="10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t>
      </w:r>
      <w:r>
        <w:rPr>
          <w:rFonts w:ascii="Arial" w:hAnsi="Arial" w:cs="Arial"/>
        </w:rPr>
        <w:t xml:space="preserve">(A) </w:t>
      </w:r>
      <w:r w:rsidRPr="0060161F">
        <w:rPr>
          <w:rFonts w:ascii="Arial" w:hAnsi="Arial" w:cs="Arial"/>
        </w:rPr>
        <w:t>Bryan, 1997, 51</w:t>
      </w:r>
    </w:p>
  </w:footnote>
  <w:footnote w:id="104">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Graves-Brown, 2010, 66</w:t>
      </w:r>
    </w:p>
  </w:footnote>
  <w:footnote w:id="10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10</w:t>
      </w:r>
    </w:p>
  </w:footnote>
  <w:footnote w:id="10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37</w:t>
      </w:r>
    </w:p>
  </w:footnote>
  <w:footnote w:id="10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176</w:t>
      </w:r>
    </w:p>
  </w:footnote>
  <w:footnote w:id="108">
    <w:p w:rsidR="00FB2511" w:rsidRPr="0060161F" w:rsidRDefault="00FB2511" w:rsidP="00DE22F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5</w:t>
      </w:r>
    </w:p>
  </w:footnote>
  <w:footnote w:id="10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29</w:t>
      </w:r>
    </w:p>
  </w:footnote>
  <w:footnote w:id="11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w:t>
      </w:r>
    </w:p>
  </w:footnote>
  <w:footnote w:id="11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Watterson, 1998, 2</w:t>
      </w:r>
    </w:p>
  </w:footnote>
  <w:footnote w:id="11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29</w:t>
      </w:r>
    </w:p>
  </w:footnote>
  <w:footnote w:id="11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28</w:t>
      </w:r>
    </w:p>
  </w:footnote>
  <w:footnote w:id="11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29</w:t>
      </w:r>
    </w:p>
  </w:footnote>
  <w:footnote w:id="11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29</w:t>
      </w:r>
    </w:p>
  </w:footnote>
  <w:footnote w:id="11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Charles Edwin Wilbour Fund, 34.5596.4</w:t>
      </w:r>
    </w:p>
  </w:footnote>
  <w:footnote w:id="117">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Graves-Brown, 2010, 41</w:t>
      </w:r>
    </w:p>
  </w:footnote>
  <w:footnote w:id="11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176</w:t>
      </w:r>
    </w:p>
  </w:footnote>
  <w:footnote w:id="11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Tydesley, 1994, 15</w:t>
      </w:r>
    </w:p>
  </w:footnote>
  <w:footnote w:id="12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Robins, 1993, 13</w:t>
      </w:r>
    </w:p>
  </w:footnote>
  <w:footnote w:id="12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Robins, 1993, 19</w:t>
      </w:r>
    </w:p>
  </w:footnote>
  <w:footnote w:id="12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t>
      </w:r>
      <w:r>
        <w:rPr>
          <w:rFonts w:ascii="Arial" w:hAnsi="Arial" w:cs="Arial"/>
        </w:rPr>
        <w:t xml:space="preserve">(A) </w:t>
      </w:r>
      <w:r w:rsidRPr="0060161F">
        <w:rPr>
          <w:rFonts w:ascii="Arial" w:hAnsi="Arial" w:cs="Arial"/>
        </w:rPr>
        <w:t>Bryan, 1997, 142</w:t>
      </w:r>
    </w:p>
  </w:footnote>
  <w:footnote w:id="12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t>
      </w:r>
      <w:r>
        <w:rPr>
          <w:rFonts w:ascii="Arial" w:hAnsi="Arial" w:cs="Arial"/>
        </w:rPr>
        <w:t xml:space="preserve">(B) </w:t>
      </w:r>
      <w:r w:rsidRPr="0060161F">
        <w:rPr>
          <w:rFonts w:ascii="Arial" w:hAnsi="Arial" w:cs="Arial"/>
        </w:rPr>
        <w:t>Bryan, 1997, 39</w:t>
      </w:r>
    </w:p>
  </w:footnote>
  <w:footnote w:id="12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t>
      </w:r>
      <w:r>
        <w:rPr>
          <w:rFonts w:ascii="Arial" w:hAnsi="Arial" w:cs="Arial"/>
        </w:rPr>
        <w:t xml:space="preserve">(B) </w:t>
      </w:r>
      <w:r w:rsidRPr="0060161F">
        <w:rPr>
          <w:rFonts w:ascii="Arial" w:hAnsi="Arial" w:cs="Arial"/>
        </w:rPr>
        <w:t>Bryan, 1997, 40</w:t>
      </w:r>
    </w:p>
  </w:footnote>
  <w:footnote w:id="125">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Roehrig, 1997, 13</w:t>
      </w:r>
    </w:p>
  </w:footnote>
  <w:footnote w:id="12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13</w:t>
      </w:r>
    </w:p>
  </w:footnote>
  <w:footnote w:id="12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13</w:t>
      </w:r>
    </w:p>
  </w:footnote>
  <w:footnote w:id="12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5</w:t>
      </w:r>
    </w:p>
  </w:footnote>
  <w:footnote w:id="12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25</w:t>
      </w:r>
    </w:p>
  </w:footnote>
  <w:footnote w:id="13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41</w:t>
      </w:r>
    </w:p>
  </w:footnote>
  <w:footnote w:id="13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176</w:t>
      </w:r>
    </w:p>
  </w:footnote>
  <w:footnote w:id="13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16</w:t>
      </w:r>
    </w:p>
  </w:footnote>
  <w:footnote w:id="13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 22</w:t>
      </w:r>
    </w:p>
  </w:footnote>
  <w:footnote w:id="13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86</w:t>
      </w:r>
    </w:p>
  </w:footnote>
  <w:footnote w:id="13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9</w:t>
      </w:r>
    </w:p>
  </w:footnote>
  <w:footnote w:id="13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25</w:t>
      </w:r>
    </w:p>
  </w:footnote>
  <w:footnote w:id="13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86</w:t>
      </w:r>
    </w:p>
  </w:footnote>
  <w:footnote w:id="13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25</w:t>
      </w:r>
    </w:p>
  </w:footnote>
  <w:footnote w:id="139">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Graves-Brown, 2010, 27</w:t>
      </w:r>
    </w:p>
  </w:footnote>
  <w:footnote w:id="14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73</w:t>
      </w:r>
    </w:p>
  </w:footnote>
  <w:footnote w:id="14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82</w:t>
      </w:r>
    </w:p>
  </w:footnote>
  <w:footnote w:id="14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82</w:t>
      </w:r>
    </w:p>
  </w:footnote>
  <w:footnote w:id="14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t>
      </w:r>
      <w:r>
        <w:rPr>
          <w:rFonts w:ascii="Arial" w:hAnsi="Arial" w:cs="Arial"/>
        </w:rPr>
        <w:t xml:space="preserve">(A) </w:t>
      </w:r>
      <w:r w:rsidRPr="0060161F">
        <w:rPr>
          <w:rFonts w:ascii="Arial" w:hAnsi="Arial" w:cs="Arial"/>
        </w:rPr>
        <w:t>Bryan, 1997, 59</w:t>
      </w:r>
    </w:p>
  </w:footnote>
  <w:footnote w:id="14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45</w:t>
      </w:r>
    </w:p>
  </w:footnote>
  <w:footnote w:id="145">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Taylor, 2011</w:t>
      </w:r>
    </w:p>
  </w:footnote>
  <w:footnote w:id="14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Taylor, 2011</w:t>
      </w:r>
    </w:p>
  </w:footnote>
  <w:footnote w:id="14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2010, 1597</w:t>
      </w:r>
    </w:p>
  </w:footnote>
  <w:footnote w:id="14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Evans, 2018</w:t>
      </w:r>
    </w:p>
  </w:footnote>
  <w:footnote w:id="14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Evans, 2018</w:t>
      </w:r>
    </w:p>
  </w:footnote>
  <w:footnote w:id="150">
    <w:p w:rsidR="00FB2511" w:rsidRDefault="00FB2511">
      <w:pPr>
        <w:pStyle w:val="FootnoteText"/>
      </w:pPr>
      <w:r w:rsidRPr="0060161F">
        <w:rPr>
          <w:rStyle w:val="FootnoteReference"/>
          <w:rFonts w:ascii="Arial" w:hAnsi="Arial" w:cs="Arial"/>
        </w:rPr>
        <w:footnoteRef/>
      </w:r>
      <w:r w:rsidRPr="0060161F">
        <w:rPr>
          <w:rFonts w:ascii="Arial" w:hAnsi="Arial" w:cs="Arial"/>
        </w:rPr>
        <w:t xml:space="preserve"> Evans, 2018</w:t>
      </w:r>
    </w:p>
  </w:footnote>
  <w:footnote w:id="15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UNICEF, 2018</w:t>
      </w:r>
    </w:p>
  </w:footnote>
  <w:footnote w:id="15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UNICEF, 2018</w:t>
      </w:r>
    </w:p>
  </w:footnote>
  <w:footnote w:id="15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Corcos, 2012, 1599</w:t>
      </w:r>
    </w:p>
  </w:footnote>
  <w:footnote w:id="15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Papp, Hagerman, Gnoleba, 2015, 60</w:t>
      </w:r>
    </w:p>
  </w:footnote>
  <w:footnote w:id="155">
    <w:p w:rsidR="00FB2511" w:rsidRPr="00A95531"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335</w:t>
      </w:r>
    </w:p>
  </w:footnote>
  <w:footnote w:id="15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5</w:t>
      </w:r>
    </w:p>
  </w:footnote>
  <w:footnote w:id="15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175</w:t>
      </w:r>
    </w:p>
  </w:footnote>
  <w:footnote w:id="15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57</w:t>
      </w:r>
    </w:p>
  </w:footnote>
  <w:footnote w:id="15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57</w:t>
      </w:r>
    </w:p>
  </w:footnote>
  <w:footnote w:id="16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175</w:t>
      </w:r>
    </w:p>
  </w:footnote>
  <w:footnote w:id="161">
    <w:p w:rsidR="00FB2511" w:rsidRPr="0060161F" w:rsidRDefault="00FB2511" w:rsidP="00CE20EF">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122</w:t>
      </w:r>
    </w:p>
  </w:footnote>
  <w:footnote w:id="16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60</w:t>
      </w:r>
    </w:p>
  </w:footnote>
  <w:footnote w:id="16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36</w:t>
      </w:r>
    </w:p>
  </w:footnote>
  <w:footnote w:id="16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Berlin, 3024</w:t>
      </w:r>
    </w:p>
  </w:footnote>
  <w:footnote w:id="165">
    <w:p w:rsidR="00FB2511" w:rsidRPr="00A95531"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35</w:t>
      </w:r>
    </w:p>
  </w:footnote>
  <w:footnote w:id="166">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Papyrus D’Orbiney, BM EA10183,10</w:t>
      </w:r>
    </w:p>
  </w:footnote>
  <w:footnote w:id="167">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Watterson, 1998, 15</w:t>
      </w:r>
    </w:p>
  </w:footnote>
  <w:footnote w:id="168">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Papyrus Chester Beatty II, BM EA10682,1</w:t>
      </w:r>
    </w:p>
  </w:footnote>
  <w:footnote w:id="169">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Graves-Brown, 2010, 35-36</w:t>
      </w:r>
    </w:p>
  </w:footnote>
  <w:footnote w:id="170">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Johnson, 1997, 175</w:t>
      </w:r>
    </w:p>
  </w:footnote>
  <w:footnote w:id="171">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Papyrus Boulaq 4</w:t>
      </w:r>
    </w:p>
  </w:footnote>
  <w:footnote w:id="172">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Watterson, 1998, 11</w:t>
      </w:r>
    </w:p>
  </w:footnote>
  <w:footnote w:id="173">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Watterson, 1998, 13</w:t>
      </w:r>
    </w:p>
  </w:footnote>
  <w:footnote w:id="174">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Papyrus Insinger, F95/5.1</w:t>
      </w:r>
    </w:p>
  </w:footnote>
  <w:footnote w:id="175">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Graves-Brown, 2010, 37</w:t>
      </w:r>
    </w:p>
  </w:footnote>
  <w:footnote w:id="176">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Watterson, 1998, 8</w:t>
      </w:r>
    </w:p>
  </w:footnote>
  <w:footnote w:id="177">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Watterson, 1998, 8</w:t>
      </w:r>
    </w:p>
  </w:footnote>
  <w:footnote w:id="178">
    <w:p w:rsidR="00FB2511" w:rsidRDefault="00FB2511">
      <w:pPr>
        <w:pStyle w:val="FootnoteText"/>
      </w:pPr>
      <w:r w:rsidRPr="00A95531">
        <w:rPr>
          <w:rStyle w:val="FootnoteReference"/>
          <w:rFonts w:ascii="Arial" w:hAnsi="Arial" w:cs="Arial"/>
        </w:rPr>
        <w:footnoteRef/>
      </w:r>
      <w:r w:rsidRPr="00A95531">
        <w:rPr>
          <w:rFonts w:ascii="Arial" w:hAnsi="Arial" w:cs="Arial"/>
        </w:rPr>
        <w:t xml:space="preserve"> Watterson, 1998, 9</w:t>
      </w:r>
    </w:p>
  </w:footnote>
  <w:footnote w:id="179">
    <w:p w:rsidR="00FB2511" w:rsidRPr="00A95531" w:rsidRDefault="00FB2511">
      <w:pPr>
        <w:pStyle w:val="FootnoteText"/>
        <w:rPr>
          <w:rFonts w:ascii="Arial" w:hAnsi="Arial" w:cs="Arial"/>
        </w:rPr>
      </w:pPr>
      <w:r w:rsidRPr="00A95531">
        <w:rPr>
          <w:rStyle w:val="FootnoteReference"/>
          <w:rFonts w:ascii="Arial" w:hAnsi="Arial" w:cs="Arial"/>
        </w:rPr>
        <w:footnoteRef/>
      </w:r>
      <w:r w:rsidRPr="00A95531">
        <w:rPr>
          <w:rFonts w:ascii="Arial" w:hAnsi="Arial" w:cs="Arial"/>
        </w:rPr>
        <w:t xml:space="preserve"> P. Berlin 3033</w:t>
      </w:r>
    </w:p>
  </w:footnote>
  <w:footnote w:id="180">
    <w:p w:rsidR="00FB2511" w:rsidRDefault="00FB2511">
      <w:pPr>
        <w:pStyle w:val="FootnoteText"/>
      </w:pPr>
      <w:r>
        <w:rPr>
          <w:rStyle w:val="FootnoteReference"/>
        </w:rPr>
        <w:footnoteRef/>
      </w:r>
      <w:r>
        <w:t xml:space="preserve"> </w:t>
      </w:r>
      <w:r w:rsidRPr="0060161F">
        <w:rPr>
          <w:rFonts w:ascii="Arial" w:hAnsi="Arial" w:cs="Arial"/>
        </w:rPr>
        <w:t>Graves-Brown, 2010, 120-121</w:t>
      </w:r>
    </w:p>
  </w:footnote>
  <w:footnote w:id="18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Tyldesley, 2006</w:t>
      </w:r>
    </w:p>
  </w:footnote>
  <w:footnote w:id="18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Papyrus 55001</w:t>
      </w:r>
    </w:p>
  </w:footnote>
  <w:footnote w:id="183">
    <w:p w:rsidR="00FB2511" w:rsidRPr="00A95531"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108</w:t>
      </w:r>
    </w:p>
  </w:footnote>
  <w:footnote w:id="18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120</w:t>
      </w:r>
    </w:p>
  </w:footnote>
  <w:footnote w:id="18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121</w:t>
      </w:r>
    </w:p>
  </w:footnote>
  <w:footnote w:id="18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108</w:t>
      </w:r>
    </w:p>
  </w:footnote>
  <w:footnote w:id="18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112</w:t>
      </w:r>
    </w:p>
  </w:footnote>
  <w:footnote w:id="188">
    <w:p w:rsidR="00FB2511" w:rsidRDefault="00FB2511" w:rsidP="00625365">
      <w:pPr>
        <w:pStyle w:val="FootnoteText"/>
      </w:pPr>
      <w:r w:rsidRPr="0060161F">
        <w:rPr>
          <w:rStyle w:val="FootnoteReference"/>
          <w:rFonts w:ascii="Arial" w:hAnsi="Arial" w:cs="Arial"/>
        </w:rPr>
        <w:footnoteRef/>
      </w:r>
      <w:r w:rsidRPr="0060161F">
        <w:rPr>
          <w:rFonts w:ascii="Arial" w:hAnsi="Arial" w:cs="Arial"/>
        </w:rPr>
        <w:t xml:space="preserve"> Watterson. 1998, 8</w:t>
      </w:r>
    </w:p>
  </w:footnote>
  <w:footnote w:id="18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Watterson, 1998, 8</w:t>
      </w:r>
    </w:p>
  </w:footnote>
  <w:footnote w:id="19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37</w:t>
      </w:r>
    </w:p>
  </w:footnote>
  <w:footnote w:id="19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119</w:t>
      </w:r>
    </w:p>
  </w:footnote>
  <w:footnote w:id="19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120</w:t>
      </w:r>
    </w:p>
  </w:footnote>
  <w:footnote w:id="19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Graves-Brown, 2010, 120</w:t>
      </w:r>
    </w:p>
  </w:footnote>
  <w:footnote w:id="19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335</w:t>
      </w:r>
    </w:p>
  </w:footnote>
  <w:footnote w:id="195">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338</w:t>
      </w:r>
    </w:p>
  </w:footnote>
  <w:footnote w:id="196">
    <w:p w:rsidR="00FB2511" w:rsidRPr="00A95531"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Watterson, 1998, 4</w:t>
      </w:r>
    </w:p>
  </w:footnote>
  <w:footnote w:id="19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Taylor, 2011</w:t>
      </w:r>
    </w:p>
  </w:footnote>
  <w:footnote w:id="19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341</w:t>
      </w:r>
    </w:p>
  </w:footnote>
  <w:footnote w:id="19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341</w:t>
      </w:r>
    </w:p>
  </w:footnote>
  <w:footnote w:id="200">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Papp, Hagerman, Gnoleba, 2015, 57</w:t>
      </w:r>
    </w:p>
  </w:footnote>
  <w:footnote w:id="201">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Papp, Hagerman, Gnoleba, 2015, 58</w:t>
      </w:r>
    </w:p>
  </w:footnote>
  <w:footnote w:id="202">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Papp, Hagerman, Gnoleba, 2015, 60</w:t>
      </w:r>
    </w:p>
  </w:footnote>
  <w:footnote w:id="203">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Papp, Hagerman, Gnoleba, 2015, 60</w:t>
      </w:r>
    </w:p>
  </w:footnote>
  <w:footnote w:id="204">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Papp, Hagerman, Gnoleba, 2015, 60</w:t>
      </w:r>
    </w:p>
  </w:footnote>
  <w:footnote w:id="205">
    <w:p w:rsidR="00FB2511" w:rsidRPr="00A95531"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Hastrup, 1993, 41</w:t>
      </w:r>
    </w:p>
  </w:footnote>
  <w:footnote w:id="206">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Johnson, 1997, 179</w:t>
      </w:r>
    </w:p>
  </w:footnote>
  <w:footnote w:id="207">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334</w:t>
      </w:r>
    </w:p>
  </w:footnote>
  <w:footnote w:id="208">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Ringrose, Renold, 2011, 334</w:t>
      </w:r>
    </w:p>
  </w:footnote>
  <w:footnote w:id="209">
    <w:p w:rsidR="00FB2511" w:rsidRPr="0060161F" w:rsidRDefault="00FB2511">
      <w:pPr>
        <w:pStyle w:val="FootnoteText"/>
        <w:rPr>
          <w:rFonts w:ascii="Arial" w:hAnsi="Arial" w:cs="Arial"/>
        </w:rPr>
      </w:pPr>
      <w:r w:rsidRPr="0060161F">
        <w:rPr>
          <w:rStyle w:val="FootnoteReference"/>
          <w:rFonts w:ascii="Arial" w:hAnsi="Arial" w:cs="Arial"/>
        </w:rPr>
        <w:footnoteRef/>
      </w:r>
      <w:r w:rsidRPr="0060161F">
        <w:rPr>
          <w:rFonts w:ascii="Arial" w:hAnsi="Arial" w:cs="Arial"/>
        </w:rPr>
        <w:t xml:space="preserve"> </w:t>
      </w:r>
      <w:r w:rsidRPr="0060161F">
        <w:rPr>
          <w:rFonts w:ascii="Arial" w:eastAsia="Times New Roman" w:hAnsi="Arial" w:cs="Arial"/>
          <w:lang w:eastAsia="en-GB"/>
        </w:rPr>
        <w:t>Hatipoğlu Sümer, 2014, 2034</w:t>
      </w:r>
    </w:p>
  </w:footnote>
  <w:footnote w:id="210">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t>
      </w:r>
      <w:r w:rsidRPr="00871FB5">
        <w:rPr>
          <w:rFonts w:ascii="Arial" w:eastAsia="Times New Roman" w:hAnsi="Arial" w:cs="Arial"/>
          <w:lang w:eastAsia="en-GB"/>
        </w:rPr>
        <w:t>Hatipoğlu Sümer, 2014, 2034</w:t>
      </w:r>
    </w:p>
  </w:footnote>
  <w:footnote w:id="21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Ringrose, Renold, 2011, 335</w:t>
      </w:r>
    </w:p>
  </w:footnote>
  <w:footnote w:id="21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243</w:t>
      </w:r>
    </w:p>
  </w:footnote>
  <w:footnote w:id="213">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Tyldesley, 1994, 243</w:t>
      </w:r>
    </w:p>
  </w:footnote>
  <w:footnote w:id="21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244-5</w:t>
      </w:r>
    </w:p>
  </w:footnote>
  <w:footnote w:id="21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245</w:t>
      </w:r>
    </w:p>
  </w:footnote>
  <w:footnote w:id="216">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245</w:t>
      </w:r>
    </w:p>
  </w:footnote>
  <w:footnote w:id="217">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245</w:t>
      </w:r>
    </w:p>
  </w:footnote>
  <w:footnote w:id="218">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14</w:t>
      </w:r>
    </w:p>
  </w:footnote>
  <w:footnote w:id="219">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19</w:t>
      </w:r>
    </w:p>
  </w:footnote>
  <w:footnote w:id="220">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Tyldesley, 1994, 251</w:t>
      </w:r>
    </w:p>
  </w:footnote>
  <w:footnote w:id="22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17</w:t>
      </w:r>
    </w:p>
  </w:footnote>
  <w:footnote w:id="22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17</w:t>
      </w:r>
    </w:p>
  </w:footnote>
  <w:footnote w:id="22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17</w:t>
      </w:r>
    </w:p>
  </w:footnote>
  <w:footnote w:id="22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2006, 16</w:t>
      </w:r>
    </w:p>
  </w:footnote>
  <w:footnote w:id="22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15</w:t>
      </w:r>
    </w:p>
  </w:footnote>
  <w:footnote w:id="226">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100</w:t>
      </w:r>
    </w:p>
  </w:footnote>
  <w:footnote w:id="227">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Wilkinson, 2003, 146</w:t>
      </w:r>
    </w:p>
  </w:footnote>
  <w:footnote w:id="228">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252</w:t>
      </w:r>
    </w:p>
  </w:footnote>
  <w:footnote w:id="229">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252</w:t>
      </w:r>
    </w:p>
  </w:footnote>
  <w:footnote w:id="230">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253</w:t>
      </w:r>
    </w:p>
  </w:footnote>
  <w:footnote w:id="23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253</w:t>
      </w:r>
    </w:p>
  </w:footnote>
  <w:footnote w:id="232">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Wilkinson, 2003, 147</w:t>
      </w:r>
    </w:p>
  </w:footnote>
  <w:footnote w:id="23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19</w:t>
      </w:r>
    </w:p>
  </w:footnote>
  <w:footnote w:id="23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149</w:t>
      </w:r>
    </w:p>
  </w:footnote>
  <w:footnote w:id="23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21</w:t>
      </w:r>
    </w:p>
  </w:footnote>
  <w:footnote w:id="236">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14</w:t>
      </w:r>
    </w:p>
  </w:footnote>
  <w:footnote w:id="237">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130</w:t>
      </w:r>
    </w:p>
  </w:footnote>
  <w:footnote w:id="238">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xi</w:t>
      </w:r>
    </w:p>
  </w:footnote>
  <w:footnote w:id="239">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Papyrus Insinger, F95/5.1</w:t>
      </w:r>
    </w:p>
  </w:footnote>
  <w:footnote w:id="240">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Tyldesley, 1994, 253</w:t>
      </w:r>
    </w:p>
  </w:footnote>
  <w:footnote w:id="24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18</w:t>
      </w:r>
    </w:p>
  </w:footnote>
  <w:footnote w:id="24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18</w:t>
      </w:r>
    </w:p>
  </w:footnote>
  <w:footnote w:id="24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18</w:t>
      </w:r>
    </w:p>
  </w:footnote>
  <w:footnote w:id="24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18</w:t>
      </w:r>
    </w:p>
  </w:footnote>
  <w:footnote w:id="24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19</w:t>
      </w:r>
    </w:p>
  </w:footnote>
  <w:footnote w:id="246">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141</w:t>
      </w:r>
    </w:p>
  </w:footnote>
  <w:footnote w:id="247">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18</w:t>
      </w:r>
    </w:p>
  </w:footnote>
  <w:footnote w:id="248">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Wilkinson, 2003, 141</w:t>
      </w:r>
    </w:p>
  </w:footnote>
  <w:footnote w:id="249">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Tyldesley, 1994,  254</w:t>
      </w:r>
    </w:p>
  </w:footnote>
  <w:footnote w:id="250">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181</w:t>
      </w:r>
    </w:p>
  </w:footnote>
  <w:footnote w:id="25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Tyldesley, 1994, 254</w:t>
      </w:r>
    </w:p>
  </w:footnote>
  <w:footnote w:id="25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181</w:t>
      </w:r>
    </w:p>
  </w:footnote>
  <w:footnote w:id="25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181</w:t>
      </w:r>
    </w:p>
  </w:footnote>
  <w:footnote w:id="25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181</w:t>
      </w:r>
    </w:p>
  </w:footnote>
  <w:footnote w:id="25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19</w:t>
      </w:r>
    </w:p>
  </w:footnote>
  <w:footnote w:id="256">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Wilkinson, 2003, 181</w:t>
      </w:r>
    </w:p>
  </w:footnote>
  <w:footnote w:id="257">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182</w:t>
      </w:r>
    </w:p>
  </w:footnote>
  <w:footnote w:id="258">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19</w:t>
      </w:r>
    </w:p>
  </w:footnote>
  <w:footnote w:id="259">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1998, 19</w:t>
      </w:r>
    </w:p>
  </w:footnote>
  <w:footnote w:id="260">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150</w:t>
      </w:r>
    </w:p>
  </w:footnote>
  <w:footnote w:id="261">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Wilkinson, 2003, 150</w:t>
      </w:r>
    </w:p>
  </w:footnote>
  <w:footnote w:id="26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150</w:t>
      </w:r>
    </w:p>
  </w:footnote>
  <w:footnote w:id="26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150</w:t>
      </w:r>
    </w:p>
  </w:footnote>
  <w:footnote w:id="26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152</w:t>
      </w:r>
    </w:p>
  </w:footnote>
  <w:footnote w:id="26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Watterson, 2003, 17</w:t>
      </w:r>
    </w:p>
  </w:footnote>
  <w:footnote w:id="266">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160</w:t>
      </w:r>
    </w:p>
  </w:footnote>
  <w:footnote w:id="267">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160</w:t>
      </w:r>
    </w:p>
  </w:footnote>
  <w:footnote w:id="268">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160</w:t>
      </w:r>
    </w:p>
  </w:footnote>
  <w:footnote w:id="269">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Wilkinson, 2003, 160</w:t>
      </w:r>
    </w:p>
  </w:footnote>
  <w:footnote w:id="270">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160</w:t>
      </w:r>
    </w:p>
  </w:footnote>
  <w:footnote w:id="27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161</w:t>
      </w:r>
    </w:p>
  </w:footnote>
  <w:footnote w:id="27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PT 1344</w:t>
      </w:r>
    </w:p>
  </w:footnote>
  <w:footnote w:id="27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PT 616</w:t>
      </w:r>
    </w:p>
  </w:footnote>
  <w:footnote w:id="27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Wilkinson, 2003, 162</w:t>
      </w:r>
    </w:p>
  </w:footnote>
  <w:footnote w:id="27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Campbell, 1998</w:t>
      </w:r>
    </w:p>
  </w:footnote>
  <w:footnote w:id="276">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Campbell, 1988</w:t>
      </w:r>
    </w:p>
  </w:footnote>
  <w:footnote w:id="277">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Shaw, 2015, 174-176</w:t>
      </w:r>
    </w:p>
  </w:footnote>
  <w:footnote w:id="278">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Mbti, 1991, 53</w:t>
      </w:r>
    </w:p>
  </w:footnote>
  <w:footnote w:id="279">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Kvam, Schearing, Ziegler, 1999, 220-1</w:t>
      </w:r>
    </w:p>
  </w:footnote>
  <w:footnote w:id="280">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Boss, 2003, 3</w:t>
      </w:r>
    </w:p>
  </w:footnote>
  <w:footnote w:id="281">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Boss, 2003, 4</w:t>
      </w:r>
    </w:p>
  </w:footnote>
  <w:footnote w:id="282">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Boss, 2003, 4</w:t>
      </w:r>
    </w:p>
  </w:footnote>
  <w:footnote w:id="283">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Robins, 1993, 17</w:t>
      </w:r>
    </w:p>
  </w:footnote>
  <w:footnote w:id="284">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Moore, 2015, 9</w:t>
      </w:r>
    </w:p>
  </w:footnote>
  <w:footnote w:id="285">
    <w:p w:rsidR="00FB2511" w:rsidRPr="00871FB5" w:rsidRDefault="00FB2511">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Moore, 2015, 9</w:t>
      </w:r>
    </w:p>
  </w:footnote>
  <w:footnote w:id="286">
    <w:p w:rsidR="00FB2511" w:rsidRDefault="00FB2511">
      <w:pPr>
        <w:pStyle w:val="FootnoteText"/>
      </w:pPr>
      <w:r w:rsidRPr="00871FB5">
        <w:rPr>
          <w:rStyle w:val="FootnoteReference"/>
          <w:rFonts w:ascii="Arial" w:hAnsi="Arial" w:cs="Arial"/>
        </w:rPr>
        <w:footnoteRef/>
      </w:r>
      <w:r w:rsidRPr="00871FB5">
        <w:rPr>
          <w:rFonts w:ascii="Arial" w:hAnsi="Arial" w:cs="Arial"/>
        </w:rPr>
        <w:t xml:space="preserve"> Moore, 2015, 9</w:t>
      </w:r>
    </w:p>
  </w:footnote>
  <w:footnote w:id="287">
    <w:p w:rsidR="00FB2511" w:rsidRDefault="00FB2511" w:rsidP="00741065">
      <w:pPr>
        <w:pStyle w:val="FootnoteText"/>
      </w:pPr>
      <w:r>
        <w:rPr>
          <w:rStyle w:val="FootnoteReference"/>
        </w:rPr>
        <w:footnoteRef/>
      </w:r>
      <w:r>
        <w:t xml:space="preserve"> </w:t>
      </w:r>
      <w:r w:rsidRPr="006412E8">
        <w:rPr>
          <w:rFonts w:ascii="Arial" w:hAnsi="Arial" w:cs="Arial"/>
        </w:rPr>
        <w:t>Graves-Brown, 2010, 4</w:t>
      </w:r>
    </w:p>
  </w:footnote>
  <w:footnote w:id="288">
    <w:p w:rsidR="00FB2511" w:rsidRDefault="00FB2511" w:rsidP="00741065">
      <w:pPr>
        <w:pStyle w:val="FootnoteText"/>
      </w:pPr>
      <w:r>
        <w:rPr>
          <w:rStyle w:val="FootnoteReference"/>
        </w:rPr>
        <w:footnoteRef/>
      </w:r>
      <w:r>
        <w:t xml:space="preserve"> </w:t>
      </w:r>
      <w:r w:rsidRPr="006412E8">
        <w:rPr>
          <w:rFonts w:ascii="Arial" w:hAnsi="Arial" w:cs="Arial"/>
        </w:rPr>
        <w:t>Graves-Brown, 2010, 40</w:t>
      </w:r>
    </w:p>
  </w:footnote>
  <w:footnote w:id="289">
    <w:p w:rsidR="00FB2511" w:rsidRDefault="00FB2511" w:rsidP="00741065">
      <w:pPr>
        <w:pStyle w:val="FootnoteText"/>
      </w:pPr>
      <w:r>
        <w:rPr>
          <w:rStyle w:val="FootnoteReference"/>
        </w:rPr>
        <w:footnoteRef/>
      </w:r>
      <w:r>
        <w:t xml:space="preserve"> </w:t>
      </w:r>
      <w:r w:rsidRPr="006E0159">
        <w:rPr>
          <w:rFonts w:ascii="Arial" w:hAnsi="Arial" w:cs="Arial"/>
        </w:rPr>
        <w:t>Graves-Brown, 2010, 105</w:t>
      </w:r>
    </w:p>
  </w:footnote>
  <w:footnote w:id="290">
    <w:p w:rsidR="00FB2511" w:rsidRDefault="00FB2511" w:rsidP="00741065">
      <w:pPr>
        <w:pStyle w:val="FootnoteText"/>
      </w:pPr>
      <w:r>
        <w:rPr>
          <w:rStyle w:val="FootnoteReference"/>
        </w:rPr>
        <w:footnoteRef/>
      </w:r>
      <w:r>
        <w:t xml:space="preserve"> </w:t>
      </w:r>
      <w:r w:rsidRPr="0060161F">
        <w:rPr>
          <w:rFonts w:ascii="Arial" w:hAnsi="Arial" w:cs="Arial"/>
        </w:rPr>
        <w:t>Graves-Brown, 2010, 119</w:t>
      </w:r>
    </w:p>
  </w:footnote>
  <w:footnote w:id="291">
    <w:p w:rsidR="00FB2511" w:rsidRDefault="00FB2511" w:rsidP="00741065">
      <w:pPr>
        <w:pStyle w:val="FootnoteText"/>
      </w:pPr>
      <w:r>
        <w:rPr>
          <w:rStyle w:val="FootnoteReference"/>
        </w:rPr>
        <w:footnoteRef/>
      </w:r>
      <w:r>
        <w:t xml:space="preserve"> </w:t>
      </w:r>
      <w:r w:rsidRPr="00871FB5">
        <w:rPr>
          <w:rFonts w:ascii="Arial" w:hAnsi="Arial" w:cs="Arial"/>
        </w:rPr>
        <w:t>Watterson, 1998, 19</w:t>
      </w:r>
    </w:p>
  </w:footnote>
  <w:footnote w:id="292">
    <w:p w:rsidR="00FB2511" w:rsidRDefault="00FB2511" w:rsidP="00741065">
      <w:pPr>
        <w:pStyle w:val="FootnoteText"/>
      </w:pPr>
      <w:r>
        <w:rPr>
          <w:rStyle w:val="FootnoteReference"/>
        </w:rPr>
        <w:footnoteRef/>
      </w:r>
      <w:r>
        <w:t xml:space="preserve"> </w:t>
      </w:r>
      <w:r w:rsidRPr="00871FB5">
        <w:rPr>
          <w:rFonts w:ascii="Arial" w:hAnsi="Arial" w:cs="Arial"/>
        </w:rPr>
        <w:t>Mbti, 1991, 53</w:t>
      </w:r>
    </w:p>
  </w:footnote>
  <w:footnote w:id="293">
    <w:p w:rsidR="00FB2511" w:rsidRPr="005E32AF" w:rsidRDefault="00FB2511" w:rsidP="00741065">
      <w:pPr>
        <w:pStyle w:val="FootnoteText"/>
        <w:rPr>
          <w:rFonts w:ascii="Arial" w:hAnsi="Arial" w:cs="Arial"/>
        </w:rPr>
      </w:pPr>
      <w:r>
        <w:rPr>
          <w:rStyle w:val="FootnoteReference"/>
        </w:rPr>
        <w:footnoteRef/>
      </w:r>
      <w:r>
        <w:t xml:space="preserve"> </w:t>
      </w:r>
      <w:r w:rsidRPr="006412E8">
        <w:rPr>
          <w:rFonts w:ascii="Arial" w:hAnsi="Arial" w:cs="Arial"/>
        </w:rPr>
        <w:t>Graves-Brown, 2010, 27</w:t>
      </w:r>
    </w:p>
  </w:footnote>
  <w:footnote w:id="294">
    <w:p w:rsidR="00FB2511" w:rsidRDefault="00FB2511" w:rsidP="00741065">
      <w:pPr>
        <w:pStyle w:val="FootnoteText"/>
      </w:pPr>
      <w:r>
        <w:rPr>
          <w:rStyle w:val="FootnoteReference"/>
        </w:rPr>
        <w:footnoteRef/>
      </w:r>
      <w:r>
        <w:t xml:space="preserve"> </w:t>
      </w:r>
      <w:r w:rsidRPr="0060161F">
        <w:rPr>
          <w:rFonts w:ascii="Arial" w:hAnsi="Arial" w:cs="Arial"/>
        </w:rPr>
        <w:t>Corcos, 2012, 1604</w:t>
      </w:r>
    </w:p>
  </w:footnote>
  <w:footnote w:id="295">
    <w:p w:rsidR="00FB2511" w:rsidRDefault="00FB2511" w:rsidP="00741065">
      <w:pPr>
        <w:pStyle w:val="FootnoteText"/>
      </w:pPr>
      <w:r>
        <w:rPr>
          <w:rStyle w:val="FootnoteReference"/>
        </w:rPr>
        <w:footnoteRef/>
      </w:r>
      <w:r>
        <w:t xml:space="preserve"> </w:t>
      </w:r>
      <w:r w:rsidRPr="0060161F">
        <w:rPr>
          <w:rFonts w:ascii="Arial" w:hAnsi="Arial" w:cs="Arial"/>
        </w:rPr>
        <w:t>U.N Women, 2017</w:t>
      </w:r>
    </w:p>
  </w:footnote>
  <w:footnote w:id="296">
    <w:p w:rsidR="00FB2511" w:rsidRDefault="00FB2511" w:rsidP="00741065">
      <w:pPr>
        <w:pStyle w:val="FootnoteText"/>
      </w:pPr>
      <w:r>
        <w:rPr>
          <w:rStyle w:val="FootnoteReference"/>
        </w:rPr>
        <w:footnoteRef/>
      </w:r>
      <w:r>
        <w:t xml:space="preserve"> </w:t>
      </w:r>
      <w:r w:rsidRPr="0060161F">
        <w:rPr>
          <w:rFonts w:ascii="Arial" w:hAnsi="Arial" w:cs="Arial"/>
        </w:rPr>
        <w:t>Ringrose, Renold, 2011, 341</w:t>
      </w:r>
    </w:p>
  </w:footnote>
  <w:footnote w:id="297">
    <w:p w:rsidR="00FB2511" w:rsidRPr="005E32AF" w:rsidRDefault="00FB2511" w:rsidP="00741065">
      <w:pPr>
        <w:pStyle w:val="FootnoteText"/>
        <w:rPr>
          <w:rFonts w:ascii="Arial" w:hAnsi="Arial" w:cs="Arial"/>
        </w:rPr>
      </w:pPr>
      <w:r>
        <w:rPr>
          <w:rStyle w:val="FootnoteReference"/>
        </w:rPr>
        <w:footnoteRef/>
      </w:r>
      <w:r>
        <w:t xml:space="preserve"> </w:t>
      </w:r>
      <w:r w:rsidRPr="00871FB5">
        <w:rPr>
          <w:rFonts w:ascii="Arial" w:hAnsi="Arial" w:cs="Arial"/>
        </w:rPr>
        <w:t>Moore, 2015, 9</w:t>
      </w:r>
    </w:p>
  </w:footnote>
  <w:footnote w:id="298">
    <w:p w:rsidR="00FB2511" w:rsidRPr="001E5815" w:rsidRDefault="00FB2511">
      <w:pPr>
        <w:pStyle w:val="FootnoteText"/>
        <w:rPr>
          <w:rFonts w:ascii="Arial" w:hAnsi="Arial" w:cs="Arial"/>
        </w:rPr>
      </w:pPr>
      <w:r w:rsidRPr="001E5815">
        <w:rPr>
          <w:rStyle w:val="FootnoteReference"/>
          <w:rFonts w:ascii="Arial" w:hAnsi="Arial" w:cs="Arial"/>
        </w:rPr>
        <w:footnoteRef/>
      </w:r>
      <w:r w:rsidRPr="001E5815">
        <w:rPr>
          <w:rFonts w:ascii="Arial" w:hAnsi="Arial" w:cs="Arial"/>
        </w:rPr>
        <w:t xml:space="preserve"> Leviticus, 12, 1-8</w:t>
      </w:r>
    </w:p>
  </w:footnote>
  <w:footnote w:id="299">
    <w:p w:rsidR="00FB2511" w:rsidRPr="001E5815" w:rsidRDefault="00FB2511">
      <w:pPr>
        <w:pStyle w:val="FootnoteText"/>
        <w:rPr>
          <w:rFonts w:ascii="Arial" w:hAnsi="Arial" w:cs="Arial"/>
        </w:rPr>
      </w:pPr>
      <w:r w:rsidRPr="001E5815">
        <w:rPr>
          <w:rStyle w:val="FootnoteReference"/>
          <w:rFonts w:ascii="Arial" w:hAnsi="Arial" w:cs="Arial"/>
        </w:rPr>
        <w:footnoteRef/>
      </w:r>
      <w:r w:rsidRPr="001E5815">
        <w:rPr>
          <w:rFonts w:ascii="Arial" w:hAnsi="Arial" w:cs="Arial"/>
        </w:rPr>
        <w:t xml:space="preserve"> Graves-Brown, 2010, 40</w:t>
      </w:r>
    </w:p>
  </w:footnote>
  <w:footnote w:id="300">
    <w:p w:rsidR="00FB2511" w:rsidRDefault="00FB2511">
      <w:pPr>
        <w:pStyle w:val="FootnoteText"/>
      </w:pPr>
      <w:r w:rsidRPr="001E5815">
        <w:rPr>
          <w:rStyle w:val="FootnoteReference"/>
          <w:rFonts w:ascii="Arial" w:hAnsi="Arial" w:cs="Arial"/>
        </w:rPr>
        <w:footnoteRef/>
      </w:r>
      <w:r w:rsidRPr="001E5815">
        <w:rPr>
          <w:rFonts w:ascii="Arial" w:hAnsi="Arial" w:cs="Arial"/>
        </w:rPr>
        <w:t xml:space="preserve"> Graves-Brown, 2010, 145</w:t>
      </w:r>
    </w:p>
  </w:footnote>
  <w:footnote w:id="301">
    <w:p w:rsidR="00FB2511" w:rsidRPr="001E5815" w:rsidRDefault="00FB2511">
      <w:pPr>
        <w:pStyle w:val="FootnoteText"/>
        <w:rPr>
          <w:rFonts w:ascii="Arial" w:hAnsi="Arial" w:cs="Arial"/>
        </w:rPr>
      </w:pPr>
      <w:r w:rsidRPr="001E5815">
        <w:rPr>
          <w:rStyle w:val="FootnoteReference"/>
          <w:rFonts w:ascii="Arial" w:hAnsi="Arial" w:cs="Arial"/>
        </w:rPr>
        <w:footnoteRef/>
      </w:r>
      <w:r w:rsidRPr="001E5815">
        <w:rPr>
          <w:rFonts w:ascii="Arial" w:hAnsi="Arial" w:cs="Arial"/>
        </w:rPr>
        <w:t xml:space="preserve"> Tyldesley, 1994, 97</w:t>
      </w:r>
    </w:p>
  </w:footnote>
  <w:footnote w:id="302">
    <w:p w:rsidR="00FB2511" w:rsidRPr="001E5815" w:rsidRDefault="00FB2511">
      <w:pPr>
        <w:pStyle w:val="FootnoteText"/>
        <w:rPr>
          <w:rFonts w:ascii="Arial" w:hAnsi="Arial" w:cs="Arial"/>
        </w:rPr>
      </w:pPr>
      <w:r w:rsidRPr="001E5815">
        <w:rPr>
          <w:rStyle w:val="FootnoteReference"/>
          <w:rFonts w:ascii="Arial" w:hAnsi="Arial" w:cs="Arial"/>
        </w:rPr>
        <w:footnoteRef/>
      </w:r>
      <w:r w:rsidRPr="001E5815">
        <w:rPr>
          <w:rFonts w:ascii="Arial" w:hAnsi="Arial" w:cs="Arial"/>
        </w:rPr>
        <w:t xml:space="preserve"> Graves-Brown, 2010, 75</w:t>
      </w:r>
    </w:p>
  </w:footnote>
  <w:footnote w:id="303">
    <w:p w:rsidR="00FB2511" w:rsidRPr="001E5815" w:rsidRDefault="00FB2511">
      <w:pPr>
        <w:pStyle w:val="FootnoteText"/>
        <w:rPr>
          <w:rFonts w:ascii="Arial" w:hAnsi="Arial" w:cs="Arial"/>
        </w:rPr>
      </w:pPr>
      <w:r w:rsidRPr="001E5815">
        <w:rPr>
          <w:rStyle w:val="FootnoteReference"/>
          <w:rFonts w:ascii="Arial" w:hAnsi="Arial" w:cs="Arial"/>
        </w:rPr>
        <w:footnoteRef/>
      </w:r>
      <w:r w:rsidRPr="001E5815">
        <w:rPr>
          <w:rFonts w:ascii="Arial" w:hAnsi="Arial" w:cs="Arial"/>
        </w:rPr>
        <w:t xml:space="preserve"> Graves-Brown, 2010, 35</w:t>
      </w:r>
    </w:p>
  </w:footnote>
  <w:footnote w:id="304">
    <w:p w:rsidR="00FB2511" w:rsidRPr="001E5815" w:rsidRDefault="00FB2511">
      <w:pPr>
        <w:pStyle w:val="FootnoteText"/>
        <w:rPr>
          <w:rFonts w:ascii="Arial" w:hAnsi="Arial" w:cs="Arial"/>
        </w:rPr>
      </w:pPr>
      <w:r w:rsidRPr="001E5815">
        <w:rPr>
          <w:rStyle w:val="FootnoteReference"/>
          <w:rFonts w:ascii="Arial" w:hAnsi="Arial" w:cs="Arial"/>
        </w:rPr>
        <w:footnoteRef/>
      </w:r>
      <w:r w:rsidRPr="001E5815">
        <w:rPr>
          <w:rFonts w:ascii="Arial" w:hAnsi="Arial" w:cs="Arial"/>
        </w:rPr>
        <w:t xml:space="preserve"> Watterson, 1998, 14</w:t>
      </w:r>
    </w:p>
  </w:footnote>
  <w:footnote w:id="305">
    <w:p w:rsidR="00FB2511" w:rsidRDefault="00FB2511">
      <w:pPr>
        <w:pStyle w:val="FootnoteText"/>
      </w:pPr>
      <w:r w:rsidRPr="001E5815">
        <w:rPr>
          <w:rStyle w:val="FootnoteReference"/>
          <w:rFonts w:ascii="Arial" w:hAnsi="Arial" w:cs="Arial"/>
        </w:rPr>
        <w:footnoteRef/>
      </w:r>
      <w:r w:rsidRPr="001E5815">
        <w:rPr>
          <w:rFonts w:ascii="Arial" w:hAnsi="Arial" w:cs="Arial"/>
        </w:rPr>
        <w:t xml:space="preserve"> Graves-Brown, 2010, 120-121</w:t>
      </w:r>
    </w:p>
  </w:footnote>
  <w:footnote w:id="306">
    <w:p w:rsidR="00FB2511" w:rsidRPr="00871FB5" w:rsidRDefault="00FB2511" w:rsidP="001E5815">
      <w:pPr>
        <w:pStyle w:val="FootnoteText"/>
        <w:rPr>
          <w:rFonts w:ascii="Arial" w:hAnsi="Arial" w:cs="Arial"/>
        </w:rPr>
      </w:pPr>
      <w:r w:rsidRPr="00871FB5">
        <w:rPr>
          <w:rStyle w:val="FootnoteReference"/>
          <w:rFonts w:ascii="Arial" w:hAnsi="Arial" w:cs="Arial"/>
        </w:rPr>
        <w:footnoteRef/>
      </w:r>
      <w:r w:rsidRPr="00871FB5">
        <w:rPr>
          <w:rFonts w:ascii="Arial" w:hAnsi="Arial" w:cs="Arial"/>
        </w:rPr>
        <w:t xml:space="preserve"> Graves-Brown, 2010, 37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9516F2"/>
    <w:multiLevelType w:val="hybridMultilevel"/>
    <w:tmpl w:val="F33AB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A17DF"/>
    <w:multiLevelType w:val="hybridMultilevel"/>
    <w:tmpl w:val="1806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2364E8"/>
    <w:multiLevelType w:val="hybridMultilevel"/>
    <w:tmpl w:val="BCB4F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9BC"/>
    <w:rsid w:val="00024BF7"/>
    <w:rsid w:val="00031D7A"/>
    <w:rsid w:val="0004312A"/>
    <w:rsid w:val="000603B0"/>
    <w:rsid w:val="00065840"/>
    <w:rsid w:val="00066B73"/>
    <w:rsid w:val="00076298"/>
    <w:rsid w:val="00077677"/>
    <w:rsid w:val="000858FF"/>
    <w:rsid w:val="000B54B5"/>
    <w:rsid w:val="000D5AC4"/>
    <w:rsid w:val="000D68B9"/>
    <w:rsid w:val="000E350D"/>
    <w:rsid w:val="000F0513"/>
    <w:rsid w:val="00101577"/>
    <w:rsid w:val="00103C53"/>
    <w:rsid w:val="001057C1"/>
    <w:rsid w:val="00113D94"/>
    <w:rsid w:val="001312C7"/>
    <w:rsid w:val="001363CF"/>
    <w:rsid w:val="00151FB2"/>
    <w:rsid w:val="001852F8"/>
    <w:rsid w:val="00194214"/>
    <w:rsid w:val="00196E49"/>
    <w:rsid w:val="001A2B38"/>
    <w:rsid w:val="001A34EE"/>
    <w:rsid w:val="001C10EA"/>
    <w:rsid w:val="001E4231"/>
    <w:rsid w:val="001E5815"/>
    <w:rsid w:val="001F29F7"/>
    <w:rsid w:val="00223A83"/>
    <w:rsid w:val="00243FE0"/>
    <w:rsid w:val="0024705A"/>
    <w:rsid w:val="00274830"/>
    <w:rsid w:val="002C0216"/>
    <w:rsid w:val="0032375C"/>
    <w:rsid w:val="00351A06"/>
    <w:rsid w:val="00361541"/>
    <w:rsid w:val="00371B84"/>
    <w:rsid w:val="00394317"/>
    <w:rsid w:val="003B3664"/>
    <w:rsid w:val="003D5FE6"/>
    <w:rsid w:val="003D67CA"/>
    <w:rsid w:val="003D6F47"/>
    <w:rsid w:val="003E50FA"/>
    <w:rsid w:val="004063F9"/>
    <w:rsid w:val="0040791E"/>
    <w:rsid w:val="00413EE9"/>
    <w:rsid w:val="00423F2A"/>
    <w:rsid w:val="00432D97"/>
    <w:rsid w:val="00442465"/>
    <w:rsid w:val="00463119"/>
    <w:rsid w:val="004674A2"/>
    <w:rsid w:val="00472253"/>
    <w:rsid w:val="00472E68"/>
    <w:rsid w:val="00483C71"/>
    <w:rsid w:val="004924C1"/>
    <w:rsid w:val="004935EC"/>
    <w:rsid w:val="004B6AF4"/>
    <w:rsid w:val="004D2770"/>
    <w:rsid w:val="004D70CE"/>
    <w:rsid w:val="004F0432"/>
    <w:rsid w:val="0050177C"/>
    <w:rsid w:val="00502F3B"/>
    <w:rsid w:val="005230B3"/>
    <w:rsid w:val="00560E18"/>
    <w:rsid w:val="00561D2B"/>
    <w:rsid w:val="00573856"/>
    <w:rsid w:val="005746E8"/>
    <w:rsid w:val="00575D4D"/>
    <w:rsid w:val="00584E45"/>
    <w:rsid w:val="0058692B"/>
    <w:rsid w:val="005B2525"/>
    <w:rsid w:val="005C4ADB"/>
    <w:rsid w:val="005C565B"/>
    <w:rsid w:val="005C5AB1"/>
    <w:rsid w:val="005C6A9C"/>
    <w:rsid w:val="005C7ABB"/>
    <w:rsid w:val="005D0B19"/>
    <w:rsid w:val="005E422F"/>
    <w:rsid w:val="005F6EF3"/>
    <w:rsid w:val="0060161F"/>
    <w:rsid w:val="006152F5"/>
    <w:rsid w:val="00616756"/>
    <w:rsid w:val="00625365"/>
    <w:rsid w:val="00631410"/>
    <w:rsid w:val="00634A6F"/>
    <w:rsid w:val="006412E8"/>
    <w:rsid w:val="0065367A"/>
    <w:rsid w:val="006827D3"/>
    <w:rsid w:val="00684D7B"/>
    <w:rsid w:val="006A4C73"/>
    <w:rsid w:val="006A74C3"/>
    <w:rsid w:val="006E0159"/>
    <w:rsid w:val="006E0A9D"/>
    <w:rsid w:val="006E64FE"/>
    <w:rsid w:val="00711126"/>
    <w:rsid w:val="00715C26"/>
    <w:rsid w:val="00724EC8"/>
    <w:rsid w:val="00732718"/>
    <w:rsid w:val="0073765A"/>
    <w:rsid w:val="00741065"/>
    <w:rsid w:val="00746391"/>
    <w:rsid w:val="0075037D"/>
    <w:rsid w:val="00780FA9"/>
    <w:rsid w:val="0079449B"/>
    <w:rsid w:val="007974E6"/>
    <w:rsid w:val="007A1F93"/>
    <w:rsid w:val="007D1573"/>
    <w:rsid w:val="007E27BB"/>
    <w:rsid w:val="007E753C"/>
    <w:rsid w:val="007F2034"/>
    <w:rsid w:val="007F3B06"/>
    <w:rsid w:val="008036E4"/>
    <w:rsid w:val="00821F1E"/>
    <w:rsid w:val="00825E31"/>
    <w:rsid w:val="00842C24"/>
    <w:rsid w:val="0084306B"/>
    <w:rsid w:val="00844FB9"/>
    <w:rsid w:val="0084528C"/>
    <w:rsid w:val="00851D91"/>
    <w:rsid w:val="00862B9E"/>
    <w:rsid w:val="0086308D"/>
    <w:rsid w:val="00871FB5"/>
    <w:rsid w:val="00890085"/>
    <w:rsid w:val="00896E7B"/>
    <w:rsid w:val="008979C9"/>
    <w:rsid w:val="008A3111"/>
    <w:rsid w:val="008A4ABA"/>
    <w:rsid w:val="008B0B06"/>
    <w:rsid w:val="008B4C6D"/>
    <w:rsid w:val="008B64B6"/>
    <w:rsid w:val="008B79ED"/>
    <w:rsid w:val="008C3C82"/>
    <w:rsid w:val="008E2EC8"/>
    <w:rsid w:val="008E657A"/>
    <w:rsid w:val="008F0E3F"/>
    <w:rsid w:val="0090543A"/>
    <w:rsid w:val="00906B6A"/>
    <w:rsid w:val="00911974"/>
    <w:rsid w:val="00930CC5"/>
    <w:rsid w:val="00931A4C"/>
    <w:rsid w:val="00932CB6"/>
    <w:rsid w:val="00933C16"/>
    <w:rsid w:val="009552EB"/>
    <w:rsid w:val="00962448"/>
    <w:rsid w:val="00964075"/>
    <w:rsid w:val="00976301"/>
    <w:rsid w:val="00983F19"/>
    <w:rsid w:val="00995B1F"/>
    <w:rsid w:val="009B2B7B"/>
    <w:rsid w:val="009C03FA"/>
    <w:rsid w:val="009E14D0"/>
    <w:rsid w:val="009F107F"/>
    <w:rsid w:val="00A01C2F"/>
    <w:rsid w:val="00A10E54"/>
    <w:rsid w:val="00A11311"/>
    <w:rsid w:val="00A20C4C"/>
    <w:rsid w:val="00A3335C"/>
    <w:rsid w:val="00A535B6"/>
    <w:rsid w:val="00A707C3"/>
    <w:rsid w:val="00A95531"/>
    <w:rsid w:val="00A975CF"/>
    <w:rsid w:val="00AC2AFC"/>
    <w:rsid w:val="00AD32B4"/>
    <w:rsid w:val="00AF52E0"/>
    <w:rsid w:val="00B05972"/>
    <w:rsid w:val="00B17D1E"/>
    <w:rsid w:val="00B30388"/>
    <w:rsid w:val="00B4355B"/>
    <w:rsid w:val="00B568A1"/>
    <w:rsid w:val="00B65CB1"/>
    <w:rsid w:val="00B6684C"/>
    <w:rsid w:val="00BA20F4"/>
    <w:rsid w:val="00BB6448"/>
    <w:rsid w:val="00BC0A96"/>
    <w:rsid w:val="00BC2748"/>
    <w:rsid w:val="00BE0B99"/>
    <w:rsid w:val="00BF3435"/>
    <w:rsid w:val="00C00BA0"/>
    <w:rsid w:val="00C017A9"/>
    <w:rsid w:val="00C15C7A"/>
    <w:rsid w:val="00C274F5"/>
    <w:rsid w:val="00C46B1F"/>
    <w:rsid w:val="00C650E7"/>
    <w:rsid w:val="00CB04D4"/>
    <w:rsid w:val="00CB5C16"/>
    <w:rsid w:val="00CD07BF"/>
    <w:rsid w:val="00CD5877"/>
    <w:rsid w:val="00CD69B5"/>
    <w:rsid w:val="00CE20EF"/>
    <w:rsid w:val="00CE4F28"/>
    <w:rsid w:val="00CF656D"/>
    <w:rsid w:val="00CF72C4"/>
    <w:rsid w:val="00D02F6D"/>
    <w:rsid w:val="00D06956"/>
    <w:rsid w:val="00D112D6"/>
    <w:rsid w:val="00D1538D"/>
    <w:rsid w:val="00D17529"/>
    <w:rsid w:val="00D31A21"/>
    <w:rsid w:val="00D35B58"/>
    <w:rsid w:val="00D736A1"/>
    <w:rsid w:val="00DE22F1"/>
    <w:rsid w:val="00DE3505"/>
    <w:rsid w:val="00DE5D3F"/>
    <w:rsid w:val="00DE6676"/>
    <w:rsid w:val="00E05493"/>
    <w:rsid w:val="00E420EC"/>
    <w:rsid w:val="00E44A63"/>
    <w:rsid w:val="00E45F88"/>
    <w:rsid w:val="00E57B2F"/>
    <w:rsid w:val="00E616FC"/>
    <w:rsid w:val="00E67A42"/>
    <w:rsid w:val="00E77766"/>
    <w:rsid w:val="00E8000E"/>
    <w:rsid w:val="00EB6AE6"/>
    <w:rsid w:val="00EC2B1F"/>
    <w:rsid w:val="00EC3E4C"/>
    <w:rsid w:val="00ED1907"/>
    <w:rsid w:val="00ED1B30"/>
    <w:rsid w:val="00ED49BC"/>
    <w:rsid w:val="00ED5BD7"/>
    <w:rsid w:val="00EF53C5"/>
    <w:rsid w:val="00F02DE0"/>
    <w:rsid w:val="00F04346"/>
    <w:rsid w:val="00F1599A"/>
    <w:rsid w:val="00F161F8"/>
    <w:rsid w:val="00F24B2B"/>
    <w:rsid w:val="00F26325"/>
    <w:rsid w:val="00F35C02"/>
    <w:rsid w:val="00F43272"/>
    <w:rsid w:val="00F45F86"/>
    <w:rsid w:val="00F4690B"/>
    <w:rsid w:val="00F678E2"/>
    <w:rsid w:val="00F959AB"/>
    <w:rsid w:val="00FA6783"/>
    <w:rsid w:val="00FB2511"/>
    <w:rsid w:val="00FB343A"/>
    <w:rsid w:val="00FC04B3"/>
    <w:rsid w:val="00FC6B6E"/>
    <w:rsid w:val="00FD081E"/>
    <w:rsid w:val="00FD24B0"/>
    <w:rsid w:val="00FF4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FEEC582-B96F-49ED-8518-343B67266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49BC"/>
    <w:rPr>
      <w:rFonts w:ascii="Times New Roman" w:hAnsi="Times New Roman" w:cs="Times New Roman"/>
      <w:sz w:val="24"/>
      <w:szCs w:val="24"/>
    </w:rPr>
  </w:style>
  <w:style w:type="paragraph" w:styleId="Heading1">
    <w:name w:val="heading 1"/>
    <w:basedOn w:val="Normal"/>
    <w:next w:val="Normal"/>
    <w:link w:val="Heading1Char"/>
    <w:qFormat/>
    <w:rsid w:val="00ED49BC"/>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D49B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49BC"/>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D49BC"/>
    <w:rPr>
      <w:rFonts w:ascii="Tahoma" w:eastAsia="SimSun" w:hAnsi="Tahoma" w:cs="Tahoma"/>
      <w:b/>
      <w:bCs/>
      <w:sz w:val="20"/>
      <w:szCs w:val="20"/>
      <w:lang w:eastAsia="zh-CN"/>
    </w:rPr>
  </w:style>
  <w:style w:type="paragraph" w:styleId="NormalWeb">
    <w:name w:val="Normal (Web)"/>
    <w:basedOn w:val="Normal"/>
    <w:rsid w:val="00ED49BC"/>
    <w:pPr>
      <w:spacing w:before="100" w:beforeAutospacing="1" w:after="100" w:afterAutospacing="1" w:line="240" w:lineRule="auto"/>
    </w:pPr>
    <w:rPr>
      <w:rFonts w:ascii="Georgia" w:eastAsia="SimSun" w:hAnsi="Georgia"/>
      <w:color w:val="000000"/>
      <w:sz w:val="21"/>
      <w:szCs w:val="21"/>
      <w:lang w:eastAsia="zh-CN"/>
    </w:rPr>
  </w:style>
  <w:style w:type="paragraph" w:styleId="FootnoteText">
    <w:name w:val="footnote text"/>
    <w:basedOn w:val="Normal"/>
    <w:link w:val="FootnoteTextChar"/>
    <w:uiPriority w:val="99"/>
    <w:semiHidden/>
    <w:unhideWhenUsed/>
    <w:rsid w:val="005017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177C"/>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50177C"/>
    <w:rPr>
      <w:vertAlign w:val="superscript"/>
    </w:rPr>
  </w:style>
  <w:style w:type="paragraph" w:styleId="ListParagraph">
    <w:name w:val="List Paragraph"/>
    <w:basedOn w:val="Normal"/>
    <w:uiPriority w:val="34"/>
    <w:qFormat/>
    <w:rsid w:val="008B79ED"/>
    <w:pPr>
      <w:ind w:left="720"/>
      <w:contextualSpacing/>
    </w:pPr>
  </w:style>
  <w:style w:type="character" w:styleId="Hyperlink">
    <w:name w:val="Hyperlink"/>
    <w:basedOn w:val="DefaultParagraphFont"/>
    <w:uiPriority w:val="99"/>
    <w:unhideWhenUsed/>
    <w:rsid w:val="00560E18"/>
    <w:rPr>
      <w:color w:val="0563C1" w:themeColor="hyperlink"/>
      <w:u w:val="single"/>
    </w:rPr>
  </w:style>
  <w:style w:type="paragraph" w:styleId="Header">
    <w:name w:val="header"/>
    <w:basedOn w:val="Normal"/>
    <w:link w:val="HeaderChar"/>
    <w:uiPriority w:val="99"/>
    <w:unhideWhenUsed/>
    <w:rsid w:val="00896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E7B"/>
    <w:rPr>
      <w:rFonts w:ascii="Times New Roman" w:hAnsi="Times New Roman" w:cs="Times New Roman"/>
      <w:sz w:val="24"/>
      <w:szCs w:val="24"/>
    </w:rPr>
  </w:style>
  <w:style w:type="paragraph" w:styleId="Footer">
    <w:name w:val="footer"/>
    <w:basedOn w:val="Normal"/>
    <w:link w:val="FooterChar"/>
    <w:uiPriority w:val="99"/>
    <w:unhideWhenUsed/>
    <w:rsid w:val="00896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E7B"/>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CF72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2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jpeg"/><Relationship Id="rId42" Type="http://schemas.openxmlformats.org/officeDocument/2006/relationships/hyperlink" Target="http://www.britishmuseum.org/visiting/galleries/ancient_egypt/room_61_tomb-chapel_nebamun.aspx" TargetMode="External"/><Relationship Id="rId47" Type="http://schemas.openxmlformats.org/officeDocument/2006/relationships/hyperlink" Target="http://www.tv.com/shows/joseph-campbell-and-the-power-of-myth/love-and-the-goddess-459330/" TargetMode="External"/><Relationship Id="rId63" Type="http://schemas.openxmlformats.org/officeDocument/2006/relationships/hyperlink" Target="https://data.unicef.org/topic/education/literacy/"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6.xml"/><Relationship Id="rId29" Type="http://schemas.openxmlformats.org/officeDocument/2006/relationships/image" Target="media/image15.jpeg"/><Relationship Id="rId11" Type="http://schemas.openxmlformats.org/officeDocument/2006/relationships/footer" Target="footer1.xml"/><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hyperlink" Target="https://web.archive.org/web/20151210214138/https://www.amnesty.org/en/documents/mde31/014/2009/en/" TargetMode="External"/><Relationship Id="rId40" Type="http://schemas.openxmlformats.org/officeDocument/2006/relationships/hyperlink" Target="http://www.britishmuseum.org/research/collection_online/collection_object_details.aspx?objectId=114900&amp;partId=1" TargetMode="External"/><Relationship Id="rId45" Type="http://schemas.openxmlformats.org/officeDocument/2006/relationships/hyperlink" Target="http://www.britishmuseum.org/research/collection_online/collection_object_details.aspx?objectId=113985&amp;partId=1" TargetMode="External"/><Relationship Id="rId53" Type="http://schemas.openxmlformats.org/officeDocument/2006/relationships/hyperlink" Target="https://doi.org/10.1007/s10943-014-9831-5" TargetMode="External"/><Relationship Id="rId58" Type="http://schemas.openxmlformats.org/officeDocument/2006/relationships/hyperlink" Target="https://doi.org/10.1007/s12147-014-9133-y" TargetMode="External"/><Relationship Id="rId66" Type="http://schemas.openxmlformats.org/officeDocument/2006/relationships/hyperlink" Target="http://art.thewalters.org/detail/27595/isis-with-horus-the-child/" TargetMode="External"/><Relationship Id="rId5" Type="http://schemas.openxmlformats.org/officeDocument/2006/relationships/webSettings" Target="webSettings.xml"/><Relationship Id="rId61" Type="http://schemas.openxmlformats.org/officeDocument/2006/relationships/hyperlink" Target="https://the-ancient-pharaohs.blogspot.co.uk/2016/09/hatshepsuts-divine-birth-in-mortuary.html" TargetMode="External"/><Relationship Id="rId19" Type="http://schemas.openxmlformats.org/officeDocument/2006/relationships/image" Target="media/image5.jpeg"/><Relationship Id="rId14" Type="http://schemas.openxmlformats.org/officeDocument/2006/relationships/footer" Target="footer4.xm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hyperlink" Target="http://www.britishmuseum.org/research/collection_online/collection_object_details.aspx?objectId=152263&amp;partId=1" TargetMode="External"/><Relationship Id="rId48" Type="http://schemas.openxmlformats.org/officeDocument/2006/relationships/hyperlink" Target="https://digitalcommons.law.msu.edu/cgi/viewcontent.cgi?article=1066&amp;context=lr" TargetMode="External"/><Relationship Id="rId56" Type="http://schemas.openxmlformats.org/officeDocument/2006/relationships/hyperlink" Target="https://sites.google.com/site/nwarce/blog-2/museumreview-museoegizio%E2%80%93turinitaly" TargetMode="External"/><Relationship Id="rId64" Type="http://schemas.openxmlformats.org/officeDocument/2006/relationships/hyperlink" Target="https://data.unicef.org/topic/education/literacy/#" TargetMode="External"/><Relationship Id="rId69" Type="http://schemas.openxmlformats.org/officeDocument/2006/relationships/glossaryDocument" Target="glossary/document.xml"/><Relationship Id="rId8" Type="http://schemas.openxmlformats.org/officeDocument/2006/relationships/image" Target="media/image1.jpeg"/><Relationship Id="rId51" Type="http://schemas.openxmlformats.org/officeDocument/2006/relationships/hyperlink" Target="https://joycefiler.wordpress.com/2013/04/30/notes-on-health-problems-in-ancient-egypt-and-nubia-part-2/"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3.jpeg"/><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hyperlink" Target="https://upload.wikimedia.org/wikipedia/commons/1/12/Statue_of_Egyptian_Goddess_Hathor_from_Luxur_Museum_Egypt.jpg" TargetMode="External"/><Relationship Id="rId46" Type="http://schemas.openxmlformats.org/officeDocument/2006/relationships/hyperlink" Target="https://www.brooklynmuseum.org/opencollection/objects/3463" TargetMode="External"/><Relationship Id="rId59" Type="http://schemas.openxmlformats.org/officeDocument/2006/relationships/hyperlink" Target="http://rightsofwomen.org.uk/get-information/family-law/divorce/" TargetMode="External"/><Relationship Id="rId67" Type="http://schemas.openxmlformats.org/officeDocument/2006/relationships/footer" Target="footer7.xml"/><Relationship Id="rId20" Type="http://schemas.openxmlformats.org/officeDocument/2006/relationships/image" Target="media/image6.jpeg"/><Relationship Id="rId41" Type="http://schemas.openxmlformats.org/officeDocument/2006/relationships/hyperlink" Target="http://www.britishmuseum.org/research/collection_online/collection_object_details.aspx?objectId=58654&amp;partId=1" TargetMode="External"/><Relationship Id="rId54" Type="http://schemas.openxmlformats.org/officeDocument/2006/relationships/hyperlink" Target="https://www.npr.org/2015/07/02/419554813/getting-divorced-in-the-philippines-where-its-against-the-law" TargetMode="External"/><Relationship Id="rId62" Type="http://schemas.openxmlformats.org/officeDocument/2006/relationships/hyperlink" Target="http://www.open.edu/openlearn/body-mind/proper-men-proper-women-gender-roles-contemporary-uk-society"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5.xml"/><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hyperlink" Target="https://upload.wikimedia.org/wikipedia/commons/9/96/Head_and_upper_body_of_the_goddess_Sekhmet%2C_Kelvingrove_Art_Gallery_and_Museum%2C_Glasgow..JPG" TargetMode="External"/><Relationship Id="rId49" Type="http://schemas.openxmlformats.org/officeDocument/2006/relationships/hyperlink" Target="https://www.ons.gov.uk/employmentandlabourmarket/peopleinwork/earningsandworkinghours/articles/understandingthegenderpaygapintheuk/2018-01-17" TargetMode="External"/><Relationship Id="rId57" Type="http://schemas.openxmlformats.org/officeDocument/2006/relationships/hyperlink" Target="http://library.niwap.org/wp-content/uploads/Herstory-2016.pdf" TargetMode="External"/><Relationship Id="rId10" Type="http://schemas.openxmlformats.org/officeDocument/2006/relationships/hyperlink" Target="mailto:1500261@student.uwtsd.ac.uk" TargetMode="External"/><Relationship Id="rId31" Type="http://schemas.openxmlformats.org/officeDocument/2006/relationships/image" Target="media/image17.jpeg"/><Relationship Id="rId44" Type="http://schemas.openxmlformats.org/officeDocument/2006/relationships/hyperlink" Target="http://www.britishmuseum.org/research/collection_online/collection_object_details.aspx?objectId=113335&amp;partId=1" TargetMode="External"/><Relationship Id="rId52" Type="http://schemas.openxmlformats.org/officeDocument/2006/relationships/hyperlink" Target="http://www.digitaljournal.com/science/blocks-showing-queen-hatshepsut-as-a-woman-unearthed/article/463497" TargetMode="External"/><Relationship Id="rId60" Type="http://schemas.openxmlformats.org/officeDocument/2006/relationships/hyperlink" Target="http://dx.doi.org/10.1080/09540253.2011.645023" TargetMode="External"/><Relationship Id="rId65" Type="http://schemas.openxmlformats.org/officeDocument/2006/relationships/hyperlink" Target="http://www.unwomen.org/en/what-we-do/leadership-and-political-participation/facts-and-figure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3.xml"/><Relationship Id="rId18" Type="http://schemas.openxmlformats.org/officeDocument/2006/relationships/image" Target="media/image4.jpeg"/><Relationship Id="rId39" Type="http://schemas.openxmlformats.org/officeDocument/2006/relationships/hyperlink" Target="https://www.flickr.com/photos/ddtmmm/3397735423" TargetMode="External"/><Relationship Id="rId34" Type="http://schemas.openxmlformats.org/officeDocument/2006/relationships/image" Target="media/image20.jpeg"/><Relationship Id="rId50" Type="http://schemas.openxmlformats.org/officeDocument/2006/relationships/hyperlink" Target="https://joycefiler.wordpress.com/2013/04/30/notes-on-health-problems-in-ancient-egypt-and-nubia-part-2/" TargetMode="External"/><Relationship Id="rId55" Type="http://schemas.openxmlformats.org/officeDocument/2006/relationships/hyperlink" Target="https://www.metmuseum.org/art/collection/search/54675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Elephant">
    <w:panose1 w:val="02020904090505020303"/>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8A2"/>
    <w:rsid w:val="00E14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5ADD3ADB5B4A8AAE63D8836F6F7768">
    <w:name w:val="A35ADD3ADB5B4A8AAE63D8836F6F7768"/>
    <w:rsid w:val="00E148A2"/>
  </w:style>
  <w:style w:type="paragraph" w:customStyle="1" w:styleId="FE04787729334BF29D24D173A8330352">
    <w:name w:val="FE04787729334BF29D24D173A8330352"/>
    <w:rsid w:val="00E148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0D90D-C6C6-4657-B392-43B6DFABF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12503</Words>
  <Characters>71268</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Pickering</dc:creator>
  <cp:keywords/>
  <dc:description/>
  <cp:lastModifiedBy>Hannah Pickering</cp:lastModifiedBy>
  <cp:revision>3</cp:revision>
  <cp:lastPrinted>2018-05-07T13:27:00Z</cp:lastPrinted>
  <dcterms:created xsi:type="dcterms:W3CDTF">2018-05-07T13:46:00Z</dcterms:created>
  <dcterms:modified xsi:type="dcterms:W3CDTF">2018-05-07T13:46:00Z</dcterms:modified>
</cp:coreProperties>
</file>