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D5E" w:rsidRDefault="00952D5E" w:rsidP="00952D5E">
      <w:pPr>
        <w:pStyle w:val="NormalWeb"/>
        <w:spacing w:before="0" w:beforeAutospacing="0" w:after="0" w:afterAutospacing="0"/>
        <w:ind w:left="-180" w:right="-334"/>
      </w:pPr>
      <w:r>
        <w:rPr>
          <w:noProof/>
          <w:lang w:val="en-US"/>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952D5E" w:rsidRDefault="00952D5E" w:rsidP="00952D5E">
      <w:pPr>
        <w:pStyle w:val="NormalWeb"/>
        <w:spacing w:before="0" w:beforeAutospacing="0" w:after="0" w:afterAutospacing="0"/>
        <w:ind w:left="-180" w:right="-334"/>
      </w:pPr>
    </w:p>
    <w:p w:rsidR="00952D5E" w:rsidRDefault="00952D5E" w:rsidP="00952D5E">
      <w:pPr>
        <w:pStyle w:val="NormalWeb"/>
        <w:spacing w:before="0" w:beforeAutospacing="0" w:after="0" w:afterAutospacing="0"/>
        <w:ind w:left="-180" w:right="-334"/>
      </w:pPr>
    </w:p>
    <w:p w:rsidR="00952D5E" w:rsidRDefault="00952D5E" w:rsidP="00952D5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952D5E" w:rsidRPr="00230F35" w:rsidRDefault="00952D5E" w:rsidP="00952D5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952D5E" w:rsidRPr="00230F35" w:rsidRDefault="00952D5E" w:rsidP="00952D5E">
      <w:pPr>
        <w:rPr>
          <w:rFonts w:ascii="Arial" w:hAnsi="Arial" w:cs="Arial"/>
          <w:sz w:val="28"/>
          <w:szCs w:val="28"/>
          <w:lang w:val="cy-GB"/>
        </w:rPr>
      </w:pPr>
    </w:p>
    <w:p w:rsidR="00952D5E" w:rsidRDefault="00952D5E" w:rsidP="00952D5E">
      <w:pPr>
        <w:pStyle w:val="Heading3"/>
        <w:jc w:val="center"/>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952D5E" w:rsidRPr="00230F35" w:rsidTr="00005AE5">
        <w:trPr>
          <w:trHeight w:val="614"/>
        </w:trPr>
        <w:tc>
          <w:tcPr>
            <w:tcW w:w="8856" w:type="dxa"/>
            <w:gridSpan w:val="5"/>
          </w:tcPr>
          <w:p w:rsidR="00952D5E" w:rsidRPr="00230F35"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52D5E" w:rsidRPr="00230F35" w:rsidTr="00005AE5">
        <w:trPr>
          <w:trHeight w:val="718"/>
        </w:trPr>
        <w:tc>
          <w:tcPr>
            <w:tcW w:w="8856" w:type="dxa"/>
            <w:gridSpan w:val="5"/>
          </w:tcPr>
          <w:p w:rsidR="00952D5E" w:rsidRPr="00230F35"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Student Name:</w:t>
            </w:r>
            <w:r>
              <w:rPr>
                <w:rFonts w:ascii="Arial" w:hAnsi="Arial" w:cs="Arial" w:hint="eastAsia"/>
                <w:sz w:val="22"/>
                <w:szCs w:val="22"/>
              </w:rPr>
              <w:t xml:space="preserve"> Clinton Briar</w:t>
            </w:r>
          </w:p>
        </w:tc>
      </w:tr>
      <w:tr w:rsidR="00952D5E" w:rsidRPr="00230F35" w:rsidTr="00005AE5">
        <w:trPr>
          <w:trHeight w:val="849"/>
        </w:trPr>
        <w:tc>
          <w:tcPr>
            <w:tcW w:w="4788" w:type="dxa"/>
          </w:tcPr>
          <w:p w:rsidR="00952D5E" w:rsidRPr="00230F35"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Module code:</w:t>
            </w:r>
            <w:r>
              <w:rPr>
                <w:rFonts w:ascii="Arial" w:hAnsi="Arial" w:cs="Arial" w:hint="eastAsia"/>
                <w:sz w:val="22"/>
                <w:szCs w:val="22"/>
              </w:rPr>
              <w:t xml:space="preserve"> HPCA7005</w:t>
            </w:r>
          </w:p>
          <w:p w:rsidR="00952D5E" w:rsidRPr="00230F35" w:rsidRDefault="00952D5E" w:rsidP="00005AE5">
            <w:pPr>
              <w:pStyle w:val="NormalWeb"/>
              <w:spacing w:before="0" w:beforeAutospacing="0" w:after="0" w:afterAutospacing="0"/>
              <w:ind w:right="34"/>
              <w:rPr>
                <w:rFonts w:ascii="Arial" w:hAnsi="Arial" w:cs="Arial"/>
                <w:szCs w:val="22"/>
              </w:rPr>
            </w:pPr>
          </w:p>
          <w:p w:rsidR="00952D5E"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Module title:</w:t>
            </w:r>
            <w:r>
              <w:rPr>
                <w:rFonts w:ascii="Arial" w:hAnsi="Arial" w:cs="Arial" w:hint="eastAsia"/>
                <w:sz w:val="22"/>
                <w:szCs w:val="22"/>
              </w:rPr>
              <w:t xml:space="preserve"> Cosmology, Magic and Divination</w:t>
            </w:r>
          </w:p>
          <w:p w:rsidR="00952D5E" w:rsidRDefault="00952D5E" w:rsidP="00005AE5">
            <w:pPr>
              <w:pStyle w:val="NormalWeb"/>
              <w:spacing w:before="0" w:beforeAutospacing="0" w:after="0" w:afterAutospacing="0"/>
              <w:ind w:right="34"/>
              <w:rPr>
                <w:rFonts w:ascii="Arial" w:hAnsi="Arial" w:cs="Arial"/>
                <w:szCs w:val="22"/>
              </w:rPr>
            </w:pPr>
          </w:p>
          <w:p w:rsidR="00952D5E" w:rsidRPr="00230F35" w:rsidRDefault="00952D5E" w:rsidP="00005AE5">
            <w:pPr>
              <w:pStyle w:val="NormalWeb"/>
              <w:spacing w:before="0" w:beforeAutospacing="0" w:after="0" w:afterAutospacing="0"/>
              <w:ind w:right="34"/>
              <w:rPr>
                <w:rFonts w:ascii="Arial" w:hAnsi="Arial" w:cs="Arial"/>
                <w:szCs w:val="22"/>
              </w:rPr>
            </w:pPr>
          </w:p>
        </w:tc>
        <w:tc>
          <w:tcPr>
            <w:tcW w:w="2266" w:type="dxa"/>
            <w:gridSpan w:val="3"/>
          </w:tcPr>
          <w:p w:rsidR="00952D5E"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Student ID number:</w:t>
            </w:r>
          </w:p>
          <w:p w:rsidR="00952D5E" w:rsidRPr="00230F35" w:rsidRDefault="00952D5E" w:rsidP="00005AE5">
            <w:pPr>
              <w:pStyle w:val="NormalWeb"/>
              <w:spacing w:before="0" w:beforeAutospacing="0" w:after="0" w:afterAutospacing="0"/>
              <w:ind w:right="34"/>
              <w:rPr>
                <w:rFonts w:ascii="Arial" w:hAnsi="Arial" w:cs="Arial"/>
                <w:szCs w:val="22"/>
              </w:rPr>
            </w:pPr>
            <w:r>
              <w:rPr>
                <w:rFonts w:ascii="Arial" w:hAnsi="Arial" w:cs="Arial" w:hint="eastAsia"/>
                <w:sz w:val="22"/>
                <w:szCs w:val="22"/>
              </w:rPr>
              <w:t>1804735</w:t>
            </w:r>
          </w:p>
        </w:tc>
        <w:tc>
          <w:tcPr>
            <w:tcW w:w="1802" w:type="dxa"/>
          </w:tcPr>
          <w:p w:rsidR="00952D5E" w:rsidRPr="00230F35"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Educational support needs:</w:t>
            </w:r>
          </w:p>
          <w:p w:rsidR="00952D5E" w:rsidRPr="00230F35"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No</w:t>
            </w:r>
          </w:p>
        </w:tc>
      </w:tr>
      <w:tr w:rsidR="00952D5E" w:rsidRPr="00230F35" w:rsidTr="00005AE5">
        <w:trPr>
          <w:trHeight w:val="1139"/>
        </w:trPr>
        <w:tc>
          <w:tcPr>
            <w:tcW w:w="8856" w:type="dxa"/>
            <w:gridSpan w:val="5"/>
          </w:tcPr>
          <w:p w:rsidR="00952D5E" w:rsidRPr="00230F35" w:rsidRDefault="00952D5E" w:rsidP="00005AE5">
            <w:pPr>
              <w:pStyle w:val="NormalWeb"/>
              <w:spacing w:before="0" w:beforeAutospacing="0" w:after="0" w:afterAutospacing="0"/>
              <w:ind w:right="34"/>
              <w:rPr>
                <w:rFonts w:ascii="Arial" w:hAnsi="Arial" w:cs="Arial"/>
                <w:szCs w:val="22"/>
              </w:rPr>
            </w:pPr>
            <w:r>
              <w:rPr>
                <w:rFonts w:ascii="Arial" w:hAnsi="Arial" w:cs="Arial"/>
                <w:sz w:val="22"/>
                <w:szCs w:val="22"/>
              </w:rPr>
              <w:t>Module tutor:</w:t>
            </w:r>
            <w:r>
              <w:rPr>
                <w:rFonts w:ascii="Arial" w:hAnsi="Arial" w:cs="Arial" w:hint="eastAsia"/>
                <w:sz w:val="22"/>
                <w:szCs w:val="22"/>
              </w:rPr>
              <w:t xml:space="preserve"> Dr. Crystal Addey and Dr. Gloria Greenbaum</w:t>
            </w:r>
          </w:p>
          <w:p w:rsidR="00952D5E" w:rsidRPr="00230F35" w:rsidRDefault="00952D5E" w:rsidP="00005AE5">
            <w:pPr>
              <w:pStyle w:val="NormalWeb"/>
              <w:spacing w:before="0" w:beforeAutospacing="0" w:after="0" w:afterAutospacing="0"/>
              <w:ind w:right="34"/>
              <w:rPr>
                <w:rFonts w:ascii="Arial" w:hAnsi="Arial" w:cs="Arial"/>
                <w:szCs w:val="22"/>
              </w:rPr>
            </w:pPr>
          </w:p>
          <w:p w:rsidR="00952D5E" w:rsidRDefault="00952D5E" w:rsidP="00005AE5">
            <w:pPr>
              <w:pStyle w:val="NormalWeb"/>
              <w:spacing w:before="0" w:beforeAutospacing="0" w:after="0" w:afterAutospacing="0"/>
              <w:ind w:right="34"/>
              <w:rPr>
                <w:rFonts w:ascii="Arial" w:hAnsi="Arial" w:cs="Arial"/>
                <w:szCs w:val="22"/>
              </w:rPr>
            </w:pPr>
          </w:p>
          <w:p w:rsidR="00952D5E" w:rsidRPr="00230F35"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Assignment due date:</w:t>
            </w:r>
            <w:r>
              <w:rPr>
                <w:rFonts w:ascii="Arial" w:hAnsi="Arial" w:cs="Arial" w:hint="eastAsia"/>
                <w:sz w:val="22"/>
                <w:szCs w:val="22"/>
              </w:rPr>
              <w:t xml:space="preserve"> June 17</w:t>
            </w:r>
            <w:r w:rsidRPr="007522DF">
              <w:rPr>
                <w:rFonts w:ascii="Arial" w:hAnsi="Arial" w:cs="Arial" w:hint="eastAsia"/>
                <w:sz w:val="22"/>
                <w:szCs w:val="22"/>
                <w:vertAlign w:val="superscript"/>
              </w:rPr>
              <w:t>th</w:t>
            </w:r>
            <w:r>
              <w:rPr>
                <w:rFonts w:ascii="Arial" w:hAnsi="Arial" w:cs="Arial" w:hint="eastAsia"/>
                <w:sz w:val="22"/>
                <w:szCs w:val="22"/>
              </w:rPr>
              <w:t>, 2019</w:t>
            </w:r>
          </w:p>
        </w:tc>
      </w:tr>
      <w:tr w:rsidR="00952D5E" w:rsidRPr="00230F35" w:rsidTr="00005AE5">
        <w:trPr>
          <w:trHeight w:val="978"/>
        </w:trPr>
        <w:tc>
          <w:tcPr>
            <w:tcW w:w="8856" w:type="dxa"/>
            <w:gridSpan w:val="5"/>
            <w:tcBorders>
              <w:bottom w:val="single" w:sz="4" w:space="0" w:color="000000"/>
            </w:tcBorders>
          </w:tcPr>
          <w:p w:rsidR="00952D5E" w:rsidRDefault="00952D5E" w:rsidP="00005AE5">
            <w:pPr>
              <w:rPr>
                <w:rFonts w:ascii="Arial" w:hAnsi="Arial" w:cs="Arial"/>
              </w:rPr>
            </w:pPr>
            <w:r>
              <w:rPr>
                <w:rFonts w:ascii="Arial" w:hAnsi="Arial" w:cs="Arial"/>
                <w:sz w:val="22"/>
              </w:rPr>
              <w:t>If your module has multiple submissions please indicate which piece of work this is.</w:t>
            </w:r>
          </w:p>
          <w:p w:rsidR="00952D5E" w:rsidRDefault="00952D5E" w:rsidP="00005AE5">
            <w:pPr>
              <w:rPr>
                <w:rFonts w:ascii="Arial" w:hAnsi="Arial" w:cs="Arial"/>
              </w:rPr>
            </w:pPr>
          </w:p>
          <w:p w:rsidR="00952D5E" w:rsidRPr="00230F35" w:rsidRDefault="00952D5E" w:rsidP="0002230F">
            <w:pPr>
              <w:rPr>
                <w:rFonts w:ascii="Arial" w:hAnsi="Arial" w:cs="Arial"/>
              </w:rPr>
            </w:pPr>
            <w:r w:rsidRPr="00230F35">
              <w:rPr>
                <w:rFonts w:ascii="Arial" w:hAnsi="Arial" w:cs="Arial"/>
                <w:sz w:val="22"/>
              </w:rPr>
              <w:t>1</w:t>
            </w:r>
            <w:r w:rsidRPr="00230F35">
              <w:rPr>
                <w:rFonts w:ascii="Arial" w:hAnsi="Arial" w:cs="Arial"/>
                <w:sz w:val="22"/>
                <w:vertAlign w:val="superscript"/>
              </w:rPr>
              <w:t xml:space="preserve">st </w:t>
            </w:r>
            <w:r w:rsidR="0002230F" w:rsidRPr="0002230F">
              <w:rPr>
                <w:rFonts w:ascii="Arial" w:hAnsi="Arial" w:cs="Arial"/>
                <w:sz w:val="28"/>
                <w:szCs w:val="28"/>
              </w:rPr>
              <w:sym w:font="Wingdings" w:char="F0FE"/>
            </w:r>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r w:rsidR="00F625D4" w:rsidRPr="00230F35">
              <w:rPr>
                <w:rFonts w:ascii="Arial" w:hAnsi="Arial" w:cs="Arial"/>
                <w:sz w:val="22"/>
              </w:rPr>
              <w:fldChar w:fldCharType="begin">
                <w:ffData>
                  <w:name w:val="Check14"/>
                  <w:enabled/>
                  <w:calcOnExit w:val="0"/>
                  <w:checkBox>
                    <w:sizeAuto/>
                    <w:default w:val="0"/>
                  </w:checkBox>
                </w:ffData>
              </w:fldChar>
            </w:r>
            <w:bookmarkStart w:id="0" w:name="Check14"/>
            <w:r w:rsidRPr="00230F35">
              <w:rPr>
                <w:rFonts w:ascii="Arial" w:hAnsi="Arial" w:cs="Arial"/>
                <w:sz w:val="22"/>
              </w:rPr>
              <w:instrText xml:space="preserve"> FORMCHECKBOX </w:instrText>
            </w:r>
            <w:r w:rsidR="00F625D4" w:rsidRPr="00230F35">
              <w:rPr>
                <w:rFonts w:ascii="Arial" w:hAnsi="Arial" w:cs="Arial"/>
                <w:sz w:val="22"/>
              </w:rPr>
            </w:r>
            <w:r w:rsidR="00F625D4" w:rsidRPr="00230F35">
              <w:rPr>
                <w:rFonts w:ascii="Arial" w:hAnsi="Arial" w:cs="Arial"/>
                <w:sz w:val="22"/>
              </w:rPr>
              <w:fldChar w:fldCharType="end"/>
            </w:r>
            <w:bookmarkEnd w:id="0"/>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r w:rsidR="00F625D4" w:rsidRPr="00230F35">
              <w:rPr>
                <w:rFonts w:ascii="Arial" w:hAnsi="Arial" w:cs="Arial"/>
                <w:sz w:val="22"/>
              </w:rPr>
              <w:fldChar w:fldCharType="begin">
                <w:ffData>
                  <w:name w:val="Check15"/>
                  <w:enabled/>
                  <w:calcOnExit w:val="0"/>
                  <w:checkBox>
                    <w:sizeAuto/>
                    <w:default w:val="0"/>
                  </w:checkBox>
                </w:ffData>
              </w:fldChar>
            </w:r>
            <w:bookmarkStart w:id="1" w:name="Check15"/>
            <w:r w:rsidRPr="00230F35">
              <w:rPr>
                <w:rFonts w:ascii="Arial" w:hAnsi="Arial" w:cs="Arial"/>
                <w:sz w:val="22"/>
              </w:rPr>
              <w:instrText xml:space="preserve"> FORMCHECKBOX </w:instrText>
            </w:r>
            <w:r w:rsidR="00F625D4" w:rsidRPr="00230F35">
              <w:rPr>
                <w:rFonts w:ascii="Arial" w:hAnsi="Arial" w:cs="Arial"/>
                <w:sz w:val="22"/>
              </w:rPr>
            </w:r>
            <w:r w:rsidR="00F625D4" w:rsidRPr="00230F35">
              <w:rPr>
                <w:rFonts w:ascii="Arial" w:hAnsi="Arial" w:cs="Arial"/>
                <w:sz w:val="22"/>
              </w:rPr>
              <w:fldChar w:fldCharType="end"/>
            </w:r>
            <w:bookmarkEnd w:id="1"/>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r w:rsidR="00F625D4" w:rsidRPr="00230F35">
              <w:rPr>
                <w:rFonts w:ascii="Arial" w:hAnsi="Arial" w:cs="Arial"/>
                <w:sz w:val="22"/>
              </w:rPr>
              <w:fldChar w:fldCharType="begin">
                <w:ffData>
                  <w:name w:val="Check16"/>
                  <w:enabled/>
                  <w:calcOnExit w:val="0"/>
                  <w:checkBox>
                    <w:sizeAuto/>
                    <w:default w:val="0"/>
                  </w:checkBox>
                </w:ffData>
              </w:fldChar>
            </w:r>
            <w:bookmarkStart w:id="2" w:name="Check16"/>
            <w:r w:rsidRPr="00230F35">
              <w:rPr>
                <w:rFonts w:ascii="Arial" w:hAnsi="Arial" w:cs="Arial"/>
                <w:sz w:val="22"/>
              </w:rPr>
              <w:instrText xml:space="preserve"> FORMCHECKBOX </w:instrText>
            </w:r>
            <w:r w:rsidR="00F625D4" w:rsidRPr="00230F35">
              <w:rPr>
                <w:rFonts w:ascii="Arial" w:hAnsi="Arial" w:cs="Arial"/>
                <w:sz w:val="22"/>
              </w:rPr>
            </w:r>
            <w:r w:rsidR="00F625D4" w:rsidRPr="00230F35">
              <w:rPr>
                <w:rFonts w:ascii="Arial" w:hAnsi="Arial" w:cs="Arial"/>
                <w:sz w:val="22"/>
              </w:rPr>
              <w:fldChar w:fldCharType="end"/>
            </w:r>
            <w:bookmarkEnd w:id="2"/>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r w:rsidR="00F625D4" w:rsidRPr="00230F35">
              <w:rPr>
                <w:rFonts w:ascii="Arial" w:hAnsi="Arial" w:cs="Arial"/>
                <w:sz w:val="22"/>
              </w:rPr>
              <w:fldChar w:fldCharType="begin">
                <w:ffData>
                  <w:name w:val="Check17"/>
                  <w:enabled/>
                  <w:calcOnExit w:val="0"/>
                  <w:checkBox>
                    <w:sizeAuto/>
                    <w:default w:val="0"/>
                  </w:checkBox>
                </w:ffData>
              </w:fldChar>
            </w:r>
            <w:bookmarkStart w:id="3" w:name="Check17"/>
            <w:r w:rsidRPr="00230F35">
              <w:rPr>
                <w:rFonts w:ascii="Arial" w:hAnsi="Arial" w:cs="Arial"/>
                <w:sz w:val="22"/>
              </w:rPr>
              <w:instrText xml:space="preserve"> FORMCHECKBOX </w:instrText>
            </w:r>
            <w:r w:rsidR="00F625D4" w:rsidRPr="00230F35">
              <w:rPr>
                <w:rFonts w:ascii="Arial" w:hAnsi="Arial" w:cs="Arial"/>
                <w:sz w:val="22"/>
              </w:rPr>
            </w:r>
            <w:r w:rsidR="00F625D4" w:rsidRPr="00230F35">
              <w:rPr>
                <w:rFonts w:ascii="Arial" w:hAnsi="Arial" w:cs="Arial"/>
                <w:sz w:val="22"/>
              </w:rPr>
              <w:fldChar w:fldCharType="end"/>
            </w:r>
            <w:bookmarkEnd w:id="3"/>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r w:rsidR="00F625D4" w:rsidRPr="00230F35">
              <w:rPr>
                <w:rFonts w:ascii="Arial" w:hAnsi="Arial" w:cs="Arial"/>
                <w:sz w:val="22"/>
              </w:rPr>
              <w:fldChar w:fldCharType="begin">
                <w:ffData>
                  <w:name w:val="Check18"/>
                  <w:enabled/>
                  <w:calcOnExit w:val="0"/>
                  <w:checkBox>
                    <w:sizeAuto/>
                    <w:default w:val="0"/>
                  </w:checkBox>
                </w:ffData>
              </w:fldChar>
            </w:r>
            <w:bookmarkStart w:id="4" w:name="Check18"/>
            <w:r w:rsidRPr="00230F35">
              <w:rPr>
                <w:rFonts w:ascii="Arial" w:hAnsi="Arial" w:cs="Arial"/>
                <w:sz w:val="22"/>
              </w:rPr>
              <w:instrText xml:space="preserve"> FORMCHECKBOX </w:instrText>
            </w:r>
            <w:r w:rsidR="00F625D4" w:rsidRPr="00230F35">
              <w:rPr>
                <w:rFonts w:ascii="Arial" w:hAnsi="Arial" w:cs="Arial"/>
                <w:sz w:val="22"/>
              </w:rPr>
            </w:r>
            <w:r w:rsidR="00F625D4" w:rsidRPr="00230F35">
              <w:rPr>
                <w:rFonts w:ascii="Arial" w:hAnsi="Arial" w:cs="Arial"/>
                <w:sz w:val="22"/>
              </w:rPr>
              <w:fldChar w:fldCharType="end"/>
            </w:r>
            <w:bookmarkEnd w:id="4"/>
          </w:p>
        </w:tc>
      </w:tr>
      <w:tr w:rsidR="00952D5E" w:rsidRPr="00230F35" w:rsidTr="00005AE5">
        <w:trPr>
          <w:trHeight w:val="978"/>
        </w:trPr>
        <w:tc>
          <w:tcPr>
            <w:tcW w:w="8856" w:type="dxa"/>
            <w:gridSpan w:val="5"/>
            <w:shd w:val="clear" w:color="auto" w:fill="D9D9D9"/>
          </w:tcPr>
          <w:p w:rsidR="00952D5E" w:rsidRPr="00230F35"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I confirm that this is my original work and that I have adhered to the University policy on plagiarism.</w:t>
            </w:r>
          </w:p>
          <w:p w:rsidR="00952D5E" w:rsidRDefault="00952D5E" w:rsidP="00005AE5">
            <w:pPr>
              <w:pStyle w:val="NormalWeb"/>
              <w:spacing w:before="0" w:beforeAutospacing="0" w:after="0" w:afterAutospacing="0"/>
              <w:ind w:right="34"/>
              <w:rPr>
                <w:rFonts w:ascii="Arial" w:hAnsi="Arial" w:cs="Arial"/>
                <w:szCs w:val="22"/>
              </w:rPr>
            </w:pPr>
            <w:r w:rsidRPr="00230F35">
              <w:rPr>
                <w:rFonts w:ascii="Arial" w:hAnsi="Arial" w:cs="Arial"/>
                <w:sz w:val="22"/>
                <w:szCs w:val="22"/>
              </w:rPr>
              <w:t>Signed …………</w:t>
            </w:r>
            <w:r>
              <w:rPr>
                <w:rFonts w:ascii="Arial" w:hAnsi="Arial" w:cs="Arial" w:hint="eastAsia"/>
                <w:sz w:val="22"/>
                <w:szCs w:val="22"/>
              </w:rPr>
              <w:t>Clinton Briar</w:t>
            </w:r>
            <w:r w:rsidRPr="00230F35">
              <w:rPr>
                <w:rFonts w:ascii="Arial" w:hAnsi="Arial" w:cs="Arial"/>
                <w:sz w:val="22"/>
                <w:szCs w:val="22"/>
              </w:rPr>
              <w:t>…………………………………………………</w:t>
            </w:r>
          </w:p>
          <w:p w:rsidR="00952D5E" w:rsidRDefault="00952D5E" w:rsidP="00005AE5">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rsidR="00952D5E" w:rsidRPr="00230F35" w:rsidRDefault="00952D5E" w:rsidP="00005AE5">
            <w:pPr>
              <w:pStyle w:val="NormalWeb"/>
              <w:spacing w:before="0" w:beforeAutospacing="0" w:after="0" w:afterAutospacing="0"/>
              <w:ind w:right="34"/>
              <w:rPr>
                <w:rFonts w:ascii="Arial" w:hAnsi="Arial" w:cs="Arial"/>
                <w:szCs w:val="22"/>
              </w:rPr>
            </w:pPr>
            <w:r>
              <w:rPr>
                <w:rFonts w:ascii="Calibri" w:hAnsi="Calibri" w:cs="Tahoma"/>
                <w:b/>
                <w:sz w:val="24"/>
                <w:szCs w:val="24"/>
              </w:rPr>
              <w:t>(as a substitute for your signature) to confirm that you agree to the above declaration.</w:t>
            </w:r>
          </w:p>
        </w:tc>
      </w:tr>
      <w:tr w:rsidR="00952D5E" w:rsidRPr="00230F35" w:rsidTr="00005AE5">
        <w:trPr>
          <w:trHeight w:val="3972"/>
        </w:trPr>
        <w:tc>
          <w:tcPr>
            <w:tcW w:w="8856" w:type="dxa"/>
            <w:gridSpan w:val="5"/>
          </w:tcPr>
          <w:p w:rsidR="00952D5E" w:rsidRDefault="00952D5E" w:rsidP="00005AE5">
            <w:pPr>
              <w:rPr>
                <w:rFonts w:ascii="Arial" w:hAnsi="Arial"/>
                <w:b/>
              </w:rPr>
            </w:pPr>
          </w:p>
          <w:p w:rsidR="00952D5E" w:rsidRPr="00116CE6" w:rsidRDefault="00952D5E" w:rsidP="00005AE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952D5E" w:rsidRPr="00116CE6" w:rsidTr="00005AE5">
              <w:tc>
                <w:tcPr>
                  <w:tcW w:w="6970" w:type="dxa"/>
                </w:tcPr>
                <w:p w:rsidR="00952D5E" w:rsidRPr="00116CE6" w:rsidRDefault="00952D5E" w:rsidP="00005AE5">
                  <w:pPr>
                    <w:rPr>
                      <w:rFonts w:ascii="Arial" w:hAnsi="Arial"/>
                      <w:sz w:val="20"/>
                      <w:szCs w:val="20"/>
                    </w:rPr>
                  </w:pPr>
                </w:p>
                <w:p w:rsidR="00952D5E" w:rsidRPr="00116CE6" w:rsidRDefault="00952D5E" w:rsidP="00005AE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952D5E" w:rsidRPr="00116CE6" w:rsidRDefault="00952D5E" w:rsidP="00005AE5">
                  <w:pPr>
                    <w:rPr>
                      <w:rFonts w:ascii="Arial" w:hAnsi="Arial"/>
                      <w:sz w:val="20"/>
                      <w:szCs w:val="20"/>
                    </w:rPr>
                  </w:pPr>
                </w:p>
              </w:tc>
            </w:tr>
            <w:tr w:rsidR="00952D5E" w:rsidRPr="00116CE6" w:rsidTr="00005AE5">
              <w:tc>
                <w:tcPr>
                  <w:tcW w:w="6970" w:type="dxa"/>
                </w:tcPr>
                <w:p w:rsidR="00952D5E" w:rsidRPr="00116CE6" w:rsidRDefault="00952D5E" w:rsidP="00005AE5">
                  <w:pPr>
                    <w:rPr>
                      <w:rFonts w:ascii="Arial" w:hAnsi="Arial"/>
                      <w:sz w:val="20"/>
                      <w:szCs w:val="20"/>
                    </w:rPr>
                  </w:pPr>
                </w:p>
                <w:p w:rsidR="00952D5E" w:rsidRPr="00116CE6" w:rsidRDefault="00952D5E" w:rsidP="00005AE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952D5E" w:rsidRPr="00116CE6" w:rsidRDefault="00952D5E" w:rsidP="00005AE5">
                  <w:pPr>
                    <w:rPr>
                      <w:rFonts w:ascii="Arial" w:hAnsi="Arial"/>
                      <w:sz w:val="20"/>
                      <w:szCs w:val="20"/>
                    </w:rPr>
                  </w:pPr>
                </w:p>
              </w:tc>
            </w:tr>
            <w:tr w:rsidR="00952D5E" w:rsidRPr="00116CE6" w:rsidTr="00005AE5">
              <w:tc>
                <w:tcPr>
                  <w:tcW w:w="6970" w:type="dxa"/>
                </w:tcPr>
                <w:p w:rsidR="00952D5E" w:rsidRPr="006367FD" w:rsidRDefault="00952D5E" w:rsidP="00005AE5">
                  <w:pPr>
                    <w:rPr>
                      <w:rFonts w:ascii="Arial" w:hAnsi="Arial"/>
                      <w:color w:val="000000"/>
                      <w:sz w:val="20"/>
                      <w:szCs w:val="20"/>
                    </w:rPr>
                  </w:pPr>
                  <w:r w:rsidRPr="006367FD">
                    <w:rPr>
                      <w:rFonts w:ascii="Arial" w:hAnsi="Arial"/>
                      <w:color w:val="000000"/>
                      <w:sz w:val="20"/>
                      <w:szCs w:val="20"/>
                    </w:rPr>
                    <w:t xml:space="preserve">Agreed Internal Mark: </w:t>
                  </w:r>
                </w:p>
                <w:p w:rsidR="00952D5E" w:rsidRPr="00E14D2E" w:rsidRDefault="00952D5E" w:rsidP="00005AE5">
                  <w:pPr>
                    <w:rPr>
                      <w:rFonts w:ascii="Arial" w:hAnsi="Arial"/>
                      <w:sz w:val="20"/>
                      <w:szCs w:val="20"/>
                      <w:highlight w:val="yellow"/>
                    </w:rPr>
                  </w:pPr>
                </w:p>
              </w:tc>
              <w:tc>
                <w:tcPr>
                  <w:tcW w:w="1660" w:type="dxa"/>
                </w:tcPr>
                <w:p w:rsidR="00952D5E" w:rsidRPr="00E14D2E" w:rsidRDefault="00952D5E" w:rsidP="00005AE5">
                  <w:pPr>
                    <w:rPr>
                      <w:rFonts w:ascii="Arial" w:hAnsi="Arial"/>
                      <w:sz w:val="20"/>
                      <w:szCs w:val="20"/>
                      <w:highlight w:val="yellow"/>
                    </w:rPr>
                  </w:pPr>
                </w:p>
              </w:tc>
            </w:tr>
            <w:tr w:rsidR="00952D5E" w:rsidRPr="00116CE6" w:rsidTr="00005AE5">
              <w:tc>
                <w:tcPr>
                  <w:tcW w:w="6970" w:type="dxa"/>
                </w:tcPr>
                <w:p w:rsidR="00952D5E" w:rsidRPr="00116CE6" w:rsidRDefault="00952D5E" w:rsidP="00005AE5">
                  <w:pPr>
                    <w:rPr>
                      <w:rFonts w:ascii="Arial" w:hAnsi="Arial"/>
                      <w:sz w:val="20"/>
                      <w:szCs w:val="20"/>
                    </w:rPr>
                  </w:pPr>
                </w:p>
                <w:p w:rsidR="00952D5E" w:rsidRPr="00116CE6" w:rsidRDefault="00952D5E" w:rsidP="00005AE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952D5E" w:rsidRPr="00116CE6" w:rsidRDefault="00952D5E" w:rsidP="00005AE5">
                  <w:pPr>
                    <w:rPr>
                      <w:rFonts w:ascii="Arial" w:hAnsi="Arial"/>
                      <w:sz w:val="20"/>
                      <w:szCs w:val="20"/>
                    </w:rPr>
                  </w:pPr>
                </w:p>
              </w:tc>
            </w:tr>
            <w:tr w:rsidR="00952D5E" w:rsidRPr="00116CE6" w:rsidTr="00005AE5">
              <w:tc>
                <w:tcPr>
                  <w:tcW w:w="6970" w:type="dxa"/>
                </w:tcPr>
                <w:p w:rsidR="00952D5E" w:rsidRDefault="00952D5E" w:rsidP="00005AE5">
                  <w:pPr>
                    <w:rPr>
                      <w:rFonts w:ascii="Arial" w:hAnsi="Arial"/>
                      <w:sz w:val="20"/>
                      <w:szCs w:val="20"/>
                    </w:rPr>
                  </w:pPr>
                </w:p>
                <w:p w:rsidR="00952D5E" w:rsidRPr="00022345" w:rsidRDefault="00952D5E" w:rsidP="00005AE5">
                  <w:pPr>
                    <w:rPr>
                      <w:rFonts w:ascii="Arial" w:hAnsi="Arial"/>
                      <w:b/>
                      <w:sz w:val="20"/>
                      <w:szCs w:val="20"/>
                    </w:rPr>
                  </w:pPr>
                  <w:r w:rsidRPr="00022345">
                    <w:rPr>
                      <w:rFonts w:ascii="Arial" w:hAnsi="Arial"/>
                      <w:b/>
                      <w:sz w:val="20"/>
                      <w:szCs w:val="20"/>
                    </w:rPr>
                    <w:t>Final Mark</w:t>
                  </w:r>
                </w:p>
                <w:p w:rsidR="00952D5E" w:rsidRPr="00116CE6" w:rsidRDefault="00952D5E" w:rsidP="00005AE5">
                  <w:pPr>
                    <w:rPr>
                      <w:rFonts w:ascii="Arial" w:hAnsi="Arial"/>
                      <w:sz w:val="20"/>
                      <w:szCs w:val="20"/>
                    </w:rPr>
                  </w:pPr>
                </w:p>
              </w:tc>
              <w:tc>
                <w:tcPr>
                  <w:tcW w:w="1660" w:type="dxa"/>
                </w:tcPr>
                <w:p w:rsidR="00952D5E" w:rsidRPr="00116CE6" w:rsidRDefault="00952D5E" w:rsidP="00005AE5">
                  <w:pPr>
                    <w:rPr>
                      <w:rFonts w:ascii="Arial" w:hAnsi="Arial"/>
                      <w:sz w:val="20"/>
                      <w:szCs w:val="20"/>
                    </w:rPr>
                  </w:pPr>
                </w:p>
              </w:tc>
            </w:tr>
          </w:tbl>
          <w:p w:rsidR="00952D5E" w:rsidRDefault="00952D5E" w:rsidP="00005AE5">
            <w:pPr>
              <w:pStyle w:val="NormalWeb"/>
              <w:spacing w:before="0" w:beforeAutospacing="0" w:after="0" w:afterAutospacing="0"/>
              <w:ind w:left="142" w:right="34"/>
              <w:rPr>
                <w:rFonts w:ascii="Arial" w:hAnsi="Arial" w:cs="Arial"/>
                <w:b/>
                <w:szCs w:val="22"/>
              </w:rPr>
            </w:pPr>
          </w:p>
          <w:p w:rsidR="00952D5E" w:rsidRPr="00230F35" w:rsidRDefault="00952D5E" w:rsidP="00005AE5">
            <w:pPr>
              <w:pStyle w:val="NormalWeb"/>
              <w:spacing w:before="0" w:beforeAutospacing="0" w:after="0" w:afterAutospacing="0"/>
              <w:ind w:left="142" w:right="34"/>
              <w:rPr>
                <w:rFonts w:ascii="Arial" w:hAnsi="Arial" w:cs="Arial"/>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952D5E" w:rsidRDefault="00952D5E" w:rsidP="00005AE5">
            <w:pPr>
              <w:pStyle w:val="NormalWeb"/>
              <w:spacing w:before="0" w:beforeAutospacing="0" w:after="0" w:afterAutospacing="0"/>
              <w:rPr>
                <w:rFonts w:ascii="Arial" w:hAnsi="Arial" w:cs="Arial"/>
                <w:b/>
                <w:szCs w:val="22"/>
              </w:rPr>
            </w:pPr>
          </w:p>
          <w:p w:rsidR="00952D5E" w:rsidRDefault="00952D5E" w:rsidP="00005AE5">
            <w:pPr>
              <w:pStyle w:val="NormalWeb"/>
              <w:spacing w:before="0" w:beforeAutospacing="0" w:after="0" w:afterAutospacing="0"/>
              <w:rPr>
                <w:rFonts w:ascii="Arial" w:hAnsi="Arial" w:cs="Arial"/>
                <w:b/>
                <w:szCs w:val="22"/>
              </w:rPr>
            </w:pPr>
          </w:p>
          <w:p w:rsidR="00952D5E" w:rsidRPr="00230F35" w:rsidRDefault="00952D5E" w:rsidP="00005AE5">
            <w:pPr>
              <w:pStyle w:val="NormalWeb"/>
              <w:spacing w:before="0" w:beforeAutospacing="0" w:after="0" w:afterAutospacing="0"/>
              <w:rPr>
                <w:rFonts w:ascii="Arial" w:hAnsi="Arial" w:cs="Arial"/>
                <w:b/>
                <w:szCs w:val="22"/>
              </w:rPr>
            </w:pPr>
            <w:r>
              <w:rPr>
                <w:rFonts w:ascii="Arial" w:hAnsi="Arial" w:cs="Arial"/>
                <w:b/>
                <w:sz w:val="22"/>
                <w:szCs w:val="22"/>
              </w:rPr>
              <w:t>For completion by M</w:t>
            </w:r>
            <w:r w:rsidRPr="00230F35">
              <w:rPr>
                <w:rFonts w:ascii="Arial" w:hAnsi="Arial" w:cs="Arial"/>
                <w:b/>
                <w:sz w:val="22"/>
                <w:szCs w:val="22"/>
              </w:rPr>
              <w:t>arker 1 :</w:t>
            </w:r>
          </w:p>
          <w:p w:rsidR="00952D5E" w:rsidRDefault="00952D5E" w:rsidP="00005AE5">
            <w:pPr>
              <w:pStyle w:val="NormalWeb"/>
              <w:rPr>
                <w:rFonts w:ascii="Arial" w:hAnsi="Arial" w:cs="Arial"/>
                <w:szCs w:val="22"/>
              </w:rPr>
            </w:pPr>
            <w:r w:rsidRPr="00230F35">
              <w:rPr>
                <w:rFonts w:ascii="Arial" w:hAnsi="Arial" w:cs="Arial"/>
                <w:sz w:val="22"/>
                <w:szCs w:val="22"/>
              </w:rPr>
              <w:t>Comments</w:t>
            </w:r>
            <w:r>
              <w:rPr>
                <w:rFonts w:ascii="Arial" w:hAnsi="Arial" w:cs="Arial"/>
                <w:sz w:val="22"/>
                <w:szCs w:val="22"/>
              </w:rPr>
              <w:t>:</w:t>
            </w:r>
          </w:p>
          <w:p w:rsidR="00952D5E" w:rsidRPr="00001C3B" w:rsidRDefault="00952D5E" w:rsidP="00005AE5">
            <w:pPr>
              <w:pStyle w:val="NormalWeb"/>
              <w:rPr>
                <w:rFonts w:ascii="Arial" w:hAnsi="Arial" w:cs="Arial"/>
                <w:szCs w:val="22"/>
              </w:rPr>
            </w:pPr>
          </w:p>
        </w:tc>
      </w:tr>
      <w:tr w:rsidR="00952D5E" w:rsidRPr="00230F35" w:rsidTr="00005AE5">
        <w:trPr>
          <w:trHeight w:val="492"/>
        </w:trPr>
        <w:tc>
          <w:tcPr>
            <w:tcW w:w="6768" w:type="dxa"/>
            <w:gridSpan w:val="3"/>
          </w:tcPr>
          <w:p w:rsidR="00952D5E" w:rsidRPr="00230F35" w:rsidRDefault="00952D5E" w:rsidP="00005AE5">
            <w:pPr>
              <w:pStyle w:val="NormalWeb"/>
              <w:ind w:left="142" w:right="34"/>
              <w:rPr>
                <w:rFonts w:ascii="Arial" w:hAnsi="Arial" w:cs="Arial"/>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952D5E" w:rsidRPr="00230F35" w:rsidRDefault="00952D5E" w:rsidP="00005AE5">
            <w:pPr>
              <w:pStyle w:val="NormalWeb"/>
              <w:spacing w:after="0"/>
              <w:ind w:left="142" w:right="34"/>
              <w:rPr>
                <w:rFonts w:ascii="Arial" w:hAnsi="Arial" w:cs="Arial"/>
                <w:szCs w:val="22"/>
              </w:rPr>
            </w:pPr>
            <w:r w:rsidRPr="00230F35">
              <w:rPr>
                <w:rFonts w:ascii="Arial" w:hAnsi="Arial" w:cs="Arial"/>
                <w:sz w:val="22"/>
                <w:szCs w:val="22"/>
              </w:rPr>
              <w:t>Date:</w:t>
            </w:r>
          </w:p>
        </w:tc>
      </w:tr>
      <w:tr w:rsidR="00952D5E" w:rsidRPr="002F467C" w:rsidTr="00005AE5">
        <w:tc>
          <w:tcPr>
            <w:tcW w:w="8856" w:type="dxa"/>
            <w:gridSpan w:val="5"/>
          </w:tcPr>
          <w:p w:rsidR="00952D5E" w:rsidRPr="00230F35" w:rsidRDefault="00952D5E" w:rsidP="00005AE5">
            <w:pPr>
              <w:pStyle w:val="NormalWeb"/>
              <w:spacing w:before="0" w:beforeAutospacing="0" w:after="0" w:afterAutospacing="0"/>
              <w:ind w:right="-334"/>
              <w:rPr>
                <w:rFonts w:ascii="Arial" w:hAnsi="Arial" w:cs="Arial"/>
                <w:bCs/>
                <w:i/>
                <w:szCs w:val="22"/>
              </w:rPr>
            </w:pPr>
          </w:p>
          <w:p w:rsidR="00952D5E" w:rsidRPr="00230F35" w:rsidRDefault="00952D5E" w:rsidP="00005AE5">
            <w:pPr>
              <w:pStyle w:val="NormalWeb"/>
              <w:spacing w:before="0" w:beforeAutospacing="0" w:after="0" w:afterAutospacing="0"/>
              <w:ind w:right="-334"/>
              <w:rPr>
                <w:rFonts w:ascii="Arial" w:hAnsi="Arial" w:cs="Arial"/>
                <w:b/>
                <w:bCs/>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952D5E" w:rsidRPr="00230F35" w:rsidRDefault="00952D5E" w:rsidP="00005AE5">
            <w:pPr>
              <w:pStyle w:val="NormalWeb"/>
              <w:spacing w:before="0" w:beforeAutospacing="0" w:after="0" w:afterAutospacing="0"/>
              <w:ind w:right="-334"/>
              <w:rPr>
                <w:rFonts w:ascii="Arial" w:hAnsi="Arial" w:cs="Arial"/>
                <w:b/>
                <w:bCs/>
                <w:szCs w:val="22"/>
              </w:rPr>
            </w:pPr>
          </w:p>
          <w:p w:rsidR="00952D5E" w:rsidRPr="00230F35" w:rsidRDefault="00952D5E" w:rsidP="00005AE5">
            <w:pPr>
              <w:pStyle w:val="NormalWeb"/>
              <w:spacing w:before="0" w:beforeAutospacing="0" w:after="0" w:afterAutospacing="0"/>
              <w:ind w:right="-334"/>
              <w:rPr>
                <w:rFonts w:ascii="Arial" w:hAnsi="Arial" w:cs="Arial"/>
                <w:bCs/>
                <w:szCs w:val="22"/>
              </w:rPr>
            </w:pPr>
            <w:r w:rsidRPr="00230F35">
              <w:rPr>
                <w:rFonts w:ascii="Arial" w:hAnsi="Arial" w:cs="Arial"/>
                <w:bCs/>
                <w:sz w:val="22"/>
                <w:szCs w:val="22"/>
              </w:rPr>
              <w:t>Comments:</w:t>
            </w:r>
          </w:p>
          <w:p w:rsidR="00952D5E" w:rsidRPr="00230F35" w:rsidRDefault="00952D5E" w:rsidP="00005AE5">
            <w:pPr>
              <w:pStyle w:val="NormalWeb"/>
              <w:spacing w:before="0" w:beforeAutospacing="0" w:after="0" w:afterAutospacing="0"/>
              <w:ind w:right="-334"/>
              <w:rPr>
                <w:rFonts w:ascii="Arial" w:hAnsi="Arial" w:cs="Arial"/>
                <w:bCs/>
                <w:szCs w:val="22"/>
              </w:rPr>
            </w:pPr>
          </w:p>
          <w:p w:rsidR="00952D5E" w:rsidRPr="00230F35" w:rsidRDefault="00952D5E" w:rsidP="00005AE5">
            <w:pPr>
              <w:pStyle w:val="NormalWeb"/>
              <w:spacing w:before="0" w:beforeAutospacing="0" w:after="0" w:afterAutospacing="0"/>
              <w:ind w:right="-334"/>
              <w:rPr>
                <w:rFonts w:ascii="Arial" w:hAnsi="Arial" w:cs="Arial"/>
                <w:bCs/>
                <w:szCs w:val="22"/>
              </w:rPr>
            </w:pPr>
          </w:p>
          <w:p w:rsidR="00952D5E" w:rsidRPr="00230F35" w:rsidRDefault="00952D5E" w:rsidP="00005AE5">
            <w:pPr>
              <w:pStyle w:val="NormalWeb"/>
              <w:spacing w:before="0" w:beforeAutospacing="0" w:after="0" w:afterAutospacing="0"/>
              <w:ind w:right="-334"/>
              <w:rPr>
                <w:rFonts w:ascii="Arial" w:hAnsi="Arial" w:cs="Arial"/>
                <w:bCs/>
                <w:szCs w:val="22"/>
              </w:rPr>
            </w:pPr>
          </w:p>
        </w:tc>
      </w:tr>
      <w:tr w:rsidR="00952D5E" w:rsidRPr="002F467C" w:rsidTr="00005AE5">
        <w:trPr>
          <w:trHeight w:val="720"/>
        </w:trPr>
        <w:tc>
          <w:tcPr>
            <w:tcW w:w="5211" w:type="dxa"/>
            <w:gridSpan w:val="2"/>
          </w:tcPr>
          <w:p w:rsidR="00952D5E" w:rsidRPr="00230F35" w:rsidRDefault="00952D5E" w:rsidP="00005AE5">
            <w:pPr>
              <w:pStyle w:val="NormalWeb"/>
              <w:spacing w:before="0" w:beforeAutospacing="0" w:after="0" w:afterAutospacing="0"/>
              <w:ind w:right="-334"/>
              <w:rPr>
                <w:rFonts w:ascii="Arial" w:hAnsi="Arial" w:cs="Arial"/>
                <w:bCs/>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952D5E" w:rsidRPr="00230F35" w:rsidRDefault="00952D5E" w:rsidP="00005AE5">
            <w:pPr>
              <w:pStyle w:val="NormalWeb"/>
              <w:spacing w:before="0" w:beforeAutospacing="0" w:after="0" w:afterAutospacing="0"/>
              <w:ind w:right="-334"/>
              <w:rPr>
                <w:rFonts w:ascii="Arial" w:hAnsi="Arial" w:cs="Arial"/>
                <w:bCs/>
                <w:szCs w:val="22"/>
              </w:rPr>
            </w:pPr>
            <w:r w:rsidRPr="00230F35">
              <w:rPr>
                <w:rFonts w:ascii="Arial" w:hAnsi="Arial" w:cs="Arial"/>
                <w:bCs/>
                <w:sz w:val="22"/>
                <w:szCs w:val="22"/>
              </w:rPr>
              <w:t>Date:</w:t>
            </w:r>
          </w:p>
        </w:tc>
      </w:tr>
      <w:tr w:rsidR="00952D5E" w:rsidRPr="002F467C" w:rsidTr="00005AE5">
        <w:trPr>
          <w:trHeight w:val="720"/>
        </w:trPr>
        <w:tc>
          <w:tcPr>
            <w:tcW w:w="8856" w:type="dxa"/>
            <w:gridSpan w:val="5"/>
          </w:tcPr>
          <w:p w:rsidR="00952D5E" w:rsidRPr="006367FD" w:rsidRDefault="00952D5E" w:rsidP="00005AE5">
            <w:pPr>
              <w:rPr>
                <w:rFonts w:ascii="Arial" w:hAnsi="Arial" w:cs="Arial"/>
                <w:b/>
              </w:rPr>
            </w:pPr>
            <w:r w:rsidRPr="006367FD">
              <w:rPr>
                <w:rFonts w:ascii="Arial" w:hAnsi="Arial" w:cs="Arial"/>
                <w:b/>
                <w:sz w:val="22"/>
              </w:rPr>
              <w:t>AGREED INTERNAL MARK (where necessary):</w:t>
            </w:r>
          </w:p>
          <w:p w:rsidR="00952D5E" w:rsidRPr="006367FD" w:rsidRDefault="00952D5E" w:rsidP="00005AE5">
            <w:pPr>
              <w:rPr>
                <w:rFonts w:ascii="Arial" w:hAnsi="Arial" w:cs="Arial"/>
                <w:b/>
              </w:rPr>
            </w:pPr>
          </w:p>
          <w:p w:rsidR="00952D5E" w:rsidRDefault="00952D5E" w:rsidP="00005AE5">
            <w:pPr>
              <w:rPr>
                <w:rFonts w:ascii="Arial" w:hAnsi="Arial" w:cs="Arial"/>
                <w:b/>
              </w:rPr>
            </w:pPr>
            <w:r w:rsidRPr="006367FD">
              <w:rPr>
                <w:rFonts w:ascii="Arial" w:hAnsi="Arial" w:cs="Arial"/>
                <w:b/>
                <w:sz w:val="22"/>
              </w:rPr>
              <w:t>Comment on process of arriving at agreed mark:</w:t>
            </w:r>
          </w:p>
          <w:p w:rsidR="00952D5E" w:rsidRDefault="00952D5E" w:rsidP="00005AE5">
            <w:pPr>
              <w:rPr>
                <w:rFonts w:ascii="Arial" w:hAnsi="Arial" w:cs="Arial"/>
                <w:b/>
              </w:rPr>
            </w:pPr>
          </w:p>
          <w:p w:rsidR="00952D5E" w:rsidRDefault="00952D5E" w:rsidP="00005AE5">
            <w:pPr>
              <w:rPr>
                <w:rFonts w:ascii="Arial" w:hAnsi="Arial" w:cs="Arial"/>
                <w:b/>
              </w:rPr>
            </w:pPr>
          </w:p>
          <w:p w:rsidR="00952D5E" w:rsidRDefault="00952D5E" w:rsidP="00005AE5">
            <w:pPr>
              <w:rPr>
                <w:rFonts w:ascii="Arial" w:hAnsi="Arial" w:cs="Arial"/>
                <w:b/>
              </w:rPr>
            </w:pPr>
          </w:p>
          <w:p w:rsidR="00952D5E" w:rsidRDefault="00952D5E" w:rsidP="00005AE5">
            <w:pPr>
              <w:rPr>
                <w:rFonts w:ascii="Arial" w:hAnsi="Arial" w:cs="Arial"/>
                <w:b/>
              </w:rPr>
            </w:pPr>
          </w:p>
          <w:p w:rsidR="00952D5E" w:rsidRPr="00B34964" w:rsidRDefault="00952D5E" w:rsidP="00005AE5">
            <w:pPr>
              <w:rPr>
                <w:rFonts w:ascii="Arial" w:hAnsi="Arial" w:cs="Arial"/>
                <w:b/>
              </w:rPr>
            </w:pPr>
          </w:p>
        </w:tc>
      </w:tr>
      <w:tr w:rsidR="00952D5E" w:rsidRPr="002F467C" w:rsidTr="00005AE5">
        <w:trPr>
          <w:trHeight w:val="720"/>
        </w:trPr>
        <w:tc>
          <w:tcPr>
            <w:tcW w:w="8856" w:type="dxa"/>
            <w:gridSpan w:val="5"/>
          </w:tcPr>
          <w:p w:rsidR="00952D5E" w:rsidRPr="00B34964" w:rsidRDefault="00952D5E" w:rsidP="00005AE5">
            <w:pPr>
              <w:rPr>
                <w:rFonts w:ascii="Arial" w:hAnsi="Arial" w:cs="Arial"/>
                <w:b/>
              </w:rPr>
            </w:pPr>
            <w:r w:rsidRPr="00B34964">
              <w:rPr>
                <w:rFonts w:ascii="Arial" w:hAnsi="Arial" w:cs="Arial"/>
                <w:b/>
                <w:sz w:val="22"/>
              </w:rPr>
              <w:t>External Examiner’s comments (if relevant)</w:t>
            </w:r>
          </w:p>
          <w:p w:rsidR="00952D5E" w:rsidRDefault="00952D5E" w:rsidP="00005AE5">
            <w:pPr>
              <w:pStyle w:val="NormalWeb"/>
              <w:spacing w:before="0" w:beforeAutospacing="0" w:after="0" w:afterAutospacing="0"/>
              <w:ind w:right="-334"/>
              <w:rPr>
                <w:rFonts w:ascii="Arial" w:hAnsi="Arial" w:cs="Arial"/>
                <w:bCs/>
                <w:szCs w:val="22"/>
              </w:rPr>
            </w:pPr>
          </w:p>
          <w:p w:rsidR="00952D5E" w:rsidRDefault="00952D5E" w:rsidP="00005AE5">
            <w:pPr>
              <w:pStyle w:val="NormalWeb"/>
              <w:spacing w:before="0" w:beforeAutospacing="0" w:after="0" w:afterAutospacing="0"/>
              <w:ind w:right="-334"/>
              <w:rPr>
                <w:rFonts w:ascii="Arial" w:hAnsi="Arial" w:cs="Arial"/>
                <w:bCs/>
                <w:szCs w:val="22"/>
              </w:rPr>
            </w:pPr>
          </w:p>
          <w:p w:rsidR="00952D5E" w:rsidRDefault="00952D5E" w:rsidP="00005AE5">
            <w:pPr>
              <w:pStyle w:val="NormalWeb"/>
              <w:spacing w:before="0" w:beforeAutospacing="0" w:after="0" w:afterAutospacing="0"/>
              <w:ind w:right="-334"/>
              <w:rPr>
                <w:rFonts w:ascii="Arial" w:hAnsi="Arial" w:cs="Arial"/>
                <w:bCs/>
                <w:szCs w:val="22"/>
              </w:rPr>
            </w:pPr>
          </w:p>
          <w:p w:rsidR="00952D5E" w:rsidRPr="00230F35" w:rsidRDefault="00952D5E" w:rsidP="00005AE5">
            <w:pPr>
              <w:pStyle w:val="NormalWeb"/>
              <w:spacing w:before="0" w:beforeAutospacing="0" w:after="0" w:afterAutospacing="0"/>
              <w:ind w:right="-334"/>
              <w:rPr>
                <w:rFonts w:ascii="Arial" w:hAnsi="Arial" w:cs="Arial"/>
                <w:bCs/>
                <w:szCs w:val="22"/>
              </w:rPr>
            </w:pPr>
          </w:p>
        </w:tc>
      </w:tr>
      <w:tr w:rsidR="00952D5E" w:rsidRPr="002F467C" w:rsidTr="00005AE5">
        <w:trPr>
          <w:trHeight w:val="720"/>
        </w:trPr>
        <w:tc>
          <w:tcPr>
            <w:tcW w:w="5211" w:type="dxa"/>
            <w:gridSpan w:val="2"/>
          </w:tcPr>
          <w:p w:rsidR="00952D5E" w:rsidRPr="00230F35" w:rsidRDefault="00952D5E" w:rsidP="00005AE5">
            <w:pPr>
              <w:rPr>
                <w:rFonts w:ascii="Arial" w:hAnsi="Arial" w:cs="Arial"/>
              </w:rPr>
            </w:pPr>
            <w:r w:rsidRPr="00230F35">
              <w:rPr>
                <w:rFonts w:ascii="Arial" w:hAnsi="Arial" w:cs="Arial"/>
                <w:sz w:val="22"/>
              </w:rPr>
              <w:t>External Examiner’s Signature:</w:t>
            </w:r>
          </w:p>
        </w:tc>
        <w:tc>
          <w:tcPr>
            <w:tcW w:w="3645" w:type="dxa"/>
            <w:gridSpan w:val="3"/>
          </w:tcPr>
          <w:p w:rsidR="00952D5E" w:rsidRPr="00230F35" w:rsidRDefault="00952D5E" w:rsidP="00005AE5">
            <w:pPr>
              <w:rPr>
                <w:rFonts w:ascii="Arial" w:hAnsi="Arial" w:cs="Arial"/>
              </w:rPr>
            </w:pPr>
            <w:r w:rsidRPr="00230F35">
              <w:rPr>
                <w:rFonts w:ascii="Arial" w:hAnsi="Arial" w:cs="Arial"/>
                <w:sz w:val="22"/>
              </w:rPr>
              <w:t>Date:</w:t>
            </w:r>
          </w:p>
        </w:tc>
      </w:tr>
    </w:tbl>
    <w:p w:rsidR="00952D5E" w:rsidRDefault="00952D5E" w:rsidP="00952D5E">
      <w:pPr>
        <w:jc w:val="left"/>
        <w:rPr>
          <w:rFonts w:ascii="Times New Roman" w:hAnsi="Times New Roman" w:cs="Times New Roman"/>
          <w:b/>
          <w:kern w:val="0"/>
          <w:sz w:val="28"/>
          <w:szCs w:val="28"/>
        </w:rPr>
      </w:pPr>
    </w:p>
    <w:p w:rsidR="00830117" w:rsidRDefault="00830117" w:rsidP="008D7E2E">
      <w:pPr>
        <w:jc w:val="center"/>
        <w:rPr>
          <w:rFonts w:ascii="Times New Roman" w:hAnsi="Times New Roman" w:cs="Times New Roman"/>
          <w:b/>
          <w:kern w:val="0"/>
          <w:sz w:val="28"/>
          <w:szCs w:val="28"/>
        </w:rPr>
      </w:pPr>
    </w:p>
    <w:p w:rsidR="008D7E2E" w:rsidRPr="00B84704" w:rsidRDefault="00447471" w:rsidP="008D7E2E">
      <w:pPr>
        <w:jc w:val="center"/>
        <w:rPr>
          <w:rFonts w:ascii="Times New Roman" w:hAnsi="Times New Roman" w:cs="Times New Roman"/>
          <w:b/>
          <w:kern w:val="0"/>
          <w:sz w:val="28"/>
          <w:szCs w:val="28"/>
        </w:rPr>
      </w:pPr>
      <w:r>
        <w:rPr>
          <w:rFonts w:ascii="Times New Roman" w:hAnsi="Times New Roman" w:cs="Times New Roman" w:hint="eastAsia"/>
          <w:b/>
          <w:kern w:val="0"/>
          <w:sz w:val="28"/>
          <w:szCs w:val="28"/>
        </w:rPr>
        <w:lastRenderedPageBreak/>
        <w:t>It Will Not Be Possible By Words Alone</w:t>
      </w:r>
      <w:r w:rsidR="008D7E2E" w:rsidRPr="00B84704">
        <w:rPr>
          <w:rFonts w:ascii="Times New Roman" w:hAnsi="Times New Roman" w:cs="Times New Roman"/>
          <w:b/>
          <w:kern w:val="0"/>
          <w:sz w:val="28"/>
          <w:szCs w:val="28"/>
        </w:rPr>
        <w:t>:</w:t>
      </w:r>
    </w:p>
    <w:p w:rsidR="008D7E2E" w:rsidRPr="008D7E2E" w:rsidRDefault="008D7E2E" w:rsidP="008D7E2E">
      <w:pPr>
        <w:jc w:val="center"/>
        <w:rPr>
          <w:rFonts w:ascii="Times New Roman" w:hAnsi="Times New Roman" w:cs="Times New Roman"/>
          <w:b/>
          <w:i/>
          <w:kern w:val="0"/>
          <w:sz w:val="24"/>
          <w:szCs w:val="24"/>
        </w:rPr>
      </w:pPr>
      <w:r w:rsidRPr="008D7E2E">
        <w:rPr>
          <w:rFonts w:ascii="Times New Roman" w:hAnsi="Times New Roman" w:cs="Times New Roman"/>
          <w:b/>
          <w:i/>
          <w:kern w:val="0"/>
          <w:sz w:val="24"/>
          <w:szCs w:val="24"/>
        </w:rPr>
        <w:t>A Critical Review of Some of Iamblichus’ Arguments for Divination in De mysteriis</w:t>
      </w:r>
    </w:p>
    <w:p w:rsidR="008D7E2E" w:rsidRPr="008D7E2E" w:rsidRDefault="008D7E2E" w:rsidP="008D7E2E">
      <w:pPr>
        <w:jc w:val="center"/>
        <w:rPr>
          <w:rFonts w:ascii="Times New Roman" w:hAnsi="Times New Roman" w:cs="Times New Roman"/>
          <w:b/>
          <w:kern w:val="0"/>
          <w:sz w:val="18"/>
          <w:szCs w:val="18"/>
        </w:rPr>
      </w:pPr>
      <w:r w:rsidRPr="008D7E2E">
        <w:rPr>
          <w:rFonts w:ascii="Times New Roman" w:hAnsi="Times New Roman" w:cs="Times New Roman"/>
          <w:b/>
          <w:kern w:val="0"/>
          <w:sz w:val="18"/>
          <w:szCs w:val="18"/>
        </w:rPr>
        <w:t>Clinton Briar</w:t>
      </w:r>
    </w:p>
    <w:p w:rsidR="008D7E2E" w:rsidRDefault="008D7E2E" w:rsidP="008D7E2E">
      <w:pPr>
        <w:jc w:val="left"/>
        <w:rPr>
          <w:rFonts w:ascii="Times New Roman" w:hAnsi="Times New Roman" w:cs="Times New Roman"/>
          <w:kern w:val="0"/>
          <w:sz w:val="24"/>
          <w:szCs w:val="24"/>
        </w:rPr>
      </w:pPr>
    </w:p>
    <w:p w:rsidR="006D74AB" w:rsidRDefault="008D7E2E" w:rsidP="008D7E2E">
      <w:pPr>
        <w:jc w:val="left"/>
        <w:rPr>
          <w:rFonts w:ascii="Times New Roman" w:hAnsi="Times New Roman" w:cs="Times New Roman"/>
          <w:kern w:val="0"/>
          <w:sz w:val="24"/>
          <w:szCs w:val="24"/>
        </w:rPr>
      </w:pPr>
      <w:r>
        <w:rPr>
          <w:rFonts w:ascii="Times New Roman" w:hAnsi="Times New Roman" w:cs="Times New Roman"/>
          <w:kern w:val="0"/>
          <w:sz w:val="24"/>
          <w:szCs w:val="24"/>
        </w:rPr>
        <w:tab/>
      </w:r>
      <w:r w:rsidR="006D74AB" w:rsidRPr="00AA6300">
        <w:rPr>
          <w:rFonts w:ascii="Times New Roman" w:hAnsi="Times New Roman" w:cs="Times New Roman" w:hint="eastAsia"/>
          <w:kern w:val="0"/>
          <w:sz w:val="24"/>
          <w:szCs w:val="24"/>
        </w:rPr>
        <w:t>Iamblichus</w:t>
      </w:r>
      <w:r w:rsidR="006D74AB" w:rsidRPr="00AA6300">
        <w:rPr>
          <w:rFonts w:ascii="Times New Roman" w:hAnsi="Times New Roman" w:cs="Times New Roman"/>
          <w:kern w:val="0"/>
          <w:sz w:val="24"/>
          <w:szCs w:val="24"/>
        </w:rPr>
        <w:t xml:space="preserve"> of Chalcis’</w:t>
      </w:r>
      <w:r w:rsidR="006D74AB" w:rsidRPr="00AA6300">
        <w:rPr>
          <w:rFonts w:ascii="Times New Roman" w:hAnsi="Times New Roman" w:cs="Times New Roman" w:hint="eastAsia"/>
          <w:kern w:val="0"/>
          <w:sz w:val="24"/>
          <w:szCs w:val="24"/>
        </w:rPr>
        <w:t xml:space="preserve"> </w:t>
      </w:r>
      <w:r w:rsidR="006D74AB" w:rsidRPr="00AA6300">
        <w:rPr>
          <w:rFonts w:ascii="Times New Roman" w:hAnsi="Times New Roman" w:cs="Times New Roman"/>
          <w:kern w:val="0"/>
          <w:sz w:val="24"/>
          <w:szCs w:val="24"/>
        </w:rPr>
        <w:t xml:space="preserve">(c. 245-325 CE) </w:t>
      </w:r>
      <w:r w:rsidR="006D74AB" w:rsidRPr="00AA6300">
        <w:rPr>
          <w:rFonts w:ascii="Times New Roman" w:hAnsi="Times New Roman" w:cs="Times New Roman" w:hint="eastAsia"/>
          <w:kern w:val="0"/>
          <w:sz w:val="24"/>
          <w:szCs w:val="24"/>
        </w:rPr>
        <w:t xml:space="preserve">work, </w:t>
      </w:r>
      <w:r w:rsidR="006D74AB" w:rsidRPr="00AA6300">
        <w:rPr>
          <w:rFonts w:ascii="Times New Roman" w:hAnsi="Times New Roman" w:cs="Times New Roman" w:hint="eastAsia"/>
          <w:i/>
          <w:kern w:val="0"/>
          <w:sz w:val="24"/>
          <w:szCs w:val="24"/>
        </w:rPr>
        <w:t>De mysteriis</w:t>
      </w:r>
      <w:r w:rsidR="006D74AB" w:rsidRPr="00AA6300">
        <w:rPr>
          <w:rFonts w:ascii="Times New Roman" w:hAnsi="Times New Roman" w:cs="Times New Roman" w:hint="eastAsia"/>
          <w:kern w:val="0"/>
          <w:sz w:val="24"/>
          <w:szCs w:val="24"/>
        </w:rPr>
        <w:t xml:space="preserve"> </w:t>
      </w:r>
      <w:r w:rsidR="006D74AB" w:rsidRPr="00AA6300">
        <w:rPr>
          <w:rFonts w:ascii="Times New Roman" w:hAnsi="Times New Roman" w:cs="Times New Roman"/>
          <w:kern w:val="0"/>
          <w:sz w:val="24"/>
          <w:szCs w:val="24"/>
        </w:rPr>
        <w:t>‘</w:t>
      </w:r>
      <w:r w:rsidR="006D74AB" w:rsidRPr="00AA6300">
        <w:rPr>
          <w:rFonts w:ascii="Times New Roman" w:hAnsi="Times New Roman" w:cs="Times New Roman" w:hint="eastAsia"/>
          <w:kern w:val="0"/>
          <w:sz w:val="24"/>
          <w:szCs w:val="24"/>
        </w:rPr>
        <w:t>On the Mysteries</w:t>
      </w:r>
      <w:r w:rsidR="006D74AB" w:rsidRPr="00AA6300">
        <w:rPr>
          <w:rFonts w:ascii="Times New Roman" w:hAnsi="Times New Roman" w:cs="Times New Roman"/>
          <w:kern w:val="0"/>
          <w:sz w:val="24"/>
          <w:szCs w:val="24"/>
        </w:rPr>
        <w:t>’</w:t>
      </w:r>
      <w:r w:rsidR="006D74AB" w:rsidRPr="00AA6300">
        <w:rPr>
          <w:rFonts w:ascii="Times New Roman" w:hAnsi="Times New Roman" w:cs="Times New Roman" w:hint="eastAsia"/>
          <w:kern w:val="0"/>
          <w:sz w:val="24"/>
          <w:szCs w:val="24"/>
        </w:rPr>
        <w:t xml:space="preserve"> was </w:t>
      </w:r>
      <w:r w:rsidR="006D74AB" w:rsidRPr="00AA6300">
        <w:rPr>
          <w:rFonts w:ascii="Times New Roman" w:hAnsi="Times New Roman" w:cs="Times New Roman"/>
          <w:kern w:val="0"/>
          <w:sz w:val="24"/>
          <w:szCs w:val="24"/>
        </w:rPr>
        <w:t>likely written</w:t>
      </w:r>
      <w:r w:rsidR="006D74AB" w:rsidRPr="00AA6300">
        <w:rPr>
          <w:rFonts w:ascii="Times New Roman" w:hAnsi="Times New Roman" w:cs="Times New Roman" w:hint="eastAsia"/>
          <w:kern w:val="0"/>
          <w:sz w:val="24"/>
          <w:szCs w:val="24"/>
        </w:rPr>
        <w:t xml:space="preserve"> from Egypt in </w:t>
      </w:r>
      <w:r w:rsidR="006D74AB" w:rsidRPr="00AA6300">
        <w:rPr>
          <w:rFonts w:ascii="Times New Roman" w:hAnsi="Times New Roman" w:cs="Times New Roman"/>
          <w:kern w:val="0"/>
          <w:sz w:val="24"/>
          <w:szCs w:val="24"/>
        </w:rPr>
        <w:t>approximately</w:t>
      </w:r>
      <w:r w:rsidR="006D74AB" w:rsidRPr="00AA6300">
        <w:rPr>
          <w:rFonts w:ascii="Times New Roman" w:hAnsi="Times New Roman" w:cs="Times New Roman" w:hint="eastAsia"/>
          <w:kern w:val="0"/>
          <w:sz w:val="24"/>
          <w:szCs w:val="24"/>
        </w:rPr>
        <w:t xml:space="preserve"> 280-305 CE as a response to a letter from Iamblichus</w:t>
      </w:r>
      <w:r w:rsidR="006D74AB" w:rsidRPr="00AA6300">
        <w:rPr>
          <w:rFonts w:ascii="Times New Roman" w:hAnsi="Times New Roman" w:cs="Times New Roman"/>
          <w:kern w:val="0"/>
          <w:sz w:val="24"/>
          <w:szCs w:val="24"/>
        </w:rPr>
        <w:t>’</w:t>
      </w:r>
      <w:r w:rsidR="006D74AB" w:rsidRPr="00AA6300">
        <w:rPr>
          <w:rFonts w:ascii="Times New Roman" w:hAnsi="Times New Roman" w:cs="Times New Roman" w:hint="eastAsia"/>
          <w:kern w:val="0"/>
          <w:sz w:val="24"/>
          <w:szCs w:val="24"/>
        </w:rPr>
        <w:t xml:space="preserve"> </w:t>
      </w:r>
      <w:r w:rsidR="006D74AB" w:rsidRPr="00AA6300">
        <w:rPr>
          <w:rFonts w:ascii="Times New Roman" w:hAnsi="Times New Roman" w:cs="Times New Roman"/>
          <w:kern w:val="0"/>
          <w:sz w:val="24"/>
          <w:szCs w:val="24"/>
        </w:rPr>
        <w:t>probable</w:t>
      </w:r>
      <w:r w:rsidR="006D74AB" w:rsidRPr="00AA6300">
        <w:rPr>
          <w:rFonts w:ascii="Times New Roman" w:hAnsi="Times New Roman" w:cs="Times New Roman" w:hint="eastAsia"/>
          <w:kern w:val="0"/>
          <w:sz w:val="24"/>
          <w:szCs w:val="24"/>
        </w:rPr>
        <w:t xml:space="preserve"> teacher</w:t>
      </w:r>
      <w:r w:rsidR="006D74AB" w:rsidRPr="00AA6300">
        <w:rPr>
          <w:rFonts w:ascii="Times New Roman" w:hAnsi="Times New Roman" w:cs="Times New Roman"/>
          <w:kern w:val="0"/>
          <w:sz w:val="24"/>
          <w:szCs w:val="24"/>
        </w:rPr>
        <w:t xml:space="preserve"> and definite colleague</w:t>
      </w:r>
      <w:r w:rsidR="006D74AB" w:rsidRPr="00AA6300">
        <w:rPr>
          <w:rFonts w:ascii="Times New Roman" w:hAnsi="Times New Roman" w:cs="Times New Roman" w:hint="eastAsia"/>
          <w:kern w:val="0"/>
          <w:sz w:val="24"/>
          <w:szCs w:val="24"/>
        </w:rPr>
        <w:t xml:space="preserve">, </w:t>
      </w:r>
      <w:r w:rsidR="006D74AB" w:rsidRPr="00AA6300">
        <w:rPr>
          <w:rFonts w:ascii="Times New Roman" w:hAnsi="Times New Roman" w:cs="Times New Roman"/>
          <w:kern w:val="0"/>
          <w:sz w:val="24"/>
          <w:szCs w:val="24"/>
        </w:rPr>
        <w:t>fellow Neo</w:t>
      </w:r>
      <w:r w:rsidR="00393190" w:rsidRPr="00AA6300">
        <w:rPr>
          <w:rFonts w:ascii="Times New Roman" w:hAnsi="Times New Roman" w:cs="Times New Roman"/>
          <w:kern w:val="0"/>
          <w:sz w:val="24"/>
          <w:szCs w:val="24"/>
        </w:rPr>
        <w:t>p</w:t>
      </w:r>
      <w:r w:rsidR="006D74AB" w:rsidRPr="00AA6300">
        <w:rPr>
          <w:rFonts w:ascii="Times New Roman" w:hAnsi="Times New Roman" w:cs="Times New Roman"/>
          <w:kern w:val="0"/>
          <w:sz w:val="24"/>
          <w:szCs w:val="24"/>
        </w:rPr>
        <w:t xml:space="preserve">latonist philosopher </w:t>
      </w:r>
      <w:r w:rsidR="006D74AB" w:rsidRPr="00AA6300">
        <w:rPr>
          <w:rFonts w:ascii="Times New Roman" w:hAnsi="Times New Roman" w:cs="Times New Roman" w:hint="eastAsia"/>
          <w:kern w:val="0"/>
          <w:sz w:val="24"/>
          <w:szCs w:val="24"/>
        </w:rPr>
        <w:t>Porphyry of Tyre</w:t>
      </w:r>
      <w:r w:rsidR="006D74AB" w:rsidRPr="00AA6300">
        <w:rPr>
          <w:rFonts w:ascii="Times New Roman" w:hAnsi="Times New Roman" w:cs="Times New Roman"/>
          <w:kern w:val="0"/>
          <w:sz w:val="24"/>
          <w:szCs w:val="24"/>
        </w:rPr>
        <w:t xml:space="preserve"> (c. 234-305 CE)</w:t>
      </w:r>
      <w:r w:rsidR="006D74AB" w:rsidRPr="00AA6300">
        <w:rPr>
          <w:rFonts w:ascii="Times New Roman" w:hAnsi="Times New Roman" w:cs="Times New Roman" w:hint="eastAsia"/>
          <w:kern w:val="0"/>
          <w:sz w:val="24"/>
          <w:szCs w:val="24"/>
        </w:rPr>
        <w:t xml:space="preserve">, questioning the practice of theurgy over </w:t>
      </w:r>
      <w:r w:rsidR="006D74AB" w:rsidRPr="00AA6300">
        <w:rPr>
          <w:rFonts w:ascii="Times New Roman" w:hAnsi="Times New Roman" w:cs="Times New Roman"/>
          <w:kern w:val="0"/>
          <w:sz w:val="24"/>
          <w:szCs w:val="24"/>
        </w:rPr>
        <w:t>philosophy</w:t>
      </w:r>
      <w:r w:rsidR="006D74AB" w:rsidRPr="00AA6300">
        <w:rPr>
          <w:rFonts w:ascii="Times New Roman" w:hAnsi="Times New Roman" w:cs="Times New Roman" w:hint="eastAsia"/>
          <w:kern w:val="0"/>
          <w:sz w:val="24"/>
          <w:szCs w:val="24"/>
        </w:rPr>
        <w:t>.</w:t>
      </w:r>
      <w:r w:rsidR="006D74AB" w:rsidRPr="00AA6300">
        <w:rPr>
          <w:rStyle w:val="FootnoteReference"/>
          <w:rFonts w:ascii="Times New Roman" w:hAnsi="Times New Roman" w:cs="Times New Roman"/>
          <w:kern w:val="0"/>
          <w:sz w:val="24"/>
          <w:szCs w:val="24"/>
        </w:rPr>
        <w:footnoteReference w:id="2"/>
      </w:r>
      <w:r w:rsidR="006D74AB" w:rsidRPr="00AA6300">
        <w:rPr>
          <w:rFonts w:ascii="Times New Roman" w:hAnsi="Times New Roman" w:cs="Times New Roman"/>
          <w:kern w:val="0"/>
          <w:sz w:val="24"/>
          <w:szCs w:val="24"/>
        </w:rPr>
        <w:t xml:space="preserve"> Iamblichus offers a point-by-point refutation of Porphyry’s questions and in so doing, presents his version of true theurgy </w:t>
      </w:r>
      <w:r w:rsidR="006D74AB" w:rsidRPr="00AA6300">
        <w:rPr>
          <w:rFonts w:ascii="Times New Roman" w:hAnsi="Times New Roman" w:cs="Times New Roman"/>
          <w:color w:val="000000" w:themeColor="text1"/>
          <w:kern w:val="0"/>
          <w:sz w:val="24"/>
          <w:szCs w:val="24"/>
        </w:rPr>
        <w:t>(θεου</w:t>
      </w:r>
      <w:r w:rsidR="0050008D">
        <w:rPr>
          <w:rFonts w:ascii="Times New Roman" w:hAnsi="Times New Roman" w:cs="Times New Roman"/>
          <w:color w:val="000000" w:themeColor="text1"/>
          <w:kern w:val="0"/>
          <w:sz w:val="24"/>
          <w:szCs w:val="24"/>
        </w:rPr>
        <w:t>ρ</w:t>
      </w:r>
      <w:r w:rsidR="006D74AB" w:rsidRPr="00AA6300">
        <w:rPr>
          <w:rFonts w:ascii="Times New Roman" w:hAnsi="Times New Roman" w:cs="Times New Roman"/>
          <w:color w:val="000000" w:themeColor="text1"/>
          <w:kern w:val="0"/>
          <w:sz w:val="24"/>
          <w:szCs w:val="24"/>
        </w:rPr>
        <w:t>γία).</w:t>
      </w:r>
      <w:r w:rsidR="006D74AB" w:rsidRPr="00AA6300">
        <w:rPr>
          <w:rStyle w:val="FootnoteReference"/>
          <w:rFonts w:ascii="Times New Roman" w:hAnsi="Times New Roman" w:cs="Times New Roman"/>
          <w:color w:val="000000" w:themeColor="text1"/>
          <w:kern w:val="0"/>
          <w:sz w:val="24"/>
          <w:szCs w:val="24"/>
        </w:rPr>
        <w:footnoteReference w:id="3"/>
      </w:r>
      <w:r w:rsidR="006D74AB" w:rsidRPr="00AA6300">
        <w:rPr>
          <w:rFonts w:ascii="Times New Roman" w:hAnsi="Times New Roman" w:cs="Times New Roman"/>
          <w:color w:val="000000" w:themeColor="text1"/>
          <w:kern w:val="0"/>
          <w:sz w:val="24"/>
          <w:szCs w:val="24"/>
        </w:rPr>
        <w:t xml:space="preserve"> Theurgy was a </w:t>
      </w:r>
      <w:r w:rsidR="006D74AB" w:rsidRPr="00AA6300">
        <w:rPr>
          <w:rFonts w:ascii="Times New Roman" w:hAnsi="Times New Roman" w:cs="Times New Roman"/>
          <w:color w:val="000000" w:themeColor="text1"/>
          <w:sz w:val="24"/>
          <w:szCs w:val="24"/>
          <w:shd w:val="clear" w:color="auto" w:fill="FFFFFF"/>
        </w:rPr>
        <w:t>soteriological</w:t>
      </w:r>
      <w:r w:rsidR="006D74AB" w:rsidRPr="00AA6300">
        <w:rPr>
          <w:rFonts w:ascii="Times New Roman" w:hAnsi="Times New Roman" w:cs="Times New Roman"/>
          <w:color w:val="000000" w:themeColor="text1"/>
          <w:kern w:val="0"/>
          <w:sz w:val="24"/>
          <w:szCs w:val="24"/>
        </w:rPr>
        <w:t xml:space="preserve"> polytheistic practice containing rituals, often from the Near East, that would allow divine possession, divination, and other miraculous deeds.</w:t>
      </w:r>
      <w:r w:rsidR="00005AE5" w:rsidRPr="00AA6300">
        <w:rPr>
          <w:rStyle w:val="FootnoteReference"/>
          <w:rFonts w:ascii="Times New Roman" w:hAnsi="Times New Roman" w:cs="Times New Roman"/>
          <w:color w:val="000000" w:themeColor="text1"/>
          <w:kern w:val="0"/>
          <w:sz w:val="24"/>
          <w:szCs w:val="24"/>
        </w:rPr>
        <w:footnoteReference w:id="4"/>
      </w:r>
      <w:r w:rsidR="006D74AB" w:rsidRPr="00AA6300">
        <w:rPr>
          <w:rFonts w:ascii="Times New Roman" w:hAnsi="Times New Roman" w:cs="Times New Roman"/>
          <w:color w:val="000000" w:themeColor="text1"/>
          <w:kern w:val="0"/>
          <w:sz w:val="24"/>
          <w:szCs w:val="24"/>
        </w:rPr>
        <w:t xml:space="preserve"> </w:t>
      </w:r>
      <w:r w:rsidR="006D74AB" w:rsidRPr="00AA6300">
        <w:rPr>
          <w:rFonts w:ascii="Times New Roman" w:hAnsi="Times New Roman" w:cs="Times New Roman"/>
          <w:kern w:val="0"/>
          <w:sz w:val="24"/>
          <w:szCs w:val="24"/>
        </w:rPr>
        <w:t>An aspect of theurgy relevant to many ancient and modern people concerns divination (μαντική), or as Porphyry may have put it, ‘…what</w:t>
      </w:r>
      <w:r w:rsidR="006D74AB">
        <w:rPr>
          <w:rFonts w:ascii="Times New Roman" w:hAnsi="Times New Roman" w:cs="Times New Roman"/>
          <w:kern w:val="0"/>
          <w:sz w:val="24"/>
          <w:szCs w:val="24"/>
        </w:rPr>
        <w:t xml:space="preserve"> happens in predicting the future.’</w:t>
      </w:r>
      <w:r w:rsidR="006D74AB">
        <w:rPr>
          <w:rStyle w:val="FootnoteReference"/>
          <w:rFonts w:ascii="Times New Roman" w:hAnsi="Times New Roman" w:cs="Times New Roman"/>
          <w:kern w:val="0"/>
          <w:sz w:val="24"/>
          <w:szCs w:val="24"/>
        </w:rPr>
        <w:footnoteReference w:id="5"/>
      </w:r>
      <w:r w:rsidR="006D74AB">
        <w:rPr>
          <w:rFonts w:ascii="Times New Roman" w:hAnsi="Times New Roman" w:cs="Times New Roman"/>
          <w:kern w:val="0"/>
          <w:sz w:val="24"/>
          <w:szCs w:val="24"/>
        </w:rPr>
        <w:t xml:space="preserve"> Iamblichus answers by discussing many forms of divination and offers some criteria by which their efficacy may be judged. Some of the arguments Iamblichus puts forward for divination in </w:t>
      </w:r>
      <w:r w:rsidR="006D74AB" w:rsidRPr="006B3410">
        <w:rPr>
          <w:rFonts w:ascii="Times New Roman" w:hAnsi="Times New Roman" w:cs="Times New Roman"/>
          <w:i/>
          <w:kern w:val="0"/>
          <w:sz w:val="24"/>
          <w:szCs w:val="24"/>
        </w:rPr>
        <w:t>De mysteriis</w:t>
      </w:r>
      <w:r w:rsidR="006D74AB">
        <w:rPr>
          <w:rFonts w:ascii="Times New Roman" w:hAnsi="Times New Roman" w:cs="Times New Roman"/>
          <w:kern w:val="0"/>
          <w:sz w:val="24"/>
          <w:szCs w:val="24"/>
        </w:rPr>
        <w:t xml:space="preserve"> are the subject of this review.</w:t>
      </w:r>
    </w:p>
    <w:p w:rsidR="006D74AB" w:rsidRDefault="006D74AB" w:rsidP="00AA6300">
      <w:pPr>
        <w:ind w:firstLine="420"/>
        <w:jc w:val="left"/>
        <w:rPr>
          <w:rFonts w:ascii="Times New Roman" w:hAnsi="Times New Roman" w:cs="Times New Roman"/>
          <w:kern w:val="0"/>
          <w:sz w:val="24"/>
          <w:szCs w:val="24"/>
        </w:rPr>
      </w:pPr>
      <w:r>
        <w:rPr>
          <w:rFonts w:ascii="Times New Roman" w:hAnsi="Times New Roman" w:cs="Times New Roman"/>
          <w:kern w:val="0"/>
          <w:sz w:val="24"/>
          <w:szCs w:val="24"/>
        </w:rPr>
        <w:tab/>
        <w:t xml:space="preserve">Iamblichus introduced elements of Near Eastern ritual practices </w:t>
      </w:r>
      <w:r w:rsidR="00EB2334">
        <w:rPr>
          <w:rFonts w:ascii="Times New Roman" w:hAnsi="Times New Roman" w:cs="Times New Roman" w:hint="eastAsia"/>
          <w:kern w:val="0"/>
          <w:sz w:val="24"/>
          <w:szCs w:val="24"/>
        </w:rPr>
        <w:t>combined</w:t>
      </w:r>
      <w:r>
        <w:rPr>
          <w:rFonts w:ascii="Times New Roman" w:hAnsi="Times New Roman" w:cs="Times New Roman"/>
          <w:kern w:val="0"/>
          <w:sz w:val="24"/>
          <w:szCs w:val="24"/>
        </w:rPr>
        <w:t xml:space="preserve"> with philosophy</w:t>
      </w:r>
      <w:r w:rsidR="00EB2334">
        <w:rPr>
          <w:rFonts w:ascii="Times New Roman" w:hAnsi="Times New Roman" w:cs="Times New Roman" w:hint="eastAsia"/>
          <w:kern w:val="0"/>
          <w:sz w:val="24"/>
          <w:szCs w:val="24"/>
        </w:rPr>
        <w:t xml:space="preserve"> and was the first Neo</w:t>
      </w:r>
      <w:r w:rsidR="00393190">
        <w:rPr>
          <w:rFonts w:ascii="Times New Roman" w:hAnsi="Times New Roman" w:cs="Times New Roman"/>
          <w:kern w:val="0"/>
          <w:sz w:val="24"/>
          <w:szCs w:val="24"/>
        </w:rPr>
        <w:t>p</w:t>
      </w:r>
      <w:r w:rsidR="00EB2334">
        <w:rPr>
          <w:rFonts w:ascii="Times New Roman" w:hAnsi="Times New Roman" w:cs="Times New Roman" w:hint="eastAsia"/>
          <w:kern w:val="0"/>
          <w:sz w:val="24"/>
          <w:szCs w:val="24"/>
        </w:rPr>
        <w:t>latonist to promote theurgy</w:t>
      </w:r>
      <w:r>
        <w:rPr>
          <w:rFonts w:ascii="Times New Roman" w:hAnsi="Times New Roman" w:cs="Times New Roman"/>
          <w:kern w:val="0"/>
          <w:sz w:val="24"/>
          <w:szCs w:val="24"/>
        </w:rPr>
        <w:t>.</w:t>
      </w:r>
      <w:r w:rsidR="00F46C9C">
        <w:rPr>
          <w:rStyle w:val="FootnoteReference"/>
          <w:rFonts w:ascii="Times New Roman" w:hAnsi="Times New Roman" w:cs="Times New Roman"/>
          <w:kern w:val="0"/>
          <w:sz w:val="24"/>
          <w:szCs w:val="24"/>
        </w:rPr>
        <w:footnoteReference w:id="6"/>
      </w:r>
      <w:r>
        <w:rPr>
          <w:rFonts w:ascii="Times New Roman" w:hAnsi="Times New Roman" w:cs="Times New Roman"/>
          <w:kern w:val="0"/>
          <w:sz w:val="24"/>
          <w:szCs w:val="24"/>
        </w:rPr>
        <w:t xml:space="preserve"> He was influential in the philosophy of Proclus</w:t>
      </w:r>
      <w:r w:rsidR="00951B89">
        <w:rPr>
          <w:rFonts w:ascii="Times New Roman" w:hAnsi="Times New Roman" w:cs="Times New Roman"/>
          <w:kern w:val="0"/>
          <w:sz w:val="24"/>
          <w:szCs w:val="24"/>
        </w:rPr>
        <w:t xml:space="preserve"> (</w:t>
      </w:r>
      <w:r w:rsidR="009337C1">
        <w:rPr>
          <w:rFonts w:ascii="Times New Roman" w:hAnsi="Times New Roman" w:cs="Times New Roman" w:hint="eastAsia"/>
          <w:kern w:val="0"/>
          <w:sz w:val="24"/>
          <w:szCs w:val="24"/>
        </w:rPr>
        <w:t>c.410-485</w:t>
      </w:r>
      <w:r w:rsidR="00951B89">
        <w:rPr>
          <w:rFonts w:ascii="Times New Roman" w:hAnsi="Times New Roman" w:cs="Times New Roman"/>
          <w:kern w:val="0"/>
          <w:sz w:val="24"/>
          <w:szCs w:val="24"/>
        </w:rPr>
        <w:t xml:space="preserve"> CE) and</w:t>
      </w:r>
      <w:r>
        <w:rPr>
          <w:rFonts w:ascii="Times New Roman" w:hAnsi="Times New Roman" w:cs="Times New Roman"/>
          <w:kern w:val="0"/>
          <w:sz w:val="24"/>
          <w:szCs w:val="24"/>
        </w:rPr>
        <w:t xml:space="preserve"> the </w:t>
      </w:r>
      <w:r w:rsidRPr="009E1057">
        <w:rPr>
          <w:rFonts w:ascii="Times New Roman" w:hAnsi="Times New Roman" w:cs="Times New Roman"/>
          <w:color w:val="000000" w:themeColor="text1"/>
          <w:kern w:val="0"/>
          <w:sz w:val="24"/>
          <w:szCs w:val="24"/>
        </w:rPr>
        <w:t>Roman emperor Julian</w:t>
      </w:r>
      <w:r>
        <w:rPr>
          <w:rFonts w:ascii="Times New Roman" w:hAnsi="Times New Roman" w:cs="Times New Roman"/>
          <w:kern w:val="0"/>
          <w:sz w:val="24"/>
          <w:szCs w:val="24"/>
        </w:rPr>
        <w:t xml:space="preserve"> (c. </w:t>
      </w:r>
      <w:r>
        <w:rPr>
          <w:rFonts w:ascii="Times New Roman" w:hAnsi="Times New Roman" w:cs="Times New Roman" w:hint="eastAsia"/>
          <w:kern w:val="0"/>
          <w:sz w:val="24"/>
          <w:szCs w:val="24"/>
        </w:rPr>
        <w:t>331-363</w:t>
      </w:r>
      <w:r>
        <w:rPr>
          <w:rFonts w:ascii="Times New Roman" w:hAnsi="Times New Roman" w:cs="Times New Roman"/>
          <w:kern w:val="0"/>
          <w:sz w:val="24"/>
          <w:szCs w:val="24"/>
        </w:rPr>
        <w:t xml:space="preserve"> CE).</w:t>
      </w:r>
      <w:r w:rsidR="005667D1">
        <w:rPr>
          <w:rStyle w:val="FootnoteReference"/>
          <w:rFonts w:ascii="Times New Roman" w:hAnsi="Times New Roman" w:cs="Times New Roman"/>
          <w:kern w:val="0"/>
          <w:sz w:val="24"/>
          <w:szCs w:val="24"/>
        </w:rPr>
        <w:footnoteReference w:id="7"/>
      </w:r>
      <w:r>
        <w:rPr>
          <w:rFonts w:ascii="Times New Roman" w:hAnsi="Times New Roman" w:cs="Times New Roman"/>
          <w:kern w:val="0"/>
          <w:sz w:val="24"/>
          <w:szCs w:val="24"/>
        </w:rPr>
        <w:t xml:space="preserve"> </w:t>
      </w:r>
      <w:r>
        <w:rPr>
          <w:rFonts w:ascii="Times New Roman" w:hAnsi="Times New Roman" w:cs="Times New Roman" w:hint="eastAsia"/>
          <w:kern w:val="0"/>
          <w:sz w:val="24"/>
          <w:szCs w:val="24"/>
        </w:rPr>
        <w:t>If indeed Porphyry was Iamblichus</w:t>
      </w:r>
      <w:r>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teacher, he was</w:t>
      </w:r>
      <w:r w:rsidR="002F6054">
        <w:rPr>
          <w:rFonts w:ascii="Times New Roman" w:hAnsi="Times New Roman" w:cs="Times New Roman" w:hint="eastAsia"/>
          <w:kern w:val="0"/>
          <w:sz w:val="24"/>
          <w:szCs w:val="24"/>
        </w:rPr>
        <w:t xml:space="preserve"> not much older than Iamblichus</w:t>
      </w:r>
      <w:r w:rsidR="002F6054">
        <w:rPr>
          <w:rFonts w:ascii="Times New Roman" w:hAnsi="Times New Roman" w:cs="Times New Roman"/>
          <w:kern w:val="0"/>
          <w:sz w:val="24"/>
          <w:szCs w:val="24"/>
        </w:rPr>
        <w:t xml:space="preserve"> and </w:t>
      </w:r>
      <w:r>
        <w:rPr>
          <w:rFonts w:ascii="Times New Roman" w:hAnsi="Times New Roman" w:cs="Times New Roman"/>
          <w:kern w:val="0"/>
          <w:sz w:val="24"/>
          <w:szCs w:val="24"/>
        </w:rPr>
        <w:t>he</w:t>
      </w:r>
      <w:r>
        <w:rPr>
          <w:rFonts w:ascii="Times New Roman" w:hAnsi="Times New Roman" w:cs="Times New Roman" w:hint="eastAsia"/>
          <w:kern w:val="0"/>
          <w:sz w:val="24"/>
          <w:szCs w:val="24"/>
        </w:rPr>
        <w:t xml:space="preserve"> is critical of Porphyry in many of his surviving works.</w:t>
      </w:r>
      <w:r w:rsidR="002F6054">
        <w:rPr>
          <w:rStyle w:val="FootnoteReference"/>
          <w:rFonts w:ascii="Times New Roman" w:hAnsi="Times New Roman" w:cs="Times New Roman"/>
          <w:kern w:val="0"/>
          <w:sz w:val="24"/>
          <w:szCs w:val="24"/>
        </w:rPr>
        <w:footnoteReference w:id="8"/>
      </w:r>
      <w:r>
        <w:rPr>
          <w:rFonts w:ascii="Times New Roman" w:hAnsi="Times New Roman" w:cs="Times New Roman"/>
          <w:kern w:val="0"/>
          <w:sz w:val="24"/>
          <w:szCs w:val="24"/>
        </w:rPr>
        <w:t xml:space="preserve"> Porphyry was the </w:t>
      </w:r>
      <w:r w:rsidR="002F6054">
        <w:rPr>
          <w:rFonts w:ascii="Times New Roman" w:hAnsi="Times New Roman" w:cs="Times New Roman"/>
          <w:kern w:val="0"/>
          <w:sz w:val="24"/>
          <w:szCs w:val="24"/>
        </w:rPr>
        <w:t>pupil</w:t>
      </w:r>
      <w:r>
        <w:rPr>
          <w:rFonts w:ascii="Times New Roman" w:hAnsi="Times New Roman" w:cs="Times New Roman"/>
          <w:kern w:val="0"/>
          <w:sz w:val="24"/>
          <w:szCs w:val="24"/>
        </w:rPr>
        <w:t xml:space="preserve"> of Plotinus (c. 204-270 CE) </w:t>
      </w:r>
      <w:r w:rsidRPr="00551186">
        <w:rPr>
          <w:rFonts w:ascii="Times New Roman" w:hAnsi="Times New Roman" w:cs="Times New Roman"/>
          <w:color w:val="000000" w:themeColor="text1"/>
          <w:kern w:val="0"/>
          <w:sz w:val="24"/>
          <w:szCs w:val="24"/>
        </w:rPr>
        <w:t xml:space="preserve">and </w:t>
      </w:r>
      <w:r w:rsidR="002F6054" w:rsidRPr="00551186">
        <w:rPr>
          <w:rFonts w:ascii="Times New Roman" w:hAnsi="Times New Roman" w:cs="Times New Roman"/>
          <w:color w:val="000000" w:themeColor="text1"/>
          <w:kern w:val="0"/>
          <w:sz w:val="24"/>
          <w:szCs w:val="24"/>
        </w:rPr>
        <w:t>wrote</w:t>
      </w:r>
      <w:r w:rsidRPr="00551186">
        <w:rPr>
          <w:rFonts w:ascii="Times New Roman" w:hAnsi="Times New Roman" w:cs="Times New Roman"/>
          <w:color w:val="000000" w:themeColor="text1"/>
          <w:kern w:val="0"/>
          <w:sz w:val="24"/>
          <w:szCs w:val="24"/>
        </w:rPr>
        <w:t xml:space="preserve"> to disprove other works in Greek which purported to be from the Near East.</w:t>
      </w:r>
      <w:r>
        <w:rPr>
          <w:rStyle w:val="FootnoteReference"/>
          <w:rFonts w:ascii="Times New Roman" w:hAnsi="Times New Roman" w:cs="Times New Roman"/>
          <w:kern w:val="0"/>
          <w:sz w:val="24"/>
          <w:szCs w:val="24"/>
        </w:rPr>
        <w:footnoteReference w:id="9"/>
      </w:r>
      <w:r>
        <w:rPr>
          <w:rFonts w:ascii="Times New Roman" w:hAnsi="Times New Roman" w:cs="Times New Roman"/>
          <w:kern w:val="0"/>
          <w:sz w:val="24"/>
          <w:szCs w:val="24"/>
        </w:rPr>
        <w:t xml:space="preserve"> </w:t>
      </w:r>
      <w:r w:rsidR="00135152">
        <w:rPr>
          <w:rFonts w:ascii="Times New Roman" w:hAnsi="Times New Roman" w:cs="Times New Roman"/>
          <w:color w:val="000000" w:themeColor="text1"/>
          <w:kern w:val="0"/>
          <w:sz w:val="24"/>
          <w:szCs w:val="24"/>
        </w:rPr>
        <w:t>Porphyry’</w:t>
      </w:r>
      <w:r w:rsidR="00135152">
        <w:rPr>
          <w:rFonts w:ascii="Times New Roman" w:hAnsi="Times New Roman" w:cs="Times New Roman" w:hint="eastAsia"/>
          <w:color w:val="000000" w:themeColor="text1"/>
          <w:kern w:val="0"/>
          <w:sz w:val="24"/>
          <w:szCs w:val="24"/>
        </w:rPr>
        <w:t>s</w:t>
      </w:r>
      <w:r w:rsidR="00135152" w:rsidRPr="001F7A3D">
        <w:rPr>
          <w:rFonts w:ascii="Times New Roman" w:hAnsi="Times New Roman" w:cs="Times New Roman"/>
          <w:i/>
          <w:kern w:val="0"/>
          <w:sz w:val="24"/>
          <w:szCs w:val="24"/>
        </w:rPr>
        <w:t xml:space="preserve"> </w:t>
      </w:r>
      <w:r w:rsidRPr="001F7A3D">
        <w:rPr>
          <w:rFonts w:ascii="Times New Roman" w:hAnsi="Times New Roman" w:cs="Times New Roman"/>
          <w:i/>
          <w:kern w:val="0"/>
          <w:sz w:val="24"/>
          <w:szCs w:val="24"/>
        </w:rPr>
        <w:t>Letter to Anebo</w:t>
      </w:r>
      <w:r>
        <w:rPr>
          <w:rFonts w:ascii="Times New Roman" w:hAnsi="Times New Roman" w:cs="Times New Roman"/>
          <w:kern w:val="0"/>
          <w:sz w:val="24"/>
          <w:szCs w:val="24"/>
        </w:rPr>
        <w:t xml:space="preserve"> </w:t>
      </w:r>
      <w:r>
        <w:rPr>
          <w:rFonts w:ascii="Times New Roman" w:hAnsi="Times New Roman" w:cs="Times New Roman"/>
          <w:color w:val="000000" w:themeColor="text1"/>
          <w:kern w:val="0"/>
          <w:sz w:val="24"/>
          <w:szCs w:val="24"/>
        </w:rPr>
        <w:t>was</w:t>
      </w:r>
      <w:r w:rsidRPr="001D6FC8">
        <w:rPr>
          <w:rFonts w:ascii="Times New Roman" w:hAnsi="Times New Roman" w:cs="Times New Roman"/>
          <w:color w:val="000000" w:themeColor="text1"/>
          <w:kern w:val="0"/>
          <w:sz w:val="24"/>
          <w:szCs w:val="24"/>
        </w:rPr>
        <w:t xml:space="preserve"> written in the ‘question</w:t>
      </w:r>
      <w:r>
        <w:rPr>
          <w:rFonts w:ascii="Times New Roman" w:hAnsi="Times New Roman" w:cs="Times New Roman"/>
          <w:color w:val="000000" w:themeColor="text1"/>
          <w:kern w:val="0"/>
          <w:sz w:val="24"/>
          <w:szCs w:val="24"/>
        </w:rPr>
        <w:t>s</w:t>
      </w:r>
      <w:r w:rsidRPr="001D6FC8">
        <w:rPr>
          <w:rFonts w:ascii="Times New Roman" w:hAnsi="Times New Roman" w:cs="Times New Roman"/>
          <w:color w:val="000000" w:themeColor="text1"/>
          <w:kern w:val="0"/>
          <w:sz w:val="24"/>
          <w:szCs w:val="24"/>
        </w:rPr>
        <w:t xml:space="preserve"> and solution</w:t>
      </w:r>
      <w:r>
        <w:rPr>
          <w:rFonts w:ascii="Times New Roman" w:hAnsi="Times New Roman" w:cs="Times New Roman"/>
          <w:color w:val="000000" w:themeColor="text1"/>
          <w:kern w:val="0"/>
          <w:sz w:val="24"/>
          <w:szCs w:val="24"/>
        </w:rPr>
        <w:t>s</w:t>
      </w:r>
      <w:r w:rsidRPr="001D6FC8">
        <w:rPr>
          <w:rFonts w:ascii="Times New Roman" w:hAnsi="Times New Roman" w:cs="Times New Roman"/>
          <w:color w:val="000000" w:themeColor="text1"/>
          <w:kern w:val="0"/>
          <w:sz w:val="24"/>
          <w:szCs w:val="24"/>
        </w:rPr>
        <w:t>’ genre</w:t>
      </w:r>
      <w:r>
        <w:rPr>
          <w:rFonts w:ascii="Times New Roman" w:hAnsi="Times New Roman" w:cs="Times New Roman"/>
          <w:color w:val="000000" w:themeColor="text1"/>
          <w:kern w:val="0"/>
          <w:sz w:val="24"/>
          <w:szCs w:val="24"/>
        </w:rPr>
        <w:t xml:space="preserve"> whereby </w:t>
      </w:r>
      <w:r w:rsidR="00135152">
        <w:rPr>
          <w:rFonts w:ascii="Times New Roman" w:hAnsi="Times New Roman" w:cs="Times New Roman" w:hint="eastAsia"/>
          <w:color w:val="000000" w:themeColor="text1"/>
          <w:kern w:val="0"/>
          <w:sz w:val="24"/>
          <w:szCs w:val="24"/>
        </w:rPr>
        <w:t>he</w:t>
      </w:r>
      <w:r>
        <w:rPr>
          <w:rFonts w:ascii="Times New Roman" w:hAnsi="Times New Roman" w:cs="Times New Roman"/>
          <w:color w:val="000000" w:themeColor="text1"/>
          <w:kern w:val="0"/>
          <w:sz w:val="24"/>
          <w:szCs w:val="24"/>
        </w:rPr>
        <w:t xml:space="preserve"> posed questions (</w:t>
      </w:r>
      <w:r w:rsidRPr="00EF2C4D">
        <w:rPr>
          <w:rFonts w:ascii="Times New Roman" w:hAnsi="Times New Roman" w:cs="Times New Roman"/>
          <w:color w:val="000000" w:themeColor="text1"/>
          <w:kern w:val="0"/>
          <w:sz w:val="24"/>
          <w:szCs w:val="24"/>
        </w:rPr>
        <w:t>ζημήατά</w:t>
      </w:r>
      <w:r>
        <w:rPr>
          <w:rFonts w:ascii="Times New Roman" w:hAnsi="Times New Roman" w:cs="Times New Roman"/>
          <w:color w:val="000000" w:themeColor="text1"/>
          <w:kern w:val="0"/>
          <w:sz w:val="24"/>
          <w:szCs w:val="24"/>
        </w:rPr>
        <w:t>) and anticipated solutions (</w:t>
      </w:r>
      <w:r w:rsidRPr="0024039E">
        <w:rPr>
          <w:rFonts w:ascii="Times New Roman" w:hAnsi="Times New Roman" w:cs="Times New Roman"/>
          <w:color w:val="000000" w:themeColor="text1"/>
          <w:kern w:val="0"/>
          <w:sz w:val="24"/>
          <w:szCs w:val="24"/>
        </w:rPr>
        <w:t>λύσ</w:t>
      </w:r>
      <w:r>
        <w:rPr>
          <w:rFonts w:ascii="Times New Roman" w:hAnsi="Times New Roman" w:cs="Times New Roman"/>
          <w:color w:val="000000" w:themeColor="text1"/>
          <w:kern w:val="0"/>
          <w:sz w:val="24"/>
          <w:szCs w:val="24"/>
        </w:rPr>
        <w:t>ε</w:t>
      </w:r>
      <w:r w:rsidRPr="0024039E">
        <w:rPr>
          <w:rFonts w:ascii="Times New Roman" w:hAnsi="Times New Roman" w:cs="Times New Roman"/>
          <w:color w:val="000000" w:themeColor="text1"/>
          <w:kern w:val="0"/>
          <w:sz w:val="24"/>
          <w:szCs w:val="24"/>
        </w:rPr>
        <w:t>ις</w:t>
      </w:r>
      <w:r>
        <w:rPr>
          <w:rFonts w:ascii="Times New Roman" w:hAnsi="Times New Roman" w:cs="Times New Roman"/>
          <w:color w:val="000000" w:themeColor="text1"/>
          <w:kern w:val="0"/>
          <w:sz w:val="24"/>
          <w:szCs w:val="24"/>
        </w:rPr>
        <w:t>) from Anebo.</w:t>
      </w:r>
      <w:r>
        <w:rPr>
          <w:rStyle w:val="FootnoteReference"/>
          <w:rFonts w:ascii="Times New Roman" w:hAnsi="Times New Roman" w:cs="Times New Roman"/>
          <w:color w:val="000000" w:themeColor="text1"/>
          <w:kern w:val="0"/>
          <w:sz w:val="24"/>
          <w:szCs w:val="24"/>
        </w:rPr>
        <w:footnoteReference w:id="10"/>
      </w:r>
      <w:r>
        <w:rPr>
          <w:rFonts w:ascii="Times New Roman" w:hAnsi="Times New Roman" w:cs="Times New Roman"/>
          <w:color w:val="000000" w:themeColor="text1"/>
          <w:kern w:val="0"/>
          <w:sz w:val="24"/>
          <w:szCs w:val="24"/>
        </w:rPr>
        <w:t xml:space="preserve"> Iamblichus’ reply follows </w:t>
      </w:r>
      <w:r>
        <w:rPr>
          <w:rFonts w:ascii="Times New Roman" w:hAnsi="Times New Roman" w:cs="Times New Roman"/>
          <w:color w:val="000000" w:themeColor="text1"/>
          <w:kern w:val="0"/>
          <w:sz w:val="24"/>
          <w:szCs w:val="24"/>
        </w:rPr>
        <w:lastRenderedPageBreak/>
        <w:t>this philosophical</w:t>
      </w:r>
      <w:r>
        <w:rPr>
          <w:rFonts w:ascii="Times New Roman" w:hAnsi="Times New Roman" w:cs="Times New Roman" w:hint="eastAsia"/>
          <w:color w:val="000000" w:themeColor="text1"/>
          <w:kern w:val="0"/>
          <w:sz w:val="24"/>
          <w:szCs w:val="24"/>
        </w:rPr>
        <w:t xml:space="preserve"> </w:t>
      </w:r>
      <w:r>
        <w:rPr>
          <w:rFonts w:ascii="Times New Roman" w:hAnsi="Times New Roman" w:cs="Times New Roman"/>
          <w:color w:val="000000" w:themeColor="text1"/>
          <w:kern w:val="0"/>
          <w:sz w:val="24"/>
          <w:szCs w:val="24"/>
        </w:rPr>
        <w:t>genre by reproducing the</w:t>
      </w:r>
      <w:r>
        <w:rPr>
          <w:rFonts w:ascii="Times New Roman" w:hAnsi="Times New Roman" w:cs="Times New Roman" w:hint="eastAsia"/>
          <w:color w:val="000000" w:themeColor="text1"/>
          <w:kern w:val="0"/>
          <w:sz w:val="24"/>
          <w:szCs w:val="24"/>
        </w:rPr>
        <w:t xml:space="preserve"> set of</w:t>
      </w:r>
      <w:r>
        <w:rPr>
          <w:rFonts w:ascii="Times New Roman" w:hAnsi="Times New Roman" w:cs="Times New Roman"/>
          <w:color w:val="000000" w:themeColor="text1"/>
          <w:kern w:val="0"/>
          <w:sz w:val="24"/>
          <w:szCs w:val="24"/>
        </w:rPr>
        <w:t xml:space="preserve"> </w:t>
      </w:r>
      <w:r w:rsidRPr="009F51CB">
        <w:rPr>
          <w:rFonts w:ascii="Times New Roman" w:hAnsi="Times New Roman" w:cs="Times New Roman" w:hint="eastAsia"/>
          <w:i/>
          <w:color w:val="000000" w:themeColor="text1"/>
          <w:kern w:val="0"/>
          <w:sz w:val="24"/>
          <w:szCs w:val="24"/>
        </w:rPr>
        <w:t>aporiai</w:t>
      </w:r>
      <w:r>
        <w:rPr>
          <w:rFonts w:ascii="Times New Roman" w:hAnsi="Times New Roman" w:cs="Times New Roman"/>
          <w:color w:val="000000" w:themeColor="text1"/>
          <w:kern w:val="0"/>
          <w:sz w:val="24"/>
          <w:szCs w:val="24"/>
        </w:rPr>
        <w:t xml:space="preserve"> and providing solutions in a </w:t>
      </w:r>
      <w:r>
        <w:rPr>
          <w:rFonts w:ascii="Times New Roman" w:hAnsi="Times New Roman" w:cs="Times New Roman" w:hint="eastAsia"/>
          <w:color w:val="000000" w:themeColor="text1"/>
          <w:kern w:val="0"/>
          <w:sz w:val="24"/>
          <w:szCs w:val="24"/>
        </w:rPr>
        <w:t xml:space="preserve">mystagogic </w:t>
      </w:r>
      <w:r>
        <w:rPr>
          <w:rFonts w:ascii="Times New Roman" w:hAnsi="Times New Roman" w:cs="Times New Roman"/>
          <w:color w:val="000000" w:themeColor="text1"/>
          <w:kern w:val="0"/>
          <w:sz w:val="24"/>
          <w:szCs w:val="24"/>
        </w:rPr>
        <w:t xml:space="preserve">dialogue format </w:t>
      </w:r>
      <w:r w:rsidRPr="00AA6300">
        <w:rPr>
          <w:rFonts w:ascii="Times New Roman" w:hAnsi="Times New Roman" w:cs="Times New Roman"/>
          <w:color w:val="000000" w:themeColor="text1"/>
          <w:kern w:val="0"/>
          <w:sz w:val="24"/>
          <w:szCs w:val="24"/>
        </w:rPr>
        <w:t xml:space="preserve">with elements from the </w:t>
      </w:r>
      <w:r w:rsidRPr="00AA6300">
        <w:rPr>
          <w:rFonts w:ascii="Times New Roman" w:hAnsi="Times New Roman" w:cs="Times New Roman"/>
          <w:i/>
          <w:color w:val="000000" w:themeColor="text1"/>
          <w:kern w:val="0"/>
          <w:sz w:val="24"/>
          <w:szCs w:val="24"/>
        </w:rPr>
        <w:t>Hermetica</w:t>
      </w:r>
      <w:r>
        <w:rPr>
          <w:rFonts w:ascii="Times New Roman" w:hAnsi="Times New Roman" w:cs="Times New Roman"/>
          <w:color w:val="000000" w:themeColor="text1"/>
          <w:kern w:val="0"/>
          <w:sz w:val="24"/>
          <w:szCs w:val="24"/>
        </w:rPr>
        <w:t>.</w:t>
      </w:r>
      <w:r>
        <w:rPr>
          <w:rStyle w:val="FootnoteReference"/>
          <w:rFonts w:ascii="Times New Roman" w:hAnsi="Times New Roman" w:cs="Times New Roman"/>
          <w:color w:val="000000" w:themeColor="text1"/>
          <w:kern w:val="0"/>
          <w:sz w:val="24"/>
          <w:szCs w:val="24"/>
        </w:rPr>
        <w:footnoteReference w:id="11"/>
      </w:r>
      <w:r>
        <w:rPr>
          <w:rFonts w:ascii="Times New Roman" w:hAnsi="Times New Roman" w:cs="Times New Roman" w:hint="eastAsia"/>
          <w:color w:val="000000" w:themeColor="text1"/>
          <w:kern w:val="0"/>
          <w:sz w:val="24"/>
          <w:szCs w:val="24"/>
        </w:rPr>
        <w:t xml:space="preserve"> </w:t>
      </w:r>
      <w:r>
        <w:rPr>
          <w:rFonts w:ascii="Times New Roman" w:hAnsi="Times New Roman" w:cs="Times New Roman" w:hint="eastAsia"/>
          <w:kern w:val="0"/>
          <w:sz w:val="24"/>
          <w:szCs w:val="24"/>
        </w:rPr>
        <w:t xml:space="preserve">Book I </w:t>
      </w:r>
      <w:r w:rsidR="00393190">
        <w:rPr>
          <w:rFonts w:ascii="Times New Roman" w:hAnsi="Times New Roman" w:cs="Times New Roman"/>
          <w:kern w:val="0"/>
          <w:sz w:val="24"/>
          <w:szCs w:val="24"/>
        </w:rPr>
        <w:t xml:space="preserve">of </w:t>
      </w:r>
      <w:r w:rsidR="00393190" w:rsidRPr="00393190">
        <w:rPr>
          <w:rFonts w:ascii="Times New Roman" w:hAnsi="Times New Roman" w:cs="Times New Roman"/>
          <w:i/>
          <w:kern w:val="0"/>
          <w:sz w:val="24"/>
          <w:szCs w:val="24"/>
        </w:rPr>
        <w:t>De mysteriis</w:t>
      </w:r>
      <w:r w:rsidR="00393190">
        <w:rPr>
          <w:rFonts w:ascii="Times New Roman" w:hAnsi="Times New Roman" w:cs="Times New Roman"/>
          <w:kern w:val="0"/>
          <w:sz w:val="24"/>
          <w:szCs w:val="24"/>
        </w:rPr>
        <w:t xml:space="preserve"> </w:t>
      </w:r>
      <w:r>
        <w:rPr>
          <w:rFonts w:ascii="Times New Roman" w:hAnsi="Times New Roman" w:cs="Times New Roman" w:hint="eastAsia"/>
          <w:kern w:val="0"/>
          <w:sz w:val="24"/>
          <w:szCs w:val="24"/>
        </w:rPr>
        <w:t xml:space="preserve">opens </w:t>
      </w:r>
      <w:r>
        <w:rPr>
          <w:rFonts w:ascii="Times New Roman" w:hAnsi="Times New Roman" w:cs="Times New Roman"/>
          <w:kern w:val="0"/>
          <w:sz w:val="24"/>
          <w:szCs w:val="24"/>
        </w:rPr>
        <w:t xml:space="preserve">with a dedicatory prologue </w:t>
      </w:r>
      <w:r>
        <w:rPr>
          <w:rFonts w:ascii="Times New Roman" w:hAnsi="Times New Roman" w:cs="Times New Roman" w:hint="eastAsia"/>
          <w:kern w:val="0"/>
          <w:sz w:val="24"/>
          <w:szCs w:val="24"/>
        </w:rPr>
        <w:t>honoring Hermes and outlining Iamblichus</w:t>
      </w:r>
      <w:r>
        <w:rPr>
          <w:rFonts w:ascii="Times New Roman" w:hAnsi="Times New Roman" w:cs="Times New Roman"/>
          <w:kern w:val="0"/>
          <w:sz w:val="24"/>
          <w:szCs w:val="24"/>
        </w:rPr>
        <w:t>’</w:t>
      </w:r>
      <w:r w:rsidR="002F6054">
        <w:rPr>
          <w:rFonts w:ascii="Times New Roman" w:hAnsi="Times New Roman" w:cs="Times New Roman" w:hint="eastAsia"/>
          <w:kern w:val="0"/>
          <w:sz w:val="24"/>
          <w:szCs w:val="24"/>
        </w:rPr>
        <w:t xml:space="preserve"> thre</w:t>
      </w:r>
      <w:r w:rsidR="002F6054">
        <w:rPr>
          <w:rFonts w:ascii="Times New Roman" w:hAnsi="Times New Roman" w:cs="Times New Roman"/>
          <w:kern w:val="0"/>
          <w:sz w:val="24"/>
          <w:szCs w:val="24"/>
        </w:rPr>
        <w:t>e-</w:t>
      </w:r>
      <w:r>
        <w:rPr>
          <w:rFonts w:ascii="Times New Roman" w:hAnsi="Times New Roman" w:cs="Times New Roman" w:hint="eastAsia"/>
          <w:kern w:val="0"/>
          <w:sz w:val="24"/>
          <w:szCs w:val="24"/>
        </w:rPr>
        <w:t>part methodology of theological, philosophical, and theurgical answers to Porphyry</w:t>
      </w:r>
      <w:r>
        <w:rPr>
          <w:rFonts w:ascii="Times New Roman" w:hAnsi="Times New Roman" w:cs="Times New Roman"/>
          <w:kern w:val="0"/>
          <w:sz w:val="24"/>
          <w:szCs w:val="24"/>
        </w:rPr>
        <w:t>’</w:t>
      </w:r>
      <w:r>
        <w:rPr>
          <w:rFonts w:ascii="Times New Roman" w:hAnsi="Times New Roman" w:cs="Times New Roman" w:hint="eastAsia"/>
          <w:kern w:val="0"/>
          <w:sz w:val="24"/>
          <w:szCs w:val="24"/>
        </w:rPr>
        <w:t>s questions.</w:t>
      </w:r>
      <w:r>
        <w:rPr>
          <w:rStyle w:val="FootnoteReference"/>
          <w:rFonts w:ascii="Times New Roman" w:hAnsi="Times New Roman" w:cs="Times New Roman"/>
          <w:kern w:val="0"/>
          <w:sz w:val="24"/>
          <w:szCs w:val="24"/>
        </w:rPr>
        <w:footnoteReference w:id="12"/>
      </w:r>
      <w:r>
        <w:rPr>
          <w:rFonts w:ascii="Times New Roman" w:hAnsi="Times New Roman" w:cs="Times New Roman"/>
          <w:kern w:val="0"/>
          <w:sz w:val="24"/>
          <w:szCs w:val="24"/>
        </w:rPr>
        <w:t xml:space="preserve"> </w:t>
      </w:r>
      <w:r>
        <w:rPr>
          <w:rFonts w:ascii="Times New Roman" w:hAnsi="Times New Roman" w:cs="Times New Roman" w:hint="eastAsia"/>
          <w:kern w:val="0"/>
          <w:sz w:val="24"/>
          <w:szCs w:val="24"/>
        </w:rPr>
        <w:t xml:space="preserve">It has been suggested that the structure, </w:t>
      </w:r>
      <w:r>
        <w:rPr>
          <w:rFonts w:ascii="Times New Roman" w:hAnsi="Times New Roman" w:cs="Times New Roman"/>
          <w:kern w:val="0"/>
          <w:sz w:val="24"/>
          <w:szCs w:val="24"/>
        </w:rPr>
        <w:t>dialogue</w:t>
      </w:r>
      <w:r>
        <w:rPr>
          <w:rFonts w:ascii="Times New Roman" w:hAnsi="Times New Roman" w:cs="Times New Roman" w:hint="eastAsia"/>
          <w:kern w:val="0"/>
          <w:sz w:val="24"/>
          <w:szCs w:val="24"/>
        </w:rPr>
        <w:t xml:space="preserve"> form, and other Hermetic </w:t>
      </w:r>
      <w:r>
        <w:rPr>
          <w:rFonts w:ascii="Times New Roman" w:hAnsi="Times New Roman" w:cs="Times New Roman"/>
          <w:kern w:val="0"/>
          <w:sz w:val="24"/>
          <w:szCs w:val="24"/>
        </w:rPr>
        <w:t>similarities</w:t>
      </w:r>
      <w:r>
        <w:rPr>
          <w:rFonts w:ascii="Times New Roman" w:hAnsi="Times New Roman" w:cs="Times New Roman" w:hint="eastAsia"/>
          <w:kern w:val="0"/>
          <w:sz w:val="24"/>
          <w:szCs w:val="24"/>
        </w:rPr>
        <w:t xml:space="preserve"> in Book III, which centers on divination, </w:t>
      </w:r>
      <w:r>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could itself </w:t>
      </w:r>
      <w:r w:rsidRPr="006976DE">
        <w:rPr>
          <w:rFonts w:ascii="Times New Roman" w:hAnsi="Times New Roman" w:cs="Times New Roman"/>
          <w:kern w:val="0"/>
          <w:sz w:val="24"/>
          <w:szCs w:val="24"/>
        </w:rPr>
        <w:t xml:space="preserve">be viewed as a textual </w:t>
      </w:r>
      <w:r w:rsidRPr="006976DE">
        <w:rPr>
          <w:rFonts w:ascii="Times New Roman" w:hAnsi="Times New Roman" w:cs="Times New Roman"/>
          <w:i/>
          <w:kern w:val="0"/>
          <w:sz w:val="24"/>
          <w:szCs w:val="24"/>
        </w:rPr>
        <w:t>symbolon</w:t>
      </w:r>
      <w:r w:rsidRPr="006976DE">
        <w:rPr>
          <w:rFonts w:ascii="Times New Roman" w:hAnsi="Times New Roman" w:cs="Times New Roman"/>
          <w:kern w:val="0"/>
          <w:sz w:val="24"/>
          <w:szCs w:val="24"/>
        </w:rPr>
        <w:t xml:space="preserve"> and as a sacred, ritualistic invocation of the divine reality which it describes</w:t>
      </w:r>
      <w:r>
        <w:rPr>
          <w:rFonts w:ascii="Times New Roman" w:hAnsi="Times New Roman" w:cs="Times New Roman" w:hint="eastAsia"/>
          <w:kern w:val="0"/>
          <w:sz w:val="24"/>
          <w:szCs w:val="24"/>
        </w:rPr>
        <w:t>.</w:t>
      </w:r>
      <w:r>
        <w:rPr>
          <w:rFonts w:ascii="Times New Roman" w:hAnsi="Times New Roman" w:cs="Times New Roman"/>
          <w:kern w:val="0"/>
          <w:sz w:val="24"/>
          <w:szCs w:val="24"/>
        </w:rPr>
        <w:t>’</w:t>
      </w:r>
      <w:r>
        <w:rPr>
          <w:rStyle w:val="FootnoteReference"/>
          <w:rFonts w:ascii="Times New Roman" w:hAnsi="Times New Roman" w:cs="Times New Roman"/>
          <w:kern w:val="0"/>
          <w:sz w:val="24"/>
          <w:szCs w:val="24"/>
        </w:rPr>
        <w:footnoteReference w:id="13"/>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 xml:space="preserve">Iamblichus opens Book III by first stating that it </w:t>
      </w:r>
      <w:r w:rsidR="004F4412">
        <w:rPr>
          <w:rFonts w:ascii="Times New Roman" w:hAnsi="Times New Roman" w:cs="Times New Roman"/>
          <w:kern w:val="0"/>
          <w:sz w:val="24"/>
          <w:szCs w:val="24"/>
        </w:rPr>
        <w:t>will be</w:t>
      </w:r>
      <w:r>
        <w:rPr>
          <w:rFonts w:ascii="Times New Roman" w:hAnsi="Times New Roman" w:cs="Times New Roman" w:hint="eastAsia"/>
          <w:kern w:val="0"/>
          <w:sz w:val="24"/>
          <w:szCs w:val="24"/>
        </w:rPr>
        <w:t>,</w:t>
      </w:r>
      <w:r>
        <w:rPr>
          <w:rFonts w:ascii="Times New Roman" w:hAnsi="Times New Roman" w:cs="Times New Roman"/>
          <w:kern w:val="0"/>
          <w:sz w:val="24"/>
          <w:szCs w:val="24"/>
        </w:rPr>
        <w:t xml:space="preserve"> ‘</w:t>
      </w:r>
      <w:r w:rsidRPr="00894516">
        <w:rPr>
          <w:rFonts w:ascii="Times New Roman" w:hAnsi="Times New Roman" w:cs="Times New Roman"/>
          <w:kern w:val="0"/>
          <w:sz w:val="24"/>
          <w:szCs w:val="24"/>
        </w:rPr>
        <w:t>quite impossible</w:t>
      </w:r>
      <w:r>
        <w:rPr>
          <w:rFonts w:ascii="Times New Roman" w:hAnsi="Times New Roman" w:cs="Times New Roman"/>
          <w:kern w:val="0"/>
          <w:sz w:val="24"/>
          <w:szCs w:val="24"/>
        </w:rPr>
        <w:t>’</w:t>
      </w:r>
      <w:r w:rsidRPr="00D86E10">
        <w:rPr>
          <w:rFonts w:ascii="Times New Roman" w:hAnsi="Times New Roman" w:cs="Times New Roman"/>
          <w:i/>
          <w:kern w:val="0"/>
          <w:sz w:val="24"/>
          <w:szCs w:val="24"/>
        </w:rPr>
        <w:t xml:space="preserve"> </w:t>
      </w:r>
      <w:r>
        <w:rPr>
          <w:rFonts w:ascii="Times New Roman" w:hAnsi="Times New Roman" w:cs="Times New Roman" w:hint="eastAsia"/>
          <w:kern w:val="0"/>
          <w:sz w:val="24"/>
          <w:szCs w:val="24"/>
        </w:rPr>
        <w:t>(</w:t>
      </w:r>
      <w:r>
        <w:rPr>
          <w:rFonts w:ascii="Times New Roman" w:hAnsi="Times New Roman" w:cs="Times New Roman"/>
          <w:kern w:val="0"/>
          <w:sz w:val="24"/>
          <w:szCs w:val="24"/>
        </w:rPr>
        <w:t>ἀδύνατον</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for Porphyry to learn because of his misunderstanding concerning the nature of foreknowledge as something that</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w:t>
      </w:r>
      <w:r w:rsidRPr="00603FB4">
        <w:rPr>
          <w:rFonts w:ascii="Times New Roman" w:hAnsi="Times New Roman" w:cs="Times New Roman"/>
          <w:kern w:val="0"/>
          <w:sz w:val="24"/>
          <w:szCs w:val="24"/>
        </w:rPr>
        <w:t xml:space="preserve">can come into being’ </w:t>
      </w:r>
      <w:r>
        <w:rPr>
          <w:rFonts w:ascii="Times New Roman" w:hAnsi="Times New Roman" w:cs="Times New Roman" w:hint="eastAsia"/>
          <w:kern w:val="0"/>
          <w:sz w:val="24"/>
          <w:szCs w:val="24"/>
        </w:rPr>
        <w:t>(</w:t>
      </w:r>
      <w:r w:rsidRPr="00894516">
        <w:rPr>
          <w:rFonts w:ascii="Times New Roman" w:hAnsi="Times New Roman" w:cs="Times New Roman"/>
          <w:kern w:val="0"/>
          <w:sz w:val="24"/>
          <w:szCs w:val="24"/>
        </w:rPr>
        <w:t>ο</w:t>
      </w:r>
      <w:r>
        <w:rPr>
          <w:rFonts w:ascii="Times New Roman" w:hAnsi="Times New Roman" w:cs="Times New Roman"/>
          <w:kern w:val="0"/>
          <w:sz w:val="24"/>
          <w:szCs w:val="24"/>
        </w:rPr>
        <w:t>ἷ</w:t>
      </w:r>
      <w:r w:rsidRPr="00894516">
        <w:rPr>
          <w:rFonts w:ascii="Times New Roman" w:hAnsi="Times New Roman" w:cs="Times New Roman"/>
          <w:kern w:val="0"/>
          <w:sz w:val="24"/>
          <w:szCs w:val="24"/>
        </w:rPr>
        <w:t>ον</w:t>
      </w:r>
      <w:r>
        <w:rPr>
          <w:rFonts w:ascii="Times New Roman" w:hAnsi="Times New Roman" w:cs="Times New Roman" w:hint="eastAsia"/>
          <w:kern w:val="0"/>
          <w:sz w:val="24"/>
          <w:szCs w:val="24"/>
        </w:rPr>
        <w:t xml:space="preserve"> </w:t>
      </w:r>
      <w:r w:rsidRPr="00894516">
        <w:rPr>
          <w:rFonts w:ascii="Times New Roman" w:hAnsi="Times New Roman" w:cs="Times New Roman"/>
          <w:kern w:val="0"/>
          <w:sz w:val="24"/>
          <w:szCs w:val="24"/>
        </w:rPr>
        <w:t>γ</w:t>
      </w:r>
      <w:r>
        <w:rPr>
          <w:rFonts w:ascii="Times New Roman" w:hAnsi="Times New Roman" w:cs="Times New Roman"/>
          <w:kern w:val="0"/>
          <w:sz w:val="24"/>
          <w:szCs w:val="24"/>
        </w:rPr>
        <w:t>ί</w:t>
      </w:r>
      <w:r w:rsidRPr="00894516">
        <w:rPr>
          <w:rFonts w:ascii="Times New Roman" w:hAnsi="Times New Roman" w:cs="Times New Roman"/>
          <w:kern w:val="0"/>
          <w:sz w:val="24"/>
          <w:szCs w:val="24"/>
        </w:rPr>
        <w:t>γνεσ</w:t>
      </w:r>
      <w:r>
        <w:rPr>
          <w:rFonts w:ascii="Times New Roman" w:hAnsi="Times New Roman" w:cs="Times New Roman"/>
          <w:kern w:val="0"/>
          <w:sz w:val="24"/>
          <w:szCs w:val="24"/>
        </w:rPr>
        <w:t>θ</w:t>
      </w:r>
      <w:r w:rsidRPr="00894516">
        <w:rPr>
          <w:rFonts w:ascii="Times New Roman" w:hAnsi="Times New Roman" w:cs="Times New Roman"/>
          <w:kern w:val="0"/>
          <w:sz w:val="24"/>
          <w:szCs w:val="24"/>
        </w:rPr>
        <w:t>αι</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 xml:space="preserve">and </w:t>
      </w:r>
      <w:r w:rsidR="009B60E0">
        <w:rPr>
          <w:rFonts w:ascii="Times New Roman" w:hAnsi="Times New Roman" w:cs="Times New Roman" w:hint="eastAsia"/>
          <w:kern w:val="0"/>
          <w:sz w:val="24"/>
          <w:szCs w:val="24"/>
        </w:rPr>
        <w:t>exists in nature</w:t>
      </w:r>
      <w:r>
        <w:rPr>
          <w:rFonts w:ascii="Times New Roman" w:hAnsi="Times New Roman" w:cs="Times New Roman"/>
          <w:kern w:val="0"/>
          <w:sz w:val="24"/>
          <w:szCs w:val="24"/>
        </w:rPr>
        <w:t>.</w:t>
      </w:r>
      <w:r>
        <w:rPr>
          <w:rStyle w:val="FootnoteReference"/>
          <w:rFonts w:ascii="Times New Roman" w:hAnsi="Times New Roman" w:cs="Times New Roman"/>
          <w:kern w:val="0"/>
          <w:sz w:val="24"/>
          <w:szCs w:val="24"/>
        </w:rPr>
        <w:footnoteReference w:id="14"/>
      </w:r>
      <w:r>
        <w:rPr>
          <w:rFonts w:ascii="Times New Roman" w:hAnsi="Times New Roman" w:cs="Times New Roman"/>
          <w:kern w:val="0"/>
          <w:sz w:val="24"/>
          <w:szCs w:val="24"/>
        </w:rPr>
        <w:tab/>
      </w:r>
    </w:p>
    <w:p w:rsidR="006D74AB" w:rsidRDefault="006D74AB" w:rsidP="006D74AB">
      <w:pPr>
        <w:jc w:val="left"/>
        <w:rPr>
          <w:rFonts w:ascii="Times New Roman" w:hAnsi="Times New Roman" w:cs="Times New Roman"/>
          <w:kern w:val="0"/>
          <w:sz w:val="24"/>
          <w:szCs w:val="24"/>
        </w:rPr>
      </w:pPr>
      <w:r>
        <w:rPr>
          <w:rFonts w:ascii="Times New Roman" w:hAnsi="Times New Roman" w:cs="Times New Roman" w:hint="eastAsia"/>
          <w:kern w:val="0"/>
          <w:sz w:val="24"/>
          <w:szCs w:val="24"/>
        </w:rPr>
        <w:tab/>
      </w:r>
      <w:r>
        <w:rPr>
          <w:rFonts w:ascii="Times New Roman" w:hAnsi="Times New Roman" w:cs="Times New Roman"/>
          <w:kern w:val="0"/>
          <w:sz w:val="24"/>
          <w:szCs w:val="24"/>
        </w:rPr>
        <w:t>The popular practice of oneiromancy was questioned by Porphyry and Iamblichus responds by employing the well established categories of dream</w:t>
      </w:r>
      <w:r w:rsidR="00DA4D82">
        <w:rPr>
          <w:rFonts w:ascii="Times New Roman" w:hAnsi="Times New Roman" w:cs="Times New Roman" w:hint="eastAsia"/>
          <w:kern w:val="0"/>
          <w:sz w:val="24"/>
          <w:szCs w:val="24"/>
        </w:rPr>
        <w:t>s</w:t>
      </w:r>
      <w:r>
        <w:rPr>
          <w:rFonts w:ascii="Times New Roman" w:hAnsi="Times New Roman" w:cs="Times New Roman"/>
          <w:kern w:val="0"/>
          <w:sz w:val="24"/>
          <w:szCs w:val="24"/>
        </w:rPr>
        <w:t xml:space="preserve"> (ὄνειροι) originating from human imagination (φαντασία) and those sent from the gods (θεόπεμπτοι).</w:t>
      </w:r>
      <w:r>
        <w:rPr>
          <w:rStyle w:val="FootnoteReference"/>
          <w:rFonts w:ascii="Times New Roman" w:hAnsi="Times New Roman" w:cs="Times New Roman"/>
          <w:kern w:val="0"/>
          <w:sz w:val="24"/>
          <w:szCs w:val="24"/>
        </w:rPr>
        <w:footnoteReference w:id="15"/>
      </w:r>
      <w:r>
        <w:rPr>
          <w:rFonts w:ascii="Times New Roman" w:hAnsi="Times New Roman" w:cs="Times New Roman"/>
          <w:kern w:val="0"/>
          <w:sz w:val="24"/>
          <w:szCs w:val="24"/>
        </w:rPr>
        <w:t xml:space="preserve"> He describes a hypnagogic state between sleeping and waking when the gods may condescend to illuminate the dreamer, resulting in union with the gods and divination.</w:t>
      </w:r>
      <w:r>
        <w:rPr>
          <w:rStyle w:val="FootnoteReference"/>
          <w:rFonts w:ascii="Times New Roman" w:hAnsi="Times New Roman" w:cs="Times New Roman"/>
          <w:kern w:val="0"/>
          <w:sz w:val="24"/>
          <w:szCs w:val="24"/>
        </w:rPr>
        <w:footnoteReference w:id="16"/>
      </w:r>
      <w:r>
        <w:rPr>
          <w:rFonts w:ascii="Times New Roman" w:hAnsi="Times New Roman" w:cs="Times New Roman"/>
          <w:kern w:val="0"/>
          <w:sz w:val="24"/>
          <w:szCs w:val="24"/>
        </w:rPr>
        <w:t xml:space="preserve"> </w:t>
      </w:r>
      <w:r>
        <w:rPr>
          <w:rFonts w:ascii="Times New Roman" w:hAnsi="Times New Roman" w:cs="Times New Roman" w:hint="eastAsia"/>
          <w:kern w:val="0"/>
          <w:sz w:val="24"/>
          <w:szCs w:val="24"/>
        </w:rPr>
        <w:t xml:space="preserve">Iamblichus then recounts </w:t>
      </w:r>
      <w:r w:rsidR="0027143B">
        <w:rPr>
          <w:rFonts w:ascii="Times New Roman" w:hAnsi="Times New Roman" w:cs="Times New Roman" w:hint="eastAsia"/>
          <w:kern w:val="0"/>
          <w:sz w:val="24"/>
          <w:szCs w:val="24"/>
        </w:rPr>
        <w:t xml:space="preserve">various </w:t>
      </w:r>
      <w:r>
        <w:rPr>
          <w:rFonts w:ascii="Times New Roman" w:hAnsi="Times New Roman" w:cs="Times New Roman" w:hint="eastAsia"/>
          <w:kern w:val="0"/>
          <w:sz w:val="24"/>
          <w:szCs w:val="24"/>
        </w:rPr>
        <w:t>tangible benefits</w:t>
      </w:r>
      <w:r w:rsidR="00657C7F">
        <w:rPr>
          <w:rFonts w:ascii="Times New Roman" w:hAnsi="Times New Roman" w:cs="Times New Roman" w:hint="eastAsia"/>
          <w:kern w:val="0"/>
          <w:sz w:val="24"/>
          <w:szCs w:val="24"/>
        </w:rPr>
        <w:t>, such as</w:t>
      </w:r>
      <w:r>
        <w:rPr>
          <w:rFonts w:ascii="Times New Roman" w:hAnsi="Times New Roman" w:cs="Times New Roman" w:hint="eastAsia"/>
          <w:kern w:val="0"/>
          <w:sz w:val="24"/>
          <w:szCs w:val="24"/>
        </w:rPr>
        <w:t xml:space="preserve"> incubation, where a person would spend time in the temple of a </w:t>
      </w:r>
      <w:r>
        <w:rPr>
          <w:rFonts w:ascii="Times New Roman" w:hAnsi="Times New Roman" w:cs="Times New Roman"/>
          <w:kern w:val="0"/>
          <w:sz w:val="24"/>
          <w:szCs w:val="24"/>
        </w:rPr>
        <w:t>healing deity</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and</w:t>
      </w:r>
      <w:r>
        <w:rPr>
          <w:rFonts w:ascii="Times New Roman" w:hAnsi="Times New Roman" w:cs="Times New Roman" w:hint="eastAsia"/>
          <w:kern w:val="0"/>
          <w:sz w:val="24"/>
          <w:szCs w:val="24"/>
        </w:rPr>
        <w:t xml:space="preserve"> receive either an </w:t>
      </w:r>
      <w:r w:rsidR="006D43B4">
        <w:rPr>
          <w:rFonts w:ascii="Times New Roman" w:hAnsi="Times New Roman" w:cs="Times New Roman" w:hint="eastAsia"/>
          <w:kern w:val="0"/>
          <w:sz w:val="24"/>
          <w:szCs w:val="24"/>
        </w:rPr>
        <w:t xml:space="preserve">instructive </w:t>
      </w:r>
      <w:r>
        <w:rPr>
          <w:rFonts w:ascii="Times New Roman" w:hAnsi="Times New Roman" w:cs="Times New Roman" w:hint="eastAsia"/>
          <w:kern w:val="0"/>
          <w:sz w:val="24"/>
          <w:szCs w:val="24"/>
        </w:rPr>
        <w:t>dream or divine healing itself.</w:t>
      </w:r>
      <w:r>
        <w:rPr>
          <w:rStyle w:val="FootnoteReference"/>
          <w:rFonts w:ascii="Times New Roman" w:hAnsi="Times New Roman" w:cs="Times New Roman"/>
          <w:kern w:val="0"/>
          <w:sz w:val="24"/>
          <w:szCs w:val="24"/>
        </w:rPr>
        <w:footnoteReference w:id="17"/>
      </w:r>
    </w:p>
    <w:p w:rsidR="006D74AB" w:rsidRDefault="006D74AB" w:rsidP="006D74AB">
      <w:pPr>
        <w:jc w:val="left"/>
        <w:rPr>
          <w:rFonts w:ascii="Times New Roman" w:hAnsi="Times New Roman" w:cs="Times New Roman"/>
          <w:kern w:val="0"/>
          <w:sz w:val="24"/>
          <w:szCs w:val="24"/>
        </w:rPr>
      </w:pPr>
      <w:r>
        <w:rPr>
          <w:rFonts w:ascii="Times New Roman" w:hAnsi="Times New Roman" w:cs="Times New Roman"/>
          <w:kern w:val="0"/>
          <w:sz w:val="24"/>
          <w:szCs w:val="24"/>
        </w:rPr>
        <w:tab/>
      </w:r>
      <w:r w:rsidR="0027143B">
        <w:rPr>
          <w:rFonts w:ascii="Times New Roman" w:hAnsi="Times New Roman" w:cs="Times New Roman" w:hint="eastAsia"/>
          <w:color w:val="000000" w:themeColor="text1"/>
          <w:kern w:val="0"/>
          <w:sz w:val="24"/>
          <w:szCs w:val="24"/>
        </w:rPr>
        <w:t>A</w:t>
      </w:r>
      <w:r>
        <w:rPr>
          <w:rFonts w:ascii="Times New Roman" w:hAnsi="Times New Roman" w:cs="Times New Roman"/>
          <w:kern w:val="0"/>
          <w:sz w:val="24"/>
          <w:szCs w:val="24"/>
        </w:rPr>
        <w:t>ccording to Iamblichus, Porphyry inquired about the oracles at Claros, Delphi, and Didyma. The oracle of Apollo at Cl</w:t>
      </w:r>
      <w:r w:rsidR="002F6054">
        <w:rPr>
          <w:rFonts w:ascii="Times New Roman" w:hAnsi="Times New Roman" w:cs="Times New Roman"/>
          <w:kern w:val="0"/>
          <w:sz w:val="24"/>
          <w:szCs w:val="24"/>
        </w:rPr>
        <w:t xml:space="preserve">aros prophesied by water that </w:t>
      </w:r>
      <w:r w:rsidR="003A333C">
        <w:rPr>
          <w:rFonts w:ascii="Times New Roman" w:hAnsi="Times New Roman" w:cs="Times New Roman"/>
          <w:kern w:val="0"/>
          <w:sz w:val="24"/>
          <w:szCs w:val="24"/>
        </w:rPr>
        <w:t xml:space="preserve">was </w:t>
      </w:r>
      <w:r w:rsidR="002F6054">
        <w:rPr>
          <w:rFonts w:ascii="Times New Roman" w:hAnsi="Times New Roman" w:cs="Times New Roman"/>
          <w:kern w:val="0"/>
          <w:sz w:val="24"/>
          <w:szCs w:val="24"/>
        </w:rPr>
        <w:t>‘</w:t>
      </w:r>
      <w:r w:rsidR="002D3EFF">
        <w:rPr>
          <w:rFonts w:ascii="Times New Roman" w:hAnsi="Times New Roman" w:cs="Times New Roman"/>
          <w:kern w:val="0"/>
          <w:sz w:val="24"/>
          <w:szCs w:val="24"/>
        </w:rPr>
        <w:t>immediately</w:t>
      </w:r>
      <w:r w:rsidR="002D3EFF">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obvious</w:t>
      </w:r>
      <w:r w:rsidR="002D3EFF">
        <w:rPr>
          <w:rFonts w:ascii="Times New Roman" w:hAnsi="Times New Roman" w:cs="Times New Roman"/>
          <w:kern w:val="0"/>
          <w:sz w:val="24"/>
          <w:szCs w:val="24"/>
        </w:rPr>
        <w:t>’</w:t>
      </w:r>
      <w:r w:rsidR="003A333C">
        <w:rPr>
          <w:rFonts w:ascii="Times New Roman" w:hAnsi="Times New Roman" w:cs="Times New Roman"/>
          <w:kern w:val="0"/>
          <w:sz w:val="24"/>
          <w:szCs w:val="24"/>
        </w:rPr>
        <w:t xml:space="preserve"> to </w:t>
      </w:r>
      <w:r w:rsidR="002D3EFF">
        <w:rPr>
          <w:rFonts w:ascii="Times New Roman" w:hAnsi="Times New Roman" w:cs="Times New Roman" w:hint="eastAsia"/>
          <w:kern w:val="0"/>
          <w:sz w:val="24"/>
          <w:szCs w:val="24"/>
        </w:rPr>
        <w:t>have</w:t>
      </w:r>
      <w:r w:rsidR="002F6054">
        <w:rPr>
          <w:rFonts w:ascii="Times New Roman" w:hAnsi="Times New Roman" w:cs="Times New Roman"/>
          <w:kern w:val="0"/>
          <w:sz w:val="24"/>
          <w:szCs w:val="24"/>
        </w:rPr>
        <w:t xml:space="preserve"> </w:t>
      </w:r>
      <w:r w:rsidR="002D3EFF">
        <w:rPr>
          <w:rFonts w:ascii="Times New Roman" w:hAnsi="Times New Roman" w:cs="Times New Roman"/>
          <w:kern w:val="0"/>
          <w:sz w:val="24"/>
          <w:szCs w:val="24"/>
        </w:rPr>
        <w:t>‘</w:t>
      </w:r>
      <w:r w:rsidR="002F6054">
        <w:rPr>
          <w:rFonts w:ascii="Times New Roman" w:hAnsi="Times New Roman" w:cs="Times New Roman"/>
          <w:kern w:val="0"/>
          <w:sz w:val="24"/>
          <w:szCs w:val="24"/>
        </w:rPr>
        <w:t>oracular power</w:t>
      </w:r>
      <w:r w:rsidR="003A333C">
        <w:rPr>
          <w:rFonts w:ascii="Times New Roman" w:hAnsi="Times New Roman" w:cs="Times New Roman"/>
          <w:kern w:val="0"/>
          <w:sz w:val="24"/>
          <w:szCs w:val="24"/>
        </w:rPr>
        <w:t>.</w:t>
      </w:r>
      <w:r w:rsidR="002F6054">
        <w:rPr>
          <w:rFonts w:ascii="Times New Roman" w:hAnsi="Times New Roman" w:cs="Times New Roman"/>
          <w:kern w:val="0"/>
          <w:sz w:val="24"/>
          <w:szCs w:val="24"/>
        </w:rPr>
        <w:t>’</w:t>
      </w:r>
      <w:r w:rsidR="002F6054">
        <w:rPr>
          <w:rStyle w:val="FootnoteReference"/>
          <w:rFonts w:ascii="Times New Roman" w:hAnsi="Times New Roman" w:cs="Times New Roman"/>
          <w:kern w:val="0"/>
          <w:sz w:val="24"/>
          <w:szCs w:val="24"/>
        </w:rPr>
        <w:footnoteReference w:id="18"/>
      </w:r>
      <w:r w:rsidR="003A333C">
        <w:rPr>
          <w:rFonts w:ascii="Times New Roman" w:hAnsi="Times New Roman" w:cs="Times New Roman"/>
          <w:kern w:val="0"/>
          <w:sz w:val="24"/>
          <w:szCs w:val="24"/>
        </w:rPr>
        <w:t xml:space="preserve"> </w:t>
      </w:r>
      <w:r>
        <w:rPr>
          <w:rFonts w:ascii="Times New Roman" w:hAnsi="Times New Roman" w:cs="Times New Roman" w:hint="eastAsia"/>
          <w:kern w:val="0"/>
          <w:sz w:val="24"/>
          <w:szCs w:val="24"/>
        </w:rPr>
        <w:t xml:space="preserve">At Delphi, Iamblichus claimed that the Pythia was </w:t>
      </w:r>
      <w:r>
        <w:rPr>
          <w:rFonts w:ascii="Times New Roman" w:hAnsi="Times New Roman" w:cs="Times New Roman"/>
          <w:kern w:val="0"/>
          <w:sz w:val="24"/>
          <w:szCs w:val="24"/>
        </w:rPr>
        <w:t>illuminated</w:t>
      </w:r>
      <w:r>
        <w:rPr>
          <w:rFonts w:ascii="Times New Roman" w:hAnsi="Times New Roman" w:cs="Times New Roman" w:hint="eastAsia"/>
          <w:kern w:val="0"/>
          <w:sz w:val="24"/>
          <w:szCs w:val="24"/>
        </w:rPr>
        <w:t xml:space="preserve"> and </w:t>
      </w:r>
      <w:r>
        <w:rPr>
          <w:rFonts w:ascii="Times New Roman" w:hAnsi="Times New Roman" w:cs="Times New Roman"/>
          <w:kern w:val="0"/>
          <w:sz w:val="24"/>
          <w:szCs w:val="24"/>
        </w:rPr>
        <w:t>enveloped</w:t>
      </w:r>
      <w:r>
        <w:rPr>
          <w:rFonts w:ascii="Times New Roman" w:hAnsi="Times New Roman" w:cs="Times New Roman" w:hint="eastAsia"/>
          <w:kern w:val="0"/>
          <w:sz w:val="24"/>
          <w:szCs w:val="24"/>
        </w:rPr>
        <w:t xml:space="preserve"> from a ray of divine fire </w:t>
      </w:r>
      <w:r>
        <w:rPr>
          <w:rFonts w:ascii="Times New Roman" w:hAnsi="Times New Roman" w:cs="Times New Roman"/>
          <w:kern w:val="0"/>
          <w:sz w:val="24"/>
          <w:szCs w:val="24"/>
        </w:rPr>
        <w:t>emanating</w:t>
      </w:r>
      <w:r>
        <w:rPr>
          <w:rFonts w:ascii="Times New Roman" w:hAnsi="Times New Roman" w:cs="Times New Roman" w:hint="eastAsia"/>
          <w:kern w:val="0"/>
          <w:sz w:val="24"/>
          <w:szCs w:val="24"/>
        </w:rPr>
        <w:t xml:space="preserve"> from a chasm.</w:t>
      </w:r>
      <w:r>
        <w:rPr>
          <w:rStyle w:val="FootnoteReference"/>
          <w:rFonts w:ascii="Times New Roman" w:hAnsi="Times New Roman" w:cs="Times New Roman"/>
          <w:kern w:val="0"/>
          <w:sz w:val="24"/>
          <w:szCs w:val="24"/>
        </w:rPr>
        <w:footnoteReference w:id="19"/>
      </w:r>
      <w:r>
        <w:rPr>
          <w:rFonts w:ascii="Times New Roman" w:hAnsi="Times New Roman" w:cs="Times New Roman" w:hint="eastAsia"/>
          <w:kern w:val="0"/>
          <w:sz w:val="24"/>
          <w:szCs w:val="24"/>
        </w:rPr>
        <w:t xml:space="preserve"> Thus, the spiritually prepared </w:t>
      </w:r>
      <w:r>
        <w:rPr>
          <w:rFonts w:ascii="Times New Roman" w:hAnsi="Times New Roman" w:cs="Times New Roman"/>
          <w:kern w:val="0"/>
          <w:sz w:val="24"/>
          <w:szCs w:val="24"/>
        </w:rPr>
        <w:t>prophetess</w:t>
      </w:r>
      <w:r>
        <w:rPr>
          <w:rFonts w:ascii="Times New Roman" w:hAnsi="Times New Roman" w:cs="Times New Roman" w:hint="eastAsia"/>
          <w:kern w:val="0"/>
          <w:sz w:val="24"/>
          <w:szCs w:val="24"/>
        </w:rPr>
        <w:t xml:space="preserve"> became a </w:t>
      </w:r>
      <w:r w:rsidR="003E42E1">
        <w:rPr>
          <w:rFonts w:ascii="Times New Roman" w:hAnsi="Times New Roman" w:cs="Times New Roman"/>
          <w:kern w:val="0"/>
          <w:sz w:val="24"/>
          <w:szCs w:val="24"/>
        </w:rPr>
        <w:t>‘</w:t>
      </w:r>
      <w:r w:rsidRPr="00B940B0">
        <w:rPr>
          <w:rFonts w:ascii="Times New Roman" w:hAnsi="Times New Roman" w:cs="Times New Roman" w:hint="eastAsia"/>
          <w:kern w:val="0"/>
          <w:sz w:val="24"/>
          <w:szCs w:val="24"/>
        </w:rPr>
        <w:t>possession</w:t>
      </w:r>
      <w:r w:rsidR="003E42E1">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of the god.</w:t>
      </w:r>
      <w:r w:rsidR="003E42E1">
        <w:rPr>
          <w:rStyle w:val="FootnoteReference"/>
          <w:rFonts w:ascii="Times New Roman" w:hAnsi="Times New Roman" w:cs="Times New Roman"/>
          <w:kern w:val="0"/>
          <w:sz w:val="24"/>
          <w:szCs w:val="24"/>
        </w:rPr>
        <w:footnoteReference w:id="20"/>
      </w:r>
      <w:r>
        <w:rPr>
          <w:rFonts w:ascii="Times New Roman" w:hAnsi="Times New Roman" w:cs="Times New Roman" w:hint="eastAsia"/>
          <w:kern w:val="0"/>
          <w:sz w:val="24"/>
          <w:szCs w:val="24"/>
        </w:rPr>
        <w:t xml:space="preserve"> Both the </w:t>
      </w:r>
      <w:r>
        <w:rPr>
          <w:rFonts w:ascii="Times New Roman" w:hAnsi="Times New Roman" w:cs="Times New Roman"/>
          <w:kern w:val="0"/>
          <w:sz w:val="24"/>
          <w:szCs w:val="24"/>
        </w:rPr>
        <w:t>preparation</w:t>
      </w:r>
      <w:r>
        <w:rPr>
          <w:rFonts w:ascii="Times New Roman" w:hAnsi="Times New Roman" w:cs="Times New Roman" w:hint="eastAsia"/>
          <w:kern w:val="0"/>
          <w:sz w:val="24"/>
          <w:szCs w:val="24"/>
        </w:rPr>
        <w:t xml:space="preserve"> of the prophet and divination produced </w:t>
      </w:r>
      <w:r>
        <w:rPr>
          <w:rFonts w:ascii="Times New Roman" w:hAnsi="Times New Roman" w:cs="Times New Roman"/>
          <w:kern w:val="0"/>
          <w:sz w:val="24"/>
          <w:szCs w:val="24"/>
        </w:rPr>
        <w:t>solely</w:t>
      </w:r>
      <w:r>
        <w:rPr>
          <w:rFonts w:ascii="Times New Roman" w:hAnsi="Times New Roman" w:cs="Times New Roman" w:hint="eastAsia"/>
          <w:kern w:val="0"/>
          <w:sz w:val="24"/>
          <w:szCs w:val="24"/>
        </w:rPr>
        <w:t xml:space="preserve"> by the gods is again </w:t>
      </w:r>
      <w:r>
        <w:rPr>
          <w:rFonts w:ascii="Times New Roman" w:hAnsi="Times New Roman" w:cs="Times New Roman"/>
          <w:kern w:val="0"/>
          <w:sz w:val="24"/>
          <w:szCs w:val="24"/>
        </w:rPr>
        <w:t>emphasized</w:t>
      </w:r>
      <w:r>
        <w:rPr>
          <w:rFonts w:ascii="Times New Roman" w:hAnsi="Times New Roman" w:cs="Times New Roman" w:hint="eastAsia"/>
          <w:kern w:val="0"/>
          <w:sz w:val="24"/>
          <w:szCs w:val="24"/>
        </w:rPr>
        <w:t xml:space="preserve"> when discussing the </w:t>
      </w:r>
      <w:r>
        <w:rPr>
          <w:rFonts w:ascii="Times New Roman" w:hAnsi="Times New Roman" w:cs="Times New Roman"/>
          <w:kern w:val="0"/>
          <w:sz w:val="24"/>
          <w:szCs w:val="24"/>
        </w:rPr>
        <w:t>prophetess</w:t>
      </w:r>
      <w:r>
        <w:rPr>
          <w:rFonts w:ascii="Times New Roman" w:hAnsi="Times New Roman" w:cs="Times New Roman" w:hint="eastAsia"/>
          <w:kern w:val="0"/>
          <w:sz w:val="24"/>
          <w:szCs w:val="24"/>
        </w:rPr>
        <w:t xml:space="preserve"> at Didyma, who was filled with </w:t>
      </w:r>
      <w:r>
        <w:rPr>
          <w:rFonts w:ascii="Times New Roman" w:hAnsi="Times New Roman" w:cs="Times New Roman"/>
          <w:kern w:val="0"/>
          <w:sz w:val="24"/>
          <w:szCs w:val="24"/>
        </w:rPr>
        <w:t>‘</w:t>
      </w:r>
      <w:r>
        <w:rPr>
          <w:rFonts w:ascii="Times New Roman" w:hAnsi="Times New Roman" w:cs="Times New Roman" w:hint="eastAsia"/>
          <w:kern w:val="0"/>
          <w:sz w:val="24"/>
          <w:szCs w:val="24"/>
        </w:rPr>
        <w:t xml:space="preserve">divine </w:t>
      </w:r>
      <w:r>
        <w:rPr>
          <w:rFonts w:ascii="Times New Roman" w:hAnsi="Times New Roman" w:cs="Times New Roman"/>
          <w:kern w:val="0"/>
          <w:sz w:val="24"/>
          <w:szCs w:val="24"/>
        </w:rPr>
        <w:t>radiance’</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θείας</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αὐγῆς</w:t>
      </w:r>
      <w:r>
        <w:rPr>
          <w:rFonts w:ascii="Times New Roman" w:hAnsi="Times New Roman" w:cs="Times New Roman" w:hint="eastAsia"/>
          <w:kern w:val="0"/>
          <w:sz w:val="24"/>
          <w:szCs w:val="24"/>
        </w:rPr>
        <w:t xml:space="preserve">) and held the staff of Apollo when she </w:t>
      </w:r>
      <w:r>
        <w:rPr>
          <w:rFonts w:ascii="Times New Roman" w:hAnsi="Times New Roman" w:cs="Times New Roman"/>
          <w:kern w:val="0"/>
          <w:sz w:val="24"/>
          <w:szCs w:val="24"/>
        </w:rPr>
        <w:t>predicted</w:t>
      </w:r>
      <w:r>
        <w:rPr>
          <w:rFonts w:ascii="Times New Roman" w:hAnsi="Times New Roman" w:cs="Times New Roman" w:hint="eastAsia"/>
          <w:kern w:val="0"/>
          <w:sz w:val="24"/>
          <w:szCs w:val="24"/>
        </w:rPr>
        <w:t xml:space="preserve"> the future. </w:t>
      </w:r>
      <w:r>
        <w:rPr>
          <w:rFonts w:ascii="Times New Roman" w:hAnsi="Times New Roman" w:cs="Times New Roman"/>
          <w:kern w:val="0"/>
          <w:sz w:val="24"/>
          <w:szCs w:val="24"/>
        </w:rPr>
        <w:t>Whether</w:t>
      </w:r>
      <w:r>
        <w:rPr>
          <w:rFonts w:ascii="Times New Roman" w:hAnsi="Times New Roman" w:cs="Times New Roman" w:hint="eastAsia"/>
          <w:kern w:val="0"/>
          <w:sz w:val="24"/>
          <w:szCs w:val="24"/>
        </w:rPr>
        <w:t xml:space="preserve"> she touche</w:t>
      </w:r>
      <w:r w:rsidR="00E57A77">
        <w:rPr>
          <w:rFonts w:ascii="Times New Roman" w:hAnsi="Times New Roman" w:cs="Times New Roman" w:hint="eastAsia"/>
          <w:kern w:val="0"/>
          <w:sz w:val="24"/>
          <w:szCs w:val="24"/>
        </w:rPr>
        <w:t>d the water or inhaled</w:t>
      </w:r>
      <w:r>
        <w:rPr>
          <w:rFonts w:ascii="Times New Roman" w:hAnsi="Times New Roman" w:cs="Times New Roman" w:hint="eastAsia"/>
          <w:kern w:val="0"/>
          <w:sz w:val="24"/>
          <w:szCs w:val="24"/>
        </w:rPr>
        <w:t xml:space="preserve"> the vapor</w:t>
      </w:r>
      <w:r>
        <w:rPr>
          <w:rFonts w:ascii="Times New Roman" w:hAnsi="Times New Roman" w:cs="Times New Roman"/>
          <w:kern w:val="0"/>
          <w:sz w:val="24"/>
          <w:szCs w:val="24"/>
        </w:rPr>
        <w:t xml:space="preserve">, </w:t>
      </w:r>
      <w:r>
        <w:rPr>
          <w:rFonts w:ascii="Times New Roman" w:hAnsi="Times New Roman" w:cs="Times New Roman" w:hint="eastAsia"/>
          <w:kern w:val="0"/>
          <w:sz w:val="24"/>
          <w:szCs w:val="24"/>
        </w:rPr>
        <w:t xml:space="preserve">Iamblichus states that she </w:t>
      </w:r>
      <w:r>
        <w:rPr>
          <w:rFonts w:ascii="Times New Roman" w:hAnsi="Times New Roman" w:cs="Times New Roman"/>
          <w:kern w:val="0"/>
          <w:sz w:val="24"/>
          <w:szCs w:val="24"/>
        </w:rPr>
        <w:t>‘</w:t>
      </w:r>
      <w:r>
        <w:rPr>
          <w:rFonts w:ascii="Times New Roman" w:hAnsi="Times New Roman" w:cs="Times New Roman" w:hint="eastAsia"/>
          <w:kern w:val="0"/>
          <w:sz w:val="24"/>
          <w:szCs w:val="24"/>
        </w:rPr>
        <w:t>partakes</w:t>
      </w:r>
      <w:r>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w:t>
      </w:r>
      <w:r w:rsidRPr="00510539">
        <w:rPr>
          <w:rFonts w:ascii="Times New Roman" w:hAnsi="Times New Roman" w:cs="Times New Roman"/>
          <w:kern w:val="0"/>
          <w:sz w:val="24"/>
          <w:szCs w:val="24"/>
        </w:rPr>
        <w:t>µεταλαµβ</w:t>
      </w:r>
      <w:r>
        <w:rPr>
          <w:rFonts w:ascii="Times New Roman" w:hAnsi="Times New Roman" w:cs="Times New Roman"/>
          <w:kern w:val="0"/>
          <w:sz w:val="24"/>
          <w:szCs w:val="24"/>
        </w:rPr>
        <w:t>ά</w:t>
      </w:r>
      <w:r w:rsidRPr="00510539">
        <w:rPr>
          <w:rFonts w:ascii="Times New Roman" w:hAnsi="Times New Roman" w:cs="Times New Roman"/>
          <w:kern w:val="0"/>
          <w:sz w:val="24"/>
          <w:szCs w:val="24"/>
        </w:rPr>
        <w:t>νει</w:t>
      </w:r>
      <w:r>
        <w:rPr>
          <w:rFonts w:ascii="Times New Roman" w:hAnsi="Times New Roman" w:cs="Times New Roman" w:hint="eastAsia"/>
          <w:kern w:val="0"/>
          <w:sz w:val="24"/>
          <w:szCs w:val="24"/>
        </w:rPr>
        <w:t>) of the god.</w:t>
      </w:r>
      <w:r>
        <w:rPr>
          <w:rStyle w:val="FootnoteReference"/>
          <w:rFonts w:ascii="Times New Roman" w:hAnsi="Times New Roman" w:cs="Times New Roman"/>
          <w:kern w:val="0"/>
          <w:sz w:val="24"/>
          <w:szCs w:val="24"/>
        </w:rPr>
        <w:footnoteReference w:id="21"/>
      </w:r>
      <w:r w:rsidR="00DA4D82">
        <w:rPr>
          <w:rFonts w:ascii="Times New Roman" w:hAnsi="Times New Roman" w:cs="Times New Roman" w:hint="eastAsia"/>
          <w:kern w:val="0"/>
          <w:sz w:val="24"/>
          <w:szCs w:val="24"/>
        </w:rPr>
        <w:t xml:space="preserve"> </w:t>
      </w:r>
    </w:p>
    <w:p w:rsidR="006D74AB" w:rsidRDefault="006D74AB" w:rsidP="006D74AB">
      <w:pPr>
        <w:jc w:val="left"/>
        <w:rPr>
          <w:rFonts w:ascii="Times New Roman" w:hAnsi="Times New Roman" w:cs="Times New Roman"/>
          <w:kern w:val="0"/>
          <w:sz w:val="24"/>
          <w:szCs w:val="24"/>
        </w:rPr>
      </w:pPr>
      <w:r>
        <w:rPr>
          <w:rFonts w:ascii="Times New Roman" w:hAnsi="Times New Roman" w:cs="Times New Roman"/>
          <w:sz w:val="24"/>
          <w:szCs w:val="24"/>
        </w:rPr>
        <w:tab/>
        <w:t xml:space="preserve">Transitioning from public to private oracles, Iamblichus answers Porphyry’s query regarding the </w:t>
      </w:r>
      <w:r w:rsidR="004A059B">
        <w:rPr>
          <w:rFonts w:ascii="Times New Roman" w:hAnsi="Times New Roman" w:cs="Times New Roman"/>
          <w:sz w:val="24"/>
          <w:szCs w:val="24"/>
        </w:rPr>
        <w:t xml:space="preserve">then </w:t>
      </w:r>
      <w:r>
        <w:rPr>
          <w:rFonts w:ascii="Times New Roman" w:hAnsi="Times New Roman" w:cs="Times New Roman"/>
          <w:sz w:val="24"/>
          <w:szCs w:val="24"/>
        </w:rPr>
        <w:t>popular practice of standing upon magical ‘characters’</w:t>
      </w:r>
      <w:r w:rsidRPr="000C2804">
        <w:rPr>
          <w:rFonts w:ascii="Times New Roman" w:hAnsi="Times New Roman" w:cs="Times New Roman"/>
          <w:sz w:val="24"/>
          <w:szCs w:val="24"/>
        </w:rPr>
        <w:t xml:space="preserve"> </w:t>
      </w:r>
      <w:r>
        <w:rPr>
          <w:rFonts w:ascii="Times New Roman" w:hAnsi="Times New Roman" w:cs="Times New Roman"/>
          <w:sz w:val="24"/>
          <w:szCs w:val="24"/>
        </w:rPr>
        <w:t xml:space="preserve">(χαρακτήρων). Iamblichus has great disdain for those who circumvent spiritual preparations </w:t>
      </w:r>
      <w:r w:rsidR="00315431">
        <w:rPr>
          <w:rFonts w:ascii="Times New Roman" w:hAnsi="Times New Roman" w:cs="Times New Roman" w:hint="eastAsia"/>
          <w:sz w:val="24"/>
          <w:szCs w:val="24"/>
        </w:rPr>
        <w:t>and</w:t>
      </w:r>
      <w:r w:rsidR="00315431">
        <w:rPr>
          <w:rFonts w:ascii="Times New Roman" w:hAnsi="Times New Roman" w:cs="Times New Roman"/>
          <w:sz w:val="24"/>
          <w:szCs w:val="24"/>
        </w:rPr>
        <w:t xml:space="preserve"> merely stand</w:t>
      </w:r>
      <w:r>
        <w:rPr>
          <w:rFonts w:ascii="Times New Roman" w:hAnsi="Times New Roman" w:cs="Times New Roman"/>
          <w:sz w:val="24"/>
          <w:szCs w:val="24"/>
        </w:rPr>
        <w:t xml:space="preserve"> </w:t>
      </w:r>
      <w:r w:rsidR="00315431">
        <w:rPr>
          <w:rFonts w:ascii="Times New Roman" w:hAnsi="Times New Roman" w:cs="Times New Roman" w:hint="eastAsia"/>
          <w:sz w:val="24"/>
          <w:szCs w:val="24"/>
        </w:rPr>
        <w:lastRenderedPageBreak/>
        <w:t>upon</w:t>
      </w:r>
      <w:r>
        <w:rPr>
          <w:rFonts w:ascii="Times New Roman" w:hAnsi="Times New Roman" w:cs="Times New Roman"/>
          <w:sz w:val="24"/>
          <w:szCs w:val="24"/>
        </w:rPr>
        <w:t xml:space="preserve"> s</w:t>
      </w:r>
      <w:r w:rsidR="00315431">
        <w:rPr>
          <w:rFonts w:ascii="Times New Roman" w:hAnsi="Times New Roman" w:cs="Times New Roman"/>
          <w:sz w:val="24"/>
          <w:szCs w:val="24"/>
        </w:rPr>
        <w:t>ymbols for an hour and expect</w:t>
      </w:r>
      <w:r>
        <w:rPr>
          <w:rFonts w:ascii="Times New Roman" w:hAnsi="Times New Roman" w:cs="Times New Roman"/>
          <w:sz w:val="24"/>
          <w:szCs w:val="24"/>
        </w:rPr>
        <w:t xml:space="preserve"> a spirit to enter.</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r>
        <w:rPr>
          <w:rFonts w:ascii="Times New Roman" w:hAnsi="Times New Roman" w:cs="Times New Roman"/>
          <w:kern w:val="0"/>
          <w:sz w:val="24"/>
          <w:szCs w:val="24"/>
        </w:rPr>
        <w:t xml:space="preserve">Iamblichus then turns to Porphyry’s question regarding techniques, “…for </w:t>
      </w:r>
      <w:r w:rsidRPr="007320F4">
        <w:rPr>
          <w:rFonts w:ascii="Times New Roman" w:hAnsi="Times New Roman" w:cs="Times New Roman"/>
          <w:color w:val="000000" w:themeColor="text1"/>
          <w:kern w:val="0"/>
          <w:sz w:val="24"/>
          <w:szCs w:val="24"/>
        </w:rPr>
        <w:t>pur</w:t>
      </w:r>
      <w:r w:rsidR="007320F4" w:rsidRPr="007320F4">
        <w:rPr>
          <w:rFonts w:ascii="Times New Roman" w:hAnsi="Times New Roman" w:cs="Times New Roman"/>
          <w:color w:val="000000" w:themeColor="text1"/>
          <w:kern w:val="0"/>
          <w:sz w:val="24"/>
          <w:szCs w:val="24"/>
        </w:rPr>
        <w:t>su</w:t>
      </w:r>
      <w:r w:rsidRPr="007320F4">
        <w:rPr>
          <w:rFonts w:ascii="Times New Roman" w:hAnsi="Times New Roman" w:cs="Times New Roman"/>
          <w:color w:val="000000" w:themeColor="text1"/>
          <w:kern w:val="0"/>
          <w:sz w:val="24"/>
          <w:szCs w:val="24"/>
        </w:rPr>
        <w:t>ing</w:t>
      </w:r>
      <w:r>
        <w:rPr>
          <w:rFonts w:ascii="Times New Roman" w:hAnsi="Times New Roman" w:cs="Times New Roman"/>
          <w:kern w:val="0"/>
          <w:sz w:val="24"/>
          <w:szCs w:val="24"/>
        </w:rPr>
        <w:t xml:space="preserve"> the future by means of entrails, birds, and stars.’</w:t>
      </w:r>
      <w:r>
        <w:rPr>
          <w:rStyle w:val="FootnoteReference"/>
          <w:rFonts w:ascii="Times New Roman" w:hAnsi="Times New Roman" w:cs="Times New Roman"/>
          <w:kern w:val="0"/>
          <w:sz w:val="24"/>
          <w:szCs w:val="24"/>
        </w:rPr>
        <w:footnoteReference w:id="23"/>
      </w:r>
      <w:r>
        <w:rPr>
          <w:rFonts w:ascii="Times New Roman" w:hAnsi="Times New Roman" w:cs="Times New Roman"/>
          <w:kern w:val="0"/>
          <w:sz w:val="24"/>
          <w:szCs w:val="24"/>
        </w:rPr>
        <w:t xml:space="preserve"> He reiterates the established categories of inspired and ‘artificial’ (</w:t>
      </w:r>
      <w:r w:rsidRPr="005A5894">
        <w:rPr>
          <w:rFonts w:ascii="Times New Roman" w:hAnsi="Times New Roman" w:cs="Times New Roman"/>
          <w:kern w:val="0"/>
          <w:sz w:val="24"/>
          <w:szCs w:val="24"/>
        </w:rPr>
        <w:t>τ</w:t>
      </w:r>
      <w:r w:rsidR="00D858A7">
        <w:rPr>
          <w:rFonts w:ascii="Times New Roman" w:hAnsi="Times New Roman" w:cs="Times New Roman"/>
          <w:kern w:val="0"/>
          <w:sz w:val="24"/>
          <w:szCs w:val="24"/>
        </w:rPr>
        <w:t>έ</w:t>
      </w:r>
      <w:r w:rsidRPr="005A5894">
        <w:rPr>
          <w:rFonts w:ascii="Times New Roman" w:hAnsi="Times New Roman" w:cs="Times New Roman"/>
          <w:kern w:val="0"/>
          <w:sz w:val="24"/>
          <w:szCs w:val="24"/>
        </w:rPr>
        <w:t>χν</w:t>
      </w:r>
      <w:r w:rsidR="00D858A7">
        <w:rPr>
          <w:rFonts w:ascii="Times New Roman" w:hAnsi="Times New Roman" w:cs="Times New Roman"/>
          <w:kern w:val="0"/>
          <w:sz w:val="24"/>
          <w:szCs w:val="24"/>
        </w:rPr>
        <w:t>η</w:t>
      </w:r>
      <w:r>
        <w:rPr>
          <w:rFonts w:ascii="Times New Roman" w:hAnsi="Times New Roman" w:cs="Times New Roman"/>
          <w:kern w:val="0"/>
          <w:sz w:val="24"/>
          <w:szCs w:val="24"/>
        </w:rPr>
        <w:t>) divination.</w:t>
      </w:r>
      <w:r>
        <w:rPr>
          <w:rStyle w:val="FootnoteReference"/>
          <w:rFonts w:ascii="Times New Roman" w:hAnsi="Times New Roman" w:cs="Times New Roman"/>
          <w:kern w:val="0"/>
          <w:sz w:val="24"/>
          <w:szCs w:val="24"/>
        </w:rPr>
        <w:footnoteReference w:id="24"/>
      </w:r>
      <w:r>
        <w:rPr>
          <w:rFonts w:ascii="Times New Roman" w:hAnsi="Times New Roman" w:cs="Times New Roman"/>
          <w:kern w:val="0"/>
          <w:sz w:val="24"/>
          <w:szCs w:val="24"/>
        </w:rPr>
        <w:t xml:space="preserve"> This differentiation is largely due to, ‘…their proximity to the divine.’</w:t>
      </w:r>
      <w:r>
        <w:rPr>
          <w:rStyle w:val="FootnoteReference"/>
          <w:rFonts w:ascii="Times New Roman" w:hAnsi="Times New Roman" w:cs="Times New Roman"/>
          <w:kern w:val="0"/>
          <w:sz w:val="24"/>
          <w:szCs w:val="24"/>
        </w:rPr>
        <w:footnoteReference w:id="25"/>
      </w:r>
      <w:r>
        <w:rPr>
          <w:rFonts w:ascii="Times New Roman" w:hAnsi="Times New Roman" w:cs="Times New Roman"/>
          <w:kern w:val="0"/>
          <w:sz w:val="24"/>
          <w:szCs w:val="24"/>
        </w:rPr>
        <w:t xml:space="preserve"> Theurgy often used many kinds of symbols (σύμβολα) in rituals that were believed to correspond to different heavenly beings.</w:t>
      </w:r>
      <w:r>
        <w:rPr>
          <w:rStyle w:val="FootnoteReference"/>
          <w:rFonts w:ascii="Times New Roman" w:hAnsi="Times New Roman" w:cs="Times New Roman"/>
          <w:kern w:val="0"/>
          <w:sz w:val="24"/>
          <w:szCs w:val="24"/>
        </w:rPr>
        <w:footnoteReference w:id="26"/>
      </w:r>
      <w:r>
        <w:rPr>
          <w:rFonts w:ascii="Times New Roman" w:hAnsi="Times New Roman" w:cs="Times New Roman"/>
          <w:kern w:val="0"/>
          <w:sz w:val="24"/>
          <w:szCs w:val="24"/>
        </w:rPr>
        <w:t xml:space="preserve"> Based upon the concept of ‘sympathy’ (συμπάθεια) connecting all things to their first causes, these signs (</w:t>
      </w:r>
      <w:r w:rsidRPr="00817D97">
        <w:rPr>
          <w:rFonts w:ascii="Times New Roman" w:hAnsi="Times New Roman" w:cs="Times New Roman"/>
          <w:kern w:val="0"/>
          <w:sz w:val="24"/>
          <w:szCs w:val="24"/>
        </w:rPr>
        <w:t>σηµε</w:t>
      </w:r>
      <w:r>
        <w:rPr>
          <w:rFonts w:ascii="Times New Roman" w:hAnsi="Times New Roman" w:cs="Times New Roman"/>
          <w:kern w:val="0"/>
          <w:sz w:val="24"/>
          <w:szCs w:val="24"/>
        </w:rPr>
        <w:t>ῖο</w:t>
      </w:r>
      <w:r w:rsidRPr="00817D97">
        <w:rPr>
          <w:rFonts w:ascii="Times New Roman" w:hAnsi="Times New Roman" w:cs="Times New Roman"/>
          <w:kern w:val="0"/>
          <w:sz w:val="24"/>
          <w:szCs w:val="24"/>
        </w:rPr>
        <w:t>ν</w:t>
      </w:r>
      <w:r>
        <w:rPr>
          <w:rFonts w:ascii="Times New Roman" w:hAnsi="Times New Roman" w:cs="Times New Roman"/>
          <w:kern w:val="0"/>
          <w:sz w:val="24"/>
          <w:szCs w:val="24"/>
        </w:rPr>
        <w:t>) may be used for divination.</w:t>
      </w:r>
      <w:r>
        <w:rPr>
          <w:rStyle w:val="FootnoteReference"/>
          <w:rFonts w:ascii="Times New Roman" w:hAnsi="Times New Roman" w:cs="Times New Roman"/>
          <w:kern w:val="0"/>
          <w:sz w:val="24"/>
          <w:szCs w:val="24"/>
        </w:rPr>
        <w:footnoteReference w:id="27"/>
      </w:r>
      <w:r>
        <w:rPr>
          <w:rFonts w:ascii="Times New Roman" w:hAnsi="Times New Roman" w:cs="Times New Roman"/>
          <w:kern w:val="0"/>
          <w:sz w:val="24"/>
          <w:szCs w:val="24"/>
        </w:rPr>
        <w:t xml:space="preserve"> However, human interpretation of these divine signs factors heavily in the inferiority of artificial divination.</w:t>
      </w:r>
      <w:r>
        <w:rPr>
          <w:rStyle w:val="FootnoteReference"/>
          <w:rFonts w:ascii="Times New Roman" w:hAnsi="Times New Roman" w:cs="Times New Roman"/>
          <w:kern w:val="0"/>
          <w:sz w:val="24"/>
          <w:szCs w:val="24"/>
        </w:rPr>
        <w:footnoteReference w:id="28"/>
      </w:r>
      <w:r w:rsidRPr="00817D97">
        <w:rPr>
          <w:rFonts w:ascii="Times New Roman" w:hAnsi="Times New Roman" w:cs="Times New Roman"/>
          <w:kern w:val="0"/>
          <w:sz w:val="24"/>
          <w:szCs w:val="24"/>
        </w:rPr>
        <w:t xml:space="preserve"> </w:t>
      </w:r>
    </w:p>
    <w:p w:rsidR="006D74AB" w:rsidRDefault="006D74AB" w:rsidP="006D74AB">
      <w:pPr>
        <w:jc w:val="left"/>
        <w:rPr>
          <w:rFonts w:ascii="Times New Roman" w:hAnsi="Times New Roman" w:cs="Times New Roman"/>
          <w:kern w:val="0"/>
          <w:sz w:val="24"/>
          <w:szCs w:val="24"/>
        </w:rPr>
      </w:pPr>
      <w:r>
        <w:rPr>
          <w:rFonts w:ascii="Times New Roman" w:hAnsi="Times New Roman" w:cs="Times New Roman"/>
          <w:kern w:val="0"/>
          <w:sz w:val="24"/>
          <w:szCs w:val="24"/>
        </w:rPr>
        <w:tab/>
      </w:r>
      <w:r w:rsidR="00AA6300" w:rsidRPr="00AA6300">
        <w:rPr>
          <w:rFonts w:ascii="Times New Roman" w:hAnsi="Times New Roman" w:cs="Times New Roman"/>
          <w:color w:val="000000" w:themeColor="text1"/>
          <w:kern w:val="0"/>
          <w:sz w:val="24"/>
          <w:szCs w:val="24"/>
        </w:rPr>
        <w:t>As proof r</w:t>
      </w:r>
      <w:r w:rsidR="00A26FA9" w:rsidRPr="00AA6300">
        <w:rPr>
          <w:rFonts w:ascii="Times New Roman" w:hAnsi="Times New Roman" w:cs="Times New Roman"/>
          <w:color w:val="000000" w:themeColor="text1"/>
          <w:kern w:val="0"/>
          <w:sz w:val="24"/>
          <w:szCs w:val="24"/>
        </w:rPr>
        <w:t>egarding</w:t>
      </w:r>
      <w:r w:rsidRPr="00AA6300">
        <w:rPr>
          <w:rFonts w:ascii="Times New Roman" w:hAnsi="Times New Roman" w:cs="Times New Roman"/>
          <w:color w:val="000000" w:themeColor="text1"/>
          <w:kern w:val="0"/>
          <w:sz w:val="24"/>
          <w:szCs w:val="24"/>
        </w:rPr>
        <w:t xml:space="preserve"> haruspicy, Iamblichus states that some animals are opened to find that they lack organs essential for s</w:t>
      </w:r>
      <w:r>
        <w:rPr>
          <w:rFonts w:ascii="Times New Roman" w:hAnsi="Times New Roman" w:cs="Times New Roman"/>
          <w:kern w:val="0"/>
          <w:sz w:val="24"/>
          <w:szCs w:val="24"/>
        </w:rPr>
        <w:t>urvival.</w:t>
      </w:r>
      <w:r>
        <w:rPr>
          <w:rStyle w:val="FootnoteReference"/>
          <w:rFonts w:ascii="Times New Roman" w:hAnsi="Times New Roman" w:cs="Times New Roman"/>
          <w:kern w:val="0"/>
          <w:sz w:val="24"/>
          <w:szCs w:val="24"/>
        </w:rPr>
        <w:footnoteReference w:id="29"/>
      </w:r>
      <w:r>
        <w:rPr>
          <w:rFonts w:ascii="Times New Roman" w:hAnsi="Times New Roman" w:cs="Times New Roman"/>
          <w:kern w:val="0"/>
          <w:sz w:val="24"/>
          <w:szCs w:val="24"/>
        </w:rPr>
        <w:t xml:space="preserve"> </w:t>
      </w:r>
      <w:r w:rsidR="00A26FA9">
        <w:rPr>
          <w:rFonts w:ascii="Times New Roman" w:hAnsi="Times New Roman" w:cs="Times New Roman"/>
          <w:kern w:val="0"/>
          <w:sz w:val="24"/>
          <w:szCs w:val="24"/>
        </w:rPr>
        <w:t>Concerning</w:t>
      </w:r>
      <w:r>
        <w:rPr>
          <w:rFonts w:ascii="Times New Roman" w:hAnsi="Times New Roman" w:cs="Times New Roman"/>
          <w:kern w:val="0"/>
          <w:sz w:val="24"/>
          <w:szCs w:val="24"/>
        </w:rPr>
        <w:t xml:space="preserve"> augury, Iamblichus notes that birds move not only according to their own souls, but also in congruence with the ‘guardian </w:t>
      </w:r>
      <w:r w:rsidRPr="00D74EAC">
        <w:rPr>
          <w:rFonts w:ascii="Times New Roman" w:hAnsi="Times New Roman" w:cs="Times New Roman"/>
          <w:color w:val="000000" w:themeColor="text1"/>
          <w:kern w:val="0"/>
          <w:sz w:val="24"/>
          <w:szCs w:val="24"/>
        </w:rPr>
        <w:t>daemon</w:t>
      </w:r>
      <w:r>
        <w:rPr>
          <w:rFonts w:ascii="Times New Roman" w:hAnsi="Times New Roman" w:cs="Times New Roman"/>
          <w:kern w:val="0"/>
          <w:sz w:val="24"/>
          <w:szCs w:val="24"/>
        </w:rPr>
        <w:t xml:space="preserve"> of living beings’</w:t>
      </w:r>
      <w:r w:rsidRPr="000B6B4C">
        <w:t xml:space="preserve"> </w:t>
      </w:r>
      <w:r>
        <w:rPr>
          <w:rFonts w:ascii="Times New Roman" w:hAnsi="Times New Roman" w:cs="Times New Roman"/>
          <w:kern w:val="0"/>
          <w:sz w:val="24"/>
          <w:szCs w:val="24"/>
        </w:rPr>
        <w:t>(ζῴων ἔ</w:t>
      </w:r>
      <w:r w:rsidRPr="000B6B4C">
        <w:rPr>
          <w:rFonts w:ascii="Times New Roman" w:hAnsi="Times New Roman" w:cs="Times New Roman"/>
          <w:kern w:val="0"/>
          <w:sz w:val="24"/>
          <w:szCs w:val="24"/>
        </w:rPr>
        <w:t>φορο</w:t>
      </w:r>
      <w:r>
        <w:rPr>
          <w:rFonts w:ascii="Times New Roman" w:hAnsi="Times New Roman" w:cs="Times New Roman"/>
          <w:kern w:val="0"/>
          <w:sz w:val="24"/>
          <w:szCs w:val="24"/>
        </w:rPr>
        <w:t>ς δαίμων) and birds unnaturally injure and often kill themselves due to the deed of a supernatural being.</w:t>
      </w:r>
      <w:r>
        <w:rPr>
          <w:rStyle w:val="FootnoteReference"/>
          <w:rFonts w:ascii="Times New Roman" w:hAnsi="Times New Roman" w:cs="Times New Roman"/>
          <w:kern w:val="0"/>
          <w:sz w:val="24"/>
          <w:szCs w:val="24"/>
        </w:rPr>
        <w:footnoteReference w:id="30"/>
      </w:r>
      <w:r>
        <w:rPr>
          <w:rFonts w:ascii="Times New Roman" w:hAnsi="Times New Roman" w:cs="Times New Roman"/>
          <w:kern w:val="0"/>
          <w:sz w:val="24"/>
          <w:szCs w:val="24"/>
        </w:rPr>
        <w:t xml:space="preserve"> Iamblichus states that the stars move in such a way as the gods in the sky command and discusses their movements in terms of divine sympathy.</w:t>
      </w:r>
      <w:r>
        <w:rPr>
          <w:rStyle w:val="FootnoteReference"/>
          <w:rFonts w:ascii="Times New Roman" w:hAnsi="Times New Roman" w:cs="Times New Roman"/>
          <w:kern w:val="0"/>
          <w:sz w:val="24"/>
          <w:szCs w:val="24"/>
        </w:rPr>
        <w:footnoteReference w:id="31"/>
      </w:r>
      <w:r>
        <w:rPr>
          <w:rFonts w:ascii="Times New Roman" w:hAnsi="Times New Roman" w:cs="Times New Roman"/>
          <w:kern w:val="0"/>
          <w:sz w:val="24"/>
          <w:szCs w:val="24"/>
        </w:rPr>
        <w:t xml:space="preserve"> Later in </w:t>
      </w:r>
      <w:r w:rsidRPr="0032300F">
        <w:rPr>
          <w:rFonts w:ascii="Times New Roman" w:hAnsi="Times New Roman" w:cs="Times New Roman"/>
          <w:i/>
          <w:kern w:val="0"/>
          <w:sz w:val="24"/>
          <w:szCs w:val="24"/>
        </w:rPr>
        <w:t>De mysteriis</w:t>
      </w:r>
      <w:r>
        <w:rPr>
          <w:rFonts w:ascii="Times New Roman" w:hAnsi="Times New Roman" w:cs="Times New Roman"/>
          <w:kern w:val="0"/>
          <w:sz w:val="24"/>
          <w:szCs w:val="24"/>
        </w:rPr>
        <w:t>, Iamblichus discusses astrology in the context of Porphyry’s question about discovering one’s personal daemon via horoscopes and astrological charts.</w:t>
      </w:r>
      <w:r>
        <w:rPr>
          <w:rStyle w:val="FootnoteReference"/>
          <w:rFonts w:ascii="Times New Roman" w:hAnsi="Times New Roman" w:cs="Times New Roman"/>
          <w:kern w:val="0"/>
          <w:sz w:val="24"/>
          <w:szCs w:val="24"/>
        </w:rPr>
        <w:footnoteReference w:id="32"/>
      </w:r>
      <w:r>
        <w:rPr>
          <w:rFonts w:ascii="Times New Roman" w:hAnsi="Times New Roman" w:cs="Times New Roman"/>
          <w:kern w:val="0"/>
          <w:sz w:val="24"/>
          <w:szCs w:val="24"/>
        </w:rPr>
        <w:t xml:space="preserve"> Theurgist</w:t>
      </w:r>
      <w:r w:rsidR="001500E0">
        <w:rPr>
          <w:rFonts w:ascii="Times New Roman" w:hAnsi="Times New Roman" w:cs="Times New Roman" w:hint="eastAsia"/>
          <w:kern w:val="0"/>
          <w:sz w:val="24"/>
          <w:szCs w:val="24"/>
        </w:rPr>
        <w:t>s</w:t>
      </w:r>
      <w:r>
        <w:rPr>
          <w:rFonts w:ascii="Times New Roman" w:hAnsi="Times New Roman" w:cs="Times New Roman"/>
          <w:kern w:val="0"/>
          <w:sz w:val="24"/>
          <w:szCs w:val="24"/>
        </w:rPr>
        <w:t xml:space="preserve"> used celestial phenomena and zodiac signs as symbols in ritual divinatory practices.</w:t>
      </w:r>
      <w:r>
        <w:rPr>
          <w:rStyle w:val="FootnoteReference"/>
          <w:rFonts w:ascii="Times New Roman" w:hAnsi="Times New Roman" w:cs="Times New Roman"/>
          <w:kern w:val="0"/>
          <w:sz w:val="24"/>
          <w:szCs w:val="24"/>
        </w:rPr>
        <w:footnoteReference w:id="33"/>
      </w:r>
      <w:r>
        <w:rPr>
          <w:rFonts w:ascii="Times New Roman" w:hAnsi="Times New Roman" w:cs="Times New Roman"/>
          <w:kern w:val="0"/>
          <w:sz w:val="24"/>
          <w:szCs w:val="24"/>
        </w:rPr>
        <w:t xml:space="preserve"> Iamblichus states that astrology (μαθηματικῆς) is true, but that it has been vastly corrupted by uniformed mortals.</w:t>
      </w:r>
      <w:r>
        <w:rPr>
          <w:rStyle w:val="FootnoteReference"/>
          <w:rFonts w:ascii="Times New Roman" w:hAnsi="Times New Roman" w:cs="Times New Roman"/>
          <w:kern w:val="0"/>
          <w:sz w:val="24"/>
          <w:szCs w:val="24"/>
        </w:rPr>
        <w:footnoteReference w:id="34"/>
      </w:r>
      <w:r>
        <w:rPr>
          <w:rFonts w:ascii="Times New Roman" w:hAnsi="Times New Roman" w:cs="Times New Roman"/>
          <w:kern w:val="0"/>
          <w:sz w:val="24"/>
          <w:szCs w:val="24"/>
        </w:rPr>
        <w:t xml:space="preserve"> However, he claim</w:t>
      </w:r>
      <w:r w:rsidR="00C13BC3">
        <w:rPr>
          <w:rFonts w:ascii="Times New Roman" w:hAnsi="Times New Roman" w:cs="Times New Roman" w:hint="eastAsia"/>
          <w:kern w:val="0"/>
          <w:sz w:val="24"/>
          <w:szCs w:val="24"/>
        </w:rPr>
        <w:t>ed</w:t>
      </w:r>
      <w:r>
        <w:rPr>
          <w:rFonts w:ascii="Times New Roman" w:hAnsi="Times New Roman" w:cs="Times New Roman"/>
          <w:kern w:val="0"/>
          <w:sz w:val="24"/>
          <w:szCs w:val="24"/>
        </w:rPr>
        <w:t xml:space="preserve"> that a small degree of proof </w:t>
      </w:r>
      <w:r w:rsidR="002E6E46">
        <w:rPr>
          <w:rFonts w:ascii="Times New Roman" w:hAnsi="Times New Roman" w:cs="Times New Roman" w:hint="eastAsia"/>
          <w:kern w:val="0"/>
          <w:sz w:val="24"/>
          <w:szCs w:val="24"/>
        </w:rPr>
        <w:t>for</w:t>
      </w:r>
      <w:r>
        <w:rPr>
          <w:rFonts w:ascii="Times New Roman" w:hAnsi="Times New Roman" w:cs="Times New Roman"/>
          <w:kern w:val="0"/>
          <w:sz w:val="24"/>
          <w:szCs w:val="24"/>
        </w:rPr>
        <w:t xml:space="preserve"> the science was preserved via the celestial phenomena recorded by the Babylonians and Egyptians.</w:t>
      </w:r>
      <w:r>
        <w:rPr>
          <w:rStyle w:val="FootnoteReference"/>
          <w:rFonts w:ascii="Times New Roman" w:hAnsi="Times New Roman" w:cs="Times New Roman"/>
          <w:kern w:val="0"/>
          <w:sz w:val="24"/>
          <w:szCs w:val="24"/>
        </w:rPr>
        <w:footnoteReference w:id="35"/>
      </w:r>
      <w:r>
        <w:rPr>
          <w:rFonts w:ascii="Times New Roman" w:hAnsi="Times New Roman" w:cs="Times New Roman"/>
          <w:kern w:val="0"/>
          <w:sz w:val="24"/>
          <w:szCs w:val="24"/>
        </w:rPr>
        <w:t xml:space="preserve"> </w:t>
      </w:r>
    </w:p>
    <w:p w:rsidR="006D74AB" w:rsidRDefault="006D74AB" w:rsidP="006D74AB">
      <w:pPr>
        <w:ind w:firstLine="420"/>
        <w:jc w:val="left"/>
        <w:rPr>
          <w:rFonts w:ascii="Times New Roman" w:hAnsi="Times New Roman" w:cs="Times New Roman"/>
          <w:kern w:val="0"/>
          <w:sz w:val="24"/>
          <w:szCs w:val="24"/>
        </w:rPr>
      </w:pPr>
      <w:r>
        <w:rPr>
          <w:rFonts w:ascii="Times New Roman" w:hAnsi="Times New Roman" w:cs="Times New Roman"/>
          <w:kern w:val="0"/>
          <w:sz w:val="24"/>
          <w:szCs w:val="24"/>
        </w:rPr>
        <w:t>Iamblichus responds negatively to Porphyry’s question concerning those who have the ability to craft ‘images’ (εἴδωλα) that attract the gods.</w:t>
      </w:r>
      <w:r>
        <w:rPr>
          <w:rStyle w:val="FootnoteReference"/>
          <w:rFonts w:ascii="Times New Roman" w:hAnsi="Times New Roman" w:cs="Times New Roman"/>
          <w:kern w:val="0"/>
          <w:sz w:val="24"/>
          <w:szCs w:val="24"/>
        </w:rPr>
        <w:footnoteReference w:id="36"/>
      </w:r>
      <w:r>
        <w:rPr>
          <w:rFonts w:ascii="Times New Roman" w:hAnsi="Times New Roman" w:cs="Times New Roman"/>
          <w:kern w:val="0"/>
          <w:sz w:val="24"/>
          <w:szCs w:val="24"/>
        </w:rPr>
        <w:t xml:space="preserve"> This has been interpreted as a condemnation by Iamblichus concerning statue divination and as an indictment against his followers for continuing the practice which would later be closely associated with theurgy.</w:t>
      </w:r>
      <w:r>
        <w:rPr>
          <w:rStyle w:val="FootnoteReference"/>
          <w:rFonts w:ascii="Times New Roman" w:hAnsi="Times New Roman" w:cs="Times New Roman"/>
          <w:kern w:val="0"/>
          <w:sz w:val="24"/>
          <w:szCs w:val="24"/>
        </w:rPr>
        <w:footnoteReference w:id="37"/>
      </w:r>
      <w:r>
        <w:rPr>
          <w:rFonts w:ascii="Times New Roman" w:hAnsi="Times New Roman" w:cs="Times New Roman"/>
          <w:kern w:val="0"/>
          <w:sz w:val="24"/>
          <w:szCs w:val="24"/>
        </w:rPr>
        <w:t xml:space="preserve"> However, it has </w:t>
      </w:r>
      <w:r w:rsidRPr="00193685">
        <w:rPr>
          <w:rFonts w:ascii="Times New Roman" w:hAnsi="Times New Roman" w:cs="Times New Roman"/>
          <w:color w:val="000000" w:themeColor="text1"/>
          <w:kern w:val="0"/>
          <w:sz w:val="24"/>
          <w:szCs w:val="24"/>
        </w:rPr>
        <w:t>been argued that Iamblichus condone</w:t>
      </w:r>
      <w:r w:rsidR="002E6E46">
        <w:rPr>
          <w:rFonts w:ascii="Times New Roman" w:hAnsi="Times New Roman" w:cs="Times New Roman" w:hint="eastAsia"/>
          <w:color w:val="000000" w:themeColor="text1"/>
          <w:kern w:val="0"/>
          <w:sz w:val="24"/>
          <w:szCs w:val="24"/>
        </w:rPr>
        <w:t>d</w:t>
      </w:r>
      <w:r w:rsidRPr="00193685">
        <w:rPr>
          <w:rFonts w:ascii="Times New Roman" w:hAnsi="Times New Roman" w:cs="Times New Roman"/>
          <w:color w:val="000000" w:themeColor="text1"/>
          <w:kern w:val="0"/>
          <w:sz w:val="24"/>
          <w:szCs w:val="24"/>
        </w:rPr>
        <w:t xml:space="preserve"> the practice of ‘statue’ (</w:t>
      </w:r>
      <w:r>
        <w:rPr>
          <w:rFonts w:ascii="Times New Roman" w:hAnsi="Times New Roman" w:cs="Times New Roman"/>
          <w:color w:val="000000" w:themeColor="text1"/>
          <w:kern w:val="0"/>
          <w:sz w:val="24"/>
          <w:szCs w:val="24"/>
        </w:rPr>
        <w:t>άγαλμα</w:t>
      </w:r>
      <w:r w:rsidRPr="00193685">
        <w:rPr>
          <w:rFonts w:ascii="Times New Roman" w:hAnsi="Times New Roman" w:cs="Times New Roman"/>
          <w:color w:val="000000" w:themeColor="text1"/>
          <w:kern w:val="0"/>
          <w:sz w:val="24"/>
          <w:szCs w:val="24"/>
        </w:rPr>
        <w:t>) divination.</w:t>
      </w:r>
      <w:r w:rsidRPr="00193685">
        <w:rPr>
          <w:rStyle w:val="FootnoteReference"/>
          <w:rFonts w:ascii="Times New Roman" w:hAnsi="Times New Roman" w:cs="Times New Roman"/>
          <w:color w:val="000000" w:themeColor="text1"/>
          <w:kern w:val="0"/>
          <w:sz w:val="24"/>
          <w:szCs w:val="24"/>
        </w:rPr>
        <w:footnoteReference w:id="38"/>
      </w:r>
      <w:r w:rsidRPr="00193685">
        <w:rPr>
          <w:rFonts w:ascii="Times New Roman" w:hAnsi="Times New Roman" w:cs="Times New Roman"/>
          <w:color w:val="000000" w:themeColor="text1"/>
          <w:kern w:val="0"/>
          <w:sz w:val="24"/>
          <w:szCs w:val="24"/>
        </w:rPr>
        <w:t xml:space="preserve"> Rather, the focus of Iamblichus’ condemnation concerns the </w:t>
      </w:r>
      <w:r>
        <w:rPr>
          <w:rFonts w:ascii="Times New Roman" w:hAnsi="Times New Roman" w:cs="Times New Roman"/>
          <w:color w:val="000000" w:themeColor="text1"/>
          <w:kern w:val="0"/>
          <w:sz w:val="24"/>
          <w:szCs w:val="24"/>
        </w:rPr>
        <w:t>image-makers</w:t>
      </w:r>
      <w:r w:rsidR="00D74EAC">
        <w:rPr>
          <w:rFonts w:ascii="Times New Roman" w:hAnsi="Times New Roman" w:cs="Times New Roman"/>
          <w:color w:val="000000" w:themeColor="text1"/>
          <w:kern w:val="0"/>
          <w:sz w:val="24"/>
          <w:szCs w:val="24"/>
        </w:rPr>
        <w:t xml:space="preserve"> who relied</w:t>
      </w:r>
      <w:r w:rsidRPr="00193685">
        <w:rPr>
          <w:rFonts w:ascii="Times New Roman" w:hAnsi="Times New Roman" w:cs="Times New Roman"/>
          <w:color w:val="000000" w:themeColor="text1"/>
          <w:kern w:val="0"/>
          <w:sz w:val="24"/>
          <w:szCs w:val="24"/>
        </w:rPr>
        <w:t xml:space="preserve"> purely on artistic skill as opposed to the theurgist</w:t>
      </w:r>
      <w:r w:rsidR="00C13BC3">
        <w:rPr>
          <w:rFonts w:ascii="Times New Roman" w:hAnsi="Times New Roman" w:cs="Times New Roman" w:hint="eastAsia"/>
          <w:color w:val="000000" w:themeColor="text1"/>
          <w:kern w:val="0"/>
          <w:sz w:val="24"/>
          <w:szCs w:val="24"/>
        </w:rPr>
        <w:t>s</w:t>
      </w:r>
      <w:r w:rsidRPr="00193685">
        <w:rPr>
          <w:rFonts w:ascii="Times New Roman" w:hAnsi="Times New Roman" w:cs="Times New Roman"/>
          <w:color w:val="000000" w:themeColor="text1"/>
          <w:kern w:val="0"/>
          <w:sz w:val="24"/>
          <w:szCs w:val="24"/>
        </w:rPr>
        <w:t xml:space="preserve"> who ma</w:t>
      </w:r>
      <w:r w:rsidR="00D74EAC">
        <w:rPr>
          <w:rFonts w:ascii="Times New Roman" w:hAnsi="Times New Roman" w:cs="Times New Roman"/>
          <w:color w:val="000000" w:themeColor="text1"/>
          <w:kern w:val="0"/>
          <w:sz w:val="24"/>
          <w:szCs w:val="24"/>
        </w:rPr>
        <w:t>de</w:t>
      </w:r>
      <w:r w:rsidRPr="00193685">
        <w:rPr>
          <w:rFonts w:ascii="Times New Roman" w:hAnsi="Times New Roman" w:cs="Times New Roman"/>
          <w:color w:val="000000" w:themeColor="text1"/>
          <w:kern w:val="0"/>
          <w:sz w:val="24"/>
          <w:szCs w:val="24"/>
        </w:rPr>
        <w:t xml:space="preserve"> a statue, ‘… </w:t>
      </w:r>
      <w:r w:rsidRPr="00193685">
        <w:rPr>
          <w:rFonts w:ascii="Times New Roman" w:hAnsi="Times New Roman" w:cs="Times New Roman"/>
          <w:color w:val="000000" w:themeColor="text1"/>
          <w:sz w:val="24"/>
          <w:szCs w:val="24"/>
          <w:shd w:val="clear" w:color="auto" w:fill="FFFFFF"/>
        </w:rPr>
        <w:t xml:space="preserve">through </w:t>
      </w:r>
      <w:r w:rsidRPr="00193685">
        <w:rPr>
          <w:rFonts w:ascii="Times New Roman" w:hAnsi="Times New Roman" w:cs="Times New Roman"/>
          <w:color w:val="000000" w:themeColor="text1"/>
          <w:sz w:val="24"/>
          <w:szCs w:val="24"/>
          <w:shd w:val="clear" w:color="auto" w:fill="FFFFFF"/>
        </w:rPr>
        <w:lastRenderedPageBreak/>
        <w:t>symbols under the guidance of the gods.’</w:t>
      </w:r>
      <w:r>
        <w:rPr>
          <w:rStyle w:val="FootnoteReference"/>
          <w:rFonts w:ascii="Times New Roman" w:hAnsi="Times New Roman" w:cs="Times New Roman"/>
          <w:color w:val="000000" w:themeColor="text1"/>
          <w:sz w:val="24"/>
          <w:szCs w:val="24"/>
          <w:shd w:val="clear" w:color="auto" w:fill="FFFFFF"/>
        </w:rPr>
        <w:footnoteReference w:id="39"/>
      </w:r>
      <w:r w:rsidR="00BF497D">
        <w:rPr>
          <w:rFonts w:ascii="Times New Roman" w:hAnsi="Times New Roman" w:cs="Times New Roman"/>
          <w:color w:val="000000" w:themeColor="text1"/>
          <w:sz w:val="24"/>
          <w:szCs w:val="24"/>
          <w:shd w:val="clear" w:color="auto" w:fill="FFFFFF"/>
        </w:rPr>
        <w:t xml:space="preserve"> This serves as an example of </w:t>
      </w:r>
      <w:r>
        <w:rPr>
          <w:rFonts w:ascii="Times New Roman" w:hAnsi="Times New Roman" w:cs="Times New Roman"/>
          <w:color w:val="000000" w:themeColor="text1"/>
          <w:sz w:val="24"/>
          <w:szCs w:val="24"/>
          <w:shd w:val="clear" w:color="auto" w:fill="FFFFFF"/>
        </w:rPr>
        <w:t xml:space="preserve">misunderstanding theurgical practices </w:t>
      </w:r>
      <w:r w:rsidR="00283B3A" w:rsidRPr="00C177F8">
        <w:rPr>
          <w:rFonts w:ascii="Times New Roman" w:hAnsi="Times New Roman" w:cs="Times New Roman"/>
          <w:color w:val="000000" w:themeColor="text1"/>
          <w:sz w:val="24"/>
          <w:szCs w:val="24"/>
          <w:shd w:val="clear" w:color="auto" w:fill="FFFFFF"/>
        </w:rPr>
        <w:t>which</w:t>
      </w:r>
      <w:r w:rsidRPr="00C177F8">
        <w:rPr>
          <w:rFonts w:ascii="Times New Roman" w:hAnsi="Times New Roman" w:cs="Times New Roman"/>
          <w:color w:val="000000" w:themeColor="text1"/>
          <w:sz w:val="24"/>
          <w:szCs w:val="24"/>
          <w:shd w:val="clear" w:color="auto" w:fill="FFFFFF"/>
        </w:rPr>
        <w:t xml:space="preserve"> </w:t>
      </w:r>
      <w:r w:rsidR="00283B3A" w:rsidRPr="00C177F8">
        <w:rPr>
          <w:rFonts w:ascii="Times New Roman" w:hAnsi="Times New Roman" w:cs="Times New Roman"/>
          <w:color w:val="000000" w:themeColor="text1"/>
          <w:sz w:val="24"/>
          <w:szCs w:val="24"/>
          <w:shd w:val="clear" w:color="auto" w:fill="FFFFFF"/>
        </w:rPr>
        <w:t>has occurred</w:t>
      </w:r>
      <w:r w:rsidRPr="00C177F8">
        <w:rPr>
          <w:rFonts w:ascii="Times New Roman" w:hAnsi="Times New Roman" w:cs="Times New Roman"/>
          <w:color w:val="000000" w:themeColor="text1"/>
          <w:sz w:val="24"/>
          <w:szCs w:val="24"/>
          <w:shd w:val="clear" w:color="auto" w:fill="FFFFFF"/>
        </w:rPr>
        <w:t xml:space="preserve"> both in antiquity and in modernity.</w:t>
      </w:r>
      <w:r>
        <w:rPr>
          <w:rFonts w:ascii="Times New Roman" w:hAnsi="Times New Roman" w:cs="Times New Roman"/>
          <w:color w:val="000000" w:themeColor="text1"/>
          <w:sz w:val="24"/>
          <w:szCs w:val="24"/>
          <w:shd w:val="clear" w:color="auto" w:fill="FFFFFF"/>
        </w:rPr>
        <w:t xml:space="preserve"> To some, the </w:t>
      </w:r>
      <w:r>
        <w:rPr>
          <w:rFonts w:ascii="Times New Roman" w:hAnsi="Times New Roman" w:cs="Times New Roman"/>
          <w:kern w:val="0"/>
          <w:sz w:val="24"/>
          <w:szCs w:val="24"/>
        </w:rPr>
        <w:t>influence of theurgical practices demonstrates a marked decline in the rational</w:t>
      </w:r>
      <w:r w:rsidR="002E6E46">
        <w:rPr>
          <w:rFonts w:ascii="Times New Roman" w:hAnsi="Times New Roman" w:cs="Times New Roman" w:hint="eastAsia"/>
          <w:kern w:val="0"/>
          <w:sz w:val="24"/>
          <w:szCs w:val="24"/>
        </w:rPr>
        <w:t>e</w:t>
      </w:r>
      <w:r>
        <w:rPr>
          <w:rFonts w:ascii="Times New Roman" w:hAnsi="Times New Roman" w:cs="Times New Roman"/>
          <w:kern w:val="0"/>
          <w:sz w:val="24"/>
          <w:szCs w:val="24"/>
        </w:rPr>
        <w:t xml:space="preserve"> of </w:t>
      </w:r>
      <w:r w:rsidR="004A059B">
        <w:rPr>
          <w:rFonts w:ascii="Times New Roman" w:hAnsi="Times New Roman" w:cs="Times New Roman"/>
          <w:kern w:val="0"/>
          <w:sz w:val="24"/>
          <w:szCs w:val="24"/>
        </w:rPr>
        <w:t>P</w:t>
      </w:r>
      <w:r>
        <w:rPr>
          <w:rFonts w:ascii="Times New Roman" w:hAnsi="Times New Roman" w:cs="Times New Roman"/>
          <w:kern w:val="0"/>
          <w:sz w:val="24"/>
          <w:szCs w:val="24"/>
        </w:rPr>
        <w:t>latonic thought.</w:t>
      </w:r>
      <w:r>
        <w:rPr>
          <w:rStyle w:val="FootnoteReference"/>
          <w:rFonts w:ascii="Times New Roman" w:hAnsi="Times New Roman" w:cs="Times New Roman"/>
          <w:kern w:val="0"/>
          <w:sz w:val="24"/>
          <w:szCs w:val="24"/>
        </w:rPr>
        <w:footnoteReference w:id="40"/>
      </w:r>
      <w:r>
        <w:rPr>
          <w:rFonts w:ascii="Times New Roman" w:hAnsi="Times New Roman" w:cs="Times New Roman"/>
          <w:kern w:val="0"/>
          <w:sz w:val="24"/>
          <w:szCs w:val="24"/>
        </w:rPr>
        <w:t xml:space="preserve"> To others, Iamblichus is seen as the first true philosopher of religion.</w:t>
      </w:r>
      <w:r>
        <w:rPr>
          <w:rStyle w:val="FootnoteReference"/>
          <w:rFonts w:ascii="Times New Roman" w:hAnsi="Times New Roman" w:cs="Times New Roman"/>
          <w:kern w:val="0"/>
          <w:sz w:val="24"/>
          <w:szCs w:val="24"/>
        </w:rPr>
        <w:footnoteReference w:id="41"/>
      </w:r>
      <w:r>
        <w:rPr>
          <w:rFonts w:ascii="Times New Roman" w:hAnsi="Times New Roman" w:cs="Times New Roman"/>
          <w:kern w:val="0"/>
          <w:sz w:val="24"/>
          <w:szCs w:val="24"/>
        </w:rPr>
        <w:t xml:space="preserve"> </w:t>
      </w:r>
    </w:p>
    <w:p w:rsidR="006D74AB" w:rsidRDefault="002C087F" w:rsidP="003A333C">
      <w:pPr>
        <w:ind w:firstLine="420"/>
        <w:jc w:val="left"/>
        <w:rPr>
          <w:rFonts w:ascii="Times New Roman" w:hAnsi="Times New Roman" w:cs="Times New Roman"/>
          <w:kern w:val="0"/>
          <w:sz w:val="24"/>
          <w:szCs w:val="24"/>
        </w:rPr>
      </w:pPr>
      <w:r>
        <w:rPr>
          <w:rFonts w:ascii="Times New Roman" w:hAnsi="Times New Roman" w:cs="Times New Roman"/>
          <w:kern w:val="0"/>
          <w:sz w:val="24"/>
          <w:szCs w:val="24"/>
        </w:rPr>
        <w:t>Although</w:t>
      </w:r>
      <w:r w:rsidR="006D74AB">
        <w:rPr>
          <w:rFonts w:ascii="Times New Roman" w:hAnsi="Times New Roman" w:cs="Times New Roman"/>
          <w:kern w:val="0"/>
          <w:sz w:val="24"/>
          <w:szCs w:val="24"/>
        </w:rPr>
        <w:t xml:space="preserve"> the contentiousness of </w:t>
      </w:r>
      <w:r w:rsidR="006D74AB" w:rsidRPr="00B263A3">
        <w:rPr>
          <w:rFonts w:ascii="Times New Roman" w:hAnsi="Times New Roman" w:cs="Times New Roman"/>
          <w:i/>
          <w:kern w:val="0"/>
          <w:sz w:val="24"/>
          <w:szCs w:val="24"/>
        </w:rPr>
        <w:t>De mysteriis</w:t>
      </w:r>
      <w:r>
        <w:rPr>
          <w:rFonts w:ascii="Times New Roman" w:hAnsi="Times New Roman" w:cs="Times New Roman"/>
          <w:kern w:val="0"/>
          <w:sz w:val="24"/>
          <w:szCs w:val="24"/>
        </w:rPr>
        <w:t xml:space="preserve"> is often highlighted</w:t>
      </w:r>
      <w:r w:rsidR="006D74AB">
        <w:rPr>
          <w:rFonts w:ascii="Times New Roman" w:hAnsi="Times New Roman" w:cs="Times New Roman"/>
          <w:kern w:val="0"/>
          <w:sz w:val="24"/>
          <w:szCs w:val="24"/>
        </w:rPr>
        <w:t xml:space="preserve">, </w:t>
      </w:r>
      <w:r>
        <w:rPr>
          <w:rFonts w:ascii="Times New Roman" w:hAnsi="Times New Roman" w:cs="Times New Roman"/>
          <w:kern w:val="0"/>
          <w:sz w:val="24"/>
          <w:szCs w:val="24"/>
        </w:rPr>
        <w:t>the</w:t>
      </w:r>
      <w:r w:rsidR="006D74AB">
        <w:rPr>
          <w:rFonts w:ascii="Times New Roman" w:hAnsi="Times New Roman" w:cs="Times New Roman"/>
          <w:kern w:val="0"/>
          <w:sz w:val="24"/>
          <w:szCs w:val="24"/>
        </w:rPr>
        <w:t xml:space="preserve"> </w:t>
      </w:r>
      <w:r w:rsidR="006D74AB" w:rsidRPr="00606C1E">
        <w:rPr>
          <w:rFonts w:ascii="Times New Roman" w:hAnsi="Times New Roman" w:cs="Times New Roman"/>
          <w:color w:val="000000" w:themeColor="text1"/>
          <w:kern w:val="0"/>
          <w:sz w:val="24"/>
          <w:szCs w:val="24"/>
        </w:rPr>
        <w:t>pedagogical dialogue is paramount.</w:t>
      </w:r>
      <w:r w:rsidR="0071551F">
        <w:rPr>
          <w:rStyle w:val="FootnoteReference"/>
          <w:rFonts w:ascii="Times New Roman" w:hAnsi="Times New Roman" w:cs="Times New Roman"/>
          <w:kern w:val="0"/>
          <w:sz w:val="24"/>
          <w:szCs w:val="24"/>
        </w:rPr>
        <w:footnoteReference w:id="42"/>
      </w:r>
      <w:r w:rsidR="006D74AB">
        <w:rPr>
          <w:rFonts w:ascii="Times New Roman" w:hAnsi="Times New Roman" w:cs="Times New Roman"/>
          <w:kern w:val="0"/>
          <w:sz w:val="24"/>
          <w:szCs w:val="24"/>
        </w:rPr>
        <w:t xml:space="preserve"> </w:t>
      </w:r>
      <w:r w:rsidR="004A059B">
        <w:rPr>
          <w:rFonts w:ascii="Times New Roman" w:hAnsi="Times New Roman" w:cs="Times New Roman"/>
          <w:kern w:val="0"/>
          <w:sz w:val="24"/>
          <w:szCs w:val="24"/>
        </w:rPr>
        <w:t xml:space="preserve">Even </w:t>
      </w:r>
      <w:r w:rsidR="006D74AB">
        <w:rPr>
          <w:rFonts w:ascii="Times New Roman" w:hAnsi="Times New Roman" w:cs="Times New Roman"/>
          <w:kern w:val="0"/>
          <w:sz w:val="24"/>
          <w:szCs w:val="24"/>
        </w:rPr>
        <w:t xml:space="preserve">though they differed, both Iamblichus and Porphyry shared more than </w:t>
      </w:r>
      <w:r w:rsidR="004D0AC0">
        <w:rPr>
          <w:rFonts w:ascii="Times New Roman" w:hAnsi="Times New Roman" w:cs="Times New Roman" w:hint="eastAsia"/>
          <w:kern w:val="0"/>
          <w:sz w:val="24"/>
          <w:szCs w:val="24"/>
        </w:rPr>
        <w:t xml:space="preserve">a </w:t>
      </w:r>
      <w:r w:rsidR="006D74AB">
        <w:rPr>
          <w:rFonts w:ascii="Times New Roman" w:hAnsi="Times New Roman" w:cs="Times New Roman"/>
          <w:kern w:val="0"/>
          <w:sz w:val="24"/>
          <w:szCs w:val="24"/>
        </w:rPr>
        <w:t>devotion to Platonic philosophy.</w:t>
      </w:r>
      <w:r w:rsidR="00152155">
        <w:rPr>
          <w:rStyle w:val="FootnoteReference"/>
          <w:rFonts w:ascii="Times New Roman" w:hAnsi="Times New Roman" w:cs="Times New Roman"/>
          <w:kern w:val="0"/>
          <w:sz w:val="24"/>
          <w:szCs w:val="24"/>
        </w:rPr>
        <w:footnoteReference w:id="43"/>
      </w:r>
      <w:r w:rsidR="006D74AB">
        <w:rPr>
          <w:rFonts w:ascii="Times New Roman" w:hAnsi="Times New Roman" w:cs="Times New Roman"/>
          <w:kern w:val="0"/>
          <w:sz w:val="24"/>
          <w:szCs w:val="24"/>
        </w:rPr>
        <w:t xml:space="preserve"> They shared a worldview that believed in the existence of gods, goddesses, demi-gods, daemons, souls, divination, magic, and m</w:t>
      </w:r>
      <w:r w:rsidR="00A9470E">
        <w:rPr>
          <w:rFonts w:ascii="Times New Roman" w:hAnsi="Times New Roman" w:cs="Times New Roman"/>
          <w:kern w:val="0"/>
          <w:sz w:val="24"/>
          <w:szCs w:val="24"/>
        </w:rPr>
        <w:t>uch</w:t>
      </w:r>
      <w:r w:rsidR="006D74AB">
        <w:rPr>
          <w:rFonts w:ascii="Times New Roman" w:hAnsi="Times New Roman" w:cs="Times New Roman"/>
          <w:kern w:val="0"/>
          <w:sz w:val="24"/>
          <w:szCs w:val="24"/>
        </w:rPr>
        <w:t xml:space="preserve"> more.</w:t>
      </w:r>
      <w:r w:rsidR="0094328E">
        <w:rPr>
          <w:rStyle w:val="FootnoteReference"/>
          <w:rFonts w:ascii="Times New Roman" w:hAnsi="Times New Roman" w:cs="Times New Roman"/>
          <w:kern w:val="0"/>
          <w:sz w:val="24"/>
          <w:szCs w:val="24"/>
        </w:rPr>
        <w:footnoteReference w:id="44"/>
      </w:r>
      <w:r w:rsidR="006D74AB">
        <w:rPr>
          <w:rFonts w:ascii="Times New Roman" w:hAnsi="Times New Roman" w:cs="Times New Roman"/>
          <w:kern w:val="0"/>
          <w:sz w:val="24"/>
          <w:szCs w:val="24"/>
        </w:rPr>
        <w:t xml:space="preserve"> </w:t>
      </w:r>
      <w:r w:rsidR="00283B3A">
        <w:rPr>
          <w:rFonts w:ascii="Times New Roman" w:hAnsi="Times New Roman" w:cs="Times New Roman"/>
          <w:kern w:val="0"/>
          <w:sz w:val="24"/>
          <w:szCs w:val="24"/>
        </w:rPr>
        <w:t>Porphyry</w:t>
      </w:r>
      <w:r w:rsidR="006D74AB">
        <w:rPr>
          <w:rFonts w:ascii="Times New Roman" w:hAnsi="Times New Roman" w:cs="Times New Roman"/>
          <w:kern w:val="0"/>
          <w:sz w:val="24"/>
          <w:szCs w:val="24"/>
        </w:rPr>
        <w:t xml:space="preserve"> often questioned the roles of deities and persons or the </w:t>
      </w:r>
      <w:r w:rsidR="006D74AB" w:rsidRPr="002D63ED">
        <w:rPr>
          <w:rFonts w:ascii="Times New Roman" w:hAnsi="Times New Roman" w:cs="Times New Roman"/>
          <w:i/>
          <w:kern w:val="0"/>
          <w:sz w:val="24"/>
          <w:szCs w:val="24"/>
        </w:rPr>
        <w:t>means</w:t>
      </w:r>
      <w:r w:rsidR="006D74AB">
        <w:rPr>
          <w:rFonts w:ascii="Times New Roman" w:hAnsi="Times New Roman" w:cs="Times New Roman"/>
          <w:kern w:val="0"/>
          <w:sz w:val="24"/>
          <w:szCs w:val="24"/>
        </w:rPr>
        <w:t xml:space="preserve"> by which things such as </w:t>
      </w:r>
      <w:r w:rsidR="006D74AB" w:rsidRPr="005E3B7C">
        <w:rPr>
          <w:rFonts w:ascii="Times New Roman" w:hAnsi="Times New Roman" w:cs="Times New Roman"/>
          <w:kern w:val="0"/>
          <w:sz w:val="24"/>
          <w:szCs w:val="24"/>
        </w:rPr>
        <w:t xml:space="preserve">dream </w:t>
      </w:r>
      <w:r w:rsidR="006D74AB" w:rsidRPr="00C177F8">
        <w:rPr>
          <w:rFonts w:ascii="Times New Roman" w:hAnsi="Times New Roman" w:cs="Times New Roman"/>
          <w:color w:val="000000" w:themeColor="text1"/>
          <w:kern w:val="0"/>
          <w:sz w:val="24"/>
          <w:szCs w:val="24"/>
        </w:rPr>
        <w:t xml:space="preserve">divination or oracles occur, not their validity </w:t>
      </w:r>
      <w:r w:rsidR="006D74AB" w:rsidRPr="00C177F8">
        <w:rPr>
          <w:rFonts w:ascii="Times New Roman" w:hAnsi="Times New Roman" w:cs="Times New Roman"/>
          <w:i/>
          <w:color w:val="000000" w:themeColor="text1"/>
          <w:kern w:val="0"/>
          <w:sz w:val="24"/>
          <w:szCs w:val="24"/>
        </w:rPr>
        <w:t>per se</w:t>
      </w:r>
      <w:r w:rsidR="006D74AB" w:rsidRPr="00C177F8">
        <w:rPr>
          <w:rFonts w:ascii="Times New Roman" w:hAnsi="Times New Roman" w:cs="Times New Roman"/>
          <w:color w:val="000000" w:themeColor="text1"/>
          <w:kern w:val="0"/>
          <w:sz w:val="24"/>
          <w:szCs w:val="24"/>
        </w:rPr>
        <w:t>.</w:t>
      </w:r>
      <w:r w:rsidR="008E4051">
        <w:rPr>
          <w:rStyle w:val="FootnoteReference"/>
          <w:rFonts w:ascii="Times New Roman" w:hAnsi="Times New Roman" w:cs="Times New Roman"/>
          <w:kern w:val="0"/>
          <w:sz w:val="24"/>
          <w:szCs w:val="24"/>
        </w:rPr>
        <w:footnoteReference w:id="45"/>
      </w:r>
      <w:r w:rsidR="00403AD2">
        <w:rPr>
          <w:rFonts w:ascii="Times New Roman" w:hAnsi="Times New Roman" w:cs="Times New Roman"/>
          <w:kern w:val="0"/>
          <w:sz w:val="24"/>
          <w:szCs w:val="24"/>
        </w:rPr>
        <w:t xml:space="preserve"> </w:t>
      </w:r>
      <w:r w:rsidR="003A333C">
        <w:rPr>
          <w:rFonts w:ascii="Times New Roman" w:hAnsi="Times New Roman" w:cs="Times New Roman"/>
          <w:kern w:val="0"/>
          <w:sz w:val="24"/>
          <w:szCs w:val="24"/>
        </w:rPr>
        <w:t xml:space="preserve">The argument in </w:t>
      </w:r>
      <w:r w:rsidR="003A333C" w:rsidRPr="00990576">
        <w:rPr>
          <w:rFonts w:ascii="Times New Roman" w:hAnsi="Times New Roman" w:cs="Times New Roman"/>
          <w:i/>
          <w:kern w:val="0"/>
          <w:sz w:val="24"/>
          <w:szCs w:val="24"/>
        </w:rPr>
        <w:t>De mysteriis</w:t>
      </w:r>
      <w:r w:rsidR="003A333C">
        <w:rPr>
          <w:rFonts w:ascii="Times New Roman" w:hAnsi="Times New Roman" w:cs="Times New Roman"/>
          <w:kern w:val="0"/>
          <w:sz w:val="24"/>
          <w:szCs w:val="24"/>
        </w:rPr>
        <w:t xml:space="preserve"> is an argument for theurgy, of which divination was, </w:t>
      </w:r>
      <w:r w:rsidR="003A333C" w:rsidRPr="00C54DC3">
        <w:rPr>
          <w:rFonts w:ascii="Times New Roman" w:hAnsi="Times New Roman" w:cs="Times New Roman"/>
          <w:color w:val="000000" w:themeColor="text1"/>
          <w:kern w:val="0"/>
          <w:sz w:val="24"/>
          <w:szCs w:val="24"/>
        </w:rPr>
        <w:t>but</w:t>
      </w:r>
      <w:r w:rsidR="00C13BC3">
        <w:rPr>
          <w:rFonts w:ascii="Times New Roman" w:hAnsi="Times New Roman" w:cs="Times New Roman"/>
          <w:color w:val="000000" w:themeColor="text1"/>
          <w:kern w:val="0"/>
          <w:sz w:val="24"/>
          <w:szCs w:val="24"/>
        </w:rPr>
        <w:t xml:space="preserve"> one aspect of the soul’s ascension</w:t>
      </w:r>
      <w:r w:rsidR="003A333C" w:rsidRPr="00C54DC3">
        <w:rPr>
          <w:rFonts w:ascii="Times New Roman" w:hAnsi="Times New Roman" w:cs="Times New Roman"/>
          <w:color w:val="000000" w:themeColor="text1"/>
          <w:kern w:val="0"/>
          <w:sz w:val="24"/>
          <w:szCs w:val="24"/>
        </w:rPr>
        <w:t xml:space="preserve"> to divine union.</w:t>
      </w:r>
      <w:r w:rsidR="00BF4E26" w:rsidRPr="00C54DC3">
        <w:rPr>
          <w:rStyle w:val="FootnoteReference"/>
          <w:rFonts w:ascii="Times New Roman" w:hAnsi="Times New Roman" w:cs="Times New Roman"/>
          <w:color w:val="000000" w:themeColor="text1"/>
          <w:kern w:val="0"/>
          <w:sz w:val="24"/>
          <w:szCs w:val="24"/>
        </w:rPr>
        <w:footnoteReference w:id="46"/>
      </w:r>
      <w:r w:rsidR="003A333C" w:rsidRPr="00A47361">
        <w:rPr>
          <w:rFonts w:ascii="Times New Roman" w:hAnsi="Times New Roman" w:cs="Times New Roman"/>
          <w:color w:val="FF0000"/>
          <w:kern w:val="0"/>
          <w:sz w:val="24"/>
          <w:szCs w:val="24"/>
        </w:rPr>
        <w:t xml:space="preserve"> </w:t>
      </w:r>
      <w:r w:rsidR="003A333C">
        <w:rPr>
          <w:rFonts w:ascii="Times New Roman" w:hAnsi="Times New Roman" w:cs="Times New Roman"/>
          <w:sz w:val="24"/>
          <w:szCs w:val="24"/>
        </w:rPr>
        <w:t>If Platonic concepts are accepted, then Iamblichus’ arguments for divination are more persuasive. I</w:t>
      </w:r>
      <w:r w:rsidR="003A333C">
        <w:rPr>
          <w:rFonts w:ascii="Times New Roman" w:hAnsi="Times New Roman" w:cs="Times New Roman"/>
          <w:kern w:val="0"/>
          <w:sz w:val="24"/>
          <w:szCs w:val="24"/>
        </w:rPr>
        <w:t xml:space="preserve">f it is acknowledged that </w:t>
      </w:r>
      <w:r w:rsidR="003A333C">
        <w:rPr>
          <w:rFonts w:ascii="Times New Roman" w:hAnsi="Times New Roman" w:cs="Times New Roman" w:hint="eastAsia"/>
          <w:kern w:val="0"/>
          <w:sz w:val="24"/>
          <w:szCs w:val="24"/>
        </w:rPr>
        <w:t xml:space="preserve">the soul and the </w:t>
      </w:r>
      <w:r w:rsidR="003A333C">
        <w:rPr>
          <w:rFonts w:ascii="Times New Roman" w:hAnsi="Times New Roman" w:cs="Times New Roman"/>
          <w:kern w:val="0"/>
          <w:sz w:val="24"/>
          <w:szCs w:val="24"/>
        </w:rPr>
        <w:t>bod</w:t>
      </w:r>
      <w:r w:rsidR="003A333C">
        <w:rPr>
          <w:rFonts w:ascii="Times New Roman" w:hAnsi="Times New Roman" w:cs="Times New Roman" w:hint="eastAsia"/>
          <w:kern w:val="0"/>
          <w:sz w:val="24"/>
          <w:szCs w:val="24"/>
        </w:rPr>
        <w:t>y</w:t>
      </w:r>
      <w:r w:rsidR="003A333C">
        <w:rPr>
          <w:rFonts w:ascii="Times New Roman" w:hAnsi="Times New Roman" w:cs="Times New Roman"/>
          <w:kern w:val="0"/>
          <w:sz w:val="24"/>
          <w:szCs w:val="24"/>
        </w:rPr>
        <w:t xml:space="preserve"> are</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separated</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 xml:space="preserve">during </w:t>
      </w:r>
      <w:r w:rsidR="003A333C" w:rsidRPr="00C177F8">
        <w:rPr>
          <w:rFonts w:ascii="Times New Roman" w:hAnsi="Times New Roman" w:cs="Times New Roman"/>
          <w:color w:val="000000" w:themeColor="text1"/>
          <w:kern w:val="0"/>
          <w:sz w:val="24"/>
          <w:szCs w:val="24"/>
        </w:rPr>
        <w:t>sleep</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combined with</w:t>
      </w:r>
      <w:r w:rsidR="003A333C">
        <w:rPr>
          <w:rFonts w:ascii="Times New Roman" w:hAnsi="Times New Roman" w:cs="Times New Roman" w:hint="eastAsia"/>
          <w:kern w:val="0"/>
          <w:sz w:val="24"/>
          <w:szCs w:val="24"/>
        </w:rPr>
        <w:t xml:space="preserve"> the view of the pre-</w:t>
      </w:r>
      <w:r w:rsidR="003A333C">
        <w:rPr>
          <w:rFonts w:ascii="Times New Roman" w:hAnsi="Times New Roman" w:cs="Times New Roman"/>
          <w:kern w:val="0"/>
          <w:sz w:val="24"/>
          <w:szCs w:val="24"/>
        </w:rPr>
        <w:t>existence</w:t>
      </w:r>
      <w:r w:rsidR="003A333C">
        <w:rPr>
          <w:rFonts w:ascii="Times New Roman" w:hAnsi="Times New Roman" w:cs="Times New Roman" w:hint="eastAsia"/>
          <w:kern w:val="0"/>
          <w:sz w:val="24"/>
          <w:szCs w:val="24"/>
        </w:rPr>
        <w:t xml:space="preserve"> of the soul, </w:t>
      </w:r>
      <w:r w:rsidR="003A333C">
        <w:rPr>
          <w:rFonts w:ascii="Times New Roman" w:hAnsi="Times New Roman" w:cs="Times New Roman"/>
          <w:kern w:val="0"/>
          <w:sz w:val="24"/>
          <w:szCs w:val="24"/>
        </w:rPr>
        <w:t xml:space="preserve">then </w:t>
      </w:r>
      <w:r w:rsidR="003A333C">
        <w:rPr>
          <w:rFonts w:ascii="Times New Roman" w:hAnsi="Times New Roman" w:cs="Times New Roman" w:hint="eastAsia"/>
          <w:kern w:val="0"/>
          <w:sz w:val="24"/>
          <w:szCs w:val="24"/>
        </w:rPr>
        <w:t xml:space="preserve">Iamblichus </w:t>
      </w:r>
      <w:r w:rsidR="003A333C">
        <w:rPr>
          <w:rFonts w:ascii="Times New Roman" w:hAnsi="Times New Roman" w:cs="Times New Roman"/>
          <w:kern w:val="0"/>
          <w:sz w:val="24"/>
          <w:szCs w:val="24"/>
        </w:rPr>
        <w:t xml:space="preserve">can </w:t>
      </w:r>
      <w:r w:rsidR="003A333C">
        <w:rPr>
          <w:rFonts w:ascii="Times New Roman" w:hAnsi="Times New Roman" w:cs="Times New Roman" w:hint="eastAsia"/>
          <w:kern w:val="0"/>
          <w:sz w:val="24"/>
          <w:szCs w:val="24"/>
        </w:rPr>
        <w:t xml:space="preserve">claim that it </w:t>
      </w:r>
      <w:r w:rsidR="003A333C">
        <w:rPr>
          <w:rFonts w:ascii="Times New Roman" w:hAnsi="Times New Roman" w:cs="Times New Roman"/>
          <w:kern w:val="0"/>
          <w:sz w:val="24"/>
          <w:szCs w:val="24"/>
        </w:rPr>
        <w:t>‘</w:t>
      </w:r>
      <w:r w:rsidR="003A333C" w:rsidRPr="00AA11B1">
        <w:rPr>
          <w:rFonts w:ascii="Times New Roman" w:hAnsi="Times New Roman" w:cs="Times New Roman"/>
          <w:kern w:val="0"/>
          <w:sz w:val="24"/>
          <w:szCs w:val="24"/>
        </w:rPr>
        <w:t>encompasses</w:t>
      </w:r>
      <w:r w:rsidR="003A333C">
        <w:rPr>
          <w:rFonts w:ascii="Times New Roman" w:hAnsi="Times New Roman" w:cs="Times New Roman"/>
          <w:kern w:val="0"/>
          <w:sz w:val="24"/>
          <w:szCs w:val="24"/>
        </w:rPr>
        <w:t>’</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w:t>
      </w:r>
      <w:r w:rsidR="003A333C" w:rsidRPr="006D0B94">
        <w:rPr>
          <w:rFonts w:ascii="Times New Roman" w:hAnsi="Times New Roman" w:cs="Times New Roman"/>
          <w:kern w:val="0"/>
          <w:sz w:val="24"/>
          <w:szCs w:val="24"/>
        </w:rPr>
        <w:t>περι</w:t>
      </w:r>
      <w:r w:rsidR="003A333C">
        <w:rPr>
          <w:rFonts w:ascii="Times New Roman" w:hAnsi="Times New Roman" w:cs="Times New Roman"/>
          <w:kern w:val="0"/>
          <w:sz w:val="24"/>
          <w:szCs w:val="24"/>
        </w:rPr>
        <w:t>έ</w:t>
      </w:r>
      <w:r w:rsidR="003A333C" w:rsidRPr="006D0B94">
        <w:rPr>
          <w:rFonts w:ascii="Times New Roman" w:hAnsi="Times New Roman" w:cs="Times New Roman"/>
          <w:kern w:val="0"/>
          <w:sz w:val="24"/>
          <w:szCs w:val="24"/>
        </w:rPr>
        <w:t>χει</w:t>
      </w:r>
      <w:r w:rsidR="003A333C">
        <w:rPr>
          <w:rFonts w:ascii="Times New Roman" w:hAnsi="Times New Roman" w:cs="Times New Roman"/>
          <w:kern w:val="0"/>
          <w:sz w:val="24"/>
          <w:szCs w:val="24"/>
        </w:rPr>
        <w:t xml:space="preserve">) </w:t>
      </w:r>
      <w:r w:rsidR="003A333C">
        <w:rPr>
          <w:rFonts w:ascii="Times New Roman" w:hAnsi="Times New Roman" w:cs="Times New Roman" w:hint="eastAsia"/>
          <w:kern w:val="0"/>
          <w:sz w:val="24"/>
          <w:szCs w:val="24"/>
        </w:rPr>
        <w:t xml:space="preserve">the first principles of all existing things and can therefore know beforehand events in </w:t>
      </w:r>
      <w:r w:rsidR="003A333C">
        <w:rPr>
          <w:rFonts w:ascii="Times New Roman" w:hAnsi="Times New Roman" w:cs="Times New Roman"/>
          <w:kern w:val="0"/>
          <w:sz w:val="24"/>
          <w:szCs w:val="24"/>
        </w:rPr>
        <w:t>accordance</w:t>
      </w:r>
      <w:r w:rsidR="003A333C">
        <w:rPr>
          <w:rFonts w:ascii="Times New Roman" w:hAnsi="Times New Roman" w:cs="Times New Roman" w:hint="eastAsia"/>
          <w:kern w:val="0"/>
          <w:sz w:val="24"/>
          <w:szCs w:val="24"/>
        </w:rPr>
        <w:t xml:space="preserve"> with those principles.</w:t>
      </w:r>
      <w:r w:rsidR="003A333C">
        <w:rPr>
          <w:rStyle w:val="FootnoteReference"/>
          <w:rFonts w:ascii="Times New Roman" w:hAnsi="Times New Roman" w:cs="Times New Roman"/>
          <w:kern w:val="0"/>
          <w:sz w:val="24"/>
          <w:szCs w:val="24"/>
        </w:rPr>
        <w:footnoteReference w:id="47"/>
      </w:r>
      <w:r w:rsidR="003A333C">
        <w:rPr>
          <w:rFonts w:ascii="Times New Roman" w:hAnsi="Times New Roman" w:cs="Times New Roman"/>
          <w:kern w:val="0"/>
          <w:sz w:val="24"/>
          <w:szCs w:val="24"/>
        </w:rPr>
        <w:t xml:space="preserve"> Only in this context could Iamblichus argue for the </w:t>
      </w:r>
      <w:r w:rsidR="003A333C" w:rsidRPr="005E3B7C">
        <w:rPr>
          <w:rFonts w:ascii="Times New Roman" w:hAnsi="Times New Roman" w:cs="Times New Roman"/>
          <w:kern w:val="0"/>
          <w:sz w:val="24"/>
          <w:szCs w:val="24"/>
        </w:rPr>
        <w:t xml:space="preserve">separateness of the gods in divination via </w:t>
      </w:r>
      <w:r w:rsidR="003A333C">
        <w:rPr>
          <w:rFonts w:ascii="Times New Roman" w:hAnsi="Times New Roman" w:cs="Times New Roman"/>
          <w:kern w:val="0"/>
          <w:sz w:val="24"/>
          <w:szCs w:val="24"/>
        </w:rPr>
        <w:t>a</w:t>
      </w:r>
      <w:r w:rsidR="003A333C" w:rsidRPr="005E3B7C">
        <w:rPr>
          <w:rFonts w:ascii="Times New Roman" w:hAnsi="Times New Roman" w:cs="Times New Roman"/>
          <w:kern w:val="0"/>
          <w:sz w:val="24"/>
          <w:szCs w:val="24"/>
        </w:rPr>
        <w:t xml:space="preserve"> divine light</w:t>
      </w:r>
      <w:r w:rsidR="003A333C">
        <w:rPr>
          <w:rFonts w:ascii="Times New Roman" w:hAnsi="Times New Roman" w:cs="Times New Roman"/>
          <w:kern w:val="0"/>
          <w:sz w:val="24"/>
          <w:szCs w:val="24"/>
        </w:rPr>
        <w:t xml:space="preserve"> that </w:t>
      </w:r>
      <w:r w:rsidR="003A333C" w:rsidRPr="005E3B7C">
        <w:rPr>
          <w:rFonts w:ascii="Times New Roman" w:hAnsi="Times New Roman" w:cs="Times New Roman"/>
          <w:kern w:val="0"/>
          <w:sz w:val="24"/>
          <w:szCs w:val="24"/>
        </w:rPr>
        <w:t xml:space="preserve">somehow illuminates the ‘aether-like and luminous vehicle’ (αἰθερῶδες καὶ αὐγοειδὲς ὄχημα) </w:t>
      </w:r>
      <w:r w:rsidR="003A333C">
        <w:rPr>
          <w:rFonts w:ascii="Times New Roman" w:hAnsi="Times New Roman" w:cs="Times New Roman"/>
          <w:kern w:val="0"/>
          <w:sz w:val="24"/>
          <w:szCs w:val="24"/>
        </w:rPr>
        <w:t>which</w:t>
      </w:r>
      <w:r w:rsidR="003A333C" w:rsidRPr="005E3B7C">
        <w:rPr>
          <w:rFonts w:ascii="Times New Roman" w:hAnsi="Times New Roman" w:cs="Times New Roman"/>
          <w:kern w:val="0"/>
          <w:sz w:val="24"/>
          <w:szCs w:val="24"/>
        </w:rPr>
        <w:t xml:space="preserve"> allow</w:t>
      </w:r>
      <w:r w:rsidR="00283B3A">
        <w:rPr>
          <w:rFonts w:ascii="Times New Roman" w:hAnsi="Times New Roman" w:cs="Times New Roman"/>
          <w:kern w:val="0"/>
          <w:sz w:val="24"/>
          <w:szCs w:val="24"/>
        </w:rPr>
        <w:t>ed</w:t>
      </w:r>
      <w:r w:rsidR="003A333C" w:rsidRPr="005E3B7C">
        <w:rPr>
          <w:rFonts w:ascii="Times New Roman" w:hAnsi="Times New Roman" w:cs="Times New Roman"/>
          <w:kern w:val="0"/>
          <w:sz w:val="24"/>
          <w:szCs w:val="24"/>
        </w:rPr>
        <w:t xml:space="preserve"> the soul to be transported to the ethereal</w:t>
      </w:r>
      <w:r w:rsidR="00283B3A">
        <w:rPr>
          <w:rFonts w:ascii="Times New Roman" w:hAnsi="Times New Roman" w:cs="Times New Roman"/>
          <w:kern w:val="0"/>
          <w:sz w:val="24"/>
          <w:szCs w:val="24"/>
        </w:rPr>
        <w:t xml:space="preserve"> realm of the gods and also filled</w:t>
      </w:r>
      <w:r w:rsidR="003A333C" w:rsidRPr="005E3B7C">
        <w:rPr>
          <w:rFonts w:ascii="Times New Roman" w:hAnsi="Times New Roman" w:cs="Times New Roman"/>
          <w:kern w:val="0"/>
          <w:sz w:val="24"/>
          <w:szCs w:val="24"/>
        </w:rPr>
        <w:t xml:space="preserve"> it with divine images for divination.</w:t>
      </w:r>
      <w:r w:rsidR="003A333C">
        <w:rPr>
          <w:rStyle w:val="FootnoteReference"/>
          <w:rFonts w:ascii="Times New Roman" w:hAnsi="Times New Roman" w:cs="Times New Roman"/>
          <w:kern w:val="0"/>
          <w:sz w:val="24"/>
          <w:szCs w:val="24"/>
        </w:rPr>
        <w:footnoteReference w:id="48"/>
      </w:r>
      <w:r w:rsidR="003A333C">
        <w:rPr>
          <w:rFonts w:ascii="Times New Roman" w:hAnsi="Times New Roman" w:cs="Times New Roman"/>
          <w:kern w:val="0"/>
          <w:sz w:val="24"/>
          <w:szCs w:val="24"/>
        </w:rPr>
        <w:t xml:space="preserve"> Or, the distinction of it appearing like a prophetic spirit passes through the water, but truly the god is </w:t>
      </w:r>
      <w:r w:rsidR="003A333C" w:rsidRPr="005645FF">
        <w:rPr>
          <w:rFonts w:ascii="Times New Roman" w:hAnsi="Times New Roman" w:cs="Times New Roman"/>
          <w:kern w:val="0"/>
          <w:sz w:val="24"/>
          <w:szCs w:val="24"/>
        </w:rPr>
        <w:t>‘illuminating</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 xml:space="preserve">the spring’ </w:t>
      </w:r>
      <w:r w:rsidR="003A333C">
        <w:rPr>
          <w:rFonts w:ascii="Times New Roman" w:hAnsi="Times New Roman" w:cs="Times New Roman" w:hint="eastAsia"/>
          <w:kern w:val="0"/>
          <w:sz w:val="24"/>
          <w:szCs w:val="24"/>
        </w:rPr>
        <w:t>(</w:t>
      </w:r>
      <w:r w:rsidR="003A333C">
        <w:rPr>
          <w:rFonts w:ascii="Times New Roman" w:hAnsi="Times New Roman" w:cs="Times New Roman"/>
          <w:kern w:val="0"/>
          <w:sz w:val="24"/>
          <w:szCs w:val="24"/>
        </w:rPr>
        <w:t>ἐπιλάμπον</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τὴν</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πηγήν</w:t>
      </w:r>
      <w:r w:rsidR="003A333C">
        <w:rPr>
          <w:rFonts w:ascii="Times New Roman" w:hAnsi="Times New Roman" w:cs="Times New Roman" w:hint="eastAsia"/>
          <w:kern w:val="0"/>
          <w:sz w:val="24"/>
          <w:szCs w:val="24"/>
        </w:rPr>
        <w:t xml:space="preserve">) </w:t>
      </w:r>
      <w:r w:rsidR="003A333C">
        <w:rPr>
          <w:rFonts w:ascii="Times New Roman" w:hAnsi="Times New Roman" w:cs="Times New Roman"/>
          <w:kern w:val="0"/>
          <w:sz w:val="24"/>
          <w:szCs w:val="24"/>
        </w:rPr>
        <w:t>and the oracle at Claros.</w:t>
      </w:r>
      <w:r w:rsidR="00274E55">
        <w:rPr>
          <w:rStyle w:val="FootnoteReference"/>
          <w:rFonts w:ascii="Times New Roman" w:hAnsi="Times New Roman" w:cs="Times New Roman"/>
          <w:kern w:val="0"/>
          <w:sz w:val="24"/>
          <w:szCs w:val="24"/>
        </w:rPr>
        <w:footnoteReference w:id="49"/>
      </w:r>
      <w:r w:rsidR="003A333C" w:rsidRPr="003A333C">
        <w:rPr>
          <w:rFonts w:ascii="Times New Roman" w:hAnsi="Times New Roman" w:cs="Times New Roman"/>
          <w:kern w:val="0"/>
          <w:sz w:val="24"/>
          <w:szCs w:val="24"/>
        </w:rPr>
        <w:t xml:space="preserve"> </w:t>
      </w:r>
      <w:r w:rsidR="003A333C">
        <w:rPr>
          <w:rFonts w:ascii="Times New Roman" w:hAnsi="Times New Roman" w:cs="Times New Roman"/>
          <w:kern w:val="0"/>
          <w:sz w:val="24"/>
          <w:szCs w:val="24"/>
        </w:rPr>
        <w:t xml:space="preserve">This context also allows Iamblichus to make statements concerning natural phenomena and historical events </w:t>
      </w:r>
      <w:r w:rsidR="003A333C">
        <w:rPr>
          <w:rFonts w:ascii="Times New Roman" w:hAnsi="Times New Roman" w:cs="Times New Roman"/>
          <w:kern w:val="0"/>
          <w:sz w:val="24"/>
          <w:szCs w:val="24"/>
        </w:rPr>
        <w:lastRenderedPageBreak/>
        <w:t>recorded from a hagiographical perspective that he</w:t>
      </w:r>
      <w:r w:rsidR="004A059B">
        <w:rPr>
          <w:rFonts w:ascii="Times New Roman" w:hAnsi="Times New Roman" w:cs="Times New Roman"/>
          <w:kern w:val="0"/>
          <w:sz w:val="24"/>
          <w:szCs w:val="24"/>
        </w:rPr>
        <w:t xml:space="preserve"> then</w:t>
      </w:r>
      <w:r w:rsidR="003A333C">
        <w:rPr>
          <w:rFonts w:ascii="Times New Roman" w:hAnsi="Times New Roman" w:cs="Times New Roman"/>
          <w:kern w:val="0"/>
          <w:sz w:val="24"/>
          <w:szCs w:val="24"/>
        </w:rPr>
        <w:t xml:space="preserve"> cites as proof.</w:t>
      </w:r>
      <w:r w:rsidR="00274E55">
        <w:rPr>
          <w:rStyle w:val="FootnoteReference"/>
          <w:rFonts w:ascii="Times New Roman" w:hAnsi="Times New Roman" w:cs="Times New Roman"/>
          <w:kern w:val="0"/>
          <w:sz w:val="24"/>
          <w:szCs w:val="24"/>
        </w:rPr>
        <w:footnoteReference w:id="50"/>
      </w:r>
      <w:r w:rsidR="006D74AB">
        <w:rPr>
          <w:rFonts w:ascii="Times New Roman" w:hAnsi="Times New Roman" w:cs="Times New Roman"/>
          <w:kern w:val="0"/>
          <w:sz w:val="24"/>
          <w:szCs w:val="24"/>
        </w:rPr>
        <w:t xml:space="preserve"> </w:t>
      </w:r>
    </w:p>
    <w:p w:rsidR="0026325D" w:rsidRDefault="006D74AB" w:rsidP="000F34CB">
      <w:pPr>
        <w:ind w:firstLine="420"/>
        <w:jc w:val="left"/>
        <w:rPr>
          <w:rFonts w:ascii="Times New Roman" w:hAnsi="Times New Roman" w:cs="Times New Roman"/>
          <w:kern w:val="0"/>
          <w:sz w:val="24"/>
          <w:szCs w:val="24"/>
        </w:rPr>
      </w:pPr>
      <w:r>
        <w:rPr>
          <w:rFonts w:ascii="Times New Roman" w:hAnsi="Times New Roman" w:cs="Times New Roman"/>
          <w:kern w:val="0"/>
          <w:sz w:val="24"/>
          <w:szCs w:val="24"/>
        </w:rPr>
        <w:t xml:space="preserve">Throughout </w:t>
      </w:r>
      <w:r w:rsidRPr="00BF75E8">
        <w:rPr>
          <w:rFonts w:ascii="Times New Roman" w:hAnsi="Times New Roman" w:cs="Times New Roman"/>
          <w:i/>
          <w:kern w:val="0"/>
          <w:sz w:val="24"/>
          <w:szCs w:val="24"/>
        </w:rPr>
        <w:t>De mysteriis</w:t>
      </w:r>
      <w:r>
        <w:rPr>
          <w:rFonts w:ascii="Times New Roman" w:hAnsi="Times New Roman" w:cs="Times New Roman"/>
          <w:kern w:val="0"/>
          <w:sz w:val="24"/>
          <w:szCs w:val="24"/>
        </w:rPr>
        <w:t xml:space="preserve">, Iamblichus is arguing simultaneously </w:t>
      </w:r>
      <w:r w:rsidR="005B4034">
        <w:rPr>
          <w:rFonts w:ascii="Times New Roman" w:hAnsi="Times New Roman" w:cs="Times New Roman"/>
          <w:kern w:val="0"/>
          <w:sz w:val="24"/>
          <w:szCs w:val="24"/>
        </w:rPr>
        <w:t xml:space="preserve">for both </w:t>
      </w:r>
      <w:r>
        <w:rPr>
          <w:rFonts w:ascii="Times New Roman" w:hAnsi="Times New Roman" w:cs="Times New Roman"/>
          <w:kern w:val="0"/>
          <w:sz w:val="24"/>
          <w:szCs w:val="24"/>
        </w:rPr>
        <w:t>the total freedom and willingness of the divine to act without human coercion and the importance of the moral, philosophical</w:t>
      </w:r>
      <w:r w:rsidR="00CF1326">
        <w:rPr>
          <w:rFonts w:ascii="Times New Roman" w:hAnsi="Times New Roman" w:cs="Times New Roman"/>
          <w:kern w:val="0"/>
          <w:sz w:val="24"/>
          <w:szCs w:val="24"/>
        </w:rPr>
        <w:t>,</w:t>
      </w:r>
      <w:r>
        <w:rPr>
          <w:rFonts w:ascii="Times New Roman" w:hAnsi="Times New Roman" w:cs="Times New Roman"/>
          <w:kern w:val="0"/>
          <w:sz w:val="24"/>
          <w:szCs w:val="24"/>
        </w:rPr>
        <w:t xml:space="preserve"> and spiritual discipline of the </w:t>
      </w:r>
      <w:r w:rsidR="000F34CB">
        <w:rPr>
          <w:rFonts w:ascii="Times New Roman" w:hAnsi="Times New Roman" w:cs="Times New Roman"/>
          <w:kern w:val="0"/>
          <w:sz w:val="24"/>
          <w:szCs w:val="24"/>
        </w:rPr>
        <w:t>human</w:t>
      </w:r>
      <w:r>
        <w:rPr>
          <w:rFonts w:ascii="Times New Roman" w:hAnsi="Times New Roman" w:cs="Times New Roman"/>
          <w:kern w:val="0"/>
          <w:sz w:val="24"/>
          <w:szCs w:val="24"/>
        </w:rPr>
        <w:t xml:space="preserve"> in the ritual.</w:t>
      </w:r>
      <w:r w:rsidR="00403AD2">
        <w:rPr>
          <w:rFonts w:ascii="Times New Roman" w:hAnsi="Times New Roman" w:cs="Times New Roman"/>
          <w:kern w:val="0"/>
          <w:sz w:val="24"/>
          <w:szCs w:val="24"/>
        </w:rPr>
        <w:t xml:space="preserve"> </w:t>
      </w:r>
      <w:r w:rsidR="00C428E2">
        <w:rPr>
          <w:rFonts w:ascii="Times New Roman" w:hAnsi="Times New Roman" w:cs="Times New Roman"/>
          <w:kern w:val="0"/>
          <w:sz w:val="24"/>
          <w:szCs w:val="24"/>
        </w:rPr>
        <w:t xml:space="preserve">Trust too heavily in spiritual preparedness and fall prey to believing your holiness compels the gods. Trust too heavily in ritual formulae and fall prey to believing </w:t>
      </w:r>
      <w:r w:rsidR="004D0AC0">
        <w:rPr>
          <w:rFonts w:ascii="Times New Roman" w:hAnsi="Times New Roman" w:cs="Times New Roman" w:hint="eastAsia"/>
          <w:kern w:val="0"/>
          <w:sz w:val="24"/>
          <w:szCs w:val="24"/>
        </w:rPr>
        <w:t xml:space="preserve">that </w:t>
      </w:r>
      <w:r w:rsidR="00C428E2">
        <w:rPr>
          <w:rFonts w:ascii="Times New Roman" w:hAnsi="Times New Roman" w:cs="Times New Roman"/>
          <w:kern w:val="0"/>
          <w:sz w:val="24"/>
          <w:szCs w:val="24"/>
        </w:rPr>
        <w:t>the gods can be manipulated.</w:t>
      </w:r>
      <w:r w:rsidR="00C428E2">
        <w:rPr>
          <w:rFonts w:ascii="Times New Roman" w:hAnsi="Times New Roman" w:cs="Times New Roman" w:hint="eastAsia"/>
          <w:kern w:val="0"/>
          <w:sz w:val="24"/>
          <w:szCs w:val="24"/>
        </w:rPr>
        <w:t xml:space="preserve"> </w:t>
      </w:r>
      <w:r w:rsidR="00A731A1">
        <w:rPr>
          <w:rFonts w:ascii="Times New Roman" w:hAnsi="Times New Roman" w:cs="Times New Roman"/>
          <w:kern w:val="0"/>
          <w:sz w:val="24"/>
          <w:szCs w:val="24"/>
        </w:rPr>
        <w:t>T</w:t>
      </w:r>
      <w:r>
        <w:rPr>
          <w:rFonts w:ascii="Times New Roman" w:hAnsi="Times New Roman" w:cs="Times New Roman"/>
          <w:kern w:val="0"/>
          <w:sz w:val="24"/>
          <w:szCs w:val="24"/>
        </w:rPr>
        <w:t>his somewhat uneasy tension l</w:t>
      </w:r>
      <w:r w:rsidR="00CF1326">
        <w:rPr>
          <w:rFonts w:ascii="Times New Roman" w:hAnsi="Times New Roman" w:cs="Times New Roman"/>
          <w:kern w:val="0"/>
          <w:sz w:val="24"/>
          <w:szCs w:val="24"/>
        </w:rPr>
        <w:t xml:space="preserve">ends itself to </w:t>
      </w:r>
      <w:r w:rsidR="00CF1326" w:rsidRPr="006D1558">
        <w:rPr>
          <w:rFonts w:ascii="Times New Roman" w:hAnsi="Times New Roman" w:cs="Times New Roman"/>
          <w:kern w:val="0"/>
          <w:sz w:val="24"/>
          <w:szCs w:val="24"/>
        </w:rPr>
        <w:t>misunderstanding</w:t>
      </w:r>
      <w:r w:rsidR="000F34CB" w:rsidRPr="006D1558">
        <w:rPr>
          <w:rFonts w:ascii="Times New Roman" w:hAnsi="Times New Roman" w:cs="Times New Roman"/>
          <w:kern w:val="0"/>
          <w:sz w:val="24"/>
          <w:szCs w:val="24"/>
        </w:rPr>
        <w:t xml:space="preserve">, </w:t>
      </w:r>
      <w:r w:rsidR="00403AD2" w:rsidRPr="006D1558">
        <w:rPr>
          <w:rFonts w:ascii="Times New Roman" w:hAnsi="Times New Roman" w:cs="Times New Roman"/>
          <w:kern w:val="0"/>
          <w:sz w:val="24"/>
          <w:szCs w:val="24"/>
        </w:rPr>
        <w:t>especially when much of theurgical divination</w:t>
      </w:r>
      <w:r w:rsidRPr="006D1558">
        <w:rPr>
          <w:rFonts w:ascii="Times New Roman" w:hAnsi="Times New Roman" w:cs="Times New Roman"/>
          <w:kern w:val="0"/>
          <w:sz w:val="24"/>
          <w:szCs w:val="24"/>
        </w:rPr>
        <w:t xml:space="preserve"> appears like sympathetic magic found in the </w:t>
      </w:r>
      <w:r w:rsidRPr="006D1558">
        <w:rPr>
          <w:rFonts w:ascii="Times New Roman" w:hAnsi="Times New Roman" w:cs="Times New Roman"/>
          <w:i/>
          <w:kern w:val="0"/>
          <w:sz w:val="24"/>
          <w:szCs w:val="24"/>
        </w:rPr>
        <w:t>Greek Magical Papyri</w:t>
      </w:r>
      <w:r w:rsidR="00022B79" w:rsidRPr="006D1558">
        <w:rPr>
          <w:rFonts w:ascii="Times New Roman" w:hAnsi="Times New Roman" w:cs="Times New Roman" w:hint="eastAsia"/>
          <w:kern w:val="0"/>
          <w:sz w:val="24"/>
          <w:szCs w:val="24"/>
        </w:rPr>
        <w:t>.</w:t>
      </w:r>
      <w:r w:rsidRPr="006D1558">
        <w:rPr>
          <w:rStyle w:val="FootnoteReference"/>
          <w:rFonts w:ascii="Times New Roman" w:hAnsi="Times New Roman" w:cs="Times New Roman"/>
          <w:kern w:val="0"/>
          <w:sz w:val="24"/>
          <w:szCs w:val="24"/>
        </w:rPr>
        <w:footnoteReference w:id="51"/>
      </w:r>
      <w:r w:rsidR="0002682A" w:rsidRPr="006D1558">
        <w:rPr>
          <w:rFonts w:ascii="Times New Roman" w:hAnsi="Times New Roman" w:cs="Times New Roman" w:hint="eastAsia"/>
          <w:kern w:val="0"/>
          <w:sz w:val="24"/>
          <w:szCs w:val="24"/>
        </w:rPr>
        <w:t xml:space="preserve"> </w:t>
      </w:r>
      <w:r w:rsidR="006D1558" w:rsidRPr="006D1558">
        <w:rPr>
          <w:rFonts w:ascii="Times New Roman" w:hAnsi="Times New Roman" w:cs="Times New Roman" w:hint="eastAsia"/>
          <w:kern w:val="0"/>
          <w:sz w:val="24"/>
          <w:szCs w:val="24"/>
        </w:rPr>
        <w:t xml:space="preserve">The distinction </w:t>
      </w:r>
      <w:r w:rsidR="006D1558" w:rsidRPr="006D1558">
        <w:rPr>
          <w:rFonts w:ascii="Times New Roman" w:hAnsi="Times New Roman" w:cs="Times New Roman"/>
          <w:kern w:val="0"/>
          <w:sz w:val="24"/>
          <w:szCs w:val="24"/>
        </w:rPr>
        <w:t>between</w:t>
      </w:r>
      <w:r w:rsidR="006D1558" w:rsidRPr="006D1558">
        <w:rPr>
          <w:rFonts w:ascii="Times New Roman" w:hAnsi="Times New Roman" w:cs="Times New Roman" w:hint="eastAsia"/>
          <w:kern w:val="0"/>
          <w:sz w:val="24"/>
          <w:szCs w:val="24"/>
        </w:rPr>
        <w:t xml:space="preserve"> magic and theurgy is, </w:t>
      </w:r>
      <w:r w:rsidR="006D1558" w:rsidRPr="006D1558">
        <w:rPr>
          <w:rFonts w:ascii="Times New Roman" w:hAnsi="Times New Roman" w:cs="Times New Roman"/>
          <w:kern w:val="0"/>
          <w:sz w:val="24"/>
          <w:szCs w:val="24"/>
        </w:rPr>
        <w:t>‘…</w:t>
      </w:r>
      <w:r w:rsidR="006D1558" w:rsidRPr="006D1558">
        <w:rPr>
          <w:rFonts w:ascii="Times New Roman" w:hAnsi="Times New Roman" w:cs="Times New Roman" w:hint="eastAsia"/>
          <w:kern w:val="0"/>
          <w:sz w:val="24"/>
          <w:szCs w:val="24"/>
        </w:rPr>
        <w:t xml:space="preserve">basically an unreal one. </w:t>
      </w:r>
      <w:r w:rsidR="006D1558" w:rsidRPr="006D1558">
        <w:rPr>
          <w:rFonts w:ascii="Times New Roman" w:hAnsi="Times New Roman" w:cs="Times New Roman"/>
          <w:kern w:val="0"/>
          <w:sz w:val="24"/>
          <w:szCs w:val="24"/>
        </w:rPr>
        <w:t>The real distinction is between magic/theurgy—and its remote descendant, the modern scientific world-view—and religion</w:t>
      </w:r>
      <w:r w:rsidR="006D1558" w:rsidRPr="006D1558">
        <w:rPr>
          <w:rFonts w:ascii="Times New Roman" w:hAnsi="Times New Roman" w:cs="Times New Roman" w:hint="eastAsia"/>
          <w:kern w:val="0"/>
          <w:sz w:val="24"/>
          <w:szCs w:val="24"/>
        </w:rPr>
        <w:t>.</w:t>
      </w:r>
      <w:r w:rsidR="006D1558" w:rsidRPr="006D1558">
        <w:rPr>
          <w:rFonts w:ascii="Times New Roman" w:hAnsi="Times New Roman" w:cs="Times New Roman"/>
          <w:kern w:val="0"/>
          <w:sz w:val="24"/>
          <w:szCs w:val="24"/>
        </w:rPr>
        <w:t>’</w:t>
      </w:r>
      <w:r w:rsidR="006D1558">
        <w:rPr>
          <w:rStyle w:val="FootnoteReference"/>
          <w:rFonts w:ascii="Times New Roman" w:hAnsi="Times New Roman" w:cs="Times New Roman"/>
          <w:kern w:val="0"/>
          <w:sz w:val="24"/>
          <w:szCs w:val="24"/>
        </w:rPr>
        <w:footnoteReference w:id="52"/>
      </w:r>
      <w:r w:rsidR="006D1558" w:rsidRPr="006D1558">
        <w:rPr>
          <w:rFonts w:ascii="Times New Roman" w:hAnsi="Times New Roman" w:cs="Times New Roman" w:hint="eastAsia"/>
          <w:kern w:val="0"/>
          <w:sz w:val="24"/>
          <w:szCs w:val="24"/>
        </w:rPr>
        <w:t xml:space="preserve"> </w:t>
      </w:r>
      <w:r w:rsidR="0002682A" w:rsidRPr="006D1558">
        <w:rPr>
          <w:rFonts w:ascii="Times New Roman" w:hAnsi="Times New Roman" w:cs="Times New Roman" w:hint="eastAsia"/>
          <w:kern w:val="0"/>
          <w:sz w:val="24"/>
          <w:szCs w:val="24"/>
        </w:rPr>
        <w:t xml:space="preserve">The arguments for divination in </w:t>
      </w:r>
      <w:r w:rsidR="0002682A" w:rsidRPr="006D1558">
        <w:rPr>
          <w:rFonts w:ascii="Times New Roman" w:hAnsi="Times New Roman" w:cs="Times New Roman" w:hint="eastAsia"/>
          <w:i/>
          <w:kern w:val="0"/>
          <w:sz w:val="24"/>
          <w:szCs w:val="24"/>
        </w:rPr>
        <w:t>De mysteriis</w:t>
      </w:r>
      <w:r w:rsidR="0002682A" w:rsidRPr="006D1558">
        <w:rPr>
          <w:rFonts w:ascii="Times New Roman" w:hAnsi="Times New Roman" w:cs="Times New Roman" w:hint="eastAsia"/>
          <w:kern w:val="0"/>
          <w:sz w:val="24"/>
          <w:szCs w:val="24"/>
        </w:rPr>
        <w:t xml:space="preserve"> provide an account of the diversity of </w:t>
      </w:r>
      <w:r w:rsidR="0002682A" w:rsidRPr="006D1558">
        <w:rPr>
          <w:rFonts w:ascii="Times New Roman" w:hAnsi="Times New Roman" w:cs="Times New Roman"/>
          <w:kern w:val="0"/>
          <w:sz w:val="24"/>
          <w:szCs w:val="24"/>
        </w:rPr>
        <w:t>divinatory</w:t>
      </w:r>
      <w:r w:rsidR="0002682A" w:rsidRPr="006D1558">
        <w:rPr>
          <w:rFonts w:ascii="Times New Roman" w:hAnsi="Times New Roman" w:cs="Times New Roman" w:hint="eastAsia"/>
          <w:kern w:val="0"/>
          <w:sz w:val="24"/>
          <w:szCs w:val="24"/>
        </w:rPr>
        <w:t xml:space="preserve"> m</w:t>
      </w:r>
      <w:r w:rsidR="0002682A">
        <w:rPr>
          <w:rFonts w:ascii="Times New Roman" w:hAnsi="Times New Roman" w:cs="Times New Roman" w:hint="eastAsia"/>
          <w:kern w:val="0"/>
          <w:sz w:val="24"/>
          <w:szCs w:val="24"/>
        </w:rPr>
        <w:t xml:space="preserve">ethods during the </w:t>
      </w:r>
      <w:r w:rsidR="00657C7F">
        <w:rPr>
          <w:rFonts w:ascii="Times New Roman" w:hAnsi="Times New Roman" w:cs="Times New Roman" w:hint="eastAsia"/>
          <w:kern w:val="0"/>
          <w:sz w:val="24"/>
          <w:szCs w:val="24"/>
        </w:rPr>
        <w:t>third</w:t>
      </w:r>
      <w:r w:rsidR="0002682A">
        <w:rPr>
          <w:rFonts w:ascii="Times New Roman" w:hAnsi="Times New Roman" w:cs="Times New Roman" w:hint="eastAsia"/>
          <w:kern w:val="0"/>
          <w:sz w:val="24"/>
          <w:szCs w:val="24"/>
        </w:rPr>
        <w:t xml:space="preserve"> </w:t>
      </w:r>
      <w:r w:rsidR="0002682A">
        <w:rPr>
          <w:rFonts w:ascii="Times New Roman" w:hAnsi="Times New Roman" w:cs="Times New Roman"/>
          <w:kern w:val="0"/>
          <w:sz w:val="24"/>
          <w:szCs w:val="24"/>
        </w:rPr>
        <w:t>century</w:t>
      </w:r>
      <w:r w:rsidR="0002682A">
        <w:rPr>
          <w:rFonts w:ascii="Times New Roman" w:hAnsi="Times New Roman" w:cs="Times New Roman" w:hint="eastAsia"/>
          <w:kern w:val="0"/>
          <w:sz w:val="24"/>
          <w:szCs w:val="24"/>
        </w:rPr>
        <w:t xml:space="preserve"> and a serious attempt to </w:t>
      </w:r>
      <w:r w:rsidR="00657C7F">
        <w:rPr>
          <w:rFonts w:ascii="Times New Roman" w:hAnsi="Times New Roman" w:cs="Times New Roman"/>
          <w:kern w:val="0"/>
          <w:sz w:val="24"/>
          <w:szCs w:val="24"/>
        </w:rPr>
        <w:t>philosophically</w:t>
      </w:r>
      <w:r w:rsidR="00657C7F">
        <w:rPr>
          <w:rFonts w:ascii="Times New Roman" w:hAnsi="Times New Roman" w:cs="Times New Roman" w:hint="eastAsia"/>
          <w:kern w:val="0"/>
          <w:sz w:val="24"/>
          <w:szCs w:val="24"/>
        </w:rPr>
        <w:t xml:space="preserve"> explain them to the extent </w:t>
      </w:r>
      <w:r w:rsidR="00606C1E">
        <w:rPr>
          <w:rFonts w:ascii="Times New Roman" w:hAnsi="Times New Roman" w:cs="Times New Roman"/>
          <w:kern w:val="0"/>
          <w:sz w:val="24"/>
          <w:szCs w:val="24"/>
        </w:rPr>
        <w:t xml:space="preserve">that </w:t>
      </w:r>
      <w:r w:rsidR="006D43B4">
        <w:rPr>
          <w:rFonts w:ascii="Times New Roman" w:hAnsi="Times New Roman" w:cs="Times New Roman" w:hint="eastAsia"/>
          <w:kern w:val="0"/>
          <w:sz w:val="24"/>
          <w:szCs w:val="24"/>
        </w:rPr>
        <w:t>the miraculous</w:t>
      </w:r>
      <w:r w:rsidR="00657C7F">
        <w:rPr>
          <w:rFonts w:ascii="Times New Roman" w:hAnsi="Times New Roman" w:cs="Times New Roman" w:hint="eastAsia"/>
          <w:kern w:val="0"/>
          <w:sz w:val="24"/>
          <w:szCs w:val="24"/>
        </w:rPr>
        <w:t xml:space="preserve"> </w:t>
      </w:r>
      <w:r w:rsidR="006D43B4">
        <w:rPr>
          <w:rFonts w:ascii="Times New Roman" w:hAnsi="Times New Roman" w:cs="Times New Roman" w:hint="eastAsia"/>
          <w:kern w:val="0"/>
          <w:sz w:val="24"/>
          <w:szCs w:val="24"/>
        </w:rPr>
        <w:t>can</w:t>
      </w:r>
      <w:r w:rsidR="00657C7F">
        <w:rPr>
          <w:rFonts w:ascii="Times New Roman" w:hAnsi="Times New Roman" w:cs="Times New Roman" w:hint="eastAsia"/>
          <w:kern w:val="0"/>
          <w:sz w:val="24"/>
          <w:szCs w:val="24"/>
        </w:rPr>
        <w:t xml:space="preserve"> be explained</w:t>
      </w:r>
      <w:r w:rsidR="00447471">
        <w:rPr>
          <w:rFonts w:ascii="Times New Roman" w:hAnsi="Times New Roman" w:cs="Times New Roman" w:hint="eastAsia"/>
          <w:kern w:val="0"/>
          <w:sz w:val="24"/>
          <w:szCs w:val="24"/>
        </w:rPr>
        <w:t>,</w:t>
      </w:r>
      <w:r w:rsidR="00E4612E">
        <w:rPr>
          <w:rFonts w:ascii="Times New Roman" w:hAnsi="Times New Roman" w:cs="Times New Roman" w:hint="eastAsia"/>
          <w:kern w:val="0"/>
          <w:sz w:val="24"/>
          <w:szCs w:val="24"/>
        </w:rPr>
        <w:t xml:space="preserve"> </w:t>
      </w:r>
      <w:r w:rsidR="00447471">
        <w:rPr>
          <w:rFonts w:ascii="Times New Roman" w:hAnsi="Times New Roman" w:cs="Times New Roman"/>
          <w:kern w:val="0"/>
          <w:sz w:val="24"/>
          <w:szCs w:val="24"/>
        </w:rPr>
        <w:t>‘</w:t>
      </w:r>
      <w:r w:rsidR="00E4612E">
        <w:rPr>
          <w:rFonts w:ascii="Times New Roman" w:hAnsi="Times New Roman" w:cs="Times New Roman" w:hint="eastAsia"/>
          <w:kern w:val="0"/>
          <w:sz w:val="24"/>
          <w:szCs w:val="24"/>
        </w:rPr>
        <w:t>by words</w:t>
      </w:r>
      <w:r w:rsidR="00E4612E" w:rsidRPr="00C54DC3">
        <w:rPr>
          <w:rFonts w:ascii="Times New Roman" w:hAnsi="Times New Roman" w:cs="Times New Roman" w:hint="eastAsia"/>
          <w:color w:val="FF0000"/>
          <w:kern w:val="0"/>
          <w:sz w:val="24"/>
          <w:szCs w:val="24"/>
        </w:rPr>
        <w:t xml:space="preserve"> </w:t>
      </w:r>
      <w:r w:rsidR="00E4612E" w:rsidRPr="00C177F8">
        <w:rPr>
          <w:rFonts w:ascii="Times New Roman" w:hAnsi="Times New Roman" w:cs="Times New Roman" w:hint="eastAsia"/>
          <w:color w:val="000000" w:themeColor="text1"/>
          <w:kern w:val="0"/>
          <w:sz w:val="24"/>
          <w:szCs w:val="24"/>
        </w:rPr>
        <w:t>alone</w:t>
      </w:r>
      <w:r w:rsidR="00C177F8" w:rsidRPr="00C177F8">
        <w:rPr>
          <w:rFonts w:ascii="Times New Roman" w:hAnsi="Times New Roman" w:cs="Times New Roman" w:hint="eastAsia"/>
          <w:color w:val="000000" w:themeColor="text1"/>
          <w:kern w:val="0"/>
          <w:sz w:val="24"/>
          <w:szCs w:val="24"/>
        </w:rPr>
        <w:t>.</w:t>
      </w:r>
      <w:r w:rsidR="00447471" w:rsidRPr="00C177F8">
        <w:rPr>
          <w:rFonts w:ascii="Times New Roman" w:hAnsi="Times New Roman" w:cs="Times New Roman"/>
          <w:color w:val="000000" w:themeColor="text1"/>
          <w:kern w:val="0"/>
          <w:sz w:val="24"/>
          <w:szCs w:val="24"/>
        </w:rPr>
        <w:t>’</w:t>
      </w:r>
      <w:r w:rsidR="00447471">
        <w:rPr>
          <w:rStyle w:val="FootnoteReference"/>
          <w:rFonts w:ascii="Times New Roman" w:hAnsi="Times New Roman" w:cs="Times New Roman"/>
          <w:kern w:val="0"/>
          <w:sz w:val="24"/>
          <w:szCs w:val="24"/>
        </w:rPr>
        <w:footnoteReference w:id="53"/>
      </w:r>
      <w:r w:rsidR="0002682A">
        <w:rPr>
          <w:rFonts w:ascii="Times New Roman" w:hAnsi="Times New Roman" w:cs="Times New Roman" w:hint="eastAsia"/>
          <w:kern w:val="0"/>
          <w:sz w:val="24"/>
          <w:szCs w:val="24"/>
        </w:rPr>
        <w:t xml:space="preserve">  </w:t>
      </w:r>
    </w:p>
    <w:p w:rsidR="0026325D" w:rsidRDefault="0026325D" w:rsidP="0026325D">
      <w:pPr>
        <w:jc w:val="left"/>
        <w:rPr>
          <w:rFonts w:ascii="Times New Roman" w:hAnsi="Times New Roman" w:cs="Times New Roman"/>
          <w:kern w:val="0"/>
          <w:sz w:val="24"/>
          <w:szCs w:val="24"/>
        </w:rPr>
      </w:pPr>
    </w:p>
    <w:p w:rsidR="00B751EA" w:rsidRDefault="00B751EA"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FE584B" w:rsidRDefault="00FE584B" w:rsidP="001B7792">
      <w:pPr>
        <w:jc w:val="left"/>
        <w:rPr>
          <w:rFonts w:ascii="Times New Roman" w:hAnsi="Times New Roman" w:cs="Times New Roman"/>
          <w:b/>
          <w:sz w:val="28"/>
          <w:szCs w:val="28"/>
          <w:u w:val="single"/>
        </w:rPr>
      </w:pPr>
    </w:p>
    <w:p w:rsidR="001B7792" w:rsidRPr="00371C08" w:rsidRDefault="00371C08" w:rsidP="001B7792">
      <w:pPr>
        <w:jc w:val="left"/>
        <w:rPr>
          <w:rFonts w:ascii="Times New Roman" w:hAnsi="Times New Roman" w:cs="Times New Roman"/>
          <w:b/>
          <w:sz w:val="28"/>
          <w:szCs w:val="28"/>
          <w:u w:val="single"/>
        </w:rPr>
      </w:pPr>
      <w:r w:rsidRPr="00371C08">
        <w:rPr>
          <w:rFonts w:ascii="Times New Roman" w:hAnsi="Times New Roman" w:cs="Times New Roman"/>
          <w:b/>
          <w:sz w:val="28"/>
          <w:szCs w:val="28"/>
          <w:u w:val="single"/>
        </w:rPr>
        <w:lastRenderedPageBreak/>
        <w:t>References</w:t>
      </w:r>
      <w:r w:rsidR="001B7792" w:rsidRPr="00371C08">
        <w:rPr>
          <w:rFonts w:ascii="Times New Roman" w:hAnsi="Times New Roman" w:cs="Times New Roman"/>
          <w:b/>
          <w:sz w:val="28"/>
          <w:szCs w:val="28"/>
          <w:u w:val="single"/>
        </w:rPr>
        <w:t>:</w:t>
      </w:r>
    </w:p>
    <w:p w:rsidR="001B7792" w:rsidRDefault="001B7792" w:rsidP="001B7792">
      <w:pPr>
        <w:jc w:val="left"/>
        <w:rPr>
          <w:rFonts w:ascii="Times New Roman" w:hAnsi="Times New Roman" w:cs="Times New Roman"/>
          <w:sz w:val="24"/>
          <w:szCs w:val="24"/>
        </w:rPr>
      </w:pPr>
    </w:p>
    <w:p w:rsidR="001B7792" w:rsidRPr="00343277" w:rsidRDefault="001B7792" w:rsidP="001B7792">
      <w:pPr>
        <w:jc w:val="left"/>
        <w:rPr>
          <w:rFonts w:ascii="Times New Roman" w:hAnsi="Times New Roman" w:cs="Times New Roman"/>
          <w:color w:val="000000" w:themeColor="text1"/>
          <w:szCs w:val="21"/>
        </w:rPr>
      </w:pPr>
      <w:r w:rsidRPr="00343277">
        <w:rPr>
          <w:rFonts w:ascii="Times New Roman" w:hAnsi="Times New Roman" w:cs="Times New Roman"/>
          <w:szCs w:val="21"/>
        </w:rPr>
        <w:t xml:space="preserve">Addey, Crystal, </w:t>
      </w:r>
      <w:r w:rsidRPr="00343277">
        <w:rPr>
          <w:rFonts w:ascii="Times New Roman" w:hAnsi="Times New Roman" w:cs="Times New Roman"/>
          <w:i/>
          <w:szCs w:val="21"/>
        </w:rPr>
        <w:t>Divination and Theurgy in Neoplatonism: Oracles of the Gods</w:t>
      </w:r>
      <w:r w:rsidRPr="00343277">
        <w:rPr>
          <w:rFonts w:ascii="Times New Roman" w:hAnsi="Times New Roman" w:cs="Times New Roman"/>
          <w:szCs w:val="21"/>
        </w:rPr>
        <w:t xml:space="preserve"> (New York: </w:t>
      </w:r>
      <w:r w:rsidRPr="00343277">
        <w:rPr>
          <w:rFonts w:ascii="Times New Roman" w:hAnsi="Times New Roman" w:cs="Times New Roman"/>
          <w:color w:val="000000" w:themeColor="text1"/>
          <w:szCs w:val="21"/>
        </w:rPr>
        <w:t>Routledge, 2014)</w:t>
      </w:r>
    </w:p>
    <w:p w:rsidR="001B7792" w:rsidRPr="00343277" w:rsidRDefault="001B7792" w:rsidP="001B7792">
      <w:pPr>
        <w:pStyle w:val="FootnoteText"/>
        <w:rPr>
          <w:rFonts w:ascii="Times New Roman" w:hAnsi="Times New Roman" w:cs="Times New Roman"/>
          <w:color w:val="000000" w:themeColor="text1"/>
          <w:sz w:val="21"/>
          <w:szCs w:val="21"/>
        </w:rPr>
      </w:pPr>
      <w:r w:rsidRPr="00343277">
        <w:rPr>
          <w:rFonts w:ascii="Times New Roman" w:hAnsi="Times New Roman" w:cs="Times New Roman"/>
          <w:color w:val="000000" w:themeColor="text1"/>
          <w:sz w:val="21"/>
          <w:szCs w:val="21"/>
        </w:rPr>
        <w:t>______, ‘</w:t>
      </w:r>
      <w:r w:rsidRPr="00343277">
        <w:rPr>
          <w:rFonts w:ascii="Times New Roman" w:hAnsi="Times New Roman" w:cs="Times New Roman"/>
          <w:sz w:val="21"/>
          <w:szCs w:val="21"/>
        </w:rPr>
        <w:t xml:space="preserve">The Prophet Abamon and the Dialogues of Hermes: Iamblichus’ </w:t>
      </w:r>
      <w:r w:rsidRPr="00343277">
        <w:rPr>
          <w:rFonts w:ascii="Times New Roman" w:hAnsi="Times New Roman" w:cs="Times New Roman"/>
          <w:i/>
          <w:sz w:val="21"/>
          <w:szCs w:val="21"/>
        </w:rPr>
        <w:t>De Mysteriis</w:t>
      </w:r>
      <w:r w:rsidRPr="00343277">
        <w:rPr>
          <w:rFonts w:ascii="Times New Roman" w:hAnsi="Times New Roman" w:cs="Times New Roman"/>
          <w:sz w:val="21"/>
          <w:szCs w:val="21"/>
        </w:rPr>
        <w:t xml:space="preserve">, Porphyry’s </w:t>
      </w:r>
      <w:r w:rsidRPr="00343277">
        <w:rPr>
          <w:rFonts w:ascii="Times New Roman" w:hAnsi="Times New Roman" w:cs="Times New Roman"/>
          <w:i/>
          <w:sz w:val="21"/>
          <w:szCs w:val="21"/>
        </w:rPr>
        <w:t xml:space="preserve">Letter to </w:t>
      </w:r>
      <w:r w:rsidR="00343277">
        <w:rPr>
          <w:rFonts w:ascii="Times New Roman" w:hAnsi="Times New Roman" w:cs="Times New Roman" w:hint="eastAsia"/>
          <w:i/>
          <w:sz w:val="21"/>
          <w:szCs w:val="21"/>
        </w:rPr>
        <w:tab/>
      </w:r>
      <w:r w:rsidRPr="00343277">
        <w:rPr>
          <w:rFonts w:ascii="Times New Roman" w:hAnsi="Times New Roman" w:cs="Times New Roman"/>
          <w:i/>
          <w:sz w:val="21"/>
          <w:szCs w:val="21"/>
        </w:rPr>
        <w:t>Anebo</w:t>
      </w:r>
      <w:r w:rsidRPr="00343277">
        <w:rPr>
          <w:rFonts w:ascii="Times New Roman" w:hAnsi="Times New Roman" w:cs="Times New Roman"/>
          <w:sz w:val="21"/>
          <w:szCs w:val="21"/>
        </w:rPr>
        <w:t xml:space="preserve">, and the </w:t>
      </w:r>
      <w:r w:rsidRPr="00343277">
        <w:rPr>
          <w:rFonts w:ascii="Times New Roman" w:hAnsi="Times New Roman" w:cs="Times New Roman"/>
          <w:i/>
          <w:sz w:val="21"/>
          <w:szCs w:val="21"/>
        </w:rPr>
        <w:t>Hermetica</w:t>
      </w:r>
      <w:r w:rsidRPr="00343277">
        <w:rPr>
          <w:rFonts w:ascii="Times New Roman" w:hAnsi="Times New Roman" w:cs="Times New Roman"/>
          <w:sz w:val="21"/>
          <w:szCs w:val="21"/>
        </w:rPr>
        <w:t>’</w:t>
      </w:r>
      <w:r w:rsidRPr="00343277">
        <w:rPr>
          <w:rFonts w:ascii="Times New Roman" w:hAnsi="Times New Roman" w:cs="Times New Roman"/>
          <w:color w:val="000000" w:themeColor="text1"/>
          <w:sz w:val="21"/>
          <w:szCs w:val="21"/>
        </w:rPr>
        <w:t xml:space="preserve">, Abstract for: The International Society of Neoplatonic Studies Conference </w:t>
      </w:r>
      <w:r w:rsidR="00343277">
        <w:rPr>
          <w:rFonts w:ascii="Times New Roman" w:hAnsi="Times New Roman" w:cs="Times New Roman" w:hint="eastAsia"/>
          <w:color w:val="000000" w:themeColor="text1"/>
          <w:sz w:val="21"/>
          <w:szCs w:val="21"/>
        </w:rPr>
        <w:tab/>
      </w:r>
      <w:r w:rsidRPr="00343277">
        <w:rPr>
          <w:rFonts w:ascii="Times New Roman" w:hAnsi="Times New Roman" w:cs="Times New Roman"/>
          <w:color w:val="000000" w:themeColor="text1"/>
          <w:sz w:val="21"/>
          <w:szCs w:val="21"/>
        </w:rPr>
        <w:t xml:space="preserve">‘Neoplatonism in the East – </w:t>
      </w:r>
      <w:r w:rsidRPr="00343277">
        <w:rPr>
          <w:rFonts w:ascii="Times New Roman" w:hAnsi="Times New Roman" w:cs="Times New Roman"/>
          <w:i/>
          <w:color w:val="000000" w:themeColor="text1"/>
          <w:sz w:val="21"/>
          <w:szCs w:val="21"/>
        </w:rPr>
        <w:t>ex oriente lux</w:t>
      </w:r>
      <w:r w:rsidRPr="00343277">
        <w:rPr>
          <w:rFonts w:ascii="Times New Roman" w:hAnsi="Times New Roman" w:cs="Times New Roman"/>
          <w:color w:val="000000" w:themeColor="text1"/>
          <w:sz w:val="21"/>
          <w:szCs w:val="21"/>
        </w:rPr>
        <w:t>’, University of Haifa, 22-24 March 2011, 1-3</w:t>
      </w:r>
      <w:r w:rsidR="00343277">
        <w:rPr>
          <w:rFonts w:ascii="Times New Roman" w:hAnsi="Times New Roman" w:cs="Times New Roman" w:hint="eastAsia"/>
          <w:color w:val="000000" w:themeColor="text1"/>
          <w:sz w:val="21"/>
          <w:szCs w:val="21"/>
        </w:rPr>
        <w:t>, &lt;</w:t>
      </w:r>
      <w:r w:rsidR="00343277" w:rsidRPr="00343277">
        <w:rPr>
          <w:rFonts w:ascii="Times New Roman" w:hAnsi="Times New Roman" w:cs="Times New Roman" w:hint="eastAsia"/>
          <w:color w:val="000000" w:themeColor="text1"/>
          <w:sz w:val="21"/>
          <w:szCs w:val="21"/>
          <w:u w:val="single"/>
        </w:rPr>
        <w:t>http://resear</w:t>
      </w:r>
      <w:r w:rsidRPr="00343277">
        <w:rPr>
          <w:rFonts w:ascii="Times New Roman" w:hAnsi="Times New Roman" w:cs="Times New Roman"/>
          <w:color w:val="000000" w:themeColor="text1"/>
          <w:sz w:val="21"/>
          <w:szCs w:val="21"/>
        </w:rPr>
        <w:t xml:space="preserve"> </w:t>
      </w:r>
      <w:r w:rsidR="00343277">
        <w:rPr>
          <w:rFonts w:ascii="Times New Roman" w:hAnsi="Times New Roman" w:cs="Times New Roman" w:hint="eastAsia"/>
          <w:color w:val="000000" w:themeColor="text1"/>
          <w:sz w:val="21"/>
          <w:szCs w:val="21"/>
        </w:rPr>
        <w:tab/>
      </w:r>
      <w:r w:rsidRPr="00343277">
        <w:rPr>
          <w:rFonts w:ascii="Times New Roman" w:hAnsi="Times New Roman" w:cs="Times New Roman"/>
          <w:color w:val="000000" w:themeColor="text1"/>
          <w:sz w:val="21"/>
          <w:szCs w:val="21"/>
          <w:u w:val="single"/>
        </w:rPr>
        <w:t>ch.haifa.ac.il/~mluz/ins/booklet/Addey.pdf</w:t>
      </w:r>
      <w:r w:rsidRPr="00343277">
        <w:rPr>
          <w:rFonts w:ascii="Times New Roman" w:hAnsi="Times New Roman" w:cs="Times New Roman"/>
          <w:color w:val="000000" w:themeColor="text1"/>
          <w:sz w:val="21"/>
          <w:szCs w:val="21"/>
        </w:rPr>
        <w:t>&gt; [accessed May 23, 2019]</w:t>
      </w:r>
      <w:r w:rsidRPr="00343277">
        <w:rPr>
          <w:rFonts w:ascii="Times New Roman" w:hAnsi="Times New Roman" w:cs="Times New Roman"/>
          <w:color w:val="000000" w:themeColor="text1"/>
          <w:sz w:val="21"/>
          <w:szCs w:val="21"/>
        </w:rPr>
        <w:tab/>
      </w:r>
      <w:r w:rsidRPr="00343277">
        <w:rPr>
          <w:rFonts w:ascii="Times New Roman" w:hAnsi="Times New Roman" w:cs="Times New Roman"/>
          <w:color w:val="000000" w:themeColor="text1"/>
          <w:sz w:val="21"/>
          <w:szCs w:val="21"/>
        </w:rPr>
        <w:tab/>
      </w:r>
      <w:r w:rsidRPr="00343277">
        <w:rPr>
          <w:rFonts w:ascii="Times New Roman" w:hAnsi="Times New Roman" w:cs="Times New Roman"/>
          <w:color w:val="000000" w:themeColor="text1"/>
          <w:sz w:val="21"/>
          <w:szCs w:val="21"/>
        </w:rPr>
        <w:tab/>
      </w:r>
      <w:r w:rsidRPr="00343277">
        <w:rPr>
          <w:rFonts w:ascii="Times New Roman" w:hAnsi="Times New Roman" w:cs="Times New Roman"/>
          <w:color w:val="000000" w:themeColor="text1"/>
          <w:sz w:val="21"/>
          <w:szCs w:val="21"/>
        </w:rPr>
        <w:tab/>
      </w:r>
    </w:p>
    <w:p w:rsidR="001B7792" w:rsidRPr="00343277" w:rsidRDefault="001B7792"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 xml:space="preserve">______, ‘Oracles, Dreams and Astrology in Iamblichus’ </w:t>
      </w:r>
      <w:r w:rsidRPr="00343277">
        <w:rPr>
          <w:rFonts w:ascii="Times New Roman" w:hAnsi="Times New Roman" w:cs="Times New Roman"/>
          <w:i/>
          <w:color w:val="000000" w:themeColor="text1"/>
          <w:szCs w:val="21"/>
        </w:rPr>
        <w:t>De Mysteriis</w:t>
      </w:r>
      <w:r w:rsidRPr="00343277">
        <w:rPr>
          <w:rFonts w:ascii="Times New Roman" w:hAnsi="Times New Roman" w:cs="Times New Roman"/>
          <w:color w:val="000000" w:themeColor="text1"/>
          <w:szCs w:val="21"/>
        </w:rPr>
        <w:t xml:space="preserve">’, in </w:t>
      </w:r>
      <w:r w:rsidRPr="00343277">
        <w:rPr>
          <w:rFonts w:ascii="Times New Roman" w:hAnsi="Times New Roman" w:cs="Times New Roman"/>
          <w:i/>
          <w:color w:val="000000" w:themeColor="text1"/>
          <w:szCs w:val="21"/>
        </w:rPr>
        <w:t>Seeing with</w:t>
      </w:r>
      <w:r w:rsidRPr="00343277">
        <w:rPr>
          <w:rFonts w:ascii="Times New Roman" w:hAnsi="Times New Roman" w:cs="Times New Roman"/>
          <w:i/>
          <w:color w:val="000000" w:themeColor="text1"/>
          <w:szCs w:val="21"/>
        </w:rPr>
        <w:tab/>
        <w:t xml:space="preserve">Different Eyes: Essays on </w:t>
      </w:r>
      <w:r w:rsidR="00343277">
        <w:rPr>
          <w:rFonts w:ascii="Times New Roman" w:hAnsi="Times New Roman" w:cs="Times New Roman" w:hint="eastAsia"/>
          <w:i/>
          <w:color w:val="000000" w:themeColor="text1"/>
          <w:szCs w:val="21"/>
        </w:rPr>
        <w:tab/>
      </w:r>
      <w:r w:rsidRPr="00343277">
        <w:rPr>
          <w:rFonts w:ascii="Times New Roman" w:hAnsi="Times New Roman" w:cs="Times New Roman"/>
          <w:i/>
          <w:color w:val="000000" w:themeColor="text1"/>
          <w:szCs w:val="21"/>
        </w:rPr>
        <w:t>Astrology and Divination</w:t>
      </w:r>
      <w:r w:rsidRPr="00343277">
        <w:rPr>
          <w:rFonts w:ascii="Times New Roman" w:hAnsi="Times New Roman" w:cs="Times New Roman"/>
          <w:color w:val="000000" w:themeColor="text1"/>
          <w:szCs w:val="21"/>
        </w:rPr>
        <w:t>, ed. by Angela Voss and Patrick</w:t>
      </w:r>
      <w:r w:rsidR="00343277">
        <w:rPr>
          <w:rFonts w:ascii="Times New Roman" w:hAnsi="Times New Roman" w:cs="Times New Roman" w:hint="eastAsia"/>
          <w:color w:val="000000" w:themeColor="text1"/>
          <w:szCs w:val="21"/>
        </w:rPr>
        <w:t xml:space="preserve"> </w:t>
      </w:r>
      <w:r w:rsidRPr="00343277">
        <w:rPr>
          <w:rFonts w:ascii="Times New Roman" w:hAnsi="Times New Roman" w:cs="Times New Roman"/>
          <w:color w:val="000000" w:themeColor="text1"/>
          <w:szCs w:val="21"/>
        </w:rPr>
        <w:t>Curry, pp. 35-5</w:t>
      </w:r>
      <w:r w:rsidR="00DB6BDC">
        <w:rPr>
          <w:rFonts w:ascii="Times New Roman" w:hAnsi="Times New Roman" w:cs="Times New Roman" w:hint="eastAsia"/>
          <w:color w:val="000000" w:themeColor="text1"/>
          <w:szCs w:val="21"/>
        </w:rPr>
        <w:t>8</w:t>
      </w:r>
      <w:r w:rsidR="00C2516B" w:rsidRPr="00343277">
        <w:rPr>
          <w:rFonts w:ascii="Times New Roman" w:hAnsi="Times New Roman" w:cs="Times New Roman"/>
          <w:color w:val="000000" w:themeColor="text1"/>
          <w:szCs w:val="21"/>
        </w:rPr>
        <w:t>,</w:t>
      </w:r>
      <w:r w:rsidRPr="00343277">
        <w:rPr>
          <w:rFonts w:ascii="Times New Roman" w:hAnsi="Times New Roman" w:cs="Times New Roman"/>
          <w:color w:val="000000" w:themeColor="text1"/>
          <w:szCs w:val="21"/>
        </w:rPr>
        <w:t xml:space="preserve"> (Cambridge: Cambridge </w:t>
      </w:r>
      <w:r w:rsidR="00343277">
        <w:rPr>
          <w:rFonts w:ascii="Times New Roman" w:hAnsi="Times New Roman" w:cs="Times New Roman" w:hint="eastAsia"/>
          <w:color w:val="000000" w:themeColor="text1"/>
          <w:szCs w:val="21"/>
        </w:rPr>
        <w:tab/>
      </w:r>
      <w:r w:rsidRPr="00343277">
        <w:rPr>
          <w:rFonts w:ascii="Times New Roman" w:hAnsi="Times New Roman" w:cs="Times New Roman"/>
          <w:color w:val="000000" w:themeColor="text1"/>
          <w:szCs w:val="21"/>
        </w:rPr>
        <w:t>Scholars Press, 2007)</w:t>
      </w:r>
    </w:p>
    <w:p w:rsidR="006273EA" w:rsidRDefault="00C21D11" w:rsidP="00C21D11">
      <w:pPr>
        <w:pStyle w:val="Default"/>
        <w:rPr>
          <w:rFonts w:ascii="Times New Roman" w:hAnsi="Times New Roman" w:cs="Times New Roman"/>
          <w:color w:val="000000" w:themeColor="text1"/>
          <w:sz w:val="21"/>
          <w:szCs w:val="21"/>
        </w:rPr>
      </w:pPr>
      <w:r w:rsidRPr="00343277">
        <w:rPr>
          <w:rFonts w:ascii="Times New Roman" w:hAnsi="Times New Roman" w:cs="Times New Roman"/>
          <w:color w:val="000000" w:themeColor="text1"/>
          <w:sz w:val="21"/>
          <w:szCs w:val="21"/>
        </w:rPr>
        <w:t>Armstrong,</w:t>
      </w:r>
      <w:r w:rsidR="00C54DC3" w:rsidRPr="00343277">
        <w:rPr>
          <w:rFonts w:ascii="Times New Roman" w:hAnsi="Times New Roman" w:cs="Times New Roman"/>
          <w:color w:val="000000" w:themeColor="text1"/>
          <w:sz w:val="21"/>
          <w:szCs w:val="21"/>
        </w:rPr>
        <w:t xml:space="preserve"> Arthur,</w:t>
      </w:r>
      <w:r w:rsidRPr="00343277">
        <w:rPr>
          <w:rFonts w:ascii="Times New Roman" w:hAnsi="Times New Roman" w:cs="Times New Roman"/>
          <w:color w:val="000000" w:themeColor="text1"/>
          <w:sz w:val="21"/>
          <w:szCs w:val="21"/>
        </w:rPr>
        <w:t xml:space="preserve"> ‘Was </w:t>
      </w:r>
      <w:r w:rsidR="00C2516B" w:rsidRPr="00343277">
        <w:rPr>
          <w:rFonts w:ascii="Times New Roman" w:hAnsi="Times New Roman" w:cs="Times New Roman"/>
          <w:color w:val="000000" w:themeColor="text1"/>
          <w:sz w:val="21"/>
          <w:szCs w:val="21"/>
        </w:rPr>
        <w:t>Plotinus</w:t>
      </w:r>
      <w:r w:rsidRPr="00343277">
        <w:rPr>
          <w:rFonts w:ascii="Times New Roman" w:hAnsi="Times New Roman" w:cs="Times New Roman"/>
          <w:color w:val="000000" w:themeColor="text1"/>
          <w:sz w:val="21"/>
          <w:szCs w:val="21"/>
        </w:rPr>
        <w:t xml:space="preserve"> a Magician?’, </w:t>
      </w:r>
      <w:r w:rsidRPr="00343277">
        <w:rPr>
          <w:rFonts w:ascii="Times New Roman" w:hAnsi="Times New Roman" w:cs="Times New Roman"/>
          <w:i/>
          <w:color w:val="000000" w:themeColor="text1"/>
          <w:sz w:val="21"/>
          <w:szCs w:val="21"/>
        </w:rPr>
        <w:t>Phronesis</w:t>
      </w:r>
      <w:r w:rsidR="00C54DC3" w:rsidRPr="00343277">
        <w:rPr>
          <w:rFonts w:ascii="Times New Roman" w:hAnsi="Times New Roman" w:cs="Times New Roman"/>
          <w:color w:val="000000" w:themeColor="text1"/>
          <w:sz w:val="21"/>
          <w:szCs w:val="21"/>
        </w:rPr>
        <w:t xml:space="preserve"> </w:t>
      </w:r>
      <w:r w:rsidRPr="00343277">
        <w:rPr>
          <w:rFonts w:ascii="Times New Roman" w:hAnsi="Times New Roman" w:cs="Times New Roman"/>
          <w:color w:val="000000" w:themeColor="text1"/>
          <w:sz w:val="21"/>
          <w:szCs w:val="21"/>
        </w:rPr>
        <w:t>1</w:t>
      </w:r>
      <w:r w:rsidR="00C54DC3" w:rsidRPr="00343277">
        <w:rPr>
          <w:rFonts w:ascii="Times New Roman" w:hAnsi="Times New Roman" w:cs="Times New Roman"/>
          <w:color w:val="000000" w:themeColor="text1"/>
          <w:sz w:val="21"/>
          <w:szCs w:val="21"/>
        </w:rPr>
        <w:t xml:space="preserve"> 1</w:t>
      </w:r>
      <w:r w:rsidRPr="00343277">
        <w:rPr>
          <w:rFonts w:ascii="Times New Roman" w:hAnsi="Times New Roman" w:cs="Times New Roman"/>
          <w:color w:val="000000" w:themeColor="text1"/>
          <w:sz w:val="21"/>
          <w:szCs w:val="21"/>
        </w:rPr>
        <w:t xml:space="preserve"> (1955) 73-79</w:t>
      </w:r>
      <w:r w:rsidR="006273EA">
        <w:rPr>
          <w:rFonts w:ascii="Times New Roman" w:hAnsi="Times New Roman" w:cs="Times New Roman" w:hint="eastAsia"/>
          <w:color w:val="000000" w:themeColor="text1"/>
          <w:sz w:val="21"/>
          <w:szCs w:val="21"/>
        </w:rPr>
        <w:t>, &lt;</w:t>
      </w:r>
      <w:r w:rsidR="006273EA" w:rsidRPr="006273EA">
        <w:rPr>
          <w:rFonts w:ascii="Times New Roman" w:hAnsi="Times New Roman" w:cs="Times New Roman" w:hint="eastAsia"/>
          <w:color w:val="000000" w:themeColor="text1"/>
          <w:sz w:val="21"/>
          <w:szCs w:val="21"/>
          <w:u w:val="single"/>
        </w:rPr>
        <w:t>https://doi.org/10.1163/156852</w:t>
      </w:r>
    </w:p>
    <w:p w:rsidR="00C21D11" w:rsidRPr="00343277" w:rsidRDefault="006273EA" w:rsidP="00C21D11">
      <w:pPr>
        <w:pStyle w:val="Default"/>
        <w:rPr>
          <w:rFonts w:ascii="Times New Roman" w:hAnsi="Times New Roman" w:cs="Times New Roman"/>
          <w:color w:val="000000" w:themeColor="text1"/>
          <w:sz w:val="21"/>
          <w:szCs w:val="21"/>
        </w:rPr>
      </w:pPr>
      <w:r>
        <w:rPr>
          <w:rFonts w:ascii="Times New Roman" w:hAnsi="Times New Roman" w:cs="Times New Roman" w:hint="eastAsia"/>
          <w:color w:val="000000" w:themeColor="text1"/>
          <w:sz w:val="21"/>
          <w:szCs w:val="21"/>
        </w:rPr>
        <w:tab/>
      </w:r>
      <w:r w:rsidRPr="006273EA">
        <w:rPr>
          <w:rFonts w:ascii="Times New Roman" w:hAnsi="Times New Roman" w:cs="Times New Roman" w:hint="eastAsia"/>
          <w:color w:val="000000" w:themeColor="text1"/>
          <w:sz w:val="21"/>
          <w:szCs w:val="21"/>
          <w:u w:val="single"/>
        </w:rPr>
        <w:t>855X00078</w:t>
      </w:r>
      <w:r>
        <w:rPr>
          <w:rFonts w:ascii="Times New Roman" w:hAnsi="Times New Roman" w:cs="Times New Roman" w:hint="eastAsia"/>
          <w:color w:val="000000" w:themeColor="text1"/>
          <w:sz w:val="21"/>
          <w:szCs w:val="21"/>
        </w:rPr>
        <w:t>&gt; [accessed May 20, 2019]</w:t>
      </w:r>
      <w:r w:rsidRPr="00343277">
        <w:rPr>
          <w:rFonts w:ascii="Times New Roman" w:hAnsi="Times New Roman" w:cs="Times New Roman"/>
          <w:color w:val="000000" w:themeColor="text1"/>
          <w:sz w:val="21"/>
          <w:szCs w:val="21"/>
        </w:rPr>
        <w:t xml:space="preserve"> </w:t>
      </w:r>
    </w:p>
    <w:p w:rsidR="001B7792" w:rsidRPr="00343277" w:rsidRDefault="001B7792" w:rsidP="001B7792">
      <w:pPr>
        <w:jc w:val="left"/>
        <w:rPr>
          <w:rFonts w:ascii="Times New Roman" w:hAnsi="Times New Roman" w:cs="Times New Roman"/>
          <w:color w:val="000000" w:themeColor="text1"/>
          <w:kern w:val="0"/>
          <w:szCs w:val="21"/>
        </w:rPr>
      </w:pPr>
      <w:r w:rsidRPr="00343277">
        <w:rPr>
          <w:rFonts w:ascii="Times New Roman" w:hAnsi="Times New Roman" w:cs="Times New Roman"/>
          <w:color w:val="000000" w:themeColor="text1"/>
          <w:kern w:val="0"/>
          <w:szCs w:val="21"/>
        </w:rPr>
        <w:t xml:space="preserve">Athanassiadi, Polymnia, ‘Dreams, Theurgy, and Freelance Divination: The Testimony of Iamblichus’, </w:t>
      </w:r>
      <w:r w:rsidRPr="00343277">
        <w:rPr>
          <w:rFonts w:ascii="Times New Roman" w:hAnsi="Times New Roman" w:cs="Times New Roman"/>
          <w:i/>
          <w:color w:val="000000" w:themeColor="text1"/>
          <w:kern w:val="0"/>
          <w:szCs w:val="21"/>
        </w:rPr>
        <w:t xml:space="preserve">The </w:t>
      </w:r>
      <w:r w:rsidR="00343277">
        <w:rPr>
          <w:rFonts w:ascii="Times New Roman" w:hAnsi="Times New Roman" w:cs="Times New Roman" w:hint="eastAsia"/>
          <w:i/>
          <w:color w:val="000000" w:themeColor="text1"/>
          <w:kern w:val="0"/>
          <w:szCs w:val="21"/>
        </w:rPr>
        <w:tab/>
      </w:r>
      <w:r w:rsidRPr="00343277">
        <w:rPr>
          <w:rFonts w:ascii="Times New Roman" w:hAnsi="Times New Roman" w:cs="Times New Roman"/>
          <w:i/>
          <w:color w:val="000000" w:themeColor="text1"/>
          <w:kern w:val="0"/>
          <w:szCs w:val="21"/>
        </w:rPr>
        <w:t>Journal of Roman Studies</w:t>
      </w:r>
      <w:r w:rsidRPr="00343277">
        <w:rPr>
          <w:rFonts w:ascii="Times New Roman" w:hAnsi="Times New Roman" w:cs="Times New Roman"/>
          <w:color w:val="000000" w:themeColor="text1"/>
          <w:kern w:val="0"/>
          <w:szCs w:val="21"/>
        </w:rPr>
        <w:t>, 83 (1993) 115-130</w:t>
      </w:r>
    </w:p>
    <w:p w:rsidR="001B7792" w:rsidRPr="00343277" w:rsidRDefault="001B7792" w:rsidP="001B7792">
      <w:pPr>
        <w:jc w:val="left"/>
        <w:rPr>
          <w:rFonts w:ascii="Times New Roman" w:hAnsi="Times New Roman" w:cs="Times New Roman"/>
          <w:szCs w:val="21"/>
        </w:rPr>
      </w:pPr>
      <w:r w:rsidRPr="00343277">
        <w:rPr>
          <w:rFonts w:ascii="Times New Roman" w:hAnsi="Times New Roman" w:cs="Times New Roman"/>
          <w:szCs w:val="21"/>
        </w:rPr>
        <w:t xml:space="preserve">Betz, Hans (ed), </w:t>
      </w:r>
      <w:r w:rsidRPr="00343277">
        <w:rPr>
          <w:rFonts w:ascii="Times New Roman" w:hAnsi="Times New Roman" w:cs="Times New Roman"/>
          <w:i/>
          <w:szCs w:val="21"/>
        </w:rPr>
        <w:t>The Greek Magical Papyri in Translation: Including the Demotic Spells</w:t>
      </w:r>
      <w:r w:rsidRPr="00343277">
        <w:rPr>
          <w:rFonts w:ascii="Times New Roman" w:hAnsi="Times New Roman" w:cs="Times New Roman"/>
          <w:szCs w:val="21"/>
        </w:rPr>
        <w:t xml:space="preserve">, (Chicago: University </w:t>
      </w:r>
      <w:r w:rsidR="00343277">
        <w:rPr>
          <w:rFonts w:ascii="Times New Roman" w:hAnsi="Times New Roman" w:cs="Times New Roman" w:hint="eastAsia"/>
          <w:szCs w:val="21"/>
        </w:rPr>
        <w:tab/>
      </w:r>
      <w:r w:rsidRPr="00343277">
        <w:rPr>
          <w:rFonts w:ascii="Times New Roman" w:hAnsi="Times New Roman" w:cs="Times New Roman"/>
          <w:szCs w:val="21"/>
        </w:rPr>
        <w:t>of Chicago Press, 1986)</w:t>
      </w:r>
    </w:p>
    <w:p w:rsidR="003E270E" w:rsidRPr="00343277" w:rsidRDefault="00C54DC3"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 xml:space="preserve">Bussanich, John, ‘Philosophy, Theology, and Magic: Gods and Forms in Iamblichus’, in </w:t>
      </w:r>
      <w:r w:rsidRPr="00343277">
        <w:rPr>
          <w:rFonts w:ascii="Times New Roman" w:hAnsi="Times New Roman" w:cs="Times New Roman"/>
          <w:i/>
          <w:color w:val="000000" w:themeColor="text1"/>
          <w:szCs w:val="21"/>
        </w:rPr>
        <w:t>Metaphysik und</w:t>
      </w:r>
      <w:r w:rsidRPr="00343277">
        <w:rPr>
          <w:rFonts w:ascii="Times New Roman" w:hAnsi="Times New Roman" w:cs="Times New Roman"/>
          <w:color w:val="000000" w:themeColor="text1"/>
          <w:szCs w:val="21"/>
        </w:rPr>
        <w:t xml:space="preserve"> </w:t>
      </w:r>
      <w:r w:rsidR="00343277">
        <w:rPr>
          <w:rFonts w:ascii="Times New Roman" w:hAnsi="Times New Roman" w:cs="Times New Roman" w:hint="eastAsia"/>
          <w:color w:val="000000" w:themeColor="text1"/>
          <w:szCs w:val="21"/>
        </w:rPr>
        <w:tab/>
      </w:r>
      <w:r w:rsidRPr="00343277">
        <w:rPr>
          <w:rFonts w:ascii="Times New Roman" w:hAnsi="Times New Roman" w:cs="Times New Roman"/>
          <w:i/>
          <w:color w:val="000000" w:themeColor="text1"/>
          <w:szCs w:val="21"/>
        </w:rPr>
        <w:t>Religion: Zur Signatur des spätantiken Denkens</w:t>
      </w:r>
      <w:r w:rsidRPr="00343277">
        <w:rPr>
          <w:rFonts w:ascii="Times New Roman" w:hAnsi="Times New Roman" w:cs="Times New Roman"/>
          <w:color w:val="000000" w:themeColor="text1"/>
          <w:szCs w:val="21"/>
        </w:rPr>
        <w:t xml:space="preserve">, ed. by Theo Kobusch and Michael Erler, pp. 39-61, </w:t>
      </w:r>
      <w:r w:rsidR="00343277">
        <w:rPr>
          <w:rFonts w:ascii="Times New Roman" w:hAnsi="Times New Roman" w:cs="Times New Roman" w:hint="eastAsia"/>
          <w:color w:val="000000" w:themeColor="text1"/>
          <w:szCs w:val="21"/>
        </w:rPr>
        <w:tab/>
      </w:r>
      <w:r w:rsidRPr="00343277">
        <w:rPr>
          <w:rFonts w:ascii="Times New Roman" w:hAnsi="Times New Roman" w:cs="Times New Roman"/>
          <w:color w:val="000000" w:themeColor="text1"/>
          <w:szCs w:val="21"/>
        </w:rPr>
        <w:t>(München: K.G. Saur Verlag, 2002)</w:t>
      </w:r>
    </w:p>
    <w:p w:rsidR="001B7792" w:rsidRPr="00343277" w:rsidRDefault="001B7792"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 xml:space="preserve">Cicero, </w:t>
      </w:r>
      <w:r w:rsidRPr="00343277">
        <w:rPr>
          <w:rFonts w:ascii="Times New Roman" w:hAnsi="Times New Roman" w:cs="Times New Roman"/>
          <w:i/>
          <w:color w:val="000000" w:themeColor="text1"/>
          <w:szCs w:val="21"/>
        </w:rPr>
        <w:t>On Divination</w:t>
      </w:r>
      <w:r w:rsidRPr="00343277">
        <w:rPr>
          <w:rFonts w:ascii="Times New Roman" w:hAnsi="Times New Roman" w:cs="Times New Roman"/>
          <w:color w:val="000000" w:themeColor="text1"/>
          <w:szCs w:val="21"/>
        </w:rPr>
        <w:t>, trans. by David Wardle (Oxford: Oxford University Press, 2006)</w:t>
      </w:r>
    </w:p>
    <w:p w:rsidR="001B7792" w:rsidRPr="003E7883" w:rsidRDefault="001B7792"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 xml:space="preserve">Copenhaver, Brian (ed), </w:t>
      </w:r>
      <w:r w:rsidRPr="00343277">
        <w:rPr>
          <w:rFonts w:ascii="Times New Roman" w:hAnsi="Times New Roman" w:cs="Times New Roman"/>
          <w:i/>
          <w:color w:val="000000" w:themeColor="text1"/>
          <w:szCs w:val="21"/>
        </w:rPr>
        <w:t>Hermetica: The Greek Corpus Hermeticum a</w:t>
      </w:r>
      <w:r w:rsidR="002279A3" w:rsidRPr="00343277">
        <w:rPr>
          <w:rFonts w:ascii="Times New Roman" w:hAnsi="Times New Roman" w:cs="Times New Roman"/>
          <w:i/>
          <w:color w:val="000000" w:themeColor="text1"/>
          <w:szCs w:val="21"/>
        </w:rPr>
        <w:t>nd the Latin Asclepius in a</w:t>
      </w:r>
      <w:r w:rsidRPr="00343277">
        <w:rPr>
          <w:rFonts w:ascii="Times New Roman" w:hAnsi="Times New Roman" w:cs="Times New Roman"/>
          <w:i/>
          <w:color w:val="000000" w:themeColor="text1"/>
          <w:szCs w:val="21"/>
        </w:rPr>
        <w:t xml:space="preserve"> New English </w:t>
      </w:r>
      <w:r w:rsidR="00343277">
        <w:rPr>
          <w:rFonts w:ascii="Times New Roman" w:hAnsi="Times New Roman" w:cs="Times New Roman" w:hint="eastAsia"/>
          <w:i/>
          <w:color w:val="000000" w:themeColor="text1"/>
          <w:szCs w:val="21"/>
        </w:rPr>
        <w:tab/>
      </w:r>
      <w:r w:rsidRPr="00343277">
        <w:rPr>
          <w:rFonts w:ascii="Times New Roman" w:hAnsi="Times New Roman" w:cs="Times New Roman"/>
          <w:i/>
          <w:color w:val="000000" w:themeColor="text1"/>
          <w:szCs w:val="21"/>
        </w:rPr>
        <w:t>Translation, with Notes and In</w:t>
      </w:r>
      <w:r w:rsidRPr="003E7883">
        <w:rPr>
          <w:rFonts w:ascii="Times New Roman" w:hAnsi="Times New Roman" w:cs="Times New Roman"/>
          <w:i/>
          <w:color w:val="000000" w:themeColor="text1"/>
          <w:szCs w:val="21"/>
        </w:rPr>
        <w:t>troduction</w:t>
      </w:r>
      <w:r w:rsidRPr="003E7883">
        <w:rPr>
          <w:rFonts w:ascii="Times New Roman" w:hAnsi="Times New Roman" w:cs="Times New Roman"/>
          <w:color w:val="000000" w:themeColor="text1"/>
          <w:szCs w:val="21"/>
        </w:rPr>
        <w:t>. (Cambridge: Cambridge</w:t>
      </w:r>
      <w:r w:rsidR="00343277" w:rsidRPr="003E7883">
        <w:rPr>
          <w:rFonts w:ascii="Times New Roman" w:hAnsi="Times New Roman" w:cs="Times New Roman" w:hint="eastAsia"/>
          <w:color w:val="000000" w:themeColor="text1"/>
          <w:szCs w:val="21"/>
        </w:rPr>
        <w:t xml:space="preserve"> </w:t>
      </w:r>
      <w:r w:rsidRPr="003E7883">
        <w:rPr>
          <w:rFonts w:ascii="Times New Roman" w:hAnsi="Times New Roman" w:cs="Times New Roman"/>
          <w:color w:val="000000" w:themeColor="text1"/>
          <w:szCs w:val="21"/>
        </w:rPr>
        <w:t>University Press, 1995)</w:t>
      </w:r>
    </w:p>
    <w:p w:rsidR="001B7792" w:rsidRPr="003E7883" w:rsidRDefault="001B7792" w:rsidP="00343277">
      <w:pPr>
        <w:pStyle w:val="FootnoteText"/>
        <w:rPr>
          <w:rFonts w:ascii="Times New Roman" w:hAnsi="Times New Roman" w:cs="Times New Roman"/>
          <w:color w:val="000000" w:themeColor="text1"/>
          <w:sz w:val="21"/>
          <w:szCs w:val="21"/>
        </w:rPr>
      </w:pPr>
      <w:r w:rsidRPr="003E7883">
        <w:rPr>
          <w:rFonts w:ascii="Times New Roman" w:hAnsi="Times New Roman" w:cs="Times New Roman"/>
          <w:iCs/>
          <w:color w:val="000000" w:themeColor="text1"/>
          <w:kern w:val="0"/>
          <w:sz w:val="21"/>
          <w:szCs w:val="21"/>
        </w:rPr>
        <w:t>Dillon, John,</w:t>
      </w:r>
      <w:r w:rsidRPr="003E7883">
        <w:rPr>
          <w:rFonts w:ascii="Times New Roman" w:hAnsi="Times New Roman" w:cs="Times New Roman"/>
          <w:i/>
          <w:iCs/>
          <w:color w:val="000000" w:themeColor="text1"/>
          <w:kern w:val="0"/>
          <w:sz w:val="21"/>
          <w:szCs w:val="21"/>
        </w:rPr>
        <w:t xml:space="preserve"> </w:t>
      </w:r>
      <w:r w:rsidRPr="003E7883">
        <w:rPr>
          <w:rFonts w:ascii="Times New Roman" w:hAnsi="Times New Roman" w:cs="Times New Roman"/>
          <w:iCs/>
          <w:color w:val="000000" w:themeColor="text1"/>
          <w:kern w:val="0"/>
          <w:sz w:val="21"/>
          <w:szCs w:val="21"/>
        </w:rPr>
        <w:t>‘</w:t>
      </w:r>
      <w:r w:rsidRPr="003E7883">
        <w:rPr>
          <w:rFonts w:ascii="Times New Roman" w:hAnsi="Times New Roman" w:cs="Times New Roman"/>
          <w:bCs/>
          <w:color w:val="000000" w:themeColor="text1"/>
          <w:kern w:val="0"/>
          <w:sz w:val="21"/>
          <w:szCs w:val="21"/>
        </w:rPr>
        <w:t>Iamblichus’ Defence of Theurgy: Some Reflections’,</w:t>
      </w:r>
      <w:r w:rsidRPr="003E7883">
        <w:rPr>
          <w:rFonts w:ascii="Times New Roman" w:hAnsi="Times New Roman" w:cs="Times New Roman"/>
          <w:i/>
          <w:iCs/>
          <w:color w:val="000000" w:themeColor="text1"/>
          <w:kern w:val="0"/>
          <w:sz w:val="21"/>
          <w:szCs w:val="21"/>
        </w:rPr>
        <w:t xml:space="preserve"> The International Journal of the Platonic </w:t>
      </w:r>
      <w:r w:rsidR="00343277" w:rsidRPr="003E7883">
        <w:rPr>
          <w:rFonts w:ascii="Times New Roman" w:hAnsi="Times New Roman" w:cs="Times New Roman" w:hint="eastAsia"/>
          <w:i/>
          <w:iCs/>
          <w:color w:val="000000" w:themeColor="text1"/>
          <w:kern w:val="0"/>
          <w:sz w:val="21"/>
          <w:szCs w:val="21"/>
        </w:rPr>
        <w:tab/>
      </w:r>
      <w:r w:rsidRPr="003E7883">
        <w:rPr>
          <w:rFonts w:ascii="Times New Roman" w:hAnsi="Times New Roman" w:cs="Times New Roman"/>
          <w:i/>
          <w:iCs/>
          <w:color w:val="000000" w:themeColor="text1"/>
          <w:kern w:val="0"/>
          <w:sz w:val="21"/>
          <w:szCs w:val="21"/>
        </w:rPr>
        <w:t xml:space="preserve">Tradition </w:t>
      </w:r>
      <w:r w:rsidR="003E7883" w:rsidRPr="003E7883">
        <w:rPr>
          <w:rFonts w:ascii="Times New Roman" w:hAnsi="Times New Roman" w:cs="Times New Roman"/>
          <w:iCs/>
          <w:color w:val="000000" w:themeColor="text1"/>
          <w:kern w:val="0"/>
          <w:sz w:val="21"/>
          <w:szCs w:val="21"/>
        </w:rPr>
        <w:t>1 (2007) 30-4</w:t>
      </w:r>
      <w:r w:rsidR="003E7883" w:rsidRPr="003E7883">
        <w:rPr>
          <w:rFonts w:ascii="Times New Roman" w:hAnsi="Times New Roman" w:cs="Times New Roman" w:hint="eastAsia"/>
          <w:iCs/>
          <w:color w:val="000000" w:themeColor="text1"/>
          <w:kern w:val="0"/>
          <w:sz w:val="21"/>
          <w:szCs w:val="21"/>
        </w:rPr>
        <w:t>1, &lt;</w:t>
      </w:r>
      <w:r w:rsidR="003E7883" w:rsidRPr="003E7883">
        <w:rPr>
          <w:rFonts w:ascii="Times New Roman" w:hAnsi="Times New Roman" w:cs="Times New Roman" w:hint="eastAsia"/>
          <w:iCs/>
          <w:color w:val="000000" w:themeColor="text1"/>
          <w:kern w:val="0"/>
          <w:sz w:val="21"/>
          <w:szCs w:val="21"/>
          <w:u w:val="single"/>
        </w:rPr>
        <w:t>https://doi</w:t>
      </w:r>
      <w:r w:rsidR="003E7883" w:rsidRPr="003E7883">
        <w:rPr>
          <w:rFonts w:ascii="Times New Roman" w:hAnsi="Times New Roman" w:cs="Times New Roman"/>
          <w:iCs/>
          <w:color w:val="000000" w:themeColor="text1"/>
          <w:kern w:val="0"/>
          <w:sz w:val="21"/>
          <w:szCs w:val="21"/>
          <w:u w:val="single"/>
        </w:rPr>
        <w:t>:</w:t>
      </w:r>
      <w:r w:rsidR="003E7883" w:rsidRPr="003E7883">
        <w:rPr>
          <w:rFonts w:ascii="Times New Roman" w:hAnsi="Times New Roman" w:cs="Times New Roman" w:hint="eastAsia"/>
          <w:iCs/>
          <w:color w:val="000000" w:themeColor="text1"/>
          <w:kern w:val="0"/>
          <w:sz w:val="21"/>
          <w:szCs w:val="21"/>
          <w:u w:val="single"/>
        </w:rPr>
        <w:t>1</w:t>
      </w:r>
      <w:r w:rsidR="003E7883" w:rsidRPr="003E7883">
        <w:rPr>
          <w:rFonts w:ascii="Times New Roman" w:hAnsi="Times New Roman" w:cs="Times New Roman"/>
          <w:iCs/>
          <w:color w:val="000000" w:themeColor="text1"/>
          <w:kern w:val="0"/>
          <w:sz w:val="21"/>
          <w:szCs w:val="21"/>
          <w:u w:val="single"/>
        </w:rPr>
        <w:t>0.1163/187254707X194645</w:t>
      </w:r>
      <w:r w:rsidR="003E7883" w:rsidRPr="003E7883">
        <w:rPr>
          <w:rFonts w:ascii="Times New Roman" w:hAnsi="Times New Roman" w:cs="Times New Roman" w:hint="eastAsia"/>
          <w:iCs/>
          <w:color w:val="000000" w:themeColor="text1"/>
          <w:kern w:val="0"/>
          <w:sz w:val="21"/>
          <w:szCs w:val="21"/>
        </w:rPr>
        <w:t>&gt; [accessed May 27, 2019]</w:t>
      </w:r>
      <w:r w:rsidRPr="003E7883">
        <w:rPr>
          <w:rFonts w:ascii="Times New Roman" w:hAnsi="Times New Roman" w:cs="Times New Roman"/>
          <w:iCs/>
          <w:color w:val="000000" w:themeColor="text1"/>
          <w:kern w:val="0"/>
          <w:sz w:val="21"/>
          <w:szCs w:val="21"/>
        </w:rPr>
        <w:t xml:space="preserve"> </w:t>
      </w:r>
    </w:p>
    <w:p w:rsidR="001B7792" w:rsidRPr="00343277" w:rsidRDefault="001B7792" w:rsidP="001B7792">
      <w:pPr>
        <w:jc w:val="left"/>
        <w:rPr>
          <w:rFonts w:ascii="Times New Roman" w:hAnsi="Times New Roman" w:cs="Times New Roman"/>
          <w:color w:val="000000" w:themeColor="text1"/>
          <w:szCs w:val="21"/>
        </w:rPr>
      </w:pPr>
      <w:r w:rsidRPr="003E7883">
        <w:rPr>
          <w:rFonts w:ascii="Times New Roman" w:hAnsi="Times New Roman" w:cs="Times New Roman"/>
          <w:color w:val="000000" w:themeColor="text1"/>
          <w:szCs w:val="21"/>
        </w:rPr>
        <w:t xml:space="preserve">Dodds, Eric, ‘Theurgy and Its Relationship to Neoplatonism’, </w:t>
      </w:r>
      <w:r w:rsidRPr="003E7883">
        <w:rPr>
          <w:rFonts w:ascii="Times New Roman" w:hAnsi="Times New Roman" w:cs="Times New Roman"/>
          <w:i/>
          <w:color w:val="000000" w:themeColor="text1"/>
          <w:szCs w:val="21"/>
        </w:rPr>
        <w:t>Journal of Rom</w:t>
      </w:r>
      <w:r w:rsidRPr="00343277">
        <w:rPr>
          <w:rFonts w:ascii="Times New Roman" w:hAnsi="Times New Roman" w:cs="Times New Roman"/>
          <w:i/>
          <w:color w:val="000000" w:themeColor="text1"/>
          <w:szCs w:val="21"/>
        </w:rPr>
        <w:t>an Studies</w:t>
      </w:r>
      <w:r w:rsidRPr="00343277">
        <w:rPr>
          <w:rFonts w:ascii="Times New Roman" w:hAnsi="Times New Roman" w:cs="Times New Roman"/>
          <w:color w:val="000000" w:themeColor="text1"/>
          <w:szCs w:val="21"/>
        </w:rPr>
        <w:t xml:space="preserve">, 37 </w:t>
      </w:r>
      <w:r w:rsidR="00343277">
        <w:rPr>
          <w:rFonts w:ascii="Times New Roman" w:hAnsi="Times New Roman" w:cs="Times New Roman" w:hint="eastAsia"/>
          <w:color w:val="000000" w:themeColor="text1"/>
          <w:szCs w:val="21"/>
        </w:rPr>
        <w:t>1</w:t>
      </w:r>
      <w:r w:rsidRPr="00343277">
        <w:rPr>
          <w:rFonts w:ascii="Times New Roman" w:hAnsi="Times New Roman" w:cs="Times New Roman"/>
          <w:color w:val="000000" w:themeColor="text1"/>
          <w:szCs w:val="21"/>
        </w:rPr>
        <w:t>-2 (1947) 55-69</w:t>
      </w:r>
    </w:p>
    <w:p w:rsidR="004454D0" w:rsidRPr="00343277" w:rsidRDefault="004454D0" w:rsidP="001B7792">
      <w:pPr>
        <w:jc w:val="left"/>
        <w:rPr>
          <w:rFonts w:ascii="Times New Roman" w:hAnsi="Times New Roman" w:cs="Times New Roman"/>
          <w:color w:val="000000" w:themeColor="text1"/>
          <w:szCs w:val="21"/>
        </w:rPr>
      </w:pPr>
      <w:r w:rsidRPr="00343277">
        <w:rPr>
          <w:rFonts w:ascii="Times New Roman" w:hAnsi="Times New Roman" w:cs="Times New Roman"/>
          <w:szCs w:val="21"/>
        </w:rPr>
        <w:t xml:space="preserve">Eunapius, </w:t>
      </w:r>
      <w:r w:rsidRPr="00343277">
        <w:rPr>
          <w:rFonts w:ascii="Times New Roman" w:hAnsi="Times New Roman" w:cs="Times New Roman"/>
          <w:i/>
          <w:szCs w:val="21"/>
        </w:rPr>
        <w:t>Lives of the Philosop</w:t>
      </w:r>
      <w:r w:rsidRPr="00343277">
        <w:rPr>
          <w:rFonts w:ascii="Times New Roman" w:hAnsi="Times New Roman" w:cs="Times New Roman"/>
          <w:i/>
          <w:color w:val="000000" w:themeColor="text1"/>
          <w:szCs w:val="21"/>
        </w:rPr>
        <w:t>hers and Sophists (Vitae Sophistarum)</w:t>
      </w:r>
      <w:r w:rsidRPr="00343277">
        <w:rPr>
          <w:rFonts w:ascii="Times New Roman" w:hAnsi="Times New Roman" w:cs="Times New Roman"/>
          <w:color w:val="000000" w:themeColor="text1"/>
          <w:szCs w:val="21"/>
        </w:rPr>
        <w:t>, trans. by Wilmer Wright,</w:t>
      </w:r>
      <w:r w:rsidR="00343277">
        <w:rPr>
          <w:rFonts w:ascii="Times New Roman" w:hAnsi="Times New Roman" w:cs="Times New Roman" w:hint="eastAsia"/>
          <w:color w:val="000000" w:themeColor="text1"/>
          <w:szCs w:val="21"/>
        </w:rPr>
        <w:t xml:space="preserve"> </w:t>
      </w:r>
      <w:r w:rsidRPr="00343277">
        <w:rPr>
          <w:rFonts w:ascii="Times New Roman" w:hAnsi="Times New Roman" w:cs="Times New Roman"/>
          <w:color w:val="000000" w:themeColor="text1"/>
          <w:szCs w:val="21"/>
        </w:rPr>
        <w:t>Loeb</w:t>
      </w:r>
      <w:r w:rsidR="007055D2" w:rsidRPr="00343277">
        <w:rPr>
          <w:rFonts w:ascii="Times New Roman" w:hAnsi="Times New Roman" w:cs="Times New Roman"/>
          <w:color w:val="000000" w:themeColor="text1"/>
          <w:szCs w:val="21"/>
        </w:rPr>
        <w:t xml:space="preserve"> </w:t>
      </w:r>
      <w:r w:rsidR="00343277">
        <w:rPr>
          <w:rFonts w:ascii="Times New Roman" w:hAnsi="Times New Roman" w:cs="Times New Roman" w:hint="eastAsia"/>
          <w:color w:val="000000" w:themeColor="text1"/>
          <w:szCs w:val="21"/>
        </w:rPr>
        <w:tab/>
      </w:r>
      <w:r w:rsidR="007055D2" w:rsidRPr="00343277">
        <w:rPr>
          <w:rFonts w:ascii="Times New Roman" w:hAnsi="Times New Roman" w:cs="Times New Roman"/>
          <w:color w:val="000000" w:themeColor="text1"/>
          <w:szCs w:val="21"/>
        </w:rPr>
        <w:t>Classical Library 134</w:t>
      </w:r>
      <w:r w:rsidR="00B751EA" w:rsidRPr="00343277">
        <w:rPr>
          <w:rFonts w:ascii="Times New Roman" w:hAnsi="Times New Roman" w:cs="Times New Roman"/>
          <w:color w:val="000000" w:themeColor="text1"/>
          <w:szCs w:val="21"/>
        </w:rPr>
        <w:t>,</w:t>
      </w:r>
      <w:r w:rsidR="007055D2" w:rsidRPr="00343277">
        <w:rPr>
          <w:rFonts w:ascii="Times New Roman" w:hAnsi="Times New Roman" w:cs="Times New Roman"/>
          <w:color w:val="000000" w:themeColor="text1"/>
          <w:szCs w:val="21"/>
        </w:rPr>
        <w:t xml:space="preserve"> (</w:t>
      </w:r>
      <w:r w:rsidR="00B751EA" w:rsidRPr="00343277">
        <w:rPr>
          <w:rFonts w:ascii="Times New Roman" w:hAnsi="Times New Roman" w:cs="Times New Roman"/>
          <w:color w:val="000000" w:themeColor="text1"/>
          <w:szCs w:val="21"/>
        </w:rPr>
        <w:t>Cambridge</w:t>
      </w:r>
      <w:r w:rsidR="007055D2" w:rsidRPr="00343277">
        <w:rPr>
          <w:rFonts w:ascii="Times New Roman" w:hAnsi="Times New Roman" w:cs="Times New Roman"/>
          <w:color w:val="000000" w:themeColor="text1"/>
          <w:szCs w:val="21"/>
        </w:rPr>
        <w:t>: Harvard University Press</w:t>
      </w:r>
      <w:r w:rsidRPr="00343277">
        <w:rPr>
          <w:rFonts w:ascii="Times New Roman" w:hAnsi="Times New Roman" w:cs="Times New Roman"/>
          <w:color w:val="000000" w:themeColor="text1"/>
          <w:szCs w:val="21"/>
        </w:rPr>
        <w:t>, 192</w:t>
      </w:r>
      <w:r w:rsidR="007055D2" w:rsidRPr="00343277">
        <w:rPr>
          <w:rFonts w:ascii="Times New Roman" w:hAnsi="Times New Roman" w:cs="Times New Roman"/>
          <w:color w:val="000000" w:themeColor="text1"/>
          <w:szCs w:val="21"/>
        </w:rPr>
        <w:t>1</w:t>
      </w:r>
      <w:r w:rsidRPr="00343277">
        <w:rPr>
          <w:rFonts w:ascii="Times New Roman" w:hAnsi="Times New Roman" w:cs="Times New Roman"/>
          <w:color w:val="000000" w:themeColor="text1"/>
          <w:szCs w:val="21"/>
        </w:rPr>
        <w:t>)</w:t>
      </w:r>
    </w:p>
    <w:p w:rsidR="0071551F" w:rsidRPr="00343277" w:rsidRDefault="0071551F"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Feichtinger</w:t>
      </w:r>
      <w:r w:rsidR="00B751EA" w:rsidRPr="00343277">
        <w:rPr>
          <w:rFonts w:ascii="Times New Roman" w:hAnsi="Times New Roman" w:cs="Times New Roman"/>
          <w:color w:val="000000" w:themeColor="text1"/>
          <w:szCs w:val="21"/>
        </w:rPr>
        <w:t>, Hans,</w:t>
      </w:r>
      <w:r w:rsidRPr="00343277">
        <w:rPr>
          <w:rFonts w:ascii="Times New Roman" w:hAnsi="Times New Roman" w:cs="Times New Roman"/>
          <w:color w:val="000000" w:themeColor="text1"/>
          <w:szCs w:val="21"/>
        </w:rPr>
        <w:t xml:space="preserve"> ‘Οὐδέμεια and </w:t>
      </w:r>
      <w:r w:rsidRPr="00343277">
        <w:rPr>
          <w:rFonts w:ascii="Times New Roman" w:hAnsi="Times New Roman" w:cs="Times New Roman"/>
          <w:i/>
          <w:color w:val="000000" w:themeColor="text1"/>
          <w:szCs w:val="21"/>
        </w:rPr>
        <w:t>Humilitas</w:t>
      </w:r>
      <w:r w:rsidRPr="00343277">
        <w:rPr>
          <w:rFonts w:ascii="Times New Roman" w:hAnsi="Times New Roman" w:cs="Times New Roman"/>
          <w:color w:val="000000" w:themeColor="text1"/>
          <w:szCs w:val="21"/>
        </w:rPr>
        <w:t xml:space="preserve">: Nature and Function of Humility in Iamblichus and Augustine’, </w:t>
      </w:r>
      <w:r w:rsidR="00343277">
        <w:rPr>
          <w:rFonts w:ascii="Times New Roman" w:hAnsi="Times New Roman" w:cs="Times New Roman" w:hint="eastAsia"/>
          <w:color w:val="000000" w:themeColor="text1"/>
          <w:szCs w:val="21"/>
        </w:rPr>
        <w:tab/>
      </w:r>
      <w:r w:rsidRPr="00343277">
        <w:rPr>
          <w:rFonts w:ascii="Times New Roman" w:hAnsi="Times New Roman" w:cs="Times New Roman"/>
          <w:i/>
          <w:iCs/>
          <w:color w:val="000000" w:themeColor="text1"/>
          <w:kern w:val="0"/>
          <w:szCs w:val="21"/>
        </w:rPr>
        <w:t>Dionysius</w:t>
      </w:r>
      <w:r w:rsidR="00B751EA" w:rsidRPr="00343277">
        <w:rPr>
          <w:rFonts w:ascii="Times New Roman" w:hAnsi="Times New Roman" w:cs="Times New Roman"/>
          <w:color w:val="000000" w:themeColor="text1"/>
          <w:kern w:val="0"/>
          <w:szCs w:val="21"/>
        </w:rPr>
        <w:t xml:space="preserve"> 21 (</w:t>
      </w:r>
      <w:r w:rsidRPr="00343277">
        <w:rPr>
          <w:rFonts w:ascii="Times New Roman" w:hAnsi="Times New Roman" w:cs="Times New Roman"/>
          <w:color w:val="000000" w:themeColor="text1"/>
          <w:kern w:val="0"/>
          <w:szCs w:val="21"/>
        </w:rPr>
        <w:t>2003</w:t>
      </w:r>
      <w:r w:rsidR="00B751EA" w:rsidRPr="00343277">
        <w:rPr>
          <w:rFonts w:ascii="Times New Roman" w:hAnsi="Times New Roman" w:cs="Times New Roman"/>
          <w:color w:val="000000" w:themeColor="text1"/>
          <w:kern w:val="0"/>
          <w:szCs w:val="21"/>
        </w:rPr>
        <w:t>)</w:t>
      </w:r>
      <w:r w:rsidRPr="00343277">
        <w:rPr>
          <w:rFonts w:ascii="Times New Roman" w:hAnsi="Times New Roman" w:cs="Times New Roman"/>
          <w:color w:val="000000" w:themeColor="text1"/>
          <w:kern w:val="0"/>
          <w:szCs w:val="21"/>
        </w:rPr>
        <w:t xml:space="preserve"> 123-160</w:t>
      </w:r>
    </w:p>
    <w:p w:rsidR="00F46C9C" w:rsidRPr="00343277" w:rsidRDefault="00F46C9C"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Finamore,</w:t>
      </w:r>
      <w:r w:rsidR="00B751EA" w:rsidRPr="00343277">
        <w:rPr>
          <w:rFonts w:ascii="Times New Roman" w:hAnsi="Times New Roman" w:cs="Times New Roman"/>
          <w:color w:val="000000" w:themeColor="text1"/>
          <w:szCs w:val="21"/>
        </w:rPr>
        <w:t xml:space="preserve"> John,</w:t>
      </w:r>
      <w:r w:rsidRPr="00343277">
        <w:rPr>
          <w:rFonts w:ascii="Times New Roman" w:hAnsi="Times New Roman" w:cs="Times New Roman"/>
          <w:color w:val="000000" w:themeColor="text1"/>
          <w:szCs w:val="21"/>
        </w:rPr>
        <w:t xml:space="preserve"> ‘Iamblichus, T</w:t>
      </w:r>
      <w:r w:rsidR="00B751EA" w:rsidRPr="00343277">
        <w:rPr>
          <w:rFonts w:ascii="Times New Roman" w:hAnsi="Times New Roman" w:cs="Times New Roman"/>
          <w:color w:val="000000" w:themeColor="text1"/>
          <w:szCs w:val="21"/>
        </w:rPr>
        <w:t>h</w:t>
      </w:r>
      <w:r w:rsidRPr="00343277">
        <w:rPr>
          <w:rFonts w:ascii="Times New Roman" w:hAnsi="Times New Roman" w:cs="Times New Roman"/>
          <w:color w:val="000000" w:themeColor="text1"/>
          <w:szCs w:val="21"/>
        </w:rPr>
        <w:t xml:space="preserve">eurgy, and the Soul’s </w:t>
      </w:r>
      <w:r w:rsidR="00B751EA" w:rsidRPr="00343277">
        <w:rPr>
          <w:rFonts w:ascii="Times New Roman" w:hAnsi="Times New Roman" w:cs="Times New Roman"/>
          <w:color w:val="000000" w:themeColor="text1"/>
          <w:szCs w:val="21"/>
        </w:rPr>
        <w:t>Ascent</w:t>
      </w:r>
      <w:r w:rsidRPr="00343277">
        <w:rPr>
          <w:rFonts w:ascii="Times New Roman" w:hAnsi="Times New Roman" w:cs="Times New Roman"/>
          <w:color w:val="000000" w:themeColor="text1"/>
          <w:szCs w:val="21"/>
        </w:rPr>
        <w:t xml:space="preserve">’, in </w:t>
      </w:r>
      <w:r w:rsidRPr="00343277">
        <w:rPr>
          <w:rFonts w:ascii="Times New Roman" w:hAnsi="Times New Roman" w:cs="Times New Roman"/>
          <w:i/>
          <w:color w:val="000000" w:themeColor="text1"/>
          <w:kern w:val="0"/>
          <w:szCs w:val="21"/>
        </w:rPr>
        <w:t xml:space="preserve">Religionsgeschichtliche Versuche und </w:t>
      </w:r>
      <w:r w:rsidR="00343277">
        <w:rPr>
          <w:rFonts w:ascii="Times New Roman" w:hAnsi="Times New Roman" w:cs="Times New Roman" w:hint="eastAsia"/>
          <w:i/>
          <w:color w:val="000000" w:themeColor="text1"/>
          <w:kern w:val="0"/>
          <w:szCs w:val="21"/>
        </w:rPr>
        <w:tab/>
      </w:r>
      <w:r w:rsidRPr="00343277">
        <w:rPr>
          <w:rFonts w:ascii="Times New Roman" w:hAnsi="Times New Roman" w:cs="Times New Roman"/>
          <w:i/>
          <w:color w:val="000000" w:themeColor="text1"/>
          <w:kern w:val="0"/>
          <w:szCs w:val="21"/>
        </w:rPr>
        <w:t>Vorarbeiten</w:t>
      </w:r>
      <w:r w:rsidRPr="00343277">
        <w:rPr>
          <w:rFonts w:ascii="Times New Roman" w:hAnsi="Times New Roman" w:cs="Times New Roman"/>
          <w:color w:val="000000" w:themeColor="text1"/>
          <w:kern w:val="0"/>
          <w:szCs w:val="21"/>
        </w:rPr>
        <w:t>:</w:t>
      </w:r>
      <w:r w:rsidRPr="00343277">
        <w:rPr>
          <w:rFonts w:ascii="Times New Roman" w:hAnsi="Times New Roman" w:cs="Times New Roman"/>
          <w:i/>
          <w:color w:val="000000" w:themeColor="text1"/>
          <w:kern w:val="0"/>
          <w:szCs w:val="21"/>
        </w:rPr>
        <w:t xml:space="preserve"> Philosophy </w:t>
      </w:r>
      <w:r w:rsidR="00B751EA" w:rsidRPr="00343277">
        <w:rPr>
          <w:rFonts w:ascii="Times New Roman" w:hAnsi="Times New Roman" w:cs="Times New Roman"/>
          <w:i/>
          <w:color w:val="000000" w:themeColor="text1"/>
          <w:kern w:val="0"/>
          <w:szCs w:val="21"/>
        </w:rPr>
        <w:t>and Salvation in Greek Religion</w:t>
      </w:r>
      <w:r w:rsidR="00B751EA" w:rsidRPr="00343277">
        <w:rPr>
          <w:rFonts w:ascii="Times New Roman" w:hAnsi="Times New Roman" w:cs="Times New Roman"/>
          <w:color w:val="000000" w:themeColor="text1"/>
          <w:kern w:val="0"/>
          <w:szCs w:val="21"/>
        </w:rPr>
        <w:t xml:space="preserve">, </w:t>
      </w:r>
      <w:r w:rsidR="00343277" w:rsidRPr="00343277">
        <w:rPr>
          <w:rFonts w:ascii="Times New Roman" w:hAnsi="Times New Roman" w:cs="Times New Roman"/>
          <w:color w:val="000000" w:themeColor="text1"/>
          <w:kern w:val="0"/>
          <w:szCs w:val="21"/>
        </w:rPr>
        <w:t xml:space="preserve">ed. by Vishwa Adluri, </w:t>
      </w:r>
      <w:r w:rsidR="00B751EA" w:rsidRPr="00343277">
        <w:rPr>
          <w:rFonts w:ascii="Times New Roman" w:hAnsi="Times New Roman" w:cs="Times New Roman"/>
          <w:color w:val="000000" w:themeColor="text1"/>
          <w:kern w:val="0"/>
          <w:szCs w:val="21"/>
        </w:rPr>
        <w:t>pp. 343-355,</w:t>
      </w:r>
      <w:r w:rsidRPr="00343277">
        <w:rPr>
          <w:rFonts w:ascii="Times New Roman" w:hAnsi="Times New Roman" w:cs="Times New Roman"/>
          <w:color w:val="000000" w:themeColor="text1"/>
          <w:kern w:val="0"/>
          <w:szCs w:val="21"/>
        </w:rPr>
        <w:t xml:space="preserve"> </w:t>
      </w:r>
      <w:r w:rsidR="00B751EA" w:rsidRPr="00343277">
        <w:rPr>
          <w:rFonts w:ascii="Times New Roman" w:hAnsi="Times New Roman" w:cs="Times New Roman"/>
          <w:color w:val="000000" w:themeColor="text1"/>
          <w:kern w:val="0"/>
          <w:szCs w:val="21"/>
        </w:rPr>
        <w:t xml:space="preserve">(Berlin: </w:t>
      </w:r>
      <w:r w:rsidR="00343277">
        <w:rPr>
          <w:rFonts w:ascii="Times New Roman" w:hAnsi="Times New Roman" w:cs="Times New Roman" w:hint="eastAsia"/>
          <w:color w:val="000000" w:themeColor="text1"/>
          <w:kern w:val="0"/>
          <w:szCs w:val="21"/>
        </w:rPr>
        <w:tab/>
      </w:r>
      <w:r w:rsidRPr="00343277">
        <w:rPr>
          <w:rFonts w:ascii="Times New Roman" w:hAnsi="Times New Roman" w:cs="Times New Roman"/>
          <w:color w:val="000000" w:themeColor="text1"/>
          <w:szCs w:val="21"/>
        </w:rPr>
        <w:t>De Gruyter,</w:t>
      </w:r>
      <w:r w:rsidR="00B751EA" w:rsidRPr="00343277">
        <w:rPr>
          <w:rFonts w:ascii="Times New Roman" w:hAnsi="Times New Roman" w:cs="Times New Roman"/>
          <w:color w:val="000000" w:themeColor="text1"/>
          <w:szCs w:val="21"/>
        </w:rPr>
        <w:t xml:space="preserve"> </w:t>
      </w:r>
      <w:r w:rsidR="00343277" w:rsidRPr="00343277">
        <w:rPr>
          <w:rFonts w:ascii="Times New Roman" w:hAnsi="Times New Roman" w:cs="Times New Roman"/>
          <w:color w:val="000000" w:themeColor="text1"/>
          <w:szCs w:val="21"/>
        </w:rPr>
        <w:t>2013</w:t>
      </w:r>
      <w:r w:rsidR="00B751EA" w:rsidRPr="00343277">
        <w:rPr>
          <w:rFonts w:ascii="Times New Roman" w:hAnsi="Times New Roman" w:cs="Times New Roman"/>
          <w:color w:val="000000" w:themeColor="text1"/>
          <w:szCs w:val="21"/>
        </w:rPr>
        <w:t>)</w:t>
      </w:r>
    </w:p>
    <w:p w:rsidR="001B7792" w:rsidRPr="00343277" w:rsidRDefault="001B7792"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 xml:space="preserve">Greenbaum, Dorian, </w:t>
      </w:r>
      <w:r w:rsidRPr="00343277">
        <w:rPr>
          <w:rFonts w:ascii="Times New Roman" w:hAnsi="Times New Roman" w:cs="Times New Roman"/>
          <w:i/>
          <w:color w:val="000000" w:themeColor="text1"/>
          <w:szCs w:val="21"/>
        </w:rPr>
        <w:t>The Daimon in Hellenistic Astrology: Origins and</w:t>
      </w:r>
      <w:r w:rsidRPr="00343277">
        <w:rPr>
          <w:rFonts w:ascii="Times New Roman" w:hAnsi="Times New Roman" w:cs="Times New Roman"/>
          <w:i/>
          <w:szCs w:val="21"/>
        </w:rPr>
        <w:t xml:space="preserve"> Influence</w:t>
      </w:r>
      <w:r w:rsidRPr="00343277">
        <w:rPr>
          <w:rFonts w:ascii="Times New Roman" w:hAnsi="Times New Roman" w:cs="Times New Roman"/>
          <w:szCs w:val="21"/>
        </w:rPr>
        <w:t>,</w:t>
      </w:r>
      <w:r w:rsidR="00B84704" w:rsidRPr="00343277">
        <w:rPr>
          <w:rFonts w:ascii="Times New Roman" w:hAnsi="Times New Roman" w:cs="Times New Roman"/>
          <w:szCs w:val="21"/>
        </w:rPr>
        <w:t xml:space="preserve"> </w:t>
      </w:r>
      <w:r w:rsidRPr="00343277">
        <w:rPr>
          <w:rFonts w:ascii="Times New Roman" w:hAnsi="Times New Roman" w:cs="Times New Roman"/>
          <w:szCs w:val="21"/>
        </w:rPr>
        <w:t xml:space="preserve">Ancient Magic and </w:t>
      </w:r>
      <w:r w:rsidR="00343277">
        <w:rPr>
          <w:rFonts w:ascii="Times New Roman" w:hAnsi="Times New Roman" w:cs="Times New Roman" w:hint="eastAsia"/>
          <w:szCs w:val="21"/>
        </w:rPr>
        <w:tab/>
      </w:r>
      <w:r w:rsidRPr="00343277">
        <w:rPr>
          <w:rFonts w:ascii="Times New Roman" w:hAnsi="Times New Roman" w:cs="Times New Roman"/>
          <w:szCs w:val="21"/>
        </w:rPr>
        <w:t>Divination Vol. 11, (Leiden: Brill, 2016)</w:t>
      </w:r>
    </w:p>
    <w:p w:rsidR="001B7792" w:rsidRPr="00343277" w:rsidRDefault="001B7792" w:rsidP="00343277">
      <w:pPr>
        <w:jc w:val="left"/>
        <w:rPr>
          <w:rFonts w:ascii="Times New Roman" w:hAnsi="Times New Roman" w:cs="Times New Roman"/>
          <w:szCs w:val="21"/>
        </w:rPr>
      </w:pPr>
      <w:r w:rsidRPr="00343277">
        <w:rPr>
          <w:rFonts w:ascii="Times New Roman" w:hAnsi="Times New Roman" w:cs="Times New Roman"/>
          <w:szCs w:val="21"/>
        </w:rPr>
        <w:t xml:space="preserve">Iamblichus, </w:t>
      </w:r>
      <w:r w:rsidR="00C2516B" w:rsidRPr="00343277">
        <w:rPr>
          <w:rFonts w:ascii="Times New Roman" w:hAnsi="Times New Roman" w:cs="Times New Roman"/>
          <w:i/>
          <w:color w:val="000000" w:themeColor="text1"/>
          <w:szCs w:val="21"/>
        </w:rPr>
        <w:t>De mysteriis</w:t>
      </w:r>
      <w:r w:rsidRPr="00343277">
        <w:rPr>
          <w:rFonts w:ascii="Times New Roman" w:hAnsi="Times New Roman" w:cs="Times New Roman"/>
          <w:szCs w:val="21"/>
        </w:rPr>
        <w:t xml:space="preserve">, trans. by Emma Clarke, John Dillon and Jackson Hershbell, (Atlanta: Society of </w:t>
      </w:r>
      <w:r w:rsidR="00343277">
        <w:rPr>
          <w:rFonts w:ascii="Times New Roman" w:hAnsi="Times New Roman" w:cs="Times New Roman" w:hint="eastAsia"/>
          <w:szCs w:val="21"/>
        </w:rPr>
        <w:tab/>
      </w:r>
      <w:r w:rsidRPr="00343277">
        <w:rPr>
          <w:rFonts w:ascii="Times New Roman" w:hAnsi="Times New Roman" w:cs="Times New Roman"/>
          <w:szCs w:val="21"/>
        </w:rPr>
        <w:t>Biblical Literature, 2003)</w:t>
      </w:r>
    </w:p>
    <w:p w:rsidR="001B7792" w:rsidRPr="00343277" w:rsidRDefault="001B7792" w:rsidP="001B7792">
      <w:pPr>
        <w:jc w:val="left"/>
        <w:rPr>
          <w:rFonts w:ascii="Times New Roman" w:hAnsi="Times New Roman" w:cs="Times New Roman"/>
          <w:szCs w:val="21"/>
        </w:rPr>
      </w:pPr>
      <w:r w:rsidRPr="00343277">
        <w:rPr>
          <w:rFonts w:ascii="Times New Roman" w:hAnsi="Times New Roman" w:cs="Times New Roman"/>
          <w:szCs w:val="21"/>
        </w:rPr>
        <w:t xml:space="preserve">______, </w:t>
      </w:r>
      <w:r w:rsidRPr="00343277">
        <w:rPr>
          <w:rFonts w:ascii="Times New Roman" w:hAnsi="Times New Roman" w:cs="Times New Roman"/>
          <w:i/>
          <w:szCs w:val="21"/>
        </w:rPr>
        <w:t>De anima</w:t>
      </w:r>
      <w:r w:rsidRPr="00343277">
        <w:rPr>
          <w:rFonts w:ascii="Times New Roman" w:hAnsi="Times New Roman" w:cs="Times New Roman"/>
          <w:szCs w:val="21"/>
        </w:rPr>
        <w:t>, trans. by John Finamore and John Dillon, (Leiden: Brill, 2002)</w:t>
      </w:r>
    </w:p>
    <w:p w:rsidR="001B7792" w:rsidRPr="00343277" w:rsidRDefault="001B7792" w:rsidP="001B7792">
      <w:pPr>
        <w:jc w:val="left"/>
        <w:rPr>
          <w:rFonts w:ascii="Times New Roman" w:hAnsi="Times New Roman" w:cs="Times New Roman"/>
          <w:szCs w:val="21"/>
        </w:rPr>
      </w:pPr>
      <w:r w:rsidRPr="00343277">
        <w:rPr>
          <w:rFonts w:ascii="Times New Roman" w:hAnsi="Times New Roman" w:cs="Times New Roman"/>
          <w:szCs w:val="21"/>
        </w:rPr>
        <w:t xml:space="preserve">______, ‘In Timaeum’ in </w:t>
      </w:r>
      <w:r w:rsidRPr="00343277">
        <w:rPr>
          <w:rFonts w:ascii="Times New Roman" w:hAnsi="Times New Roman" w:cs="Times New Roman"/>
          <w:i/>
          <w:szCs w:val="21"/>
        </w:rPr>
        <w:t>In Platonis Dialogos Commentariorum Fragmenta</w:t>
      </w:r>
      <w:r w:rsidRPr="00343277">
        <w:rPr>
          <w:rFonts w:ascii="Times New Roman" w:hAnsi="Times New Roman" w:cs="Times New Roman"/>
          <w:szCs w:val="21"/>
        </w:rPr>
        <w:t>, trans. by John</w:t>
      </w:r>
      <w:r w:rsidR="00343277">
        <w:rPr>
          <w:rFonts w:ascii="Times New Roman" w:hAnsi="Times New Roman" w:cs="Times New Roman" w:hint="eastAsia"/>
          <w:szCs w:val="21"/>
        </w:rPr>
        <w:t xml:space="preserve"> </w:t>
      </w:r>
      <w:r w:rsidRPr="00343277">
        <w:rPr>
          <w:rFonts w:ascii="Times New Roman" w:hAnsi="Times New Roman" w:cs="Times New Roman"/>
          <w:szCs w:val="21"/>
        </w:rPr>
        <w:t>Dillon, pp. 106-</w:t>
      </w:r>
      <w:r w:rsidR="00343277">
        <w:rPr>
          <w:rFonts w:ascii="Times New Roman" w:hAnsi="Times New Roman" w:cs="Times New Roman" w:hint="eastAsia"/>
          <w:szCs w:val="21"/>
        </w:rPr>
        <w:tab/>
      </w:r>
      <w:r w:rsidRPr="00343277">
        <w:rPr>
          <w:rFonts w:ascii="Times New Roman" w:hAnsi="Times New Roman" w:cs="Times New Roman"/>
          <w:szCs w:val="21"/>
        </w:rPr>
        <w:t>205</w:t>
      </w:r>
      <w:r w:rsidR="00C2516B" w:rsidRPr="00343277">
        <w:rPr>
          <w:rFonts w:ascii="Times New Roman" w:hAnsi="Times New Roman" w:cs="Times New Roman"/>
          <w:szCs w:val="21"/>
        </w:rPr>
        <w:t>,</w:t>
      </w:r>
      <w:r w:rsidRPr="00343277">
        <w:rPr>
          <w:rFonts w:ascii="Times New Roman" w:hAnsi="Times New Roman" w:cs="Times New Roman"/>
          <w:szCs w:val="21"/>
        </w:rPr>
        <w:t xml:space="preserve"> (Leiden: Brill, 1973)</w:t>
      </w:r>
    </w:p>
    <w:p w:rsidR="009E1057" w:rsidRPr="00343277" w:rsidRDefault="00B751EA" w:rsidP="001B7792">
      <w:pPr>
        <w:jc w:val="left"/>
        <w:rPr>
          <w:rFonts w:ascii="Times New Roman" w:hAnsi="Times New Roman" w:cs="Times New Roman"/>
          <w:color w:val="000000" w:themeColor="text1"/>
          <w:szCs w:val="21"/>
        </w:rPr>
      </w:pPr>
      <w:r w:rsidRPr="00343277">
        <w:rPr>
          <w:rFonts w:ascii="Times New Roman" w:hAnsi="Times New Roman" w:cs="Times New Roman"/>
          <w:szCs w:val="21"/>
        </w:rPr>
        <w:t xml:space="preserve">Julian, </w:t>
      </w:r>
      <w:r w:rsidR="009E1057" w:rsidRPr="00343277">
        <w:rPr>
          <w:rFonts w:ascii="Times New Roman" w:hAnsi="Times New Roman" w:cs="Times New Roman"/>
          <w:i/>
          <w:color w:val="000000" w:themeColor="text1"/>
          <w:szCs w:val="21"/>
        </w:rPr>
        <w:t>The Works of Emperor Julian</w:t>
      </w:r>
      <w:r w:rsidR="009E1057" w:rsidRPr="00343277">
        <w:rPr>
          <w:rFonts w:ascii="Times New Roman" w:hAnsi="Times New Roman" w:cs="Times New Roman"/>
          <w:color w:val="000000" w:themeColor="text1"/>
          <w:szCs w:val="21"/>
        </w:rPr>
        <w:t>, trans. by Wilmer Wright, (London: Heinemann, 1962)</w:t>
      </w:r>
    </w:p>
    <w:p w:rsidR="009E1057" w:rsidRPr="00343277" w:rsidRDefault="009E1057" w:rsidP="001B7792">
      <w:pPr>
        <w:jc w:val="left"/>
        <w:rPr>
          <w:rFonts w:ascii="Times New Roman" w:hAnsi="Times New Roman" w:cs="Times New Roman"/>
          <w:szCs w:val="21"/>
        </w:rPr>
      </w:pPr>
      <w:r w:rsidRPr="00343277">
        <w:rPr>
          <w:rFonts w:ascii="Times New Roman" w:hAnsi="Times New Roman" w:cs="Times New Roman"/>
          <w:color w:val="000000" w:themeColor="text1"/>
          <w:szCs w:val="21"/>
        </w:rPr>
        <w:t>Lecerf,</w:t>
      </w:r>
      <w:r w:rsidR="00B751EA" w:rsidRPr="00343277">
        <w:rPr>
          <w:rFonts w:ascii="Times New Roman" w:hAnsi="Times New Roman" w:cs="Times New Roman"/>
          <w:color w:val="000000" w:themeColor="text1"/>
          <w:szCs w:val="21"/>
        </w:rPr>
        <w:t xml:space="preserve"> Adrien,</w:t>
      </w:r>
      <w:r w:rsidRPr="00343277">
        <w:rPr>
          <w:rFonts w:ascii="Times New Roman" w:hAnsi="Times New Roman" w:cs="Times New Roman"/>
          <w:color w:val="000000" w:themeColor="text1"/>
          <w:szCs w:val="21"/>
        </w:rPr>
        <w:t xml:space="preserve"> ‘Iamblichus and Julian’s ‘Third Demiurge’: A Proposition’, in </w:t>
      </w:r>
      <w:r w:rsidRPr="00343277">
        <w:rPr>
          <w:rFonts w:ascii="Times New Roman" w:hAnsi="Times New Roman" w:cs="Times New Roman"/>
          <w:i/>
          <w:color w:val="000000" w:themeColor="text1"/>
          <w:szCs w:val="21"/>
        </w:rPr>
        <w:t xml:space="preserve">Iamblichus and the Foundations </w:t>
      </w:r>
      <w:r w:rsidR="00343277">
        <w:rPr>
          <w:rFonts w:ascii="Times New Roman" w:hAnsi="Times New Roman" w:cs="Times New Roman" w:hint="eastAsia"/>
          <w:i/>
          <w:color w:val="000000" w:themeColor="text1"/>
          <w:szCs w:val="21"/>
        </w:rPr>
        <w:tab/>
      </w:r>
      <w:r w:rsidRPr="00343277">
        <w:rPr>
          <w:rFonts w:ascii="Times New Roman" w:hAnsi="Times New Roman" w:cs="Times New Roman"/>
          <w:i/>
          <w:color w:val="000000" w:themeColor="text1"/>
          <w:szCs w:val="21"/>
        </w:rPr>
        <w:t>of Late Platonism</w:t>
      </w:r>
      <w:r w:rsidRPr="00343277">
        <w:rPr>
          <w:rFonts w:ascii="Times New Roman" w:hAnsi="Times New Roman" w:cs="Times New Roman"/>
          <w:color w:val="000000" w:themeColor="text1"/>
          <w:szCs w:val="21"/>
        </w:rPr>
        <w:t xml:space="preserve">, Afosin, Eugene., John Dillon and John Finamore </w:t>
      </w:r>
      <w:r w:rsidR="00B751EA" w:rsidRPr="00343277">
        <w:rPr>
          <w:rFonts w:ascii="Times New Roman" w:hAnsi="Times New Roman" w:cs="Times New Roman"/>
          <w:color w:val="000000" w:themeColor="text1"/>
          <w:szCs w:val="21"/>
        </w:rPr>
        <w:tab/>
      </w:r>
      <w:r w:rsidRPr="00343277">
        <w:rPr>
          <w:rFonts w:ascii="Times New Roman" w:hAnsi="Times New Roman" w:cs="Times New Roman"/>
          <w:color w:val="000000" w:themeColor="text1"/>
          <w:szCs w:val="21"/>
        </w:rPr>
        <w:t xml:space="preserve">(eds), pp. 177-201, (Leiden: Brill, </w:t>
      </w:r>
      <w:r w:rsidR="00343277">
        <w:rPr>
          <w:rFonts w:ascii="Times New Roman" w:hAnsi="Times New Roman" w:cs="Times New Roman" w:hint="eastAsia"/>
          <w:color w:val="000000" w:themeColor="text1"/>
          <w:szCs w:val="21"/>
        </w:rPr>
        <w:tab/>
      </w:r>
      <w:r w:rsidRPr="00343277">
        <w:rPr>
          <w:rFonts w:ascii="Times New Roman" w:hAnsi="Times New Roman" w:cs="Times New Roman"/>
          <w:color w:val="000000" w:themeColor="text1"/>
          <w:szCs w:val="21"/>
        </w:rPr>
        <w:t>2012)</w:t>
      </w:r>
    </w:p>
    <w:p w:rsidR="00812A30" w:rsidRPr="00343277" w:rsidRDefault="00812A30"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Majercik</w:t>
      </w:r>
      <w:r w:rsidR="00B751EA" w:rsidRPr="00343277">
        <w:rPr>
          <w:rFonts w:ascii="Times New Roman" w:hAnsi="Times New Roman" w:cs="Times New Roman"/>
          <w:color w:val="000000" w:themeColor="text1"/>
          <w:szCs w:val="21"/>
        </w:rPr>
        <w:t xml:space="preserve">, Ruth (ed), </w:t>
      </w:r>
      <w:r w:rsidR="00EB1938" w:rsidRPr="00EB1938">
        <w:rPr>
          <w:rFonts w:ascii="Times New Roman" w:hAnsi="Times New Roman" w:cs="Times New Roman" w:hint="eastAsia"/>
          <w:i/>
          <w:color w:val="000000" w:themeColor="text1"/>
          <w:szCs w:val="21"/>
        </w:rPr>
        <w:t>The</w:t>
      </w:r>
      <w:r w:rsidR="00EB1938">
        <w:rPr>
          <w:rFonts w:ascii="Times New Roman" w:hAnsi="Times New Roman" w:cs="Times New Roman" w:hint="eastAsia"/>
          <w:color w:val="000000" w:themeColor="text1"/>
          <w:szCs w:val="21"/>
        </w:rPr>
        <w:t xml:space="preserve"> </w:t>
      </w:r>
      <w:r w:rsidR="00B751EA" w:rsidRPr="00343277">
        <w:rPr>
          <w:rFonts w:ascii="Times New Roman" w:hAnsi="Times New Roman" w:cs="Times New Roman"/>
          <w:i/>
          <w:color w:val="000000" w:themeColor="text1"/>
          <w:szCs w:val="21"/>
        </w:rPr>
        <w:t>Chaldean Oracles: Text, Translation and Commentary,</w:t>
      </w:r>
      <w:r w:rsidRPr="00343277">
        <w:rPr>
          <w:rFonts w:ascii="Times New Roman" w:hAnsi="Times New Roman" w:cs="Times New Roman"/>
          <w:color w:val="000000" w:themeColor="text1"/>
          <w:szCs w:val="21"/>
        </w:rPr>
        <w:t xml:space="preserve"> (Leiden: Brill, 1989)</w:t>
      </w:r>
    </w:p>
    <w:p w:rsidR="005667D1" w:rsidRPr="00343277" w:rsidRDefault="005667D1" w:rsidP="001B7792">
      <w:pPr>
        <w:jc w:val="left"/>
        <w:rPr>
          <w:rFonts w:ascii="Times New Roman" w:hAnsi="Times New Roman" w:cs="Times New Roman"/>
          <w:szCs w:val="21"/>
        </w:rPr>
      </w:pPr>
      <w:r w:rsidRPr="00343277">
        <w:rPr>
          <w:rFonts w:ascii="Times New Roman" w:hAnsi="Times New Roman" w:cs="Times New Roman"/>
          <w:szCs w:val="21"/>
        </w:rPr>
        <w:t>Merlan,</w:t>
      </w:r>
      <w:r w:rsidR="00B751EA" w:rsidRPr="00343277">
        <w:rPr>
          <w:rFonts w:ascii="Times New Roman" w:hAnsi="Times New Roman" w:cs="Times New Roman"/>
          <w:szCs w:val="21"/>
        </w:rPr>
        <w:t xml:space="preserve"> Philip,</w:t>
      </w:r>
      <w:r w:rsidRPr="00343277">
        <w:rPr>
          <w:rFonts w:ascii="Times New Roman" w:hAnsi="Times New Roman" w:cs="Times New Roman"/>
          <w:szCs w:val="21"/>
        </w:rPr>
        <w:t xml:space="preserve"> ‘Plontinus and Magic’, </w:t>
      </w:r>
      <w:r w:rsidRPr="00343277">
        <w:rPr>
          <w:rFonts w:ascii="Times New Roman" w:hAnsi="Times New Roman" w:cs="Times New Roman"/>
          <w:i/>
          <w:szCs w:val="21"/>
        </w:rPr>
        <w:t>Isis</w:t>
      </w:r>
      <w:r w:rsidR="00B751EA" w:rsidRPr="00343277">
        <w:rPr>
          <w:rFonts w:ascii="Times New Roman" w:hAnsi="Times New Roman" w:cs="Times New Roman"/>
          <w:i/>
          <w:szCs w:val="21"/>
        </w:rPr>
        <w:t xml:space="preserve"> </w:t>
      </w:r>
      <w:r w:rsidRPr="00343277">
        <w:rPr>
          <w:rFonts w:ascii="Times New Roman" w:hAnsi="Times New Roman" w:cs="Times New Roman"/>
          <w:szCs w:val="21"/>
        </w:rPr>
        <w:t>44</w:t>
      </w:r>
      <w:r w:rsidR="00B751EA" w:rsidRPr="00343277">
        <w:rPr>
          <w:rFonts w:ascii="Times New Roman" w:hAnsi="Times New Roman" w:cs="Times New Roman"/>
          <w:szCs w:val="21"/>
        </w:rPr>
        <w:t xml:space="preserve"> </w:t>
      </w:r>
      <w:r w:rsidRPr="00343277">
        <w:rPr>
          <w:rFonts w:ascii="Times New Roman" w:hAnsi="Times New Roman" w:cs="Times New Roman"/>
          <w:szCs w:val="21"/>
        </w:rPr>
        <w:t>4 (</w:t>
      </w:r>
      <w:r w:rsidR="00B751EA" w:rsidRPr="00343277">
        <w:rPr>
          <w:rFonts w:ascii="Times New Roman" w:hAnsi="Times New Roman" w:cs="Times New Roman"/>
          <w:szCs w:val="21"/>
        </w:rPr>
        <w:t>1</w:t>
      </w:r>
      <w:r w:rsidRPr="00343277">
        <w:rPr>
          <w:rFonts w:ascii="Times New Roman" w:hAnsi="Times New Roman" w:cs="Times New Roman"/>
          <w:szCs w:val="21"/>
        </w:rPr>
        <w:t>953) 341-348</w:t>
      </w:r>
    </w:p>
    <w:p w:rsidR="008F7B61" w:rsidRPr="00343277" w:rsidRDefault="008F7B61" w:rsidP="008F7B61">
      <w:pPr>
        <w:widowControl/>
        <w:autoSpaceDE w:val="0"/>
        <w:autoSpaceDN w:val="0"/>
        <w:adjustRightInd w:val="0"/>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kern w:val="0"/>
          <w:szCs w:val="21"/>
        </w:rPr>
        <w:t>Plaisance,</w:t>
      </w:r>
      <w:r w:rsidR="00D57A8F" w:rsidRPr="00343277">
        <w:rPr>
          <w:rFonts w:ascii="Times New Roman" w:hAnsi="Times New Roman" w:cs="Times New Roman"/>
          <w:color w:val="000000" w:themeColor="text1"/>
          <w:kern w:val="0"/>
          <w:szCs w:val="21"/>
        </w:rPr>
        <w:t xml:space="preserve"> Christopher,</w:t>
      </w:r>
      <w:r w:rsidRPr="00343277">
        <w:rPr>
          <w:rFonts w:ascii="Times New Roman" w:hAnsi="Times New Roman" w:cs="Times New Roman"/>
          <w:color w:val="000000" w:themeColor="text1"/>
          <w:kern w:val="0"/>
          <w:szCs w:val="21"/>
        </w:rPr>
        <w:t xml:space="preserve"> ‘Of Cosmocrators and Cosmic Gods: The Place of the Archons in De </w:t>
      </w:r>
      <w:r w:rsidR="00D57A8F" w:rsidRPr="00343277">
        <w:rPr>
          <w:rFonts w:ascii="Times New Roman" w:hAnsi="Times New Roman" w:cs="Times New Roman"/>
          <w:color w:val="000000" w:themeColor="text1"/>
          <w:kern w:val="0"/>
          <w:szCs w:val="21"/>
        </w:rPr>
        <w:tab/>
      </w:r>
      <w:r w:rsidRPr="00343277">
        <w:rPr>
          <w:rFonts w:ascii="Times New Roman" w:hAnsi="Times New Roman" w:cs="Times New Roman"/>
          <w:color w:val="000000" w:themeColor="text1"/>
          <w:kern w:val="0"/>
          <w:szCs w:val="21"/>
        </w:rPr>
        <w:t xml:space="preserve">Mysteriis’, in </w:t>
      </w:r>
      <w:r w:rsidR="00343277">
        <w:rPr>
          <w:rFonts w:ascii="Times New Roman" w:hAnsi="Times New Roman" w:cs="Times New Roman" w:hint="eastAsia"/>
          <w:color w:val="000000" w:themeColor="text1"/>
          <w:kern w:val="0"/>
          <w:szCs w:val="21"/>
        </w:rPr>
        <w:tab/>
      </w:r>
      <w:r w:rsidRPr="00343277">
        <w:rPr>
          <w:rFonts w:ascii="Times New Roman" w:hAnsi="Times New Roman" w:cs="Times New Roman"/>
          <w:i/>
          <w:color w:val="000000" w:themeColor="text1"/>
          <w:kern w:val="0"/>
          <w:szCs w:val="21"/>
        </w:rPr>
        <w:t>Daimonic Imagination: Uncanny Intelligence</w:t>
      </w:r>
      <w:r w:rsidRPr="00343277">
        <w:rPr>
          <w:rFonts w:ascii="Times New Roman" w:hAnsi="Times New Roman" w:cs="Times New Roman"/>
          <w:color w:val="000000" w:themeColor="text1"/>
          <w:kern w:val="0"/>
          <w:szCs w:val="21"/>
        </w:rPr>
        <w:t>, ed. by Angela Voss and William Rowlandson, pp. 64-</w:t>
      </w:r>
      <w:r w:rsidR="00343277">
        <w:rPr>
          <w:rFonts w:ascii="Times New Roman" w:hAnsi="Times New Roman" w:cs="Times New Roman" w:hint="eastAsia"/>
          <w:color w:val="000000" w:themeColor="text1"/>
          <w:kern w:val="0"/>
          <w:szCs w:val="21"/>
        </w:rPr>
        <w:tab/>
      </w:r>
      <w:r w:rsidRPr="00343277">
        <w:rPr>
          <w:rFonts w:ascii="Times New Roman" w:hAnsi="Times New Roman" w:cs="Times New Roman"/>
          <w:color w:val="000000" w:themeColor="text1"/>
          <w:kern w:val="0"/>
          <w:szCs w:val="21"/>
        </w:rPr>
        <w:t>85, (Newcastle: Cambridge Scholars Publishing, 2013)</w:t>
      </w:r>
    </w:p>
    <w:p w:rsidR="001B7792" w:rsidRPr="00C177F8" w:rsidRDefault="001B7792" w:rsidP="001B7792">
      <w:pPr>
        <w:jc w:val="left"/>
        <w:rPr>
          <w:rFonts w:ascii="Times New Roman" w:hAnsi="Times New Roman" w:cs="Times New Roman"/>
          <w:color w:val="000000" w:themeColor="text1"/>
          <w:szCs w:val="21"/>
        </w:rPr>
      </w:pPr>
      <w:r w:rsidRPr="00343277">
        <w:rPr>
          <w:rFonts w:ascii="Times New Roman" w:hAnsi="Times New Roman" w:cs="Times New Roman"/>
          <w:szCs w:val="21"/>
        </w:rPr>
        <w:t xml:space="preserve">Plato, </w:t>
      </w:r>
      <w:r w:rsidRPr="00343277">
        <w:rPr>
          <w:rFonts w:ascii="Times New Roman" w:hAnsi="Times New Roman" w:cs="Times New Roman"/>
          <w:i/>
          <w:color w:val="000000" w:themeColor="text1"/>
          <w:szCs w:val="21"/>
        </w:rPr>
        <w:t>P</w:t>
      </w:r>
      <w:r w:rsidRPr="00C177F8">
        <w:rPr>
          <w:rFonts w:ascii="Times New Roman" w:hAnsi="Times New Roman" w:cs="Times New Roman"/>
          <w:i/>
          <w:color w:val="000000" w:themeColor="text1"/>
          <w:szCs w:val="21"/>
        </w:rPr>
        <w:t>haedrus</w:t>
      </w:r>
      <w:r w:rsidRPr="00C177F8">
        <w:rPr>
          <w:rFonts w:ascii="Times New Roman" w:hAnsi="Times New Roman" w:cs="Times New Roman"/>
          <w:color w:val="000000" w:themeColor="text1"/>
          <w:szCs w:val="21"/>
        </w:rPr>
        <w:t xml:space="preserve">, trans. by Reginald Hackforth (Cambridge: Cambridge University Press, </w:t>
      </w:r>
      <w:r w:rsidR="00C2516B" w:rsidRPr="00C177F8">
        <w:rPr>
          <w:rFonts w:ascii="Times New Roman" w:hAnsi="Times New Roman" w:cs="Times New Roman"/>
          <w:color w:val="000000" w:themeColor="text1"/>
          <w:szCs w:val="21"/>
        </w:rPr>
        <w:t>1</w:t>
      </w:r>
      <w:r w:rsidRPr="00C177F8">
        <w:rPr>
          <w:rFonts w:ascii="Times New Roman" w:hAnsi="Times New Roman" w:cs="Times New Roman"/>
          <w:color w:val="000000" w:themeColor="text1"/>
          <w:szCs w:val="21"/>
        </w:rPr>
        <w:t>952)</w:t>
      </w:r>
    </w:p>
    <w:p w:rsidR="0009756D" w:rsidRPr="00C177F8" w:rsidRDefault="00606C1E" w:rsidP="001B7792">
      <w:pPr>
        <w:jc w:val="left"/>
        <w:rPr>
          <w:rFonts w:ascii="Times New Roman" w:hAnsi="Times New Roman" w:cs="Times New Roman"/>
          <w:color w:val="000000" w:themeColor="text1"/>
          <w:szCs w:val="21"/>
        </w:rPr>
      </w:pPr>
      <w:r w:rsidRPr="00C177F8">
        <w:rPr>
          <w:rFonts w:ascii="Times New Roman" w:hAnsi="Times New Roman" w:cs="Times New Roman"/>
          <w:color w:val="000000" w:themeColor="text1"/>
          <w:szCs w:val="21"/>
        </w:rPr>
        <w:t xml:space="preserve">Porphyry, </w:t>
      </w:r>
      <w:r w:rsidR="00C177F8" w:rsidRPr="00C177F8">
        <w:rPr>
          <w:rFonts w:ascii="Times New Roman" w:hAnsi="Times New Roman" w:cs="Times New Roman"/>
          <w:szCs w:val="21"/>
        </w:rPr>
        <w:t>‘</w:t>
      </w:r>
      <w:r w:rsidR="0009756D" w:rsidRPr="00C177F8">
        <w:rPr>
          <w:rFonts w:ascii="Times New Roman" w:hAnsi="Times New Roman" w:cs="Times New Roman" w:hint="eastAsia"/>
          <w:szCs w:val="21"/>
        </w:rPr>
        <w:t>Life of Plotinus</w:t>
      </w:r>
      <w:r w:rsidR="00C177F8" w:rsidRPr="00C177F8">
        <w:rPr>
          <w:rFonts w:ascii="Times New Roman" w:hAnsi="Times New Roman" w:cs="Times New Roman"/>
          <w:szCs w:val="21"/>
        </w:rPr>
        <w:t>’</w:t>
      </w:r>
      <w:r w:rsidR="00C177F8" w:rsidRPr="00C177F8">
        <w:rPr>
          <w:rFonts w:ascii="Times New Roman" w:hAnsi="Times New Roman" w:cs="Times New Roman" w:hint="eastAsia"/>
          <w:szCs w:val="21"/>
        </w:rPr>
        <w:t xml:space="preserve"> in</w:t>
      </w:r>
      <w:r w:rsidR="0009756D" w:rsidRPr="00C177F8">
        <w:rPr>
          <w:rFonts w:ascii="Times New Roman" w:hAnsi="Times New Roman" w:cs="Times New Roman" w:hint="eastAsia"/>
          <w:szCs w:val="21"/>
        </w:rPr>
        <w:t xml:space="preserve"> </w:t>
      </w:r>
      <w:r w:rsidR="0009756D" w:rsidRPr="00C177F8">
        <w:rPr>
          <w:rFonts w:ascii="Times New Roman" w:hAnsi="Times New Roman" w:cs="Times New Roman" w:hint="eastAsia"/>
          <w:i/>
          <w:szCs w:val="21"/>
        </w:rPr>
        <w:t>Plotinus: The Enneads</w:t>
      </w:r>
      <w:r w:rsidR="0009756D" w:rsidRPr="00C177F8">
        <w:rPr>
          <w:rFonts w:ascii="Times New Roman" w:hAnsi="Times New Roman" w:cs="Times New Roman" w:hint="eastAsia"/>
          <w:szCs w:val="21"/>
        </w:rPr>
        <w:t xml:space="preserve">, ed. by Lloyd Gerson, </w:t>
      </w:r>
      <w:r w:rsidR="00C177F8" w:rsidRPr="00C177F8">
        <w:rPr>
          <w:rFonts w:ascii="Times New Roman" w:hAnsi="Times New Roman" w:cs="Times New Roman" w:hint="eastAsia"/>
          <w:szCs w:val="21"/>
        </w:rPr>
        <w:t>pp.</w:t>
      </w:r>
      <w:r w:rsidR="00C177F8">
        <w:rPr>
          <w:rFonts w:ascii="Times New Roman" w:hAnsi="Times New Roman" w:cs="Times New Roman" w:hint="eastAsia"/>
          <w:szCs w:val="21"/>
        </w:rPr>
        <w:t xml:space="preserve"> 17-38,</w:t>
      </w:r>
      <w:r w:rsidR="00C177F8" w:rsidRPr="00C177F8">
        <w:rPr>
          <w:rFonts w:ascii="Times New Roman" w:hAnsi="Times New Roman" w:cs="Times New Roman" w:hint="eastAsia"/>
          <w:szCs w:val="21"/>
        </w:rPr>
        <w:t xml:space="preserve"> </w:t>
      </w:r>
      <w:r w:rsidR="0009756D" w:rsidRPr="00C177F8">
        <w:rPr>
          <w:rFonts w:ascii="Times New Roman" w:hAnsi="Times New Roman" w:cs="Times New Roman" w:hint="eastAsia"/>
          <w:szCs w:val="21"/>
        </w:rPr>
        <w:t xml:space="preserve">(Cambridge: </w:t>
      </w:r>
      <w:r w:rsidR="00C177F8">
        <w:rPr>
          <w:rFonts w:ascii="Times New Roman" w:hAnsi="Times New Roman" w:cs="Times New Roman" w:hint="eastAsia"/>
          <w:szCs w:val="21"/>
        </w:rPr>
        <w:tab/>
      </w:r>
      <w:r w:rsidR="0009756D" w:rsidRPr="00C177F8">
        <w:rPr>
          <w:rFonts w:ascii="Times New Roman" w:hAnsi="Times New Roman" w:cs="Times New Roman" w:hint="eastAsia"/>
          <w:szCs w:val="21"/>
        </w:rPr>
        <w:t>Cambridge University Press</w:t>
      </w:r>
      <w:r w:rsidR="00C177F8">
        <w:rPr>
          <w:rFonts w:ascii="Times New Roman" w:hAnsi="Times New Roman" w:cs="Times New Roman" w:hint="eastAsia"/>
          <w:szCs w:val="21"/>
        </w:rPr>
        <w:t>, 2018</w:t>
      </w:r>
      <w:r w:rsidR="0009756D" w:rsidRPr="00C177F8">
        <w:rPr>
          <w:rFonts w:ascii="Times New Roman" w:hAnsi="Times New Roman" w:cs="Times New Roman" w:hint="eastAsia"/>
          <w:szCs w:val="21"/>
        </w:rPr>
        <w:t>)</w:t>
      </w:r>
    </w:p>
    <w:p w:rsidR="00B74AE3" w:rsidRPr="00C177F8" w:rsidRDefault="0009756D" w:rsidP="001B7792">
      <w:pPr>
        <w:jc w:val="left"/>
        <w:rPr>
          <w:rFonts w:ascii="Times New Roman" w:hAnsi="Times New Roman" w:cs="Times New Roman"/>
          <w:szCs w:val="21"/>
        </w:rPr>
      </w:pPr>
      <w:r w:rsidRPr="00C177F8">
        <w:rPr>
          <w:rFonts w:ascii="Times New Roman" w:hAnsi="Times New Roman" w:cs="Times New Roman" w:hint="eastAsia"/>
          <w:color w:val="000000" w:themeColor="text1"/>
          <w:szCs w:val="21"/>
        </w:rPr>
        <w:t xml:space="preserve">_______, </w:t>
      </w:r>
      <w:r w:rsidR="00B74AE3" w:rsidRPr="00C177F8">
        <w:rPr>
          <w:rFonts w:ascii="Times New Roman" w:hAnsi="Times New Roman" w:cs="Times New Roman"/>
          <w:i/>
          <w:szCs w:val="21"/>
        </w:rPr>
        <w:t>Porphyrii Philosophi Fragmenta</w:t>
      </w:r>
      <w:r w:rsidR="00B74AE3" w:rsidRPr="00C177F8">
        <w:rPr>
          <w:rFonts w:ascii="Times New Roman" w:hAnsi="Times New Roman" w:cs="Times New Roman"/>
          <w:szCs w:val="21"/>
        </w:rPr>
        <w:t>, ed. by Andrew Sm</w:t>
      </w:r>
      <w:r w:rsidR="00606C1E" w:rsidRPr="00C177F8">
        <w:rPr>
          <w:rFonts w:ascii="Times New Roman" w:hAnsi="Times New Roman" w:cs="Times New Roman"/>
          <w:szCs w:val="21"/>
        </w:rPr>
        <w:t>ith, (Stuttgart: Teubner, 1993)</w:t>
      </w:r>
    </w:p>
    <w:p w:rsidR="00B74AE3" w:rsidRPr="00343277" w:rsidRDefault="00606C1E" w:rsidP="00B74AE3">
      <w:pPr>
        <w:jc w:val="left"/>
        <w:rPr>
          <w:rFonts w:ascii="Times New Roman" w:hAnsi="Times New Roman" w:cs="Times New Roman"/>
          <w:szCs w:val="21"/>
        </w:rPr>
      </w:pPr>
      <w:r w:rsidRPr="00343277">
        <w:rPr>
          <w:rFonts w:ascii="Times New Roman" w:hAnsi="Times New Roman" w:cs="Times New Roman"/>
          <w:szCs w:val="21"/>
        </w:rPr>
        <w:t xml:space="preserve">_______, </w:t>
      </w:r>
      <w:r w:rsidR="00B74AE3" w:rsidRPr="00343277">
        <w:rPr>
          <w:rFonts w:ascii="Times New Roman" w:hAnsi="Times New Roman" w:cs="Times New Roman"/>
          <w:i/>
          <w:szCs w:val="21"/>
        </w:rPr>
        <w:t>Porfirio, Lettera ad Anebo</w:t>
      </w:r>
      <w:r w:rsidRPr="00343277">
        <w:rPr>
          <w:rFonts w:ascii="Times New Roman" w:hAnsi="Times New Roman" w:cs="Times New Roman"/>
          <w:szCs w:val="21"/>
        </w:rPr>
        <w:t>, ed. by Angelo Sodano,</w:t>
      </w:r>
      <w:r w:rsidR="00B74AE3" w:rsidRPr="00343277">
        <w:rPr>
          <w:rFonts w:ascii="Times New Roman" w:hAnsi="Times New Roman" w:cs="Times New Roman"/>
          <w:szCs w:val="21"/>
        </w:rPr>
        <w:t xml:space="preserve"> (Naples: L’arte Tipographica, 1958)</w:t>
      </w:r>
    </w:p>
    <w:p w:rsidR="002E2D10" w:rsidRPr="00343277" w:rsidRDefault="002E2D10" w:rsidP="001B7792">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lastRenderedPageBreak/>
        <w:t xml:space="preserve">Gregory Shaw, ‘Taking the Shape of the Gods: A Theurgic Reading of Hermetic Rebirth’, </w:t>
      </w:r>
      <w:r w:rsidRPr="00343277">
        <w:rPr>
          <w:rFonts w:ascii="Times New Roman" w:hAnsi="Times New Roman" w:cs="Times New Roman"/>
          <w:i/>
          <w:color w:val="000000" w:themeColor="text1"/>
          <w:szCs w:val="21"/>
        </w:rPr>
        <w:t xml:space="preserve">Aries – Journal for </w:t>
      </w:r>
      <w:r w:rsidR="00343277">
        <w:rPr>
          <w:rFonts w:ascii="Times New Roman" w:hAnsi="Times New Roman" w:cs="Times New Roman" w:hint="eastAsia"/>
          <w:i/>
          <w:color w:val="000000" w:themeColor="text1"/>
          <w:szCs w:val="21"/>
        </w:rPr>
        <w:tab/>
      </w:r>
      <w:r w:rsidRPr="00343277">
        <w:rPr>
          <w:rFonts w:ascii="Times New Roman" w:hAnsi="Times New Roman" w:cs="Times New Roman"/>
          <w:i/>
          <w:color w:val="000000" w:themeColor="text1"/>
          <w:szCs w:val="21"/>
        </w:rPr>
        <w:t>the Study of Western Esotericism</w:t>
      </w:r>
      <w:r w:rsidRPr="00343277">
        <w:rPr>
          <w:rFonts w:ascii="Times New Roman" w:hAnsi="Times New Roman" w:cs="Times New Roman"/>
          <w:color w:val="000000" w:themeColor="text1"/>
          <w:szCs w:val="21"/>
        </w:rPr>
        <w:t xml:space="preserve"> 15 (2015) 136-169, &lt;</w:t>
      </w:r>
      <w:r w:rsidRPr="00343277">
        <w:rPr>
          <w:rFonts w:ascii="Times New Roman" w:hAnsi="Times New Roman" w:cs="Times New Roman"/>
          <w:color w:val="000000" w:themeColor="text1"/>
          <w:szCs w:val="21"/>
          <w:u w:val="single"/>
        </w:rPr>
        <w:t>http://doi!10.1163/157</w:t>
      </w:r>
      <w:hyperlink r:id="rId8" w:history="1">
        <w:r w:rsidRPr="00343277">
          <w:rPr>
            <w:rStyle w:val="Hyperlink"/>
            <w:rFonts w:ascii="Times New Roman" w:hAnsi="Times New Roman" w:cs="Times New Roman"/>
            <w:color w:val="000000" w:themeColor="text1"/>
            <w:szCs w:val="21"/>
          </w:rPr>
          <w:t>00593-01501009</w:t>
        </w:r>
      </w:hyperlink>
      <w:r w:rsidRPr="00343277">
        <w:rPr>
          <w:rFonts w:ascii="Times New Roman" w:hAnsi="Times New Roman" w:cs="Times New Roman"/>
          <w:color w:val="000000" w:themeColor="text1"/>
          <w:szCs w:val="21"/>
        </w:rPr>
        <w:t xml:space="preserve">&gt; </w:t>
      </w:r>
      <w:r w:rsidR="00343277">
        <w:rPr>
          <w:rFonts w:ascii="Times New Roman" w:hAnsi="Times New Roman" w:cs="Times New Roman" w:hint="eastAsia"/>
          <w:color w:val="000000" w:themeColor="text1"/>
          <w:szCs w:val="21"/>
        </w:rPr>
        <w:tab/>
      </w:r>
      <w:r w:rsidRPr="00343277">
        <w:rPr>
          <w:rFonts w:ascii="Times New Roman" w:hAnsi="Times New Roman" w:cs="Times New Roman"/>
          <w:color w:val="000000" w:themeColor="text1"/>
          <w:szCs w:val="21"/>
        </w:rPr>
        <w:t>[accessed May 10, 2019]</w:t>
      </w:r>
    </w:p>
    <w:p w:rsidR="001B7792" w:rsidRPr="00343277" w:rsidRDefault="001B7792" w:rsidP="00343277">
      <w:pPr>
        <w:jc w:val="left"/>
        <w:rPr>
          <w:rFonts w:ascii="Times New Roman" w:hAnsi="Times New Roman" w:cs="Times New Roman"/>
          <w:color w:val="000000" w:themeColor="text1"/>
          <w:szCs w:val="21"/>
        </w:rPr>
      </w:pPr>
      <w:r w:rsidRPr="00343277">
        <w:rPr>
          <w:rFonts w:ascii="Times New Roman" w:hAnsi="Times New Roman" w:cs="Times New Roman"/>
          <w:color w:val="000000" w:themeColor="text1"/>
          <w:szCs w:val="21"/>
        </w:rPr>
        <w:t xml:space="preserve">Shaw, Gregory, ‘Astrology as Divination: Iamblichean </w:t>
      </w:r>
      <w:r w:rsidR="0071557B" w:rsidRPr="00343277">
        <w:rPr>
          <w:rFonts w:ascii="Times New Roman" w:hAnsi="Times New Roman" w:cs="Times New Roman"/>
          <w:color w:val="000000" w:themeColor="text1"/>
          <w:szCs w:val="21"/>
        </w:rPr>
        <w:t>T</w:t>
      </w:r>
      <w:r w:rsidRPr="00343277">
        <w:rPr>
          <w:rFonts w:ascii="Times New Roman" w:hAnsi="Times New Roman" w:cs="Times New Roman"/>
          <w:color w:val="000000" w:themeColor="text1"/>
          <w:szCs w:val="21"/>
        </w:rPr>
        <w:t xml:space="preserve">heory and its </w:t>
      </w:r>
      <w:r w:rsidR="0071557B" w:rsidRPr="00343277">
        <w:rPr>
          <w:rFonts w:ascii="Times New Roman" w:hAnsi="Times New Roman" w:cs="Times New Roman"/>
          <w:color w:val="000000" w:themeColor="text1"/>
          <w:szCs w:val="21"/>
        </w:rPr>
        <w:t>C</w:t>
      </w:r>
      <w:r w:rsidRPr="00343277">
        <w:rPr>
          <w:rFonts w:ascii="Times New Roman" w:hAnsi="Times New Roman" w:cs="Times New Roman"/>
          <w:color w:val="000000" w:themeColor="text1"/>
          <w:szCs w:val="21"/>
        </w:rPr>
        <w:t xml:space="preserve">ontemporary </w:t>
      </w:r>
      <w:r w:rsidR="0071557B" w:rsidRPr="00343277">
        <w:rPr>
          <w:rFonts w:ascii="Times New Roman" w:hAnsi="Times New Roman" w:cs="Times New Roman"/>
          <w:color w:val="000000" w:themeColor="text1"/>
          <w:szCs w:val="21"/>
        </w:rPr>
        <w:t>P</w:t>
      </w:r>
      <w:r w:rsidRPr="00343277">
        <w:rPr>
          <w:rFonts w:ascii="Times New Roman" w:hAnsi="Times New Roman" w:cs="Times New Roman"/>
          <w:color w:val="000000" w:themeColor="text1"/>
          <w:szCs w:val="21"/>
        </w:rPr>
        <w:t xml:space="preserve">ractice’, in </w:t>
      </w:r>
      <w:r w:rsidRPr="00343277">
        <w:rPr>
          <w:rFonts w:ascii="Times New Roman" w:hAnsi="Times New Roman" w:cs="Times New Roman"/>
          <w:i/>
          <w:color w:val="000000" w:themeColor="text1"/>
          <w:szCs w:val="21"/>
        </w:rPr>
        <w:t xml:space="preserve">International </w:t>
      </w:r>
      <w:r w:rsidR="00343277">
        <w:rPr>
          <w:rFonts w:ascii="Times New Roman" w:hAnsi="Times New Roman" w:cs="Times New Roman" w:hint="eastAsia"/>
          <w:i/>
          <w:color w:val="000000" w:themeColor="text1"/>
          <w:szCs w:val="21"/>
        </w:rPr>
        <w:tab/>
      </w:r>
      <w:r w:rsidRPr="00343277">
        <w:rPr>
          <w:rFonts w:ascii="Times New Roman" w:hAnsi="Times New Roman" w:cs="Times New Roman"/>
          <w:i/>
          <w:color w:val="000000" w:themeColor="text1"/>
          <w:szCs w:val="21"/>
        </w:rPr>
        <w:t>Society of Neoplatonic Studies Conference Anthology</w:t>
      </w:r>
      <w:r w:rsidRPr="00343277">
        <w:rPr>
          <w:rFonts w:ascii="Times New Roman" w:hAnsi="Times New Roman" w:cs="Times New Roman"/>
          <w:color w:val="000000" w:themeColor="text1"/>
          <w:szCs w:val="21"/>
        </w:rPr>
        <w:t>, ed. by John Finamore and Robert Berchman,</w:t>
      </w:r>
      <w:r w:rsidR="00343277">
        <w:rPr>
          <w:rFonts w:ascii="Times New Roman" w:hAnsi="Times New Roman" w:cs="Times New Roman" w:hint="eastAsia"/>
          <w:color w:val="000000" w:themeColor="text1"/>
          <w:szCs w:val="21"/>
        </w:rPr>
        <w:t xml:space="preserve"> </w:t>
      </w:r>
      <w:r w:rsidR="00343277">
        <w:rPr>
          <w:rFonts w:ascii="Times New Roman" w:hAnsi="Times New Roman" w:cs="Times New Roman" w:hint="eastAsia"/>
          <w:color w:val="000000" w:themeColor="text1"/>
          <w:szCs w:val="21"/>
        </w:rPr>
        <w:tab/>
        <w:t>8</w:t>
      </w:r>
      <w:r w:rsidRPr="00343277">
        <w:rPr>
          <w:rFonts w:ascii="Times New Roman" w:hAnsi="Times New Roman" w:cs="Times New Roman"/>
          <w:color w:val="000000" w:themeColor="text1"/>
          <w:szCs w:val="21"/>
        </w:rPr>
        <w:t>9-102 (New Orleans: University Press of the South, 2007)</w:t>
      </w:r>
    </w:p>
    <w:p w:rsidR="0034109D" w:rsidRPr="00C44475" w:rsidRDefault="00D57A8F" w:rsidP="001B7792">
      <w:pPr>
        <w:jc w:val="left"/>
        <w:rPr>
          <w:rFonts w:ascii="Times New Roman" w:hAnsi="Times New Roman" w:cs="Times New Roman"/>
          <w:color w:val="000000" w:themeColor="text1"/>
          <w:kern w:val="0"/>
          <w:szCs w:val="21"/>
        </w:rPr>
      </w:pPr>
      <w:r w:rsidRPr="00343277">
        <w:rPr>
          <w:rFonts w:ascii="Times New Roman" w:hAnsi="Times New Roman" w:cs="Times New Roman"/>
          <w:color w:val="000000" w:themeColor="text1"/>
          <w:kern w:val="0"/>
          <w:szCs w:val="21"/>
        </w:rPr>
        <w:t>_______</w:t>
      </w:r>
      <w:r w:rsidR="002E2D10" w:rsidRPr="00343277">
        <w:rPr>
          <w:rFonts w:ascii="Times New Roman" w:hAnsi="Times New Roman" w:cs="Times New Roman"/>
          <w:color w:val="000000" w:themeColor="text1"/>
          <w:kern w:val="0"/>
          <w:szCs w:val="21"/>
        </w:rPr>
        <w:t>,</w:t>
      </w:r>
      <w:r w:rsidR="0034109D" w:rsidRPr="00343277">
        <w:rPr>
          <w:rFonts w:ascii="Times New Roman" w:hAnsi="Times New Roman" w:cs="Times New Roman"/>
          <w:color w:val="000000" w:themeColor="text1"/>
          <w:kern w:val="0"/>
          <w:szCs w:val="21"/>
        </w:rPr>
        <w:t>‘Containing Ecstasy: Th</w:t>
      </w:r>
      <w:r w:rsidR="0034109D" w:rsidRPr="00C44475">
        <w:rPr>
          <w:rFonts w:ascii="Times New Roman" w:hAnsi="Times New Roman" w:cs="Times New Roman"/>
          <w:color w:val="000000" w:themeColor="text1"/>
          <w:kern w:val="0"/>
          <w:szCs w:val="21"/>
        </w:rPr>
        <w:t xml:space="preserve">e Strategies of Iamblichean Theurgy’, </w:t>
      </w:r>
      <w:r w:rsidR="0034109D" w:rsidRPr="00C44475">
        <w:rPr>
          <w:rFonts w:ascii="Times New Roman" w:hAnsi="Times New Roman" w:cs="Times New Roman"/>
          <w:i/>
          <w:iCs/>
          <w:color w:val="000000" w:themeColor="text1"/>
          <w:kern w:val="0"/>
          <w:szCs w:val="21"/>
        </w:rPr>
        <w:t>Dionysiu</w:t>
      </w:r>
      <w:r w:rsidR="002E2D10" w:rsidRPr="00C44475">
        <w:rPr>
          <w:rFonts w:ascii="Times New Roman" w:hAnsi="Times New Roman" w:cs="Times New Roman"/>
          <w:i/>
          <w:iCs/>
          <w:color w:val="000000" w:themeColor="text1"/>
          <w:kern w:val="0"/>
          <w:szCs w:val="21"/>
        </w:rPr>
        <w:t xml:space="preserve">s </w:t>
      </w:r>
      <w:r w:rsidR="002E2D10" w:rsidRPr="00C44475">
        <w:rPr>
          <w:rFonts w:ascii="Times New Roman" w:hAnsi="Times New Roman" w:cs="Times New Roman"/>
          <w:iCs/>
          <w:color w:val="000000" w:themeColor="text1"/>
          <w:kern w:val="0"/>
          <w:szCs w:val="21"/>
        </w:rPr>
        <w:t>21</w:t>
      </w:r>
      <w:r w:rsidR="0034109D" w:rsidRPr="00C44475">
        <w:rPr>
          <w:rFonts w:ascii="Times New Roman" w:hAnsi="Times New Roman" w:cs="Times New Roman"/>
          <w:color w:val="000000" w:themeColor="text1"/>
          <w:kern w:val="0"/>
          <w:szCs w:val="21"/>
        </w:rPr>
        <w:t xml:space="preserve"> </w:t>
      </w:r>
      <w:r w:rsidR="002E2D10" w:rsidRPr="00C44475">
        <w:rPr>
          <w:rFonts w:ascii="Times New Roman" w:hAnsi="Times New Roman" w:cs="Times New Roman"/>
          <w:color w:val="000000" w:themeColor="text1"/>
          <w:kern w:val="0"/>
          <w:szCs w:val="21"/>
        </w:rPr>
        <w:t>(2003)</w:t>
      </w:r>
      <w:r w:rsidR="0034109D" w:rsidRPr="00C44475">
        <w:rPr>
          <w:rFonts w:ascii="Times New Roman" w:hAnsi="Times New Roman" w:cs="Times New Roman"/>
          <w:color w:val="000000" w:themeColor="text1"/>
          <w:kern w:val="0"/>
          <w:szCs w:val="21"/>
        </w:rPr>
        <w:t xml:space="preserve"> 53</w:t>
      </w:r>
      <w:r w:rsidR="002E2D10" w:rsidRPr="00C44475">
        <w:rPr>
          <w:rFonts w:ascii="Times New Roman" w:hAnsi="Times New Roman" w:cs="Times New Roman"/>
          <w:color w:val="000000" w:themeColor="text1"/>
          <w:kern w:val="0"/>
          <w:szCs w:val="21"/>
        </w:rPr>
        <w:t>-</w:t>
      </w:r>
      <w:r w:rsidR="0034109D" w:rsidRPr="00C44475">
        <w:rPr>
          <w:rFonts w:ascii="Times New Roman" w:hAnsi="Times New Roman" w:cs="Times New Roman"/>
          <w:color w:val="000000" w:themeColor="text1"/>
          <w:kern w:val="0"/>
          <w:szCs w:val="21"/>
        </w:rPr>
        <w:t>88</w:t>
      </w:r>
    </w:p>
    <w:p w:rsidR="00005AE5" w:rsidRPr="00C44475" w:rsidRDefault="00005AE5" w:rsidP="00005AE5">
      <w:pPr>
        <w:pStyle w:val="Default"/>
        <w:rPr>
          <w:rFonts w:ascii="Times New Roman" w:hAnsi="Times New Roman" w:cs="Times New Roman"/>
          <w:color w:val="000000" w:themeColor="text1"/>
          <w:sz w:val="21"/>
          <w:szCs w:val="21"/>
        </w:rPr>
      </w:pPr>
      <w:r w:rsidRPr="00C44475">
        <w:rPr>
          <w:rFonts w:ascii="Times New Roman" w:hAnsi="Times New Roman" w:cs="Times New Roman"/>
          <w:color w:val="000000" w:themeColor="text1"/>
          <w:sz w:val="21"/>
          <w:szCs w:val="21"/>
        </w:rPr>
        <w:t>Sheppard,</w:t>
      </w:r>
      <w:r w:rsidR="002E2D10" w:rsidRPr="00C44475">
        <w:rPr>
          <w:rFonts w:ascii="Times New Roman" w:hAnsi="Times New Roman" w:cs="Times New Roman"/>
          <w:color w:val="000000" w:themeColor="text1"/>
          <w:sz w:val="21"/>
          <w:szCs w:val="21"/>
        </w:rPr>
        <w:t xml:space="preserve"> Anne,</w:t>
      </w:r>
      <w:r w:rsidRPr="00C44475">
        <w:rPr>
          <w:rFonts w:ascii="Times New Roman" w:hAnsi="Times New Roman" w:cs="Times New Roman"/>
          <w:color w:val="000000" w:themeColor="text1"/>
          <w:sz w:val="21"/>
          <w:szCs w:val="21"/>
        </w:rPr>
        <w:t xml:space="preserve"> ‘Proclus’ Attitude to Theurgy’, </w:t>
      </w:r>
      <w:r w:rsidRPr="00C44475">
        <w:rPr>
          <w:rFonts w:ascii="Times New Roman" w:hAnsi="Times New Roman" w:cs="Times New Roman"/>
          <w:i/>
          <w:color w:val="000000" w:themeColor="text1"/>
          <w:sz w:val="21"/>
          <w:szCs w:val="21"/>
        </w:rPr>
        <w:t>The Classical Quarterly</w:t>
      </w:r>
      <w:r w:rsidR="002E2D10" w:rsidRPr="00C44475">
        <w:rPr>
          <w:rFonts w:ascii="Times New Roman" w:hAnsi="Times New Roman" w:cs="Times New Roman"/>
          <w:color w:val="000000" w:themeColor="text1"/>
          <w:sz w:val="21"/>
          <w:szCs w:val="21"/>
        </w:rPr>
        <w:t xml:space="preserve"> </w:t>
      </w:r>
      <w:r w:rsidRPr="00C44475">
        <w:rPr>
          <w:rFonts w:ascii="Times New Roman" w:hAnsi="Times New Roman" w:cs="Times New Roman"/>
          <w:color w:val="000000" w:themeColor="text1"/>
          <w:sz w:val="21"/>
          <w:szCs w:val="21"/>
        </w:rPr>
        <w:t>32 1 (1982) 212-224</w:t>
      </w:r>
    </w:p>
    <w:p w:rsidR="001B7792" w:rsidRPr="00C44475" w:rsidRDefault="001B7792" w:rsidP="001B7792">
      <w:pPr>
        <w:jc w:val="left"/>
        <w:rPr>
          <w:rFonts w:ascii="Times New Roman" w:hAnsi="Times New Roman" w:cs="Times New Roman"/>
          <w:color w:val="000000" w:themeColor="text1"/>
          <w:szCs w:val="21"/>
        </w:rPr>
      </w:pPr>
      <w:r w:rsidRPr="00C44475">
        <w:rPr>
          <w:rFonts w:ascii="Times New Roman" w:hAnsi="Times New Roman" w:cs="Times New Roman"/>
          <w:color w:val="000000" w:themeColor="text1"/>
          <w:szCs w:val="21"/>
        </w:rPr>
        <w:t xml:space="preserve">Smith, Andrew, ‘Iamblichus, the First Philosopher of Religion?’, </w:t>
      </w:r>
      <w:r w:rsidRPr="00C44475">
        <w:rPr>
          <w:rFonts w:ascii="Times New Roman" w:hAnsi="Times New Roman" w:cs="Times New Roman"/>
          <w:i/>
          <w:color w:val="000000" w:themeColor="text1"/>
          <w:szCs w:val="21"/>
        </w:rPr>
        <w:t>Habis</w:t>
      </w:r>
      <w:r w:rsidRPr="00C44475">
        <w:rPr>
          <w:rFonts w:ascii="Times New Roman" w:hAnsi="Times New Roman" w:cs="Times New Roman"/>
          <w:color w:val="000000" w:themeColor="text1"/>
          <w:szCs w:val="21"/>
        </w:rPr>
        <w:t xml:space="preserve">, 31 (2000) 345-353, </w:t>
      </w:r>
      <w:r w:rsidR="00343277" w:rsidRPr="00C44475">
        <w:rPr>
          <w:rFonts w:ascii="Times New Roman" w:hAnsi="Times New Roman" w:cs="Times New Roman"/>
          <w:color w:val="000000" w:themeColor="text1"/>
          <w:szCs w:val="21"/>
        </w:rPr>
        <w:t>&lt;</w:t>
      </w:r>
      <w:r w:rsidR="00343277" w:rsidRPr="00C44475">
        <w:rPr>
          <w:rFonts w:ascii="Times New Roman" w:hAnsi="Times New Roman" w:cs="Times New Roman"/>
          <w:color w:val="000000" w:themeColor="text1"/>
          <w:szCs w:val="21"/>
          <w:u w:val="single"/>
        </w:rPr>
        <w:t>http://dx.doi.org/</w:t>
      </w:r>
      <w:r w:rsidRPr="00C44475">
        <w:rPr>
          <w:rFonts w:ascii="Times New Roman" w:hAnsi="Times New Roman" w:cs="Times New Roman"/>
          <w:color w:val="000000" w:themeColor="text1"/>
          <w:szCs w:val="21"/>
        </w:rPr>
        <w:tab/>
      </w:r>
      <w:r w:rsidRPr="00C44475">
        <w:rPr>
          <w:rFonts w:ascii="Times New Roman" w:hAnsi="Times New Roman" w:cs="Times New Roman"/>
          <w:color w:val="000000" w:themeColor="text1"/>
          <w:szCs w:val="21"/>
        </w:rPr>
        <w:tab/>
      </w:r>
      <w:hyperlink r:id="rId9" w:history="1">
        <w:r w:rsidRPr="00C44475">
          <w:rPr>
            <w:rStyle w:val="Hyperlink"/>
            <w:rFonts w:ascii="Times New Roman" w:hAnsi="Times New Roman" w:cs="Times New Roman"/>
            <w:color w:val="000000" w:themeColor="text1"/>
            <w:szCs w:val="21"/>
          </w:rPr>
          <w:t>10.12795/Habis.2000.i31.19</w:t>
        </w:r>
      </w:hyperlink>
      <w:r w:rsidRPr="00C44475">
        <w:rPr>
          <w:rFonts w:ascii="Times New Roman" w:hAnsi="Times New Roman" w:cs="Times New Roman"/>
          <w:szCs w:val="21"/>
        </w:rPr>
        <w:t>&gt;</w:t>
      </w:r>
      <w:r w:rsidRPr="00C44475">
        <w:rPr>
          <w:rFonts w:ascii="Times New Roman" w:hAnsi="Times New Roman" w:cs="Times New Roman"/>
          <w:color w:val="000000" w:themeColor="text1"/>
          <w:szCs w:val="21"/>
        </w:rPr>
        <w:t xml:space="preserve"> [accessed May 25, 2019]</w:t>
      </w:r>
    </w:p>
    <w:p w:rsidR="00C44475" w:rsidRPr="00C44475" w:rsidRDefault="00C44475" w:rsidP="00C44475">
      <w:pPr>
        <w:pStyle w:val="FootnoteText"/>
        <w:rPr>
          <w:rFonts w:ascii="Times New Roman" w:hAnsi="Times New Roman" w:cs="Times New Roman"/>
          <w:sz w:val="21"/>
          <w:szCs w:val="21"/>
        </w:rPr>
      </w:pPr>
      <w:r w:rsidRPr="00C44475">
        <w:rPr>
          <w:rFonts w:ascii="Times New Roman" w:hAnsi="Times New Roman" w:cs="Times New Roman"/>
          <w:i/>
          <w:kern w:val="0"/>
          <w:sz w:val="21"/>
          <w:szCs w:val="21"/>
        </w:rPr>
        <w:t>_______</w:t>
      </w:r>
      <w:r w:rsidRPr="00C44475">
        <w:rPr>
          <w:rFonts w:ascii="Times New Roman" w:hAnsi="Times New Roman" w:cs="Times New Roman"/>
          <w:kern w:val="0"/>
          <w:sz w:val="21"/>
          <w:szCs w:val="21"/>
        </w:rPr>
        <w:t>,</w:t>
      </w:r>
      <w:r>
        <w:rPr>
          <w:rFonts w:ascii="Times New Roman" w:hAnsi="Times New Roman" w:cs="Times New Roman" w:hint="eastAsia"/>
          <w:kern w:val="0"/>
          <w:sz w:val="21"/>
          <w:szCs w:val="21"/>
        </w:rPr>
        <w:t xml:space="preserve"> </w:t>
      </w:r>
      <w:r w:rsidRPr="00C44475">
        <w:rPr>
          <w:rFonts w:ascii="Times New Roman" w:hAnsi="Times New Roman" w:cs="Times New Roman"/>
          <w:i/>
          <w:kern w:val="0"/>
          <w:sz w:val="21"/>
          <w:szCs w:val="21"/>
        </w:rPr>
        <w:t>Porphyry’s Place in the Neoplatonic Tradition: A Study in Post-Plotinian Neoplatonism</w:t>
      </w:r>
      <w:r w:rsidRPr="00C44475">
        <w:rPr>
          <w:rFonts w:ascii="Times New Roman" w:hAnsi="Times New Roman" w:cs="Times New Roman"/>
          <w:kern w:val="0"/>
          <w:sz w:val="21"/>
          <w:szCs w:val="21"/>
        </w:rPr>
        <w:t xml:space="preserve">, (The Hague: </w:t>
      </w:r>
      <w:r>
        <w:rPr>
          <w:rFonts w:ascii="Times New Roman" w:hAnsi="Times New Roman" w:cs="Times New Roman" w:hint="eastAsia"/>
          <w:kern w:val="0"/>
          <w:sz w:val="21"/>
          <w:szCs w:val="21"/>
        </w:rPr>
        <w:tab/>
      </w:r>
      <w:r w:rsidRPr="00C44475">
        <w:rPr>
          <w:rFonts w:ascii="Times New Roman" w:hAnsi="Times New Roman" w:cs="Times New Roman"/>
          <w:kern w:val="0"/>
          <w:sz w:val="21"/>
          <w:szCs w:val="21"/>
        </w:rPr>
        <w:t>Kluwer, 1974), pp. 83-99.</w:t>
      </w:r>
    </w:p>
    <w:p w:rsidR="001B7792" w:rsidRPr="00C44475" w:rsidRDefault="001B7792" w:rsidP="007C7263">
      <w:pPr>
        <w:pStyle w:val="FootnoteText"/>
        <w:rPr>
          <w:rFonts w:ascii="Times New Roman" w:hAnsi="Times New Roman" w:cs="Times New Roman"/>
          <w:sz w:val="21"/>
          <w:szCs w:val="21"/>
        </w:rPr>
      </w:pPr>
      <w:r w:rsidRPr="00C44475">
        <w:rPr>
          <w:rFonts w:ascii="Times New Roman" w:hAnsi="Times New Roman" w:cs="Times New Roman"/>
          <w:sz w:val="21"/>
          <w:szCs w:val="21"/>
        </w:rPr>
        <w:t xml:space="preserve">Veale, Sarah, ‘Orientalism in Iamblichus’ The Mysteries’, </w:t>
      </w:r>
      <w:r w:rsidRPr="00C44475">
        <w:rPr>
          <w:rFonts w:ascii="Times New Roman" w:hAnsi="Times New Roman" w:cs="Times New Roman"/>
          <w:i/>
          <w:sz w:val="21"/>
          <w:szCs w:val="21"/>
        </w:rPr>
        <w:t>The Pomegranate</w:t>
      </w:r>
      <w:r w:rsidRPr="00C44475">
        <w:rPr>
          <w:rFonts w:ascii="Times New Roman" w:hAnsi="Times New Roman" w:cs="Times New Roman"/>
          <w:sz w:val="21"/>
          <w:szCs w:val="21"/>
        </w:rPr>
        <w:t xml:space="preserve"> 15 1-2 (2013)</w:t>
      </w:r>
      <w:r w:rsidR="00C2516B" w:rsidRPr="00C44475">
        <w:rPr>
          <w:rFonts w:ascii="Times New Roman" w:hAnsi="Times New Roman" w:cs="Times New Roman"/>
          <w:sz w:val="21"/>
          <w:szCs w:val="21"/>
        </w:rPr>
        <w:t xml:space="preserve"> 202-</w:t>
      </w:r>
      <w:r w:rsidRPr="00C44475">
        <w:rPr>
          <w:rFonts w:ascii="Times New Roman" w:hAnsi="Times New Roman" w:cs="Times New Roman"/>
          <w:sz w:val="21"/>
          <w:szCs w:val="21"/>
        </w:rPr>
        <w:t xml:space="preserve"> 222,</w:t>
      </w:r>
      <w:r w:rsidR="00343277" w:rsidRPr="00C44475">
        <w:rPr>
          <w:rFonts w:ascii="Times New Roman" w:hAnsi="Times New Roman" w:cs="Times New Roman"/>
          <w:sz w:val="21"/>
          <w:szCs w:val="21"/>
        </w:rPr>
        <w:t xml:space="preserve"> &lt;</w:t>
      </w:r>
      <w:r w:rsidR="00343277" w:rsidRPr="00C44475">
        <w:rPr>
          <w:rFonts w:ascii="Times New Roman" w:hAnsi="Times New Roman" w:cs="Times New Roman"/>
          <w:sz w:val="21"/>
          <w:szCs w:val="21"/>
          <w:u w:val="single"/>
        </w:rPr>
        <w:t>https:do</w:t>
      </w:r>
      <w:r w:rsidRPr="00C44475">
        <w:rPr>
          <w:rFonts w:ascii="Times New Roman" w:hAnsi="Times New Roman" w:cs="Times New Roman"/>
          <w:sz w:val="21"/>
          <w:szCs w:val="21"/>
        </w:rPr>
        <w:t xml:space="preserve"> </w:t>
      </w:r>
      <w:r w:rsidR="00343277" w:rsidRPr="00C44475">
        <w:rPr>
          <w:rFonts w:ascii="Times New Roman" w:hAnsi="Times New Roman" w:cs="Times New Roman"/>
          <w:sz w:val="21"/>
          <w:szCs w:val="21"/>
        </w:rPr>
        <w:tab/>
      </w:r>
      <w:hyperlink r:id="rId10" w:history="1">
        <w:r w:rsidR="00485752" w:rsidRPr="00C44475">
          <w:rPr>
            <w:rStyle w:val="Hyperlink"/>
            <w:rFonts w:ascii="Times New Roman" w:hAnsi="Times New Roman" w:cs="Times New Roman"/>
            <w:color w:val="000000" w:themeColor="text1"/>
            <w:kern w:val="0"/>
            <w:sz w:val="21"/>
            <w:szCs w:val="21"/>
            <w:lang w:bidi="he-IL"/>
          </w:rPr>
          <w:t>i:</w:t>
        </w:r>
        <w:r w:rsidRPr="00C44475">
          <w:rPr>
            <w:rStyle w:val="Hyperlink"/>
            <w:rFonts w:ascii="Times New Roman" w:hAnsi="Times New Roman" w:cs="Times New Roman"/>
            <w:color w:val="000000" w:themeColor="text1"/>
            <w:kern w:val="0"/>
            <w:sz w:val="21"/>
            <w:szCs w:val="21"/>
            <w:lang w:bidi="he-IL"/>
          </w:rPr>
          <w:t>10.1558/pome.vl5il-2.202</w:t>
        </w:r>
      </w:hyperlink>
      <w:r w:rsidRPr="00C44475">
        <w:rPr>
          <w:rFonts w:ascii="Times New Roman" w:hAnsi="Times New Roman" w:cs="Times New Roman"/>
          <w:color w:val="000000" w:themeColor="text1"/>
          <w:kern w:val="0"/>
          <w:sz w:val="21"/>
          <w:szCs w:val="21"/>
          <w:lang w:bidi="he-IL"/>
        </w:rPr>
        <w:t>&gt; [accessed May 20, 2019]</w:t>
      </w:r>
    </w:p>
    <w:p w:rsidR="001B7792" w:rsidRPr="00343277" w:rsidRDefault="001B7792" w:rsidP="001B7792">
      <w:pPr>
        <w:jc w:val="left"/>
        <w:rPr>
          <w:rFonts w:ascii="Times New Roman" w:hAnsi="Times New Roman" w:cs="Times New Roman"/>
          <w:szCs w:val="21"/>
        </w:rPr>
      </w:pPr>
      <w:r w:rsidRPr="00343277">
        <w:rPr>
          <w:rFonts w:ascii="Times New Roman" w:hAnsi="Times New Roman" w:cs="Times New Roman"/>
          <w:szCs w:val="21"/>
        </w:rPr>
        <w:t xml:space="preserve">Volgers, Annelie, and Claudio </w:t>
      </w:r>
      <w:r w:rsidR="002279A3" w:rsidRPr="00343277">
        <w:rPr>
          <w:rFonts w:ascii="Times New Roman" w:hAnsi="Times New Roman" w:cs="Times New Roman"/>
          <w:szCs w:val="21"/>
        </w:rPr>
        <w:t xml:space="preserve">Zamagni </w:t>
      </w:r>
      <w:r w:rsidRPr="00343277">
        <w:rPr>
          <w:rFonts w:ascii="Times New Roman" w:hAnsi="Times New Roman" w:cs="Times New Roman"/>
          <w:szCs w:val="21"/>
        </w:rPr>
        <w:t xml:space="preserve">(eds), </w:t>
      </w:r>
      <w:r w:rsidRPr="00343277">
        <w:rPr>
          <w:rFonts w:ascii="Times New Roman" w:hAnsi="Times New Roman" w:cs="Times New Roman"/>
          <w:i/>
          <w:szCs w:val="21"/>
        </w:rPr>
        <w:t xml:space="preserve">Erotapokriseis: Early Christian Question-and-Answer Literature </w:t>
      </w:r>
      <w:r w:rsidR="00485752">
        <w:rPr>
          <w:rFonts w:ascii="Times New Roman" w:hAnsi="Times New Roman" w:cs="Times New Roman" w:hint="eastAsia"/>
          <w:i/>
          <w:szCs w:val="21"/>
        </w:rPr>
        <w:tab/>
      </w:r>
      <w:r w:rsidRPr="00343277">
        <w:rPr>
          <w:rFonts w:ascii="Times New Roman" w:hAnsi="Times New Roman" w:cs="Times New Roman"/>
          <w:i/>
          <w:szCs w:val="21"/>
        </w:rPr>
        <w:t>in Context</w:t>
      </w:r>
      <w:r w:rsidRPr="00343277">
        <w:rPr>
          <w:rFonts w:ascii="Times New Roman" w:hAnsi="Times New Roman" w:cs="Times New Roman"/>
          <w:szCs w:val="21"/>
        </w:rPr>
        <w:t>, (Paris: Peeters, 2004)</w:t>
      </w:r>
    </w:p>
    <w:p w:rsidR="00353F9D" w:rsidRPr="00343277" w:rsidRDefault="00353F9D" w:rsidP="001B7792">
      <w:pPr>
        <w:jc w:val="left"/>
        <w:rPr>
          <w:rFonts w:ascii="Times New Roman" w:hAnsi="Times New Roman" w:cs="Times New Roman"/>
          <w:szCs w:val="21"/>
        </w:rPr>
      </w:pPr>
      <w:r w:rsidRPr="00343277">
        <w:rPr>
          <w:rFonts w:ascii="Times New Roman" w:hAnsi="Times New Roman" w:cs="Times New Roman"/>
          <w:color w:val="000000" w:themeColor="text1"/>
          <w:szCs w:val="21"/>
        </w:rPr>
        <w:t>Wind,</w:t>
      </w:r>
      <w:r w:rsidR="002E2D10" w:rsidRPr="00343277">
        <w:rPr>
          <w:rFonts w:ascii="Times New Roman" w:hAnsi="Times New Roman" w:cs="Times New Roman"/>
          <w:color w:val="000000" w:themeColor="text1"/>
          <w:szCs w:val="21"/>
        </w:rPr>
        <w:t xml:space="preserve"> Edgar,</w:t>
      </w:r>
      <w:r w:rsidRPr="00343277">
        <w:rPr>
          <w:rFonts w:ascii="Times New Roman" w:hAnsi="Times New Roman" w:cs="Times New Roman"/>
          <w:color w:val="000000" w:themeColor="text1"/>
          <w:szCs w:val="21"/>
        </w:rPr>
        <w:t xml:space="preserve"> </w:t>
      </w:r>
      <w:r w:rsidRPr="00343277">
        <w:rPr>
          <w:rFonts w:ascii="Times New Roman" w:hAnsi="Times New Roman" w:cs="Times New Roman"/>
          <w:i/>
          <w:color w:val="000000" w:themeColor="text1"/>
          <w:szCs w:val="21"/>
        </w:rPr>
        <w:t xml:space="preserve">Pagan Mysteries in the Renaissance: An Exploration of Philosophical and Mystical Sources of </w:t>
      </w:r>
      <w:r w:rsidR="00485752">
        <w:rPr>
          <w:rFonts w:ascii="Times New Roman" w:hAnsi="Times New Roman" w:cs="Times New Roman" w:hint="eastAsia"/>
          <w:i/>
          <w:color w:val="000000" w:themeColor="text1"/>
          <w:szCs w:val="21"/>
        </w:rPr>
        <w:tab/>
      </w:r>
      <w:r w:rsidRPr="00343277">
        <w:rPr>
          <w:rFonts w:ascii="Times New Roman" w:hAnsi="Times New Roman" w:cs="Times New Roman"/>
          <w:i/>
          <w:color w:val="000000" w:themeColor="text1"/>
          <w:szCs w:val="21"/>
        </w:rPr>
        <w:t>Iconography in Renaissance Art</w:t>
      </w:r>
      <w:r w:rsidRPr="00343277">
        <w:rPr>
          <w:rFonts w:ascii="Times New Roman" w:hAnsi="Times New Roman" w:cs="Times New Roman"/>
          <w:color w:val="000000" w:themeColor="text1"/>
          <w:szCs w:val="21"/>
        </w:rPr>
        <w:t>, (London: W.W. Norton, 1968)</w:t>
      </w:r>
    </w:p>
    <w:p w:rsidR="009E1057" w:rsidRPr="00D53088" w:rsidRDefault="009E1057" w:rsidP="001B7792">
      <w:pPr>
        <w:jc w:val="left"/>
        <w:rPr>
          <w:rFonts w:ascii="Times New Roman" w:hAnsi="Times New Roman" w:cs="Times New Roman"/>
        </w:rPr>
      </w:pPr>
    </w:p>
    <w:p w:rsidR="001B7792" w:rsidRPr="001B7792" w:rsidRDefault="001B7792" w:rsidP="004872E2">
      <w:pPr>
        <w:jc w:val="left"/>
        <w:rPr>
          <w:rFonts w:ascii="Times New Roman" w:hAnsi="Times New Roman" w:cs="Times New Roman"/>
          <w:sz w:val="24"/>
          <w:szCs w:val="24"/>
        </w:rPr>
      </w:pPr>
    </w:p>
    <w:sectPr w:rsidR="001B7792" w:rsidRPr="001B7792" w:rsidSect="004017DD">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5EE1" w:rsidRDefault="007E5EE1" w:rsidP="006D74AB">
      <w:r>
        <w:separator/>
      </w:r>
    </w:p>
  </w:endnote>
  <w:endnote w:type="continuationSeparator" w:id="1">
    <w:p w:rsidR="007E5EE1" w:rsidRDefault="007E5EE1" w:rsidP="006D74A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567485"/>
      <w:docPartObj>
        <w:docPartGallery w:val="Page Numbers (Bottom of Page)"/>
        <w:docPartUnique/>
      </w:docPartObj>
    </w:sdtPr>
    <w:sdtContent>
      <w:p w:rsidR="006273EA" w:rsidRDefault="00F625D4">
        <w:pPr>
          <w:pStyle w:val="Footer"/>
          <w:jc w:val="right"/>
        </w:pPr>
        <w:fldSimple w:instr=" PAGE   \* MERGEFORMAT ">
          <w:r w:rsidR="004C687B">
            <w:rPr>
              <w:noProof/>
            </w:rPr>
            <w:t>1</w:t>
          </w:r>
        </w:fldSimple>
      </w:p>
    </w:sdtContent>
  </w:sdt>
  <w:p w:rsidR="006273EA" w:rsidRDefault="006273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5EE1" w:rsidRDefault="007E5EE1" w:rsidP="006D74AB">
      <w:r>
        <w:separator/>
      </w:r>
    </w:p>
  </w:footnote>
  <w:footnote w:type="continuationSeparator" w:id="1">
    <w:p w:rsidR="007E5EE1" w:rsidRDefault="007E5EE1" w:rsidP="006D74AB">
      <w:r>
        <w:continuationSeparator/>
      </w:r>
    </w:p>
  </w:footnote>
  <w:footnote w:id="2">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Iamblichus,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xml:space="preserve">, trans. by Emma Clark, John Dillon and Jackson Hershbell, (Atlanta: Society of Biblical Literature, 2003). Porphyry’s </w:t>
      </w:r>
      <w:r w:rsidRPr="00FE584B">
        <w:rPr>
          <w:rFonts w:ascii="Times New Roman" w:hAnsi="Times New Roman" w:cs="Times New Roman"/>
          <w:i/>
          <w:sz w:val="17"/>
          <w:szCs w:val="17"/>
        </w:rPr>
        <w:t>Letter to Anebo</w:t>
      </w:r>
      <w:r w:rsidRPr="00FE584B">
        <w:rPr>
          <w:rFonts w:ascii="Times New Roman" w:hAnsi="Times New Roman" w:cs="Times New Roman"/>
          <w:sz w:val="17"/>
          <w:szCs w:val="17"/>
        </w:rPr>
        <w:t xml:space="preserve"> survives only in quotations from Iamblichus, Eusebius, Augustine, and others. An attempt to reconstruct the letter was made in </w:t>
      </w:r>
      <w:r w:rsidRPr="00FE584B">
        <w:rPr>
          <w:rFonts w:ascii="Times New Roman" w:hAnsi="Times New Roman" w:cs="Times New Roman"/>
          <w:i/>
          <w:sz w:val="17"/>
          <w:szCs w:val="17"/>
        </w:rPr>
        <w:t>Porfirio, Lettera ad Anebo</w:t>
      </w:r>
      <w:r w:rsidRPr="00FE584B">
        <w:rPr>
          <w:rFonts w:ascii="Times New Roman" w:hAnsi="Times New Roman" w:cs="Times New Roman"/>
          <w:sz w:val="17"/>
          <w:szCs w:val="17"/>
        </w:rPr>
        <w:t xml:space="preserve">, ed. by Angelo Sodano (Naples: L’arte Tipographica, 1958). </w:t>
      </w:r>
      <w:r w:rsidRPr="00FE584B">
        <w:rPr>
          <w:rFonts w:ascii="Times New Roman" w:hAnsi="Times New Roman" w:cs="Times New Roman"/>
          <w:kern w:val="0"/>
          <w:sz w:val="17"/>
          <w:szCs w:val="17"/>
        </w:rPr>
        <w:t>Since the time of Proclus, it has been widely thought that Iamblichus answered Porphyry under the guise of an Egyptian priest called, ‘Abamon.’ Iamblichus believed that he was the intended audience of Porphyry’s letter and claimed that Anebo was his student (</w:t>
      </w:r>
      <w:r w:rsidRPr="00FE584B">
        <w:rPr>
          <w:rFonts w:ascii="Times New Roman" w:hAnsi="Times New Roman" w:cs="Times New Roman"/>
          <w:i/>
          <w:kern w:val="0"/>
          <w:sz w:val="17"/>
          <w:szCs w:val="17"/>
        </w:rPr>
        <w:t>De mysteriis</w:t>
      </w:r>
      <w:r w:rsidRPr="00FE584B">
        <w:rPr>
          <w:rFonts w:ascii="Times New Roman" w:hAnsi="Times New Roman" w:cs="Times New Roman"/>
          <w:kern w:val="0"/>
          <w:sz w:val="17"/>
          <w:szCs w:val="17"/>
        </w:rPr>
        <w:t xml:space="preserve">, </w:t>
      </w:r>
      <w:r w:rsidRPr="00FE584B">
        <w:rPr>
          <w:rFonts w:ascii="Times New Roman" w:hAnsi="Times New Roman" w:cs="Times New Roman"/>
          <w:sz w:val="17"/>
          <w:szCs w:val="17"/>
        </w:rPr>
        <w:t>I.1.2.6-7).</w:t>
      </w:r>
    </w:p>
  </w:footnote>
  <w:footnote w:id="3">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color w:val="000000" w:themeColor="text1"/>
          <w:kern w:val="0"/>
          <w:sz w:val="17"/>
          <w:szCs w:val="17"/>
        </w:rPr>
        <w:t>θεου</w:t>
      </w:r>
      <w:r w:rsidR="0050008D">
        <w:rPr>
          <w:rFonts w:ascii="Times New Roman" w:hAnsi="Times New Roman" w:cs="Times New Roman"/>
          <w:color w:val="000000" w:themeColor="text1"/>
          <w:kern w:val="0"/>
          <w:sz w:val="17"/>
          <w:szCs w:val="17"/>
        </w:rPr>
        <w:t>ρ</w:t>
      </w:r>
      <w:r w:rsidRPr="00FE584B">
        <w:rPr>
          <w:rFonts w:ascii="Times New Roman" w:hAnsi="Times New Roman" w:cs="Times New Roman"/>
          <w:color w:val="000000" w:themeColor="text1"/>
          <w:kern w:val="0"/>
          <w:sz w:val="17"/>
          <w:szCs w:val="17"/>
        </w:rPr>
        <w:t xml:space="preserve">γία can be translated as ‘god-working’ and the definition of what constitutes theurgy varies. </w:t>
      </w:r>
      <w:r w:rsidRPr="00FE584B">
        <w:rPr>
          <w:rFonts w:ascii="Times New Roman" w:hAnsi="Times New Roman" w:cs="Times New Roman"/>
          <w:sz w:val="17"/>
          <w:szCs w:val="17"/>
        </w:rPr>
        <w:t>Emma Clarke claims her description is concerned with Iamblichus’ definition. She states, ‘The process of theurgy … can be defined as religious ritual demonstrating supernatural power, both symbolized and encapsulated the extraordinary miracle of the soul’s conversion back to its divine cause…’ (</w:t>
      </w:r>
      <w:r w:rsidRPr="00FE584B">
        <w:rPr>
          <w:rFonts w:ascii="Times New Roman" w:hAnsi="Times New Roman" w:cs="Times New Roman"/>
          <w:i/>
          <w:iCs/>
          <w:kern w:val="0"/>
          <w:sz w:val="17"/>
          <w:szCs w:val="17"/>
        </w:rPr>
        <w:t>De Mysteriis</w:t>
      </w:r>
      <w:r w:rsidRPr="00FE584B">
        <w:rPr>
          <w:rFonts w:ascii="Times New Roman" w:hAnsi="Times New Roman" w:cs="Times New Roman"/>
          <w:kern w:val="0"/>
          <w:sz w:val="17"/>
          <w:szCs w:val="17"/>
        </w:rPr>
        <w:t>, p. xxvii). Polymnia Athanassiadi calls theurgy ‘a dynamic state of mind’ and states that based on Iamblichus’ understanding, a provisional definition of theurgy is, ‘… the often involuntary manifestation of an inner state of sanctity d</w:t>
      </w:r>
      <w:r w:rsidRPr="00FE584B">
        <w:rPr>
          <w:rFonts w:ascii="Times New Roman" w:hAnsi="Times New Roman" w:cs="Times New Roman"/>
          <w:color w:val="000000" w:themeColor="text1"/>
          <w:kern w:val="0"/>
          <w:sz w:val="17"/>
          <w:szCs w:val="17"/>
        </w:rPr>
        <w:t xml:space="preserve">eriving from a combination of goodness and knowledge in which the former element prevails.’ in ‘Dreams, Theurgy, and Freelance Divination: The Testimony of Iamblichus’, </w:t>
      </w:r>
      <w:r w:rsidRPr="00FE584B">
        <w:rPr>
          <w:rFonts w:ascii="Times New Roman" w:hAnsi="Times New Roman" w:cs="Times New Roman"/>
          <w:i/>
          <w:color w:val="000000" w:themeColor="text1"/>
          <w:kern w:val="0"/>
          <w:sz w:val="17"/>
          <w:szCs w:val="17"/>
        </w:rPr>
        <w:t>The Journal of Roman Studies</w:t>
      </w:r>
      <w:r w:rsidRPr="00FE584B">
        <w:rPr>
          <w:rFonts w:ascii="Times New Roman" w:hAnsi="Times New Roman" w:cs="Times New Roman"/>
          <w:color w:val="000000" w:themeColor="text1"/>
          <w:kern w:val="0"/>
          <w:sz w:val="17"/>
          <w:szCs w:val="17"/>
        </w:rPr>
        <w:t xml:space="preserve"> 83 (1993) </w:t>
      </w:r>
      <w:r w:rsidR="0050008D">
        <w:rPr>
          <w:rFonts w:ascii="Times New Roman" w:hAnsi="Times New Roman" w:cs="Times New Roman" w:hint="eastAsia"/>
          <w:color w:val="000000" w:themeColor="text1"/>
          <w:kern w:val="0"/>
          <w:sz w:val="17"/>
          <w:szCs w:val="17"/>
        </w:rPr>
        <w:t xml:space="preserve">p. </w:t>
      </w:r>
      <w:r w:rsidRPr="00FE584B">
        <w:rPr>
          <w:rFonts w:ascii="Times New Roman" w:hAnsi="Times New Roman" w:cs="Times New Roman"/>
          <w:color w:val="000000" w:themeColor="text1"/>
          <w:kern w:val="0"/>
          <w:sz w:val="17"/>
          <w:szCs w:val="17"/>
        </w:rPr>
        <w:t>116.</w:t>
      </w:r>
    </w:p>
  </w:footnote>
  <w:footnote w:id="4">
    <w:p w:rsidR="006273EA" w:rsidRPr="00343277" w:rsidRDefault="006273EA" w:rsidP="00F46C9C">
      <w:pPr>
        <w:widowControl/>
        <w:autoSpaceDE w:val="0"/>
        <w:autoSpaceDN w:val="0"/>
        <w:adjustRightInd w:val="0"/>
        <w:jc w:val="left"/>
        <w:rPr>
          <w:rFonts w:ascii="Times New Roman" w:hAnsi="Times New Roman" w:cs="Times New Roman"/>
          <w:color w:val="000000" w:themeColor="text1"/>
          <w:sz w:val="17"/>
          <w:szCs w:val="17"/>
        </w:rPr>
      </w:pPr>
      <w:r w:rsidRPr="00343277">
        <w:rPr>
          <w:rStyle w:val="FootnoteReference"/>
          <w:rFonts w:ascii="Times New Roman" w:hAnsi="Times New Roman" w:cs="Times New Roman"/>
          <w:color w:val="000000" w:themeColor="text1"/>
          <w:sz w:val="17"/>
          <w:szCs w:val="17"/>
        </w:rPr>
        <w:footnoteRef/>
      </w:r>
      <w:r w:rsidRPr="00343277">
        <w:rPr>
          <w:rFonts w:ascii="Times New Roman" w:hAnsi="Times New Roman" w:cs="Times New Roman"/>
          <w:color w:val="000000" w:themeColor="text1"/>
          <w:sz w:val="17"/>
          <w:szCs w:val="17"/>
        </w:rPr>
        <w:t xml:space="preserve"> On the soteriological importance in theurgy see, John Finamore, ‘Iamblichus, Theurgy, and the Soul’s Ascent’, in </w:t>
      </w:r>
      <w:r w:rsidRPr="00343277">
        <w:rPr>
          <w:rFonts w:ascii="Times New Roman" w:hAnsi="Times New Roman" w:cs="Times New Roman"/>
          <w:i/>
          <w:color w:val="000000" w:themeColor="text1"/>
          <w:kern w:val="0"/>
          <w:sz w:val="17"/>
          <w:szCs w:val="17"/>
        </w:rPr>
        <w:t>Religionsgeschichtliche Versuche und Vorarbeiten: Philosophy and Salvation in Greek Religion</w:t>
      </w:r>
      <w:r w:rsidRPr="00343277">
        <w:rPr>
          <w:rFonts w:ascii="Times New Roman" w:hAnsi="Times New Roman" w:cs="Times New Roman"/>
          <w:color w:val="000000" w:themeColor="text1"/>
          <w:kern w:val="0"/>
          <w:sz w:val="17"/>
          <w:szCs w:val="17"/>
        </w:rPr>
        <w:t xml:space="preserve">, </w:t>
      </w:r>
      <w:r w:rsidRPr="00343277">
        <w:rPr>
          <w:rFonts w:ascii="Times New Roman" w:hAnsi="Times New Roman" w:cs="Times New Roman" w:hint="eastAsia"/>
          <w:color w:val="000000" w:themeColor="text1"/>
          <w:kern w:val="0"/>
          <w:sz w:val="17"/>
          <w:szCs w:val="17"/>
        </w:rPr>
        <w:t xml:space="preserve">ed. by Vishwa Adluri, </w:t>
      </w:r>
      <w:r w:rsidRPr="00343277">
        <w:rPr>
          <w:rFonts w:ascii="Times New Roman" w:hAnsi="Times New Roman" w:cs="Times New Roman"/>
          <w:color w:val="000000" w:themeColor="text1"/>
          <w:kern w:val="0"/>
          <w:sz w:val="17"/>
          <w:szCs w:val="17"/>
        </w:rPr>
        <w:t xml:space="preserve">(Berlin: </w:t>
      </w:r>
      <w:r w:rsidRPr="00343277">
        <w:rPr>
          <w:rFonts w:ascii="Times New Roman" w:hAnsi="Times New Roman" w:cs="Times New Roman"/>
          <w:color w:val="000000" w:themeColor="text1"/>
          <w:sz w:val="17"/>
          <w:szCs w:val="17"/>
        </w:rPr>
        <w:t xml:space="preserve">De Gruyter, </w:t>
      </w:r>
      <w:r w:rsidRPr="00343277">
        <w:rPr>
          <w:rFonts w:ascii="Times New Roman" w:hAnsi="Times New Roman" w:cs="Times New Roman" w:hint="eastAsia"/>
          <w:color w:val="000000" w:themeColor="text1"/>
          <w:sz w:val="17"/>
          <w:szCs w:val="17"/>
        </w:rPr>
        <w:t>2013</w:t>
      </w:r>
      <w:r w:rsidRPr="00343277">
        <w:rPr>
          <w:rFonts w:ascii="Times New Roman" w:hAnsi="Times New Roman" w:cs="Times New Roman"/>
          <w:color w:val="000000" w:themeColor="text1"/>
          <w:sz w:val="17"/>
          <w:szCs w:val="17"/>
        </w:rPr>
        <w:t>)</w:t>
      </w:r>
      <w:r w:rsidR="0050008D">
        <w:rPr>
          <w:rFonts w:ascii="Times New Roman" w:hAnsi="Times New Roman" w:cs="Times New Roman" w:hint="eastAsia"/>
          <w:color w:val="000000" w:themeColor="text1"/>
          <w:sz w:val="17"/>
          <w:szCs w:val="17"/>
        </w:rPr>
        <w:t>, pp.</w:t>
      </w:r>
      <w:r w:rsidRPr="00343277">
        <w:rPr>
          <w:rFonts w:ascii="Times New Roman" w:hAnsi="Times New Roman" w:cs="Times New Roman"/>
          <w:color w:val="000000" w:themeColor="text1"/>
          <w:sz w:val="17"/>
          <w:szCs w:val="17"/>
        </w:rPr>
        <w:t xml:space="preserve"> 343-356.</w:t>
      </w:r>
    </w:p>
  </w:footnote>
  <w:footnote w:id="5">
    <w:p w:rsidR="006273EA" w:rsidRPr="00FE584B" w:rsidRDefault="006273EA" w:rsidP="006D74AB">
      <w:pPr>
        <w:pStyle w:val="FootnoteText"/>
        <w:rPr>
          <w:rFonts w:ascii="Times New Roman" w:hAnsi="Times New Roman" w:cs="Times New Roman"/>
          <w:color w:val="000000" w:themeColor="text1"/>
          <w:sz w:val="17"/>
          <w:szCs w:val="17"/>
        </w:rPr>
      </w:pPr>
      <w:r w:rsidRPr="00343277">
        <w:rPr>
          <w:rStyle w:val="FootnoteReference"/>
          <w:rFonts w:ascii="Times New Roman" w:hAnsi="Times New Roman" w:cs="Times New Roman"/>
          <w:color w:val="000000" w:themeColor="text1"/>
          <w:sz w:val="17"/>
          <w:szCs w:val="17"/>
        </w:rPr>
        <w:footnoteRef/>
      </w:r>
      <w:r w:rsidRPr="00343277">
        <w:rPr>
          <w:rFonts w:ascii="Times New Roman" w:hAnsi="Times New Roman" w:cs="Times New Roman"/>
          <w:color w:val="000000" w:themeColor="text1"/>
          <w:sz w:val="17"/>
          <w:szCs w:val="17"/>
        </w:rPr>
        <w:t xml:space="preserve"> </w:t>
      </w:r>
      <w:r w:rsidRPr="00343277">
        <w:rPr>
          <w:rFonts w:ascii="Times New Roman" w:hAnsi="Times New Roman" w:cs="Times New Roman"/>
          <w:i/>
          <w:color w:val="000000" w:themeColor="text1"/>
          <w:kern w:val="0"/>
          <w:sz w:val="17"/>
          <w:szCs w:val="17"/>
        </w:rPr>
        <w:t>De mysteriis</w:t>
      </w:r>
      <w:r w:rsidRPr="00343277">
        <w:rPr>
          <w:rFonts w:ascii="Times New Roman" w:hAnsi="Times New Roman" w:cs="Times New Roman"/>
          <w:color w:val="000000" w:themeColor="text1"/>
          <w:kern w:val="0"/>
          <w:sz w:val="17"/>
          <w:szCs w:val="17"/>
        </w:rPr>
        <w:t>,</w:t>
      </w:r>
      <w:r w:rsidRPr="00343277">
        <w:rPr>
          <w:rFonts w:ascii="Times New Roman" w:hAnsi="Times New Roman" w:cs="Times New Roman"/>
          <w:i/>
          <w:iCs/>
          <w:color w:val="000000" w:themeColor="text1"/>
          <w:kern w:val="0"/>
          <w:sz w:val="17"/>
          <w:szCs w:val="17"/>
        </w:rPr>
        <w:t xml:space="preserve"> </w:t>
      </w:r>
      <w:r w:rsidRPr="00343277">
        <w:rPr>
          <w:rFonts w:ascii="Times New Roman" w:hAnsi="Times New Roman" w:cs="Times New Roman"/>
          <w:color w:val="000000" w:themeColor="text1"/>
          <w:kern w:val="0"/>
          <w:sz w:val="17"/>
          <w:szCs w:val="17"/>
        </w:rPr>
        <w:t>III.1.99.9-10.</w:t>
      </w:r>
    </w:p>
  </w:footnote>
  <w:footnote w:id="6">
    <w:p w:rsidR="006273EA" w:rsidRPr="00FE584B" w:rsidRDefault="006273EA">
      <w:pPr>
        <w:pStyle w:val="FootnoteText"/>
        <w:rPr>
          <w:rFonts w:ascii="Times New Roman" w:hAnsi="Times New Roman" w:cs="Times New Roman"/>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A primary text for theurgist</w:t>
      </w:r>
      <w:r w:rsidR="0050008D">
        <w:rPr>
          <w:rFonts w:ascii="Times New Roman" w:hAnsi="Times New Roman" w:cs="Times New Roman" w:hint="eastAsia"/>
          <w:color w:val="000000" w:themeColor="text1"/>
          <w:sz w:val="17"/>
          <w:szCs w:val="17"/>
        </w:rPr>
        <w:t>s</w:t>
      </w:r>
      <w:r w:rsidRPr="00FE584B">
        <w:rPr>
          <w:rFonts w:ascii="Times New Roman" w:hAnsi="Times New Roman" w:cs="Times New Roman"/>
          <w:color w:val="000000" w:themeColor="text1"/>
          <w:sz w:val="17"/>
          <w:szCs w:val="17"/>
        </w:rPr>
        <w:t xml:space="preserve"> was the </w:t>
      </w:r>
      <w:r w:rsidRPr="00FE584B">
        <w:rPr>
          <w:rFonts w:ascii="Times New Roman" w:hAnsi="Times New Roman" w:cs="Times New Roman"/>
          <w:i/>
          <w:color w:val="000000" w:themeColor="text1"/>
          <w:sz w:val="17"/>
          <w:szCs w:val="17"/>
        </w:rPr>
        <w:t>Chaldean Oracles</w:t>
      </w:r>
      <w:r w:rsidRPr="00FE584B">
        <w:rPr>
          <w:rFonts w:ascii="Times New Roman" w:hAnsi="Times New Roman" w:cs="Times New Roman"/>
          <w:color w:val="000000" w:themeColor="text1"/>
          <w:sz w:val="17"/>
          <w:szCs w:val="17"/>
        </w:rPr>
        <w:t xml:space="preserve"> which only survives in fragments. An edition was translated and edited by Ruth Majercik, </w:t>
      </w:r>
      <w:r w:rsidRPr="00FE584B">
        <w:rPr>
          <w:rFonts w:ascii="Times New Roman" w:hAnsi="Times New Roman" w:cs="Times New Roman"/>
          <w:i/>
          <w:color w:val="000000" w:themeColor="text1"/>
          <w:sz w:val="17"/>
          <w:szCs w:val="17"/>
        </w:rPr>
        <w:t>The Chaldean Oracles: Text, Translation and Commentary</w:t>
      </w:r>
      <w:r w:rsidRPr="00FE584B">
        <w:rPr>
          <w:rFonts w:ascii="Times New Roman" w:hAnsi="Times New Roman" w:cs="Times New Roman"/>
          <w:color w:val="000000" w:themeColor="text1"/>
          <w:sz w:val="17"/>
          <w:szCs w:val="17"/>
        </w:rPr>
        <w:t>, (Leiden: Brill, 1989).</w:t>
      </w:r>
    </w:p>
  </w:footnote>
  <w:footnote w:id="7">
    <w:p w:rsidR="006273EA" w:rsidRPr="00FE584B" w:rsidRDefault="006273EA" w:rsidP="00005AE5">
      <w:pPr>
        <w:pStyle w:val="Defaul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Proclus’ classifications of theurgy can be seen in Anne Sheppard, ‘Proclus’ Attitude to Theurgy’, </w:t>
      </w:r>
      <w:r w:rsidRPr="00FE584B">
        <w:rPr>
          <w:rFonts w:ascii="Times New Roman" w:hAnsi="Times New Roman" w:cs="Times New Roman"/>
          <w:i/>
          <w:color w:val="000000" w:themeColor="text1"/>
          <w:sz w:val="17"/>
          <w:szCs w:val="17"/>
        </w:rPr>
        <w:t>The Classical Quarterly</w:t>
      </w:r>
      <w:r w:rsidRPr="00FE584B">
        <w:rPr>
          <w:rFonts w:ascii="Times New Roman" w:hAnsi="Times New Roman" w:cs="Times New Roman"/>
          <w:color w:val="000000" w:themeColor="text1"/>
          <w:sz w:val="17"/>
          <w:szCs w:val="17"/>
        </w:rPr>
        <w:t xml:space="preserve">, 32 1 (1982) 212-224; For Julian’s high view on whom he called, ‘the divine Iamblichus’ see </w:t>
      </w:r>
      <w:r w:rsidRPr="00FE584B">
        <w:rPr>
          <w:rFonts w:ascii="Times New Roman" w:hAnsi="Times New Roman" w:cs="Times New Roman"/>
          <w:i/>
          <w:color w:val="000000" w:themeColor="text1"/>
          <w:sz w:val="17"/>
          <w:szCs w:val="17"/>
        </w:rPr>
        <w:t>The Works of Emperor Julian</w:t>
      </w:r>
      <w:r w:rsidRPr="00FE584B">
        <w:rPr>
          <w:rFonts w:ascii="Times New Roman" w:hAnsi="Times New Roman" w:cs="Times New Roman"/>
          <w:color w:val="000000" w:themeColor="text1"/>
          <w:sz w:val="17"/>
          <w:szCs w:val="17"/>
        </w:rPr>
        <w:t xml:space="preserve">, trans. by Wilmer Wright, (London: Heinemann, 1962), pp. 25, 105, 151. For possible Iamblichean influence upon Julian’s philosophy see Adrien Lecerf, ‘Iamblichus and Julian’s ‘Third Demiurge’: A Proposition’, in </w:t>
      </w:r>
      <w:r w:rsidRPr="00FE584B">
        <w:rPr>
          <w:rFonts w:ascii="Times New Roman" w:hAnsi="Times New Roman" w:cs="Times New Roman"/>
          <w:i/>
          <w:color w:val="000000" w:themeColor="text1"/>
          <w:sz w:val="17"/>
          <w:szCs w:val="17"/>
        </w:rPr>
        <w:t>Iamblichus and the Foundations of Late Platonism</w:t>
      </w:r>
      <w:r w:rsidRPr="00FE584B">
        <w:rPr>
          <w:rFonts w:ascii="Times New Roman" w:hAnsi="Times New Roman" w:cs="Times New Roman"/>
          <w:color w:val="000000" w:themeColor="text1"/>
          <w:sz w:val="17"/>
          <w:szCs w:val="17"/>
        </w:rPr>
        <w:t xml:space="preserve">, Afosin, Eugene, John Dillon and John Finamore (eds), pp. 177-201, (Leiden: Brill, 2012).   </w:t>
      </w:r>
    </w:p>
  </w:footnote>
  <w:footnote w:id="8">
    <w:p w:rsidR="006273EA" w:rsidRPr="00FE584B" w:rsidRDefault="006273EA">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Little is known about the personal life of Iamblichus, despite an ancient, but highly hagiographical ‘biography’ by Eunapius, </w:t>
      </w:r>
      <w:r w:rsidRPr="00FE584B">
        <w:rPr>
          <w:rFonts w:ascii="Times New Roman" w:hAnsi="Times New Roman" w:cs="Times New Roman"/>
          <w:i/>
          <w:sz w:val="17"/>
          <w:szCs w:val="17"/>
        </w:rPr>
        <w:t>Lives of the Philosophers and Sophists (Vitae Sophistarum)</w:t>
      </w:r>
      <w:r w:rsidRPr="00FE584B">
        <w:rPr>
          <w:rFonts w:ascii="Times New Roman" w:hAnsi="Times New Roman" w:cs="Times New Roman"/>
          <w:sz w:val="17"/>
          <w:szCs w:val="17"/>
        </w:rPr>
        <w:t xml:space="preserve">, trans. by Wilmer Wright, (Loeb, London and New York: Heinemann, 1922). For a discussion about Iamblichus’ personal life, see the introduction to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xml:space="preserve"> pp. xviii-xxvi. For works by Iamblichus deemed critical of Porphyry, see Iamblichus, </w:t>
      </w:r>
      <w:r w:rsidRPr="00FE584B">
        <w:rPr>
          <w:rFonts w:ascii="Times New Roman" w:hAnsi="Times New Roman" w:cs="Times New Roman"/>
          <w:i/>
          <w:kern w:val="0"/>
          <w:sz w:val="17"/>
          <w:szCs w:val="17"/>
        </w:rPr>
        <w:t>De anima</w:t>
      </w:r>
      <w:r w:rsidRPr="00FE584B">
        <w:rPr>
          <w:rFonts w:ascii="Times New Roman" w:hAnsi="Times New Roman" w:cs="Times New Roman"/>
          <w:kern w:val="0"/>
          <w:sz w:val="17"/>
          <w:szCs w:val="17"/>
        </w:rPr>
        <w:t xml:space="preserve">, trans. by </w:t>
      </w:r>
      <w:r w:rsidRPr="00FE584B">
        <w:rPr>
          <w:rFonts w:ascii="Times New Roman" w:hAnsi="Times New Roman" w:cs="Times New Roman"/>
          <w:sz w:val="17"/>
          <w:szCs w:val="17"/>
        </w:rPr>
        <w:t>John. Finamore and John Dillon, (Leiden: Brill, 2002); Iamblichus, ‘In</w:t>
      </w:r>
      <w:r w:rsidRPr="00FE584B">
        <w:rPr>
          <w:rFonts w:ascii="Times New Roman" w:hAnsi="Times New Roman" w:cs="Times New Roman"/>
          <w:color w:val="000000" w:themeColor="text1"/>
          <w:sz w:val="17"/>
          <w:szCs w:val="17"/>
        </w:rPr>
        <w:t xml:space="preserve"> Timaeum’ in </w:t>
      </w:r>
      <w:r w:rsidRPr="00FE584B">
        <w:rPr>
          <w:rFonts w:ascii="Times New Roman" w:hAnsi="Times New Roman" w:cs="Times New Roman"/>
          <w:i/>
          <w:color w:val="000000" w:themeColor="text1"/>
          <w:sz w:val="17"/>
          <w:szCs w:val="17"/>
        </w:rPr>
        <w:t>In Platonis Dialogos Commentariorum Fragmenta</w:t>
      </w:r>
      <w:r w:rsidRPr="00FE584B">
        <w:rPr>
          <w:rFonts w:ascii="Times New Roman" w:hAnsi="Times New Roman" w:cs="Times New Roman"/>
          <w:color w:val="000000" w:themeColor="text1"/>
          <w:sz w:val="17"/>
          <w:szCs w:val="17"/>
        </w:rPr>
        <w:t>, trans. by John Dillon</w:t>
      </w:r>
      <w:r w:rsidR="00AE67DA">
        <w:rPr>
          <w:rFonts w:ascii="Times New Roman" w:hAnsi="Times New Roman" w:cs="Times New Roman" w:hint="eastAsia"/>
          <w:color w:val="000000" w:themeColor="text1"/>
          <w:sz w:val="17"/>
          <w:szCs w:val="17"/>
        </w:rPr>
        <w:t xml:space="preserve">, </w:t>
      </w:r>
      <w:r w:rsidRPr="00FE584B">
        <w:rPr>
          <w:rFonts w:ascii="Times New Roman" w:hAnsi="Times New Roman" w:cs="Times New Roman"/>
          <w:color w:val="000000" w:themeColor="text1"/>
          <w:sz w:val="17"/>
          <w:szCs w:val="17"/>
        </w:rPr>
        <w:t>(Leiden: Brill, 1973)</w:t>
      </w:r>
      <w:r w:rsidR="002E6E46">
        <w:rPr>
          <w:rFonts w:ascii="Times New Roman" w:hAnsi="Times New Roman" w:cs="Times New Roman" w:hint="eastAsia"/>
          <w:color w:val="000000" w:themeColor="text1"/>
          <w:sz w:val="17"/>
          <w:szCs w:val="17"/>
        </w:rPr>
        <w:t xml:space="preserve"> </w:t>
      </w:r>
      <w:r w:rsidR="002E6E46" w:rsidRPr="00FE584B">
        <w:rPr>
          <w:rFonts w:ascii="Times New Roman" w:hAnsi="Times New Roman" w:cs="Times New Roman"/>
          <w:color w:val="000000" w:themeColor="text1"/>
          <w:sz w:val="17"/>
          <w:szCs w:val="17"/>
        </w:rPr>
        <w:t>pp. 106-205</w:t>
      </w:r>
      <w:r w:rsidRPr="00FE584B">
        <w:rPr>
          <w:rFonts w:ascii="Times New Roman" w:hAnsi="Times New Roman" w:cs="Times New Roman"/>
          <w:color w:val="000000" w:themeColor="text1"/>
          <w:sz w:val="17"/>
          <w:szCs w:val="17"/>
        </w:rPr>
        <w:t>.</w:t>
      </w:r>
    </w:p>
  </w:footnote>
  <w:footnote w:id="9">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bCs/>
          <w:color w:val="000000" w:themeColor="text1"/>
          <w:kern w:val="0"/>
          <w:sz w:val="17"/>
          <w:szCs w:val="17"/>
        </w:rPr>
        <w:t xml:space="preserve">Sarah Veale, ‘Orientalism in Iamblichus’ </w:t>
      </w:r>
      <w:r w:rsidRPr="00FE584B">
        <w:rPr>
          <w:rFonts w:ascii="Times New Roman" w:hAnsi="Times New Roman" w:cs="Times New Roman"/>
          <w:i/>
          <w:iCs/>
          <w:color w:val="000000" w:themeColor="text1"/>
          <w:kern w:val="0"/>
          <w:sz w:val="17"/>
          <w:szCs w:val="17"/>
        </w:rPr>
        <w:t>The Mysteries</w:t>
      </w:r>
      <w:r w:rsidRPr="00FE584B">
        <w:rPr>
          <w:rFonts w:ascii="Times New Roman" w:hAnsi="Times New Roman" w:cs="Times New Roman"/>
          <w:iCs/>
          <w:color w:val="000000" w:themeColor="text1"/>
          <w:kern w:val="0"/>
          <w:sz w:val="17"/>
          <w:szCs w:val="17"/>
        </w:rPr>
        <w:t xml:space="preserve">’, </w:t>
      </w:r>
      <w:r w:rsidRPr="00FE584B">
        <w:rPr>
          <w:rFonts w:ascii="Times New Roman" w:hAnsi="Times New Roman" w:cs="Times New Roman"/>
          <w:i/>
          <w:iCs/>
          <w:color w:val="000000" w:themeColor="text1"/>
          <w:kern w:val="0"/>
          <w:sz w:val="17"/>
          <w:szCs w:val="17"/>
        </w:rPr>
        <w:t>The Pomegranate</w:t>
      </w:r>
      <w:r w:rsidRPr="00FE584B">
        <w:rPr>
          <w:rFonts w:ascii="Times New Roman" w:hAnsi="Times New Roman" w:cs="Times New Roman"/>
          <w:iCs/>
          <w:color w:val="000000" w:themeColor="text1"/>
          <w:kern w:val="0"/>
          <w:sz w:val="17"/>
          <w:szCs w:val="17"/>
        </w:rPr>
        <w:t xml:space="preserve">, </w:t>
      </w:r>
      <w:r w:rsidRPr="00FE584B">
        <w:rPr>
          <w:rFonts w:ascii="Times New Roman" w:hAnsi="Times New Roman" w:cs="Times New Roman"/>
          <w:color w:val="000000" w:themeColor="text1"/>
          <w:kern w:val="0"/>
          <w:sz w:val="17"/>
          <w:szCs w:val="17"/>
          <w:lang w:bidi="he-IL"/>
        </w:rPr>
        <w:t>15 1-2 (2013) 202-222</w:t>
      </w:r>
      <w:r w:rsidR="00551376">
        <w:rPr>
          <w:rFonts w:ascii="Times New Roman" w:hAnsi="Times New Roman" w:cs="Times New Roman" w:hint="eastAsia"/>
          <w:color w:val="000000" w:themeColor="text1"/>
          <w:kern w:val="0"/>
          <w:sz w:val="17"/>
          <w:szCs w:val="17"/>
          <w:lang w:bidi="he-IL"/>
        </w:rPr>
        <w:t>.</w:t>
      </w:r>
      <w:r w:rsidRPr="00FE584B">
        <w:rPr>
          <w:rFonts w:ascii="Times New Roman" w:hAnsi="Times New Roman" w:cs="Times New Roman"/>
          <w:color w:val="000000" w:themeColor="text1"/>
          <w:kern w:val="0"/>
          <w:sz w:val="17"/>
          <w:szCs w:val="17"/>
          <w:lang w:bidi="he-IL"/>
        </w:rPr>
        <w:t xml:space="preserve"> </w:t>
      </w:r>
    </w:p>
  </w:footnote>
  <w:footnote w:id="10">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kern w:val="0"/>
          <w:sz w:val="17"/>
          <w:szCs w:val="17"/>
        </w:rPr>
        <w:t xml:space="preserve">The original title of Iamblichus’ work was likely </w:t>
      </w:r>
      <w:r w:rsidRPr="00FE584B">
        <w:rPr>
          <w:rFonts w:ascii="Times New Roman" w:hAnsi="Times New Roman" w:cs="Times New Roman"/>
          <w:i/>
          <w:kern w:val="0"/>
          <w:sz w:val="17"/>
          <w:szCs w:val="17"/>
        </w:rPr>
        <w:t>The Reply of Master Abamon to the Letter of Porphyry to Anebo, and the Solutions to the Questions it Contains</w:t>
      </w:r>
      <w:r w:rsidRPr="00FE584B">
        <w:rPr>
          <w:rFonts w:ascii="Times New Roman" w:hAnsi="Times New Roman" w:cs="Times New Roman"/>
          <w:kern w:val="0"/>
          <w:sz w:val="17"/>
          <w:szCs w:val="17"/>
        </w:rPr>
        <w:t xml:space="preserve">, but the first translation from Greek into Latin was produced by Marsilio Ficino in 1497 and he titled it </w:t>
      </w:r>
      <w:r w:rsidRPr="00FE584B">
        <w:rPr>
          <w:rFonts w:ascii="Times New Roman" w:hAnsi="Times New Roman" w:cs="Times New Roman"/>
          <w:i/>
          <w:kern w:val="0"/>
          <w:sz w:val="17"/>
          <w:szCs w:val="17"/>
        </w:rPr>
        <w:t>De mysteriis Aegyptiorum, Chaldaeorum, Assyriorum</w:t>
      </w:r>
      <w:r w:rsidRPr="00FE584B">
        <w:rPr>
          <w:rFonts w:ascii="Times New Roman" w:hAnsi="Times New Roman" w:cs="Times New Roman"/>
          <w:kern w:val="0"/>
          <w:sz w:val="17"/>
          <w:szCs w:val="17"/>
        </w:rPr>
        <w:t xml:space="preserve"> and forms of this title have been retained in subsequent translations. For more on the </w:t>
      </w:r>
      <w:r>
        <w:rPr>
          <w:rFonts w:ascii="Times New Roman" w:hAnsi="Times New Roman" w:cs="Times New Roman"/>
          <w:kern w:val="0"/>
          <w:sz w:val="17"/>
          <w:szCs w:val="17"/>
        </w:rPr>
        <w:t>dialogue</w:t>
      </w:r>
      <w:r>
        <w:rPr>
          <w:rFonts w:ascii="Times New Roman" w:hAnsi="Times New Roman" w:cs="Times New Roman" w:hint="eastAsia"/>
          <w:kern w:val="0"/>
          <w:sz w:val="17"/>
          <w:szCs w:val="17"/>
        </w:rPr>
        <w:t xml:space="preserve"> </w:t>
      </w:r>
      <w:r w:rsidRPr="00FE584B">
        <w:rPr>
          <w:rFonts w:ascii="Times New Roman" w:hAnsi="Times New Roman" w:cs="Times New Roman"/>
          <w:kern w:val="0"/>
          <w:sz w:val="17"/>
          <w:szCs w:val="17"/>
        </w:rPr>
        <w:t xml:space="preserve">genre, see Annelie Volgers and Claudio Zamagni (eds), </w:t>
      </w:r>
      <w:r w:rsidRPr="00FE584B">
        <w:rPr>
          <w:rFonts w:ascii="Times New Roman" w:hAnsi="Times New Roman" w:cs="Times New Roman"/>
          <w:i/>
          <w:kern w:val="0"/>
          <w:sz w:val="17"/>
          <w:szCs w:val="17"/>
        </w:rPr>
        <w:t>Erotapokriseis: Early Christian Question-and-Answer Literature in Context</w:t>
      </w:r>
      <w:r w:rsidRPr="00FE584B">
        <w:rPr>
          <w:rFonts w:ascii="Times New Roman" w:hAnsi="Times New Roman" w:cs="Times New Roman"/>
          <w:kern w:val="0"/>
          <w:sz w:val="17"/>
          <w:szCs w:val="17"/>
        </w:rPr>
        <w:t xml:space="preserve">, (Paris: Peeters, 2004). </w:t>
      </w:r>
    </w:p>
  </w:footnote>
  <w:footnote w:id="11">
    <w:p w:rsidR="006273EA" w:rsidRPr="00FE584B" w:rsidRDefault="006273EA" w:rsidP="00AD2A38">
      <w:pPr>
        <w:jc w:val="left"/>
        <w:rPr>
          <w:rFonts w:ascii="Times New Roman" w:hAnsi="Times New Roman" w:cs="Times New Roman"/>
          <w:color w:val="000000" w:themeColor="text1"/>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Brian </w:t>
      </w:r>
      <w:r w:rsidRPr="00FE584B">
        <w:rPr>
          <w:rFonts w:ascii="Times New Roman" w:hAnsi="Times New Roman" w:cs="Times New Roman"/>
          <w:color w:val="000000" w:themeColor="text1"/>
          <w:sz w:val="17"/>
          <w:szCs w:val="17"/>
        </w:rPr>
        <w:t xml:space="preserve">Copenhaver, trans. </w:t>
      </w:r>
      <w:r w:rsidRPr="00FE584B">
        <w:rPr>
          <w:rFonts w:ascii="Times New Roman" w:hAnsi="Times New Roman" w:cs="Times New Roman"/>
          <w:i/>
          <w:color w:val="000000" w:themeColor="text1"/>
          <w:sz w:val="17"/>
          <w:szCs w:val="17"/>
        </w:rPr>
        <w:t>Hermetica: The Greek Corpus Hermeticum and the Latin Asclepius in a New English Translation, with Notes and Introduction</w:t>
      </w:r>
      <w:r w:rsidRPr="00FE584B">
        <w:rPr>
          <w:rFonts w:ascii="Times New Roman" w:hAnsi="Times New Roman" w:cs="Times New Roman"/>
          <w:color w:val="000000" w:themeColor="text1"/>
          <w:sz w:val="17"/>
          <w:szCs w:val="17"/>
        </w:rPr>
        <w:t xml:space="preserve">, (Cambridge: Cambridge University Press). cf. Gregory Shaw, ‘Taking the Shape of the Gods: A Theurgic Reading of Hermetic Rebirth’, </w:t>
      </w:r>
      <w:r w:rsidRPr="00FE584B">
        <w:rPr>
          <w:rFonts w:ascii="Times New Roman" w:hAnsi="Times New Roman" w:cs="Times New Roman"/>
          <w:i/>
          <w:color w:val="000000" w:themeColor="text1"/>
          <w:sz w:val="17"/>
          <w:szCs w:val="17"/>
        </w:rPr>
        <w:t>Aries – Journal for the Study of Western Esotericism</w:t>
      </w:r>
      <w:r w:rsidRPr="00FE584B">
        <w:rPr>
          <w:rFonts w:ascii="Times New Roman" w:hAnsi="Times New Roman" w:cs="Times New Roman"/>
          <w:color w:val="000000" w:themeColor="text1"/>
          <w:sz w:val="17"/>
          <w:szCs w:val="17"/>
        </w:rPr>
        <w:t xml:space="preserve"> 15 (2015) </w:t>
      </w:r>
      <w:r w:rsidR="00C04D88">
        <w:rPr>
          <w:rFonts w:ascii="Times New Roman" w:hAnsi="Times New Roman" w:cs="Times New Roman"/>
          <w:color w:val="000000" w:themeColor="text1"/>
          <w:sz w:val="17"/>
          <w:szCs w:val="17"/>
        </w:rPr>
        <w:t>136-169</w:t>
      </w:r>
      <w:r w:rsidR="00C04D88">
        <w:rPr>
          <w:rFonts w:ascii="Times New Roman" w:hAnsi="Times New Roman" w:cs="Times New Roman" w:hint="eastAsia"/>
          <w:color w:val="000000" w:themeColor="text1"/>
          <w:sz w:val="17"/>
          <w:szCs w:val="17"/>
        </w:rPr>
        <w:t>.</w:t>
      </w:r>
    </w:p>
  </w:footnote>
  <w:footnote w:id="12">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color w:val="000000" w:themeColor="text1"/>
          <w:kern w:val="0"/>
          <w:sz w:val="17"/>
          <w:szCs w:val="17"/>
        </w:rPr>
        <w:t>De mysteriis</w:t>
      </w:r>
      <w:r w:rsidRPr="00FE584B">
        <w:rPr>
          <w:rFonts w:ascii="Times New Roman" w:hAnsi="Times New Roman" w:cs="Times New Roman"/>
          <w:color w:val="000000" w:themeColor="text1"/>
          <w:kern w:val="0"/>
          <w:sz w:val="17"/>
          <w:szCs w:val="17"/>
        </w:rPr>
        <w:t>,</w:t>
      </w:r>
      <w:r w:rsidRPr="00FE584B">
        <w:rPr>
          <w:rFonts w:ascii="Times New Roman" w:hAnsi="Times New Roman" w:cs="Times New Roman"/>
          <w:i/>
          <w:iCs/>
          <w:color w:val="000000" w:themeColor="text1"/>
          <w:kern w:val="0"/>
          <w:sz w:val="17"/>
          <w:szCs w:val="17"/>
        </w:rPr>
        <w:t xml:space="preserve"> </w:t>
      </w:r>
      <w:r w:rsidRPr="00FE584B">
        <w:rPr>
          <w:rFonts w:ascii="Times New Roman" w:hAnsi="Times New Roman" w:cs="Times New Roman"/>
          <w:color w:val="000000" w:themeColor="text1"/>
          <w:kern w:val="0"/>
          <w:sz w:val="17"/>
          <w:szCs w:val="17"/>
        </w:rPr>
        <w:t>I.1.4.1-9.</w:t>
      </w:r>
    </w:p>
  </w:footnote>
  <w:footnote w:id="13">
    <w:p w:rsidR="006273EA" w:rsidRPr="00FE584B" w:rsidRDefault="006273EA" w:rsidP="005E5BDB">
      <w:pPr>
        <w:pStyle w:val="FootnoteText"/>
        <w:rPr>
          <w:rFonts w:ascii="Times New Roman" w:hAnsi="Times New Roman" w:cs="Times New Roman"/>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Crystal Addey, ‘Oracles, Dreams and Astrology in Iamblichus’ </w:t>
      </w:r>
      <w:r w:rsidRPr="00FE584B">
        <w:rPr>
          <w:rFonts w:ascii="Times New Roman" w:hAnsi="Times New Roman" w:cs="Times New Roman"/>
          <w:i/>
          <w:color w:val="000000" w:themeColor="text1"/>
          <w:sz w:val="17"/>
          <w:szCs w:val="17"/>
        </w:rPr>
        <w:t>De Mysteriis</w:t>
      </w:r>
      <w:r w:rsidRPr="00FE584B">
        <w:rPr>
          <w:rFonts w:ascii="Times New Roman" w:hAnsi="Times New Roman" w:cs="Times New Roman"/>
          <w:color w:val="000000" w:themeColor="text1"/>
          <w:sz w:val="17"/>
          <w:szCs w:val="17"/>
        </w:rPr>
        <w:t>’, in</w:t>
      </w:r>
      <w:r w:rsidRPr="00FE584B">
        <w:rPr>
          <w:rFonts w:ascii="Times New Roman" w:hAnsi="Times New Roman" w:cs="Times New Roman"/>
          <w:i/>
          <w:color w:val="000000" w:themeColor="text1"/>
          <w:sz w:val="17"/>
          <w:szCs w:val="17"/>
        </w:rPr>
        <w:t xml:space="preserve"> Seeing with Different Eyes: Essays in </w:t>
      </w:r>
      <w:r w:rsidRPr="00FE584B">
        <w:rPr>
          <w:rFonts w:ascii="Times New Roman" w:hAnsi="Times New Roman" w:cs="Times New Roman"/>
          <w:i/>
          <w:sz w:val="17"/>
          <w:szCs w:val="17"/>
        </w:rPr>
        <w:t>Astrology and Divination</w:t>
      </w:r>
      <w:r w:rsidRPr="00FE584B">
        <w:rPr>
          <w:rFonts w:ascii="Times New Roman" w:hAnsi="Times New Roman" w:cs="Times New Roman"/>
          <w:sz w:val="17"/>
          <w:szCs w:val="17"/>
        </w:rPr>
        <w:t>, ed. by Patrick Curry and Angela Voss,</w:t>
      </w:r>
      <w:r w:rsidRPr="00DB6BDC">
        <w:rPr>
          <w:rFonts w:ascii="Times New Roman" w:hAnsi="Times New Roman" w:cs="Times New Roman"/>
          <w:color w:val="000000" w:themeColor="text1"/>
          <w:sz w:val="17"/>
          <w:szCs w:val="17"/>
        </w:rPr>
        <w:t xml:space="preserve"> (C</w:t>
      </w:r>
      <w:r w:rsidRPr="00FE584B">
        <w:rPr>
          <w:rFonts w:ascii="Times New Roman" w:hAnsi="Times New Roman" w:cs="Times New Roman"/>
          <w:sz w:val="17"/>
          <w:szCs w:val="17"/>
        </w:rPr>
        <w:t>ambridge: Cambridge Scholars Publishing, 2007)</w:t>
      </w:r>
      <w:r w:rsidR="002E6E46">
        <w:rPr>
          <w:rFonts w:ascii="Times New Roman" w:hAnsi="Times New Roman" w:cs="Times New Roman" w:hint="eastAsia"/>
          <w:sz w:val="17"/>
          <w:szCs w:val="17"/>
        </w:rPr>
        <w:t xml:space="preserve">, </w:t>
      </w:r>
      <w:r w:rsidR="002E6E46" w:rsidRPr="00DB6BDC">
        <w:rPr>
          <w:rFonts w:ascii="Times New Roman" w:hAnsi="Times New Roman" w:cs="Times New Roman"/>
          <w:color w:val="000000" w:themeColor="text1"/>
          <w:sz w:val="17"/>
          <w:szCs w:val="17"/>
        </w:rPr>
        <w:t>p</w:t>
      </w:r>
      <w:r w:rsidR="002E6E46" w:rsidRPr="00DB6BDC">
        <w:rPr>
          <w:rFonts w:ascii="Times New Roman" w:hAnsi="Times New Roman" w:cs="Times New Roman" w:hint="eastAsia"/>
          <w:color w:val="000000" w:themeColor="text1"/>
          <w:sz w:val="17"/>
          <w:szCs w:val="17"/>
        </w:rPr>
        <w:t>. 52</w:t>
      </w:r>
      <w:r w:rsidRPr="00FE584B">
        <w:rPr>
          <w:rFonts w:ascii="Times New Roman" w:hAnsi="Times New Roman" w:cs="Times New Roman"/>
          <w:sz w:val="17"/>
          <w:szCs w:val="17"/>
        </w:rPr>
        <w:t xml:space="preserve">. Also, see </w:t>
      </w:r>
      <w:r w:rsidR="00135152" w:rsidRPr="00FE584B">
        <w:rPr>
          <w:rFonts w:ascii="Times New Roman" w:hAnsi="Times New Roman" w:cs="Times New Roman"/>
          <w:color w:val="000000" w:themeColor="text1"/>
          <w:sz w:val="17"/>
          <w:szCs w:val="17"/>
        </w:rPr>
        <w:t>Crystal Addey</w:t>
      </w:r>
      <w:r w:rsidR="00135152">
        <w:rPr>
          <w:rFonts w:ascii="Times New Roman" w:hAnsi="Times New Roman" w:cs="Times New Roman" w:hint="eastAsia"/>
          <w:color w:val="000000" w:themeColor="text1"/>
          <w:sz w:val="17"/>
          <w:szCs w:val="17"/>
        </w:rPr>
        <w:t xml:space="preserve">, </w:t>
      </w:r>
      <w:r w:rsidR="00135152" w:rsidRPr="00FE584B">
        <w:rPr>
          <w:rFonts w:ascii="Times New Roman" w:hAnsi="Times New Roman" w:cs="Times New Roman"/>
          <w:sz w:val="17"/>
          <w:szCs w:val="17"/>
        </w:rPr>
        <w:t xml:space="preserve"> </w:t>
      </w:r>
      <w:r w:rsidRPr="00FE584B">
        <w:rPr>
          <w:rFonts w:ascii="Times New Roman" w:hAnsi="Times New Roman" w:cs="Times New Roman"/>
          <w:sz w:val="17"/>
          <w:szCs w:val="17"/>
        </w:rPr>
        <w:t xml:space="preserve">‘The Prophet Abamon and the Dialogues of Hermes: Iamblichus’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xml:space="preserve">, Porphyry’s </w:t>
      </w:r>
      <w:r w:rsidRPr="00FE584B">
        <w:rPr>
          <w:rFonts w:ascii="Times New Roman" w:hAnsi="Times New Roman" w:cs="Times New Roman"/>
          <w:i/>
          <w:sz w:val="17"/>
          <w:szCs w:val="17"/>
        </w:rPr>
        <w:t>Letter to Anebo</w:t>
      </w:r>
      <w:r w:rsidRPr="00FE584B">
        <w:rPr>
          <w:rFonts w:ascii="Times New Roman" w:hAnsi="Times New Roman" w:cs="Times New Roman"/>
          <w:sz w:val="17"/>
          <w:szCs w:val="17"/>
        </w:rPr>
        <w:t xml:space="preserve">, and the </w:t>
      </w:r>
      <w:r w:rsidR="00AE67DA" w:rsidRPr="00FE584B">
        <w:rPr>
          <w:rFonts w:ascii="Times New Roman" w:hAnsi="Times New Roman" w:cs="Times New Roman"/>
          <w:i/>
          <w:sz w:val="17"/>
          <w:szCs w:val="17"/>
        </w:rPr>
        <w:t>Hermetica</w:t>
      </w:r>
      <w:r w:rsidR="00AE67DA" w:rsidRPr="00FE584B">
        <w:rPr>
          <w:rFonts w:ascii="Times New Roman" w:hAnsi="Times New Roman" w:cs="Times New Roman"/>
          <w:sz w:val="17"/>
          <w:szCs w:val="17"/>
        </w:rPr>
        <w:t>’</w:t>
      </w:r>
      <w:r w:rsidR="00AE67DA" w:rsidRPr="00FE584B">
        <w:rPr>
          <w:rFonts w:ascii="Times New Roman" w:hAnsi="Times New Roman" w:cs="Times New Roman"/>
          <w:color w:val="000000" w:themeColor="text1"/>
          <w:sz w:val="17"/>
          <w:szCs w:val="17"/>
        </w:rPr>
        <w:t>,</w:t>
      </w:r>
      <w:r w:rsidRPr="00FE584B">
        <w:rPr>
          <w:rFonts w:ascii="Times New Roman" w:hAnsi="Times New Roman" w:cs="Times New Roman"/>
          <w:color w:val="000000" w:themeColor="text1"/>
          <w:sz w:val="17"/>
          <w:szCs w:val="17"/>
        </w:rPr>
        <w:t xml:space="preserve"> Abstract for: The International Society of Neoplatonic Studies Conference ‘Neoplatonism in the East – </w:t>
      </w:r>
      <w:r w:rsidRPr="00FE584B">
        <w:rPr>
          <w:rFonts w:ascii="Times New Roman" w:hAnsi="Times New Roman" w:cs="Times New Roman"/>
          <w:i/>
          <w:color w:val="000000" w:themeColor="text1"/>
          <w:sz w:val="17"/>
          <w:szCs w:val="17"/>
        </w:rPr>
        <w:t>ex oriente lux</w:t>
      </w:r>
      <w:r w:rsidRPr="00FE584B">
        <w:rPr>
          <w:rFonts w:ascii="Times New Roman" w:hAnsi="Times New Roman" w:cs="Times New Roman"/>
          <w:color w:val="000000" w:themeColor="text1"/>
          <w:sz w:val="17"/>
          <w:szCs w:val="17"/>
        </w:rPr>
        <w:t>’, University of Haifa, 22-24 March 2011, pp.1-3.</w:t>
      </w:r>
    </w:p>
  </w:footnote>
  <w:footnote w:id="14">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kern w:val="0"/>
          <w:sz w:val="17"/>
          <w:szCs w:val="17"/>
        </w:rPr>
        <w:t>De mysteriis</w:t>
      </w:r>
      <w:r w:rsidRPr="00FE584B">
        <w:rPr>
          <w:rFonts w:ascii="Times New Roman" w:hAnsi="Times New Roman" w:cs="Times New Roman"/>
          <w:kern w:val="0"/>
          <w:sz w:val="17"/>
          <w:szCs w:val="17"/>
        </w:rPr>
        <w:t>,</w:t>
      </w:r>
      <w:r w:rsidRPr="00FE584B">
        <w:rPr>
          <w:rFonts w:ascii="Times New Roman" w:hAnsi="Times New Roman" w:cs="Times New Roman"/>
          <w:i/>
          <w:iCs/>
          <w:color w:val="000000" w:themeColor="text1"/>
          <w:kern w:val="0"/>
          <w:sz w:val="17"/>
          <w:szCs w:val="17"/>
        </w:rPr>
        <w:t xml:space="preserve"> </w:t>
      </w:r>
      <w:r w:rsidRPr="00FE584B">
        <w:rPr>
          <w:rFonts w:ascii="Times New Roman" w:hAnsi="Times New Roman" w:cs="Times New Roman"/>
          <w:color w:val="000000" w:themeColor="text1"/>
          <w:kern w:val="0"/>
          <w:sz w:val="17"/>
          <w:szCs w:val="17"/>
        </w:rPr>
        <w:t>III.1.99.10-100.1-3.</w:t>
      </w:r>
    </w:p>
  </w:footnote>
  <w:footnote w:id="15">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kern w:val="0"/>
          <w:sz w:val="17"/>
          <w:szCs w:val="17"/>
        </w:rPr>
        <w:t>De mysteriis</w:t>
      </w:r>
      <w:r w:rsidRPr="00FE584B">
        <w:rPr>
          <w:rFonts w:ascii="Times New Roman" w:hAnsi="Times New Roman" w:cs="Times New Roman"/>
          <w:kern w:val="0"/>
          <w:sz w:val="17"/>
          <w:szCs w:val="17"/>
        </w:rPr>
        <w:t>,</w:t>
      </w:r>
      <w:r w:rsidRPr="00FE584B">
        <w:rPr>
          <w:rFonts w:ascii="Times New Roman" w:hAnsi="Times New Roman" w:cs="Times New Roman"/>
          <w:i/>
          <w:iCs/>
          <w:color w:val="000000" w:themeColor="text1"/>
          <w:kern w:val="0"/>
          <w:sz w:val="17"/>
          <w:szCs w:val="17"/>
        </w:rPr>
        <w:t xml:space="preserve"> </w:t>
      </w:r>
      <w:r w:rsidRPr="00FE584B">
        <w:rPr>
          <w:rFonts w:ascii="Times New Roman" w:hAnsi="Times New Roman" w:cs="Times New Roman"/>
          <w:color w:val="000000" w:themeColor="text1"/>
          <w:kern w:val="0"/>
          <w:sz w:val="17"/>
          <w:szCs w:val="17"/>
        </w:rPr>
        <w:t xml:space="preserve">III.2.103.2-8. For </w:t>
      </w:r>
      <w:r w:rsidRPr="00FE584B">
        <w:rPr>
          <w:rFonts w:ascii="Times New Roman" w:hAnsi="Times New Roman" w:cs="Times New Roman"/>
          <w:color w:val="000000" w:themeColor="text1"/>
          <w:sz w:val="17"/>
          <w:szCs w:val="17"/>
        </w:rPr>
        <w:t xml:space="preserve">references on differentiations of dream categories in antiquity see </w:t>
      </w:r>
      <w:r w:rsidRPr="00FE584B">
        <w:rPr>
          <w:rFonts w:ascii="Times New Roman" w:hAnsi="Times New Roman" w:cs="Times New Roman"/>
          <w:i/>
          <w:color w:val="000000" w:themeColor="text1"/>
          <w:sz w:val="17"/>
          <w:szCs w:val="17"/>
        </w:rPr>
        <w:t>De mysteriis</w:t>
      </w:r>
      <w:r w:rsidRPr="00FE584B">
        <w:rPr>
          <w:rFonts w:ascii="Times New Roman" w:hAnsi="Times New Roman" w:cs="Times New Roman"/>
          <w:color w:val="000000" w:themeColor="text1"/>
          <w:sz w:val="17"/>
          <w:szCs w:val="17"/>
        </w:rPr>
        <w:t xml:space="preserve">, p. 121, note 155. </w:t>
      </w:r>
    </w:p>
  </w:footnote>
  <w:footnote w:id="16">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kern w:val="0"/>
          <w:sz w:val="17"/>
          <w:szCs w:val="17"/>
        </w:rPr>
        <w:t>De mysteriis</w:t>
      </w:r>
      <w:r w:rsidRPr="00FE584B">
        <w:rPr>
          <w:rFonts w:ascii="Times New Roman" w:hAnsi="Times New Roman" w:cs="Times New Roman"/>
          <w:kern w:val="0"/>
          <w:sz w:val="17"/>
          <w:szCs w:val="17"/>
        </w:rPr>
        <w:t>,</w:t>
      </w:r>
      <w:r w:rsidRPr="00FE584B">
        <w:rPr>
          <w:rFonts w:ascii="Times New Roman" w:hAnsi="Times New Roman" w:cs="Times New Roman"/>
          <w:i/>
          <w:iCs/>
          <w:color w:val="000000" w:themeColor="text1"/>
          <w:kern w:val="0"/>
          <w:sz w:val="17"/>
          <w:szCs w:val="17"/>
        </w:rPr>
        <w:t xml:space="preserve"> </w:t>
      </w:r>
      <w:r w:rsidRPr="00FE584B">
        <w:rPr>
          <w:rFonts w:ascii="Times New Roman" w:hAnsi="Times New Roman" w:cs="Times New Roman"/>
          <w:color w:val="000000" w:themeColor="text1"/>
          <w:kern w:val="0"/>
          <w:sz w:val="17"/>
          <w:szCs w:val="17"/>
        </w:rPr>
        <w:t xml:space="preserve">III.2.103.8. Iamblichus further describes hearing a voice, an unseen encircling ‘spirit’ (πνεῦμα) with accompanying ‘whooshing sound’ (ῥοιζομένου), or when a ‘light shines brightly’ (φωτὸς ἐπιλάµψαντος λαμπροῦ) and the mind is active so </w:t>
      </w:r>
      <w:r w:rsidR="00135152">
        <w:rPr>
          <w:rFonts w:ascii="Times New Roman" w:hAnsi="Times New Roman" w:cs="Times New Roman"/>
          <w:color w:val="000000" w:themeColor="text1"/>
          <w:kern w:val="0"/>
          <w:sz w:val="17"/>
          <w:szCs w:val="17"/>
        </w:rPr>
        <w:t>that</w:t>
      </w:r>
      <w:r w:rsidR="00135152">
        <w:rPr>
          <w:rFonts w:ascii="Times New Roman" w:hAnsi="Times New Roman" w:cs="Times New Roman" w:hint="eastAsia"/>
          <w:color w:val="000000" w:themeColor="text1"/>
          <w:kern w:val="0"/>
          <w:sz w:val="17"/>
          <w:szCs w:val="17"/>
        </w:rPr>
        <w:t xml:space="preserve"> </w:t>
      </w:r>
      <w:r w:rsidRPr="00FE584B">
        <w:rPr>
          <w:rFonts w:ascii="Times New Roman" w:hAnsi="Times New Roman" w:cs="Times New Roman"/>
          <w:color w:val="000000" w:themeColor="text1"/>
          <w:kern w:val="0"/>
          <w:sz w:val="17"/>
          <w:szCs w:val="17"/>
        </w:rPr>
        <w:t>the theurgist may clearly understand what was communicated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III.2.103.8-104.10).</w:t>
      </w:r>
    </w:p>
  </w:footnote>
  <w:footnote w:id="17">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III.3.108.3-109.3.</w:t>
      </w:r>
    </w:p>
  </w:footnote>
  <w:footnote w:id="18">
    <w:p w:rsidR="006273EA" w:rsidRPr="00FE584B" w:rsidRDefault="006273EA">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III.11.124.11-12.</w:t>
      </w:r>
    </w:p>
  </w:footnote>
  <w:footnote w:id="19">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III.11.126.4-12.</w:t>
      </w:r>
    </w:p>
  </w:footnote>
  <w:footnote w:id="20">
    <w:p w:rsidR="006273EA" w:rsidRPr="00FE584B" w:rsidRDefault="006273EA">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i/>
          <w:sz w:val="17"/>
          <w:szCs w:val="17"/>
        </w:rPr>
        <w:t xml:space="preserve"> De mysteriis</w:t>
      </w:r>
      <w:r w:rsidRPr="00FE584B">
        <w:rPr>
          <w:rFonts w:ascii="Times New Roman" w:hAnsi="Times New Roman" w:cs="Times New Roman"/>
          <w:sz w:val="17"/>
          <w:szCs w:val="17"/>
        </w:rPr>
        <w:t>, III.11.126.12-13.</w:t>
      </w:r>
    </w:p>
  </w:footnote>
  <w:footnote w:id="21">
    <w:p w:rsidR="006273EA" w:rsidRPr="003E42E1" w:rsidRDefault="006273EA" w:rsidP="006D74AB">
      <w:pPr>
        <w:pStyle w:val="FootnoteText"/>
        <w:rPr>
          <w:rFonts w:ascii="Times New Roman" w:hAnsi="Times New Roman" w:cs="Times New Roman"/>
          <w:color w:val="000000" w:themeColor="text1"/>
          <w:sz w:val="16"/>
          <w:szCs w:val="16"/>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III.11.127.4-9.</w:t>
      </w:r>
    </w:p>
  </w:footnote>
  <w:footnote w:id="22">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w:t>
      </w:r>
      <w:r w:rsidRPr="00FE584B">
        <w:rPr>
          <w:rFonts w:ascii="Times New Roman" w:hAnsi="Times New Roman" w:cs="Times New Roman" w:hint="eastAsia"/>
          <w:sz w:val="17"/>
          <w:szCs w:val="17"/>
        </w:rPr>
        <w:t xml:space="preserve">3.131.4-10.  </w:t>
      </w:r>
      <w:r w:rsidRPr="00FE584B">
        <w:rPr>
          <w:rFonts w:ascii="Times New Roman" w:hAnsi="Times New Roman" w:cs="Times New Roman"/>
          <w:color w:val="000000" w:themeColor="text1"/>
          <w:sz w:val="17"/>
          <w:szCs w:val="17"/>
        </w:rPr>
        <w:t>He does not altogether dismiss the practice and describes a ‘true type’ by way of a sun and darkness analogy</w:t>
      </w:r>
      <w:r w:rsidRPr="00FE584B">
        <w:rPr>
          <w:rFonts w:ascii="Times New Roman" w:hAnsi="Times New Roman" w:cs="Times New Roman" w:hint="eastAsia"/>
          <w:color w:val="000000" w:themeColor="text1"/>
          <w:sz w:val="17"/>
          <w:szCs w:val="17"/>
        </w:rPr>
        <w:t xml:space="preserve"> </w:t>
      </w:r>
      <w:r w:rsidRPr="00FE584B">
        <w:rPr>
          <w:rFonts w:ascii="Times New Roman" w:hAnsi="Times New Roman" w:cs="Times New Roman"/>
          <w:color w:val="000000" w:themeColor="text1"/>
          <w:sz w:val="17"/>
          <w:szCs w:val="17"/>
        </w:rPr>
        <w:t>(</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w:t>
      </w:r>
      <w:r w:rsidRPr="00FE584B">
        <w:rPr>
          <w:rFonts w:ascii="Times New Roman" w:hAnsi="Times New Roman" w:cs="Times New Roman" w:hint="eastAsia"/>
          <w:sz w:val="17"/>
          <w:szCs w:val="17"/>
        </w:rPr>
        <w:t>3.130.5-8</w:t>
      </w:r>
      <w:r w:rsidRPr="00FE584B">
        <w:rPr>
          <w:rFonts w:ascii="Times New Roman" w:hAnsi="Times New Roman" w:cs="Times New Roman"/>
          <w:sz w:val="17"/>
          <w:szCs w:val="17"/>
        </w:rPr>
        <w:t>)</w:t>
      </w:r>
      <w:r w:rsidRPr="00FE584B">
        <w:rPr>
          <w:rFonts w:ascii="Times New Roman" w:hAnsi="Times New Roman" w:cs="Times New Roman" w:hint="eastAsia"/>
          <w:sz w:val="17"/>
          <w:szCs w:val="17"/>
        </w:rPr>
        <w:t>.</w:t>
      </w:r>
      <w:r w:rsidRPr="00FE584B">
        <w:rPr>
          <w:rFonts w:ascii="Times New Roman" w:hAnsi="Times New Roman" w:cs="Times New Roman"/>
          <w:color w:val="000000" w:themeColor="text1"/>
          <w:sz w:val="17"/>
          <w:szCs w:val="17"/>
        </w:rPr>
        <w:t xml:space="preserve"> The analogy may</w:t>
      </w:r>
      <w:r w:rsidR="00C13BC3">
        <w:rPr>
          <w:rFonts w:ascii="Times New Roman" w:hAnsi="Times New Roman" w:cs="Times New Roman" w:hint="eastAsia"/>
          <w:color w:val="000000" w:themeColor="text1"/>
          <w:sz w:val="17"/>
          <w:szCs w:val="17"/>
        </w:rPr>
        <w:t xml:space="preserve"> have</w:t>
      </w:r>
      <w:r w:rsidRPr="00FE584B">
        <w:rPr>
          <w:rFonts w:ascii="Times New Roman" w:hAnsi="Times New Roman" w:cs="Times New Roman"/>
          <w:color w:val="000000" w:themeColor="text1"/>
          <w:sz w:val="17"/>
          <w:szCs w:val="17"/>
        </w:rPr>
        <w:t xml:space="preserve"> serve</w:t>
      </w:r>
      <w:r w:rsidR="00C13BC3">
        <w:rPr>
          <w:rFonts w:ascii="Times New Roman" w:hAnsi="Times New Roman" w:cs="Times New Roman" w:hint="eastAsia"/>
          <w:color w:val="000000" w:themeColor="text1"/>
          <w:sz w:val="17"/>
          <w:szCs w:val="17"/>
        </w:rPr>
        <w:t>d</w:t>
      </w:r>
      <w:r w:rsidRPr="00FE584B">
        <w:rPr>
          <w:rFonts w:ascii="Times New Roman" w:hAnsi="Times New Roman" w:cs="Times New Roman"/>
          <w:color w:val="000000" w:themeColor="text1"/>
          <w:sz w:val="17"/>
          <w:szCs w:val="17"/>
        </w:rPr>
        <w:t xml:space="preserve"> as a transition to Porphyry’s next question regarding various divination practices that Iamblichus categorize</w:t>
      </w:r>
      <w:r w:rsidR="00C13BC3">
        <w:rPr>
          <w:rFonts w:ascii="Times New Roman" w:hAnsi="Times New Roman" w:cs="Times New Roman" w:hint="eastAsia"/>
          <w:color w:val="000000" w:themeColor="text1"/>
          <w:sz w:val="17"/>
          <w:szCs w:val="17"/>
        </w:rPr>
        <w:t>d</w:t>
      </w:r>
      <w:r w:rsidRPr="00FE584B">
        <w:rPr>
          <w:rFonts w:ascii="Times New Roman" w:hAnsi="Times New Roman" w:cs="Times New Roman"/>
          <w:color w:val="000000" w:themeColor="text1"/>
          <w:sz w:val="17"/>
          <w:szCs w:val="17"/>
        </w:rPr>
        <w:t xml:space="preserve"> as </w:t>
      </w:r>
      <w:r w:rsidRPr="00FE584B">
        <w:rPr>
          <w:rFonts w:ascii="Times New Roman" w:hAnsi="Times New Roman" w:cs="Times New Roman"/>
          <w:color w:val="000000" w:themeColor="text1"/>
          <w:kern w:val="0"/>
          <w:sz w:val="17"/>
          <w:szCs w:val="17"/>
        </w:rPr>
        <w:t>(φωτὸς ἀγωγή)</w:t>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color w:val="000000" w:themeColor="text1"/>
          <w:kern w:val="0"/>
          <w:sz w:val="17"/>
          <w:szCs w:val="17"/>
        </w:rPr>
        <w:t>‘evoking the light’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w:t>
      </w:r>
      <w:r w:rsidRPr="00FE584B">
        <w:rPr>
          <w:rFonts w:ascii="Times New Roman" w:hAnsi="Times New Roman" w:cs="Times New Roman" w:hint="eastAsia"/>
          <w:sz w:val="17"/>
          <w:szCs w:val="17"/>
        </w:rPr>
        <w:t>4.132.7-9</w:t>
      </w:r>
      <w:r w:rsidRPr="00FE584B">
        <w:rPr>
          <w:rFonts w:ascii="Times New Roman" w:hAnsi="Times New Roman" w:cs="Times New Roman"/>
          <w:sz w:val="17"/>
          <w:szCs w:val="17"/>
        </w:rPr>
        <w:t>)</w:t>
      </w:r>
      <w:r w:rsidRPr="00FE584B">
        <w:rPr>
          <w:rFonts w:ascii="Times New Roman" w:hAnsi="Times New Roman" w:cs="Times New Roman" w:hint="eastAsia"/>
          <w:sz w:val="17"/>
          <w:szCs w:val="17"/>
        </w:rPr>
        <w:t>.</w:t>
      </w:r>
    </w:p>
  </w:footnote>
  <w:footnote w:id="23">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w:t>
      </w:r>
      <w:r w:rsidRPr="00FE584B">
        <w:rPr>
          <w:rFonts w:ascii="Times New Roman" w:hAnsi="Times New Roman" w:cs="Times New Roman" w:hint="eastAsia"/>
          <w:sz w:val="17"/>
          <w:szCs w:val="17"/>
        </w:rPr>
        <w:t>5.135.3-4.</w:t>
      </w:r>
    </w:p>
  </w:footnote>
  <w:footnote w:id="24">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w:t>
      </w:r>
      <w:r w:rsidRPr="00FE584B">
        <w:rPr>
          <w:rFonts w:ascii="Times New Roman" w:hAnsi="Times New Roman" w:cs="Times New Roman" w:hint="eastAsia"/>
          <w:sz w:val="17"/>
          <w:szCs w:val="17"/>
        </w:rPr>
        <w:t xml:space="preserve">5.135.5-6. </w:t>
      </w:r>
      <w:r w:rsidRPr="00FE584B">
        <w:rPr>
          <w:rFonts w:ascii="Times New Roman" w:hAnsi="Times New Roman" w:cs="Times New Roman"/>
          <w:sz w:val="17"/>
          <w:szCs w:val="17"/>
        </w:rPr>
        <w:t>Categories</w:t>
      </w:r>
      <w:r w:rsidRPr="00FE584B">
        <w:rPr>
          <w:rFonts w:ascii="Times New Roman" w:hAnsi="Times New Roman" w:cs="Times New Roman" w:hint="eastAsia"/>
          <w:sz w:val="17"/>
          <w:szCs w:val="17"/>
        </w:rPr>
        <w:t xml:space="preserve"> established by </w:t>
      </w:r>
      <w:r w:rsidRPr="00FE584B">
        <w:rPr>
          <w:rFonts w:ascii="Times New Roman" w:hAnsi="Times New Roman" w:cs="Times New Roman"/>
          <w:sz w:val="17"/>
          <w:szCs w:val="17"/>
        </w:rPr>
        <w:t xml:space="preserve">both </w:t>
      </w:r>
      <w:r w:rsidRPr="00FE584B">
        <w:rPr>
          <w:rFonts w:ascii="Times New Roman" w:hAnsi="Times New Roman" w:cs="Times New Roman" w:hint="eastAsia"/>
          <w:sz w:val="17"/>
          <w:szCs w:val="17"/>
        </w:rPr>
        <w:t xml:space="preserve">Plato and Cicero. cf. </w:t>
      </w:r>
      <w:r w:rsidRPr="00FE584B">
        <w:rPr>
          <w:rFonts w:ascii="Times New Roman" w:hAnsi="Times New Roman" w:cs="Times New Roman"/>
          <w:color w:val="000000" w:themeColor="text1"/>
          <w:sz w:val="17"/>
          <w:szCs w:val="17"/>
        </w:rPr>
        <w:t xml:space="preserve">Plato, </w:t>
      </w:r>
      <w:r w:rsidRPr="00FE584B">
        <w:rPr>
          <w:rFonts w:ascii="Times New Roman" w:hAnsi="Times New Roman" w:cs="Times New Roman"/>
          <w:i/>
          <w:color w:val="000000" w:themeColor="text1"/>
          <w:sz w:val="17"/>
          <w:szCs w:val="17"/>
        </w:rPr>
        <w:t>Phaedrus</w:t>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hint="eastAsia"/>
          <w:color w:val="000000" w:themeColor="text1"/>
          <w:sz w:val="17"/>
          <w:szCs w:val="17"/>
        </w:rPr>
        <w:t>trans. by Reginald Hackforth (Cambridge: Cambridge University Press</w:t>
      </w:r>
      <w:r w:rsidRPr="00FE584B">
        <w:rPr>
          <w:rFonts w:ascii="Times New Roman" w:hAnsi="Times New Roman" w:cs="Times New Roman"/>
          <w:color w:val="000000" w:themeColor="text1"/>
          <w:sz w:val="17"/>
          <w:szCs w:val="17"/>
        </w:rPr>
        <w:t>, 1952</w:t>
      </w:r>
      <w:r w:rsidRPr="00FE584B">
        <w:rPr>
          <w:rFonts w:ascii="Times New Roman" w:hAnsi="Times New Roman" w:cs="Times New Roman" w:hint="eastAsia"/>
          <w:color w:val="000000" w:themeColor="text1"/>
          <w:sz w:val="17"/>
          <w:szCs w:val="17"/>
        </w:rPr>
        <w:t>), p. 57</w:t>
      </w:r>
      <w:r w:rsidRPr="00FE584B">
        <w:rPr>
          <w:rFonts w:ascii="Times New Roman" w:hAnsi="Times New Roman" w:cs="Times New Roman"/>
          <w:color w:val="000000" w:themeColor="text1"/>
          <w:sz w:val="17"/>
          <w:szCs w:val="17"/>
        </w:rPr>
        <w:t xml:space="preserve">; Cicero, </w:t>
      </w:r>
      <w:r w:rsidRPr="00FE584B">
        <w:rPr>
          <w:rFonts w:ascii="Times New Roman" w:hAnsi="Times New Roman" w:cs="Times New Roman"/>
          <w:i/>
          <w:color w:val="000000" w:themeColor="text1"/>
          <w:sz w:val="17"/>
          <w:szCs w:val="17"/>
        </w:rPr>
        <w:t>On Divination</w:t>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hint="eastAsia"/>
          <w:color w:val="000000" w:themeColor="text1"/>
          <w:sz w:val="17"/>
          <w:szCs w:val="17"/>
        </w:rPr>
        <w:t>trans. by David Wardle (Oxford: Oxford University Press</w:t>
      </w:r>
      <w:r w:rsidRPr="00FE584B">
        <w:rPr>
          <w:rFonts w:ascii="Times New Roman" w:hAnsi="Times New Roman" w:cs="Times New Roman"/>
          <w:color w:val="000000" w:themeColor="text1"/>
          <w:sz w:val="17"/>
          <w:szCs w:val="17"/>
        </w:rPr>
        <w:t>, 2006</w:t>
      </w:r>
      <w:r w:rsidRPr="00FE584B">
        <w:rPr>
          <w:rFonts w:ascii="Times New Roman" w:hAnsi="Times New Roman" w:cs="Times New Roman" w:hint="eastAsia"/>
          <w:color w:val="000000" w:themeColor="text1"/>
          <w:sz w:val="17"/>
          <w:szCs w:val="17"/>
        </w:rPr>
        <w:t>), pp. 56-57.</w:t>
      </w:r>
    </w:p>
  </w:footnote>
  <w:footnote w:id="25">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color w:val="000000" w:themeColor="text1"/>
          <w:sz w:val="17"/>
          <w:szCs w:val="17"/>
          <w:shd w:val="clear" w:color="auto" w:fill="FFFFFF"/>
        </w:rPr>
        <w:t>Addey, ‘Oracles, Dreams and Astrology’, p. 36.</w:t>
      </w:r>
    </w:p>
  </w:footnote>
  <w:footnote w:id="26">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V.23.233.9-13.</w:t>
      </w:r>
    </w:p>
  </w:footnote>
  <w:footnote w:id="27">
    <w:p w:rsidR="006273EA" w:rsidRPr="00FE584B" w:rsidRDefault="006273EA" w:rsidP="009A5E5D">
      <w:pPr>
        <w:jc w:val="lef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III.16.138.1-5.</w:t>
      </w:r>
    </w:p>
  </w:footnote>
  <w:footnote w:id="28">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III.15.135.1-2.</w:t>
      </w:r>
    </w:p>
  </w:footnote>
  <w:footnote w:id="29">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III.16.136.12-14.</w:t>
      </w:r>
    </w:p>
  </w:footnote>
  <w:footnote w:id="30">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III.16.136.12-137.7.</w:t>
      </w:r>
    </w:p>
  </w:footnote>
  <w:footnote w:id="31">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III.16.137.10-138.5.</w:t>
      </w:r>
    </w:p>
  </w:footnote>
  <w:footnote w:id="32">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xml:space="preserve">, IX.1-3. For a detailed discussion of Iamblichus’ role in Porphyry’s astrological search for the personal daemon, as well as a text and translation of Porphyry’s own astrological treatise </w:t>
      </w:r>
      <w:r w:rsidRPr="00FE584B">
        <w:rPr>
          <w:rFonts w:ascii="Times New Roman" w:hAnsi="Times New Roman" w:cs="Times New Roman"/>
          <w:i/>
          <w:sz w:val="17"/>
          <w:szCs w:val="17"/>
        </w:rPr>
        <w:t>Introduction to the Tetrabiblos</w:t>
      </w:r>
      <w:r w:rsidRPr="00FE584B">
        <w:rPr>
          <w:rFonts w:ascii="Times New Roman" w:hAnsi="Times New Roman" w:cs="Times New Roman"/>
          <w:sz w:val="17"/>
          <w:szCs w:val="17"/>
        </w:rPr>
        <w:t>, see Dorian Greenbaum</w:t>
      </w:r>
      <w:r w:rsidR="00E57A77">
        <w:rPr>
          <w:rFonts w:ascii="Times New Roman" w:hAnsi="Times New Roman" w:cs="Times New Roman" w:hint="eastAsia"/>
          <w:sz w:val="17"/>
          <w:szCs w:val="17"/>
        </w:rPr>
        <w:t>,</w:t>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The Daimon in Hellenistic Astrology: Origins and Influence</w:t>
      </w:r>
      <w:r w:rsidRPr="00FE584B">
        <w:rPr>
          <w:rFonts w:ascii="Times New Roman" w:hAnsi="Times New Roman" w:cs="Times New Roman"/>
          <w:sz w:val="17"/>
          <w:szCs w:val="17"/>
        </w:rPr>
        <w:t>, Ancient Magic and Divination Vol. 11, (Leiden: Brill, 2016), pp. 247-254, 442-445.</w:t>
      </w:r>
    </w:p>
  </w:footnote>
  <w:footnote w:id="33">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color w:val="000000" w:themeColor="text1"/>
          <w:sz w:val="17"/>
          <w:szCs w:val="17"/>
        </w:rPr>
        <w:t xml:space="preserve"> VII.3.253.2-6. See Gregory Shaw, ‘Astrology as Divination: Iamblichean Theory and its Contemporary Practice’, in </w:t>
      </w:r>
      <w:r w:rsidRPr="00FE584B">
        <w:rPr>
          <w:rFonts w:ascii="Times New Roman" w:hAnsi="Times New Roman" w:cs="Times New Roman"/>
          <w:i/>
          <w:color w:val="000000" w:themeColor="text1"/>
          <w:sz w:val="17"/>
          <w:szCs w:val="17"/>
        </w:rPr>
        <w:t>International Society of Neoplatonic Studies Conference Anthology</w:t>
      </w:r>
      <w:r w:rsidRPr="00FE584B">
        <w:rPr>
          <w:rFonts w:ascii="Times New Roman" w:hAnsi="Times New Roman" w:cs="Times New Roman"/>
          <w:color w:val="000000" w:themeColor="text1"/>
          <w:sz w:val="17"/>
          <w:szCs w:val="17"/>
        </w:rPr>
        <w:t xml:space="preserve">, ed. by John Finamore and Robert Berchman, </w:t>
      </w:r>
      <w:r w:rsidR="002E6E46" w:rsidRPr="00FE584B">
        <w:rPr>
          <w:rFonts w:ascii="Times New Roman" w:hAnsi="Times New Roman" w:cs="Times New Roman"/>
          <w:color w:val="000000" w:themeColor="text1"/>
          <w:sz w:val="17"/>
          <w:szCs w:val="17"/>
        </w:rPr>
        <w:t>pp. 89-102</w:t>
      </w:r>
      <w:r w:rsidR="002E6E46">
        <w:rPr>
          <w:rFonts w:ascii="Times New Roman" w:hAnsi="Times New Roman" w:cs="Times New Roman" w:hint="eastAsia"/>
          <w:color w:val="000000" w:themeColor="text1"/>
          <w:sz w:val="17"/>
          <w:szCs w:val="17"/>
        </w:rPr>
        <w:t xml:space="preserve">, </w:t>
      </w:r>
      <w:r w:rsidRPr="00FE584B">
        <w:rPr>
          <w:rFonts w:ascii="Times New Roman" w:hAnsi="Times New Roman" w:cs="Times New Roman"/>
          <w:color w:val="000000" w:themeColor="text1"/>
          <w:sz w:val="17"/>
          <w:szCs w:val="17"/>
        </w:rPr>
        <w:t>(New Orleans: University Press of the South, 2007), pp. 89-102.</w:t>
      </w:r>
    </w:p>
  </w:footnote>
  <w:footnote w:id="34">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IX.4.277.9-14.</w:t>
      </w:r>
    </w:p>
  </w:footnote>
  <w:footnote w:id="35">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IX.4.278.5-8.</w:t>
      </w:r>
    </w:p>
  </w:footnote>
  <w:footnote w:id="36">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III.28.167.8-10.</w:t>
      </w:r>
    </w:p>
  </w:footnote>
  <w:footnote w:id="37">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kern w:val="0"/>
          <w:sz w:val="17"/>
          <w:szCs w:val="17"/>
        </w:rPr>
        <w:t xml:space="preserve">Athanassiadi, </w:t>
      </w:r>
      <w:r w:rsidRPr="00FE584B">
        <w:rPr>
          <w:rFonts w:ascii="Times New Roman" w:hAnsi="Times New Roman" w:cs="Times New Roman"/>
          <w:color w:val="000000" w:themeColor="text1"/>
          <w:kern w:val="0"/>
          <w:sz w:val="17"/>
          <w:szCs w:val="17"/>
        </w:rPr>
        <w:t>‘Dreams, Theurgy, and Freelance Divination’, p. 123.</w:t>
      </w:r>
    </w:p>
  </w:footnote>
  <w:footnote w:id="38">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V.23.234.1-4.</w:t>
      </w:r>
    </w:p>
  </w:footnote>
  <w:footnote w:id="39">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color w:val="000000" w:themeColor="text1"/>
          <w:sz w:val="17"/>
          <w:szCs w:val="17"/>
          <w:shd w:val="clear" w:color="auto" w:fill="FFFFFF"/>
        </w:rPr>
        <w:t xml:space="preserve">Crystal Addey, </w:t>
      </w:r>
      <w:r w:rsidRPr="00FE584B">
        <w:rPr>
          <w:rFonts w:ascii="Times New Roman" w:hAnsi="Times New Roman" w:cs="Times New Roman"/>
          <w:i/>
          <w:color w:val="000000" w:themeColor="text1"/>
          <w:sz w:val="17"/>
          <w:szCs w:val="17"/>
          <w:shd w:val="clear" w:color="auto" w:fill="FFFFFF"/>
        </w:rPr>
        <w:t>Divination and Theurgy in Neoplatonism: Oracles of the Gods</w:t>
      </w:r>
      <w:r w:rsidRPr="00FE584B">
        <w:rPr>
          <w:rFonts w:ascii="Times New Roman" w:hAnsi="Times New Roman" w:cs="Times New Roman"/>
          <w:color w:val="000000" w:themeColor="text1"/>
          <w:sz w:val="17"/>
          <w:szCs w:val="17"/>
          <w:shd w:val="clear" w:color="auto" w:fill="FFFFFF"/>
        </w:rPr>
        <w:t>, (New York: Routledge, 2014), p.254.</w:t>
      </w:r>
    </w:p>
  </w:footnote>
  <w:footnote w:id="40">
    <w:p w:rsidR="006273EA" w:rsidRPr="00FE584B" w:rsidRDefault="006273EA" w:rsidP="006D74AB">
      <w:pPr>
        <w:pStyle w:val="FootnoteText"/>
        <w:rPr>
          <w:rFonts w:ascii="Times New Roman" w:hAnsi="Times New Roman" w:cs="Times New Roman"/>
          <w:color w:val="FF0000"/>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color w:val="000000" w:themeColor="text1"/>
          <w:sz w:val="17"/>
          <w:szCs w:val="17"/>
        </w:rPr>
        <w:t xml:space="preserve"> Eric Dodds, ‘Theurgy and Its Relationship to Neoplatonism’, </w:t>
      </w:r>
      <w:r w:rsidRPr="00FE584B">
        <w:rPr>
          <w:rFonts w:ascii="Times New Roman" w:hAnsi="Times New Roman" w:cs="Times New Roman"/>
          <w:i/>
          <w:color w:val="000000" w:themeColor="text1"/>
          <w:sz w:val="17"/>
          <w:szCs w:val="17"/>
        </w:rPr>
        <w:t>Journal of Roman Studies</w:t>
      </w:r>
      <w:r w:rsidRPr="00FE584B">
        <w:rPr>
          <w:rFonts w:ascii="Times New Roman" w:hAnsi="Times New Roman" w:cs="Times New Roman"/>
          <w:color w:val="000000" w:themeColor="text1"/>
          <w:sz w:val="17"/>
          <w:szCs w:val="17"/>
        </w:rPr>
        <w:t xml:space="preserve">. 37 1-2 (1947) 55-69; Edgar. Wind, </w:t>
      </w:r>
      <w:r w:rsidRPr="00FE584B">
        <w:rPr>
          <w:rFonts w:ascii="Times New Roman" w:hAnsi="Times New Roman" w:cs="Times New Roman"/>
          <w:i/>
          <w:color w:val="000000" w:themeColor="text1"/>
          <w:sz w:val="17"/>
          <w:szCs w:val="17"/>
        </w:rPr>
        <w:t>Pagan Mysteries in the Renaissance: An Exploration of Philosophical and Mystical Sources of Iconography in Renaissance Art</w:t>
      </w:r>
      <w:r w:rsidRPr="00FE584B">
        <w:rPr>
          <w:rFonts w:ascii="Times New Roman" w:hAnsi="Times New Roman" w:cs="Times New Roman"/>
          <w:color w:val="000000" w:themeColor="text1"/>
          <w:sz w:val="17"/>
          <w:szCs w:val="17"/>
        </w:rPr>
        <w:t>, (London: W.W. Norton, 1968).</w:t>
      </w:r>
    </w:p>
  </w:footnote>
  <w:footnote w:id="41">
    <w:p w:rsidR="006273EA" w:rsidRPr="00FE584B" w:rsidRDefault="006273EA" w:rsidP="006D74AB">
      <w:pPr>
        <w:pStyle w:val="FootnoteTex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Andrew Smith, ‘Iamblichus, the First Philosopher of Religion?’, </w:t>
      </w:r>
      <w:r w:rsidRPr="00FE584B">
        <w:rPr>
          <w:rFonts w:ascii="Times New Roman" w:hAnsi="Times New Roman" w:cs="Times New Roman"/>
          <w:i/>
          <w:color w:val="000000" w:themeColor="text1"/>
          <w:sz w:val="17"/>
          <w:szCs w:val="17"/>
        </w:rPr>
        <w:t>Habis</w:t>
      </w:r>
      <w:r w:rsidRPr="00FE584B">
        <w:rPr>
          <w:rFonts w:ascii="Times New Roman" w:hAnsi="Times New Roman" w:cs="Times New Roman"/>
          <w:color w:val="000000" w:themeColor="text1"/>
          <w:sz w:val="17"/>
          <w:szCs w:val="17"/>
        </w:rPr>
        <w:t xml:space="preserve"> 31 (2000) 345-353; John Bussanich, ‘Philosophy, Theology, and Magic: Gods and Forms in Iamblichus’, in </w:t>
      </w:r>
      <w:r w:rsidRPr="00FE584B">
        <w:rPr>
          <w:rFonts w:ascii="Times New Roman" w:hAnsi="Times New Roman" w:cs="Times New Roman"/>
          <w:i/>
          <w:color w:val="000000" w:themeColor="text1"/>
          <w:sz w:val="17"/>
          <w:szCs w:val="17"/>
        </w:rPr>
        <w:t>Metaphysik und</w:t>
      </w:r>
      <w:r w:rsidRPr="00FE584B">
        <w:rPr>
          <w:rFonts w:ascii="Times New Roman" w:hAnsi="Times New Roman" w:cs="Times New Roman"/>
          <w:color w:val="000000" w:themeColor="text1"/>
          <w:sz w:val="17"/>
          <w:szCs w:val="17"/>
        </w:rPr>
        <w:t xml:space="preserve"> </w:t>
      </w:r>
      <w:r w:rsidRPr="00FE584B">
        <w:rPr>
          <w:rFonts w:ascii="Times New Roman" w:hAnsi="Times New Roman" w:cs="Times New Roman"/>
          <w:i/>
          <w:color w:val="000000" w:themeColor="text1"/>
          <w:sz w:val="17"/>
          <w:szCs w:val="17"/>
        </w:rPr>
        <w:t>Religion: Zur Signatur des spätantiken Denkens</w:t>
      </w:r>
      <w:r w:rsidRPr="00FE584B">
        <w:rPr>
          <w:rFonts w:ascii="Times New Roman" w:hAnsi="Times New Roman" w:cs="Times New Roman"/>
          <w:color w:val="000000" w:themeColor="text1"/>
          <w:sz w:val="17"/>
          <w:szCs w:val="17"/>
        </w:rPr>
        <w:t>, ed. by Theo Kobusch and Michael Erler, (München: K.G. Saur Verlag, 2002)</w:t>
      </w:r>
      <w:r w:rsidR="002E6E46">
        <w:rPr>
          <w:rFonts w:ascii="Times New Roman" w:hAnsi="Times New Roman" w:cs="Times New Roman" w:hint="eastAsia"/>
          <w:color w:val="000000" w:themeColor="text1"/>
          <w:sz w:val="17"/>
          <w:szCs w:val="17"/>
        </w:rPr>
        <w:t xml:space="preserve">, </w:t>
      </w:r>
      <w:r w:rsidR="002E6E46" w:rsidRPr="00FE584B">
        <w:rPr>
          <w:rFonts w:ascii="Times New Roman" w:hAnsi="Times New Roman" w:cs="Times New Roman"/>
          <w:color w:val="000000" w:themeColor="text1"/>
          <w:sz w:val="17"/>
          <w:szCs w:val="17"/>
        </w:rPr>
        <w:t>pp. 39-61</w:t>
      </w:r>
      <w:r w:rsidRPr="00FE584B">
        <w:rPr>
          <w:rFonts w:ascii="Times New Roman" w:hAnsi="Times New Roman" w:cs="Times New Roman"/>
          <w:color w:val="000000" w:themeColor="text1"/>
          <w:sz w:val="17"/>
          <w:szCs w:val="17"/>
        </w:rPr>
        <w:t>.</w:t>
      </w:r>
    </w:p>
  </w:footnote>
  <w:footnote w:id="42">
    <w:p w:rsidR="006273EA" w:rsidRPr="00FE584B" w:rsidRDefault="006273EA" w:rsidP="0071551F">
      <w:pPr>
        <w:widowControl/>
        <w:autoSpaceDE w:val="0"/>
        <w:autoSpaceDN w:val="0"/>
        <w:adjustRightInd w:val="0"/>
        <w:jc w:val="left"/>
        <w:rPr>
          <w:rFonts w:ascii="Times New Roman" w:hAnsi="Times New Roman" w:cs="Times New Roman"/>
          <w:color w:val="000000" w:themeColor="text1"/>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Hans Feichtinger comments concerning Iamblichus, ‘Within his hierarchical philosophical system and pedagogical programme,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xml:space="preserve"> must be taken seriously and read philosophically, as a kind of ‘fundamental theology’ upon which his whole system rests.’ in ‘Οὐδέμεια and </w:t>
      </w:r>
      <w:r w:rsidRPr="00FE584B">
        <w:rPr>
          <w:rFonts w:ascii="Times New Roman" w:hAnsi="Times New Roman" w:cs="Times New Roman"/>
          <w:i/>
          <w:color w:val="000000" w:themeColor="text1"/>
          <w:sz w:val="17"/>
          <w:szCs w:val="17"/>
        </w:rPr>
        <w:t>Humilitas</w:t>
      </w:r>
      <w:r w:rsidRPr="00FE584B">
        <w:rPr>
          <w:rFonts w:ascii="Times New Roman" w:hAnsi="Times New Roman" w:cs="Times New Roman"/>
          <w:color w:val="000000" w:themeColor="text1"/>
          <w:sz w:val="17"/>
          <w:szCs w:val="17"/>
        </w:rPr>
        <w:t xml:space="preserve">: Nature and Function of Humility in Iamblichus and Augustine’, </w:t>
      </w:r>
      <w:r w:rsidRPr="00FE584B">
        <w:rPr>
          <w:rFonts w:ascii="Times New Roman" w:hAnsi="Times New Roman" w:cs="Times New Roman"/>
          <w:i/>
          <w:iCs/>
          <w:color w:val="000000" w:themeColor="text1"/>
          <w:kern w:val="0"/>
          <w:sz w:val="17"/>
          <w:szCs w:val="17"/>
        </w:rPr>
        <w:t>Dionysius</w:t>
      </w:r>
      <w:r w:rsidRPr="00FE584B">
        <w:rPr>
          <w:rFonts w:ascii="Times New Roman" w:hAnsi="Times New Roman" w:cs="Times New Roman"/>
          <w:color w:val="000000" w:themeColor="text1"/>
          <w:kern w:val="0"/>
          <w:sz w:val="17"/>
          <w:szCs w:val="17"/>
        </w:rPr>
        <w:t xml:space="preserve"> 21 (2003), p.125.</w:t>
      </w:r>
    </w:p>
  </w:footnote>
  <w:footnote w:id="43">
    <w:p w:rsidR="006273EA" w:rsidRPr="006273EA" w:rsidRDefault="006273EA" w:rsidP="006273EA">
      <w:pPr>
        <w:pStyle w:val="Default"/>
        <w:rPr>
          <w:rFonts w:ascii="Times New Roman" w:hAnsi="Times New Roman" w:cs="Times New Roman"/>
          <w:color w:val="FF0000"/>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In addition to writing commentaries on both Plato and Aristotle, Iamblichus and Porphyry were influenced by Plotinus. For Plotinus’ views on magic and theurgy, see Philip Merlan, ‘</w:t>
      </w:r>
      <w:r w:rsidRPr="006273EA">
        <w:rPr>
          <w:rFonts w:ascii="Times New Roman" w:hAnsi="Times New Roman" w:cs="Times New Roman"/>
          <w:color w:val="000000" w:themeColor="text1"/>
          <w:sz w:val="17"/>
          <w:szCs w:val="17"/>
        </w:rPr>
        <w:t xml:space="preserve">Plotinus and Magic’, </w:t>
      </w:r>
      <w:r w:rsidRPr="006273EA">
        <w:rPr>
          <w:rFonts w:ascii="Times New Roman" w:hAnsi="Times New Roman" w:cs="Times New Roman"/>
          <w:i/>
          <w:color w:val="000000" w:themeColor="text1"/>
          <w:sz w:val="17"/>
          <w:szCs w:val="17"/>
        </w:rPr>
        <w:t>Isis</w:t>
      </w:r>
      <w:r w:rsidRPr="006273EA">
        <w:rPr>
          <w:rFonts w:ascii="Times New Roman" w:hAnsi="Times New Roman" w:cs="Times New Roman"/>
          <w:color w:val="000000" w:themeColor="text1"/>
          <w:sz w:val="17"/>
          <w:szCs w:val="17"/>
        </w:rPr>
        <w:t xml:space="preserve"> 44 4 (1953), 341-348. cf. Arthur Armstrong, ‘Was Plotinus a Magician?’, </w:t>
      </w:r>
      <w:r w:rsidRPr="006273EA">
        <w:rPr>
          <w:rFonts w:ascii="Times New Roman" w:hAnsi="Times New Roman" w:cs="Times New Roman"/>
          <w:i/>
          <w:color w:val="000000" w:themeColor="text1"/>
          <w:sz w:val="17"/>
          <w:szCs w:val="17"/>
        </w:rPr>
        <w:t>Phronesis</w:t>
      </w:r>
      <w:r w:rsidRPr="006273EA">
        <w:rPr>
          <w:rFonts w:ascii="Times New Roman" w:hAnsi="Times New Roman" w:cs="Times New Roman"/>
          <w:color w:val="000000" w:themeColor="text1"/>
          <w:sz w:val="17"/>
          <w:szCs w:val="17"/>
        </w:rPr>
        <w:t xml:space="preserve"> 1 1 (1955) 73-79</w:t>
      </w:r>
      <w:r w:rsidRPr="006273EA">
        <w:rPr>
          <w:rFonts w:ascii="Times New Roman" w:hAnsi="Times New Roman" w:cs="Times New Roman" w:hint="eastAsia"/>
          <w:color w:val="000000" w:themeColor="text1"/>
          <w:sz w:val="17"/>
          <w:szCs w:val="17"/>
        </w:rPr>
        <w:t>.</w:t>
      </w:r>
    </w:p>
  </w:footnote>
  <w:footnote w:id="44">
    <w:p w:rsidR="006273EA" w:rsidRPr="00FE584B" w:rsidRDefault="006273EA" w:rsidP="002A4D5B">
      <w:pPr>
        <w:widowControl/>
        <w:autoSpaceDE w:val="0"/>
        <w:autoSpaceDN w:val="0"/>
        <w:adjustRightInd w:val="0"/>
        <w:jc w:val="left"/>
        <w:rPr>
          <w:rFonts w:ascii="Times New Roman" w:hAnsi="Times New Roman" w:cs="Times New Roman"/>
          <w:color w:val="000000" w:themeColor="text1"/>
          <w:sz w:val="17"/>
          <w:szCs w:val="17"/>
        </w:rPr>
      </w:pPr>
      <w:r w:rsidRPr="006273EA">
        <w:rPr>
          <w:rStyle w:val="FootnoteReference"/>
          <w:rFonts w:ascii="Times New Roman" w:hAnsi="Times New Roman" w:cs="Times New Roman"/>
          <w:color w:val="000000" w:themeColor="text1"/>
          <w:sz w:val="17"/>
          <w:szCs w:val="17"/>
        </w:rPr>
        <w:footnoteRef/>
      </w:r>
      <w:r w:rsidRPr="006273EA">
        <w:rPr>
          <w:rFonts w:ascii="Times New Roman" w:hAnsi="Times New Roman" w:cs="Times New Roman"/>
          <w:color w:val="000000" w:themeColor="text1"/>
          <w:sz w:val="17"/>
          <w:szCs w:val="17"/>
        </w:rPr>
        <w:t xml:space="preserve"> </w:t>
      </w:r>
      <w:r w:rsidRPr="006273EA">
        <w:rPr>
          <w:rFonts w:ascii="Times New Roman" w:hAnsi="Times New Roman" w:cs="Times New Roman"/>
          <w:color w:val="000000" w:themeColor="text1"/>
          <w:kern w:val="0"/>
          <w:sz w:val="17"/>
          <w:szCs w:val="17"/>
        </w:rPr>
        <w:t xml:space="preserve">In </w:t>
      </w:r>
      <w:r w:rsidRPr="006273EA">
        <w:rPr>
          <w:rFonts w:ascii="Times New Roman" w:hAnsi="Times New Roman" w:cs="Times New Roman"/>
          <w:i/>
          <w:color w:val="000000" w:themeColor="text1"/>
          <w:kern w:val="0"/>
          <w:sz w:val="17"/>
          <w:szCs w:val="17"/>
        </w:rPr>
        <w:t>De mysteriis</w:t>
      </w:r>
      <w:r w:rsidRPr="006273EA">
        <w:rPr>
          <w:rFonts w:ascii="Times New Roman" w:hAnsi="Times New Roman" w:cs="Times New Roman"/>
          <w:color w:val="000000" w:themeColor="text1"/>
          <w:kern w:val="0"/>
          <w:sz w:val="17"/>
          <w:szCs w:val="17"/>
        </w:rPr>
        <w:t xml:space="preserve"> I.3.8.10-9.1, Iamblichus refers to the ‘higher beings’ (κ</w:t>
      </w:r>
      <w:r w:rsidRPr="006273EA">
        <w:rPr>
          <w:rFonts w:ascii="Times New Roman" w:eastAsia="TimesNewRoman,Italic" w:hAnsi="Times New Roman" w:cs="Times New Roman"/>
          <w:iCs/>
          <w:color w:val="000000" w:themeColor="text1"/>
          <w:kern w:val="0"/>
          <w:sz w:val="17"/>
          <w:szCs w:val="17"/>
        </w:rPr>
        <w:t xml:space="preserve">ρείττονα γενή) </w:t>
      </w:r>
      <w:r w:rsidRPr="006273EA">
        <w:rPr>
          <w:rFonts w:ascii="Times New Roman" w:hAnsi="Times New Roman" w:cs="Times New Roman"/>
          <w:color w:val="000000" w:themeColor="text1"/>
          <w:kern w:val="0"/>
          <w:sz w:val="17"/>
          <w:szCs w:val="17"/>
        </w:rPr>
        <w:t>and mentions the ‘gods’ (</w:t>
      </w:r>
      <w:r w:rsidRPr="006273EA">
        <w:rPr>
          <w:rFonts w:ascii="Times New Roman" w:eastAsia="TimesNewRoman,Italic" w:hAnsi="Times New Roman" w:cs="Times New Roman"/>
          <w:iCs/>
          <w:color w:val="000000" w:themeColor="text1"/>
          <w:kern w:val="0"/>
          <w:sz w:val="17"/>
          <w:szCs w:val="17"/>
        </w:rPr>
        <w:t>θεοί), ‘daemons’</w:t>
      </w:r>
      <w:r w:rsidRPr="00FE584B">
        <w:rPr>
          <w:rFonts w:ascii="Times New Roman" w:hAnsi="Times New Roman" w:cs="Times New Roman"/>
          <w:color w:val="000000" w:themeColor="text1"/>
          <w:kern w:val="0"/>
          <w:sz w:val="17"/>
          <w:szCs w:val="17"/>
        </w:rPr>
        <w:t xml:space="preserve"> (</w:t>
      </w:r>
      <w:r w:rsidRPr="00FE584B">
        <w:rPr>
          <w:rFonts w:ascii="Times New Roman" w:eastAsia="TimesNewRoman,Italic" w:hAnsi="Times New Roman" w:cs="Times New Roman"/>
          <w:iCs/>
          <w:color w:val="000000" w:themeColor="text1"/>
          <w:kern w:val="0"/>
          <w:sz w:val="17"/>
          <w:szCs w:val="17"/>
        </w:rPr>
        <w:t xml:space="preserve">δαίμονες), ‘heroes’ (ἥρωες), and ‘pure souls’ (ψυχαὶ ἄχρατοι). In </w:t>
      </w:r>
      <w:r w:rsidRPr="00FE584B">
        <w:rPr>
          <w:rFonts w:ascii="Times New Roman" w:eastAsia="TimesNewRoman,Italic" w:hAnsi="Times New Roman" w:cs="Times New Roman"/>
          <w:i/>
          <w:iCs/>
          <w:color w:val="000000" w:themeColor="text1"/>
          <w:kern w:val="0"/>
          <w:sz w:val="17"/>
          <w:szCs w:val="17"/>
        </w:rPr>
        <w:t>De mysteriis</w:t>
      </w:r>
      <w:r w:rsidRPr="00FE584B">
        <w:rPr>
          <w:rFonts w:ascii="Times New Roman" w:eastAsia="TimesNewRoman,Italic" w:hAnsi="Times New Roman" w:cs="Times New Roman"/>
          <w:iCs/>
          <w:color w:val="000000" w:themeColor="text1"/>
          <w:kern w:val="0"/>
          <w:sz w:val="17"/>
          <w:szCs w:val="17"/>
        </w:rPr>
        <w:t xml:space="preserve"> II.3.70.9, he also mentions ‘archangels’ (αρχάγγελοι), ‘angels’ (άγγελοι), and the unique category of two different types of ‘archons’ (ἄρκοντος</w:t>
      </w:r>
      <w:r w:rsidRPr="00FE584B">
        <w:rPr>
          <w:rFonts w:ascii="Times New Roman" w:hAnsi="Times New Roman" w:cs="Times New Roman"/>
          <w:color w:val="000000" w:themeColor="text1"/>
          <w:kern w:val="0"/>
          <w:sz w:val="17"/>
          <w:szCs w:val="17"/>
        </w:rPr>
        <w:t xml:space="preserve">). For more information on this unique classification, see Christopher Plaisance, ‘Of Cosmocrators and Cosmic Gods: The Place of the Archons in De Mysteriis’, in </w:t>
      </w:r>
      <w:r w:rsidRPr="00FE584B">
        <w:rPr>
          <w:rFonts w:ascii="Times New Roman" w:hAnsi="Times New Roman" w:cs="Times New Roman"/>
          <w:i/>
          <w:color w:val="000000" w:themeColor="text1"/>
          <w:kern w:val="0"/>
          <w:sz w:val="17"/>
          <w:szCs w:val="17"/>
        </w:rPr>
        <w:t>Daimonic Imagination: Uncanny Intelligence</w:t>
      </w:r>
      <w:r w:rsidRPr="00FE584B">
        <w:rPr>
          <w:rFonts w:ascii="Times New Roman" w:hAnsi="Times New Roman" w:cs="Times New Roman"/>
          <w:color w:val="000000" w:themeColor="text1"/>
          <w:kern w:val="0"/>
          <w:sz w:val="17"/>
          <w:szCs w:val="17"/>
        </w:rPr>
        <w:t>, ed. by Angela Voss and William Rowlandson, (Newcastle: Cambridge Scholars Publishing, 2013)</w:t>
      </w:r>
      <w:r w:rsidR="004D0AC0">
        <w:rPr>
          <w:rFonts w:ascii="Times New Roman" w:hAnsi="Times New Roman" w:cs="Times New Roman" w:hint="eastAsia"/>
          <w:color w:val="000000" w:themeColor="text1"/>
          <w:kern w:val="0"/>
          <w:sz w:val="17"/>
          <w:szCs w:val="17"/>
        </w:rPr>
        <w:t xml:space="preserve">, </w:t>
      </w:r>
      <w:r w:rsidR="004D0AC0">
        <w:rPr>
          <w:rFonts w:ascii="Times New Roman" w:hAnsi="Times New Roman" w:cs="Times New Roman"/>
          <w:color w:val="000000" w:themeColor="text1"/>
          <w:kern w:val="0"/>
          <w:sz w:val="17"/>
          <w:szCs w:val="17"/>
        </w:rPr>
        <w:t>pp. 64-85</w:t>
      </w:r>
      <w:r w:rsidRPr="00FE584B">
        <w:rPr>
          <w:rFonts w:ascii="Times New Roman" w:hAnsi="Times New Roman" w:cs="Times New Roman"/>
          <w:color w:val="000000" w:themeColor="text1"/>
          <w:kern w:val="0"/>
          <w:sz w:val="17"/>
          <w:szCs w:val="17"/>
        </w:rPr>
        <w:t>.</w:t>
      </w:r>
    </w:p>
  </w:footnote>
  <w:footnote w:id="45">
    <w:p w:rsidR="006273EA" w:rsidRPr="00FE584B" w:rsidRDefault="006273EA">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Although Porphyry’s </w:t>
      </w:r>
      <w:r w:rsidRPr="004D0AC0">
        <w:rPr>
          <w:rFonts w:ascii="Times New Roman" w:hAnsi="Times New Roman" w:cs="Times New Roman"/>
          <w:i/>
          <w:sz w:val="17"/>
          <w:szCs w:val="17"/>
        </w:rPr>
        <w:t>Letter to Anebo</w:t>
      </w:r>
      <w:r w:rsidRPr="00FE584B">
        <w:rPr>
          <w:rFonts w:ascii="Times New Roman" w:hAnsi="Times New Roman" w:cs="Times New Roman"/>
          <w:sz w:val="17"/>
          <w:szCs w:val="17"/>
        </w:rPr>
        <w:t xml:space="preserve"> is categorized as, ‘a vicious attack on theurgy’ by Emma Clarke in her introduction to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xml:space="preserve"> p. xxii, Porphyry is not critical of divination and/or magical practices in his fragments from </w:t>
      </w:r>
      <w:r w:rsidRPr="00FE584B">
        <w:rPr>
          <w:rFonts w:ascii="Times New Roman" w:hAnsi="Times New Roman" w:cs="Times New Roman"/>
          <w:i/>
          <w:sz w:val="17"/>
          <w:szCs w:val="17"/>
        </w:rPr>
        <w:t>On Philosophy from Oracles</w:t>
      </w:r>
      <w:r w:rsidRPr="00FE584B">
        <w:rPr>
          <w:rFonts w:ascii="Times New Roman" w:hAnsi="Times New Roman" w:cs="Times New Roman"/>
          <w:sz w:val="17"/>
          <w:szCs w:val="17"/>
        </w:rPr>
        <w:t xml:space="preserve"> and </w:t>
      </w:r>
      <w:r w:rsidRPr="00FE584B">
        <w:rPr>
          <w:rFonts w:ascii="Times New Roman" w:hAnsi="Times New Roman" w:cs="Times New Roman"/>
          <w:i/>
          <w:sz w:val="17"/>
          <w:szCs w:val="17"/>
        </w:rPr>
        <w:t>On Statues</w:t>
      </w:r>
      <w:r w:rsidRPr="00FE584B">
        <w:rPr>
          <w:rFonts w:ascii="Times New Roman" w:hAnsi="Times New Roman" w:cs="Times New Roman"/>
          <w:sz w:val="17"/>
          <w:szCs w:val="17"/>
        </w:rPr>
        <w:t xml:space="preserve"> as preserved in </w:t>
      </w:r>
      <w:r w:rsidRPr="00FE584B">
        <w:rPr>
          <w:rFonts w:ascii="Times New Roman" w:hAnsi="Times New Roman" w:cs="Times New Roman"/>
          <w:i/>
          <w:sz w:val="17"/>
          <w:szCs w:val="17"/>
        </w:rPr>
        <w:t>Porphyrii Philosophi Fragmenta</w:t>
      </w:r>
      <w:r w:rsidRPr="00FE584B">
        <w:rPr>
          <w:rFonts w:ascii="Times New Roman" w:hAnsi="Times New Roman" w:cs="Times New Roman"/>
          <w:sz w:val="17"/>
          <w:szCs w:val="17"/>
        </w:rPr>
        <w:t>, ed. by Andrew Smith, (Stuttgart: Teubner, 1993).</w:t>
      </w:r>
      <w:r>
        <w:rPr>
          <w:rFonts w:ascii="Times New Roman" w:hAnsi="Times New Roman" w:cs="Times New Roman" w:hint="eastAsia"/>
          <w:sz w:val="17"/>
          <w:szCs w:val="17"/>
        </w:rPr>
        <w:t xml:space="preserve"> Also, Porphyry</w:t>
      </w:r>
      <w:r>
        <w:rPr>
          <w:rFonts w:ascii="Times New Roman" w:hAnsi="Times New Roman" w:cs="Times New Roman"/>
          <w:sz w:val="17"/>
          <w:szCs w:val="17"/>
        </w:rPr>
        <w:t>’</w:t>
      </w:r>
      <w:r>
        <w:rPr>
          <w:rFonts w:ascii="Times New Roman" w:hAnsi="Times New Roman" w:cs="Times New Roman" w:hint="eastAsia"/>
          <w:sz w:val="17"/>
          <w:szCs w:val="17"/>
        </w:rPr>
        <w:t xml:space="preserve">s </w:t>
      </w:r>
      <w:r w:rsidRPr="0009756D">
        <w:rPr>
          <w:rFonts w:ascii="Times New Roman" w:hAnsi="Times New Roman" w:cs="Times New Roman" w:hint="eastAsia"/>
          <w:i/>
          <w:sz w:val="17"/>
          <w:szCs w:val="17"/>
        </w:rPr>
        <w:t>Life of Plotinus</w:t>
      </w:r>
      <w:r>
        <w:rPr>
          <w:rFonts w:ascii="Times New Roman" w:hAnsi="Times New Roman" w:cs="Times New Roman" w:hint="eastAsia"/>
          <w:sz w:val="17"/>
          <w:szCs w:val="17"/>
        </w:rPr>
        <w:t xml:space="preserve"> closes with an oracle in </w:t>
      </w:r>
      <w:r w:rsidRPr="0009756D">
        <w:rPr>
          <w:rFonts w:ascii="Times New Roman" w:hAnsi="Times New Roman" w:cs="Times New Roman" w:hint="eastAsia"/>
          <w:i/>
          <w:sz w:val="17"/>
          <w:szCs w:val="17"/>
        </w:rPr>
        <w:t>Plotinus: The Enneads</w:t>
      </w:r>
      <w:r>
        <w:rPr>
          <w:rFonts w:ascii="Times New Roman" w:hAnsi="Times New Roman" w:cs="Times New Roman" w:hint="eastAsia"/>
          <w:sz w:val="17"/>
          <w:szCs w:val="17"/>
        </w:rPr>
        <w:t>, ed. by Lloyd Gerson, (Cambridge: Cambridge University Press), p. 36.</w:t>
      </w:r>
    </w:p>
  </w:footnote>
  <w:footnote w:id="46">
    <w:p w:rsidR="006273EA" w:rsidRPr="00FE584B" w:rsidRDefault="006273EA" w:rsidP="00BF4E26">
      <w:pPr>
        <w:widowControl/>
        <w:autoSpaceDE w:val="0"/>
        <w:autoSpaceDN w:val="0"/>
        <w:adjustRightInd w:val="0"/>
        <w:jc w:val="left"/>
        <w:rPr>
          <w:rFonts w:ascii="Times New Roman" w:hAnsi="Times New Roman" w:cs="Times New Roman"/>
          <w:color w:val="000000" w:themeColor="text1"/>
          <w:sz w:val="17"/>
          <w:szCs w:val="17"/>
        </w:rPr>
      </w:pPr>
      <w:r w:rsidRPr="00FE584B">
        <w:rPr>
          <w:rStyle w:val="FootnoteReference"/>
          <w:rFonts w:ascii="Times New Roman" w:hAnsi="Times New Roman" w:cs="Times New Roman"/>
          <w:color w:val="000000" w:themeColor="text1"/>
          <w:sz w:val="17"/>
          <w:szCs w:val="17"/>
        </w:rPr>
        <w:footnoteRef/>
      </w:r>
      <w:r w:rsidRPr="00FE584B">
        <w:rPr>
          <w:rFonts w:ascii="Times New Roman" w:hAnsi="Times New Roman" w:cs="Times New Roman"/>
          <w:color w:val="000000" w:themeColor="text1"/>
          <w:sz w:val="17"/>
          <w:szCs w:val="17"/>
        </w:rPr>
        <w:t xml:space="preserve"> Gregory Shaw claims that, ‘</w:t>
      </w:r>
      <w:r w:rsidRPr="00FE584B">
        <w:rPr>
          <w:rFonts w:ascii="Times New Roman" w:hAnsi="Times New Roman" w:cs="Times New Roman"/>
          <w:color w:val="000000" w:themeColor="text1"/>
          <w:kern w:val="0"/>
          <w:sz w:val="17"/>
          <w:szCs w:val="17"/>
        </w:rPr>
        <w:t xml:space="preserve">For Iamblichus, ecstatic μαντική has only one purpose: to deify the soul, so Porphyry’s interest in foreknowledge is misdirected; knowledge of the future is merely incidental to divination, or irrelevant. The sole purpose of μαντική is to unite the soul with the gods, something that human reason cannot do.’ in ‘Containing Ecstasy: The Strategies of Iamblichean Theurgy’, </w:t>
      </w:r>
      <w:r w:rsidRPr="00FE584B">
        <w:rPr>
          <w:rFonts w:ascii="Times New Roman" w:hAnsi="Times New Roman" w:cs="Times New Roman"/>
          <w:i/>
          <w:iCs/>
          <w:color w:val="000000" w:themeColor="text1"/>
          <w:kern w:val="0"/>
          <w:sz w:val="17"/>
          <w:szCs w:val="17"/>
        </w:rPr>
        <w:t>Dionysius</w:t>
      </w:r>
      <w:r w:rsidRPr="00FE584B">
        <w:rPr>
          <w:rFonts w:ascii="Times New Roman" w:hAnsi="Times New Roman" w:cs="Times New Roman"/>
          <w:color w:val="000000" w:themeColor="text1"/>
          <w:kern w:val="0"/>
          <w:sz w:val="17"/>
          <w:szCs w:val="17"/>
        </w:rPr>
        <w:t>, 21 (2003), p.55.</w:t>
      </w:r>
    </w:p>
  </w:footnote>
  <w:footnote w:id="47">
    <w:p w:rsidR="006273EA" w:rsidRPr="00FE584B" w:rsidRDefault="006273EA" w:rsidP="003A333C">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III.3.106.12-14. Also, i</w:t>
      </w:r>
      <w:r w:rsidRPr="00FE584B">
        <w:rPr>
          <w:rFonts w:ascii="Times New Roman" w:hAnsi="Times New Roman" w:cs="Times New Roman"/>
          <w:kern w:val="0"/>
          <w:sz w:val="17"/>
          <w:szCs w:val="17"/>
        </w:rPr>
        <w:t>f the theurgist can combine both the ‘intellectual’ (νερὸν) and ‘divine’ (θεῖον) part of the soul with higher powers, then they may have visions of things happening according to their highest causes, namely the gods themselves and thereby receive, ‘… a power and knowledge embracing things that were and will be, and takes a view of all time, and surveys events happening in time, and it participates in their order, care and appropriate movement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III.3.107.7-108.3).</w:t>
      </w:r>
    </w:p>
  </w:footnote>
  <w:footnote w:id="48">
    <w:p w:rsidR="006273EA" w:rsidRPr="00FE584B" w:rsidRDefault="006273EA" w:rsidP="003A333C">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III.14.132.9-12.</w:t>
      </w:r>
    </w:p>
  </w:footnote>
  <w:footnote w:id="49">
    <w:p w:rsidR="006273EA" w:rsidRPr="00FE584B" w:rsidRDefault="006273EA">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III.11.124.13-125.3.</w:t>
      </w:r>
    </w:p>
  </w:footnote>
  <w:footnote w:id="50">
    <w:p w:rsidR="006273EA" w:rsidRPr="00FE584B" w:rsidRDefault="006273EA">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III.3.108.6-109.3; III.16.</w:t>
      </w:r>
    </w:p>
  </w:footnote>
  <w:footnote w:id="51">
    <w:p w:rsidR="006273EA" w:rsidRPr="00FE584B" w:rsidRDefault="006273EA" w:rsidP="006D74AB">
      <w:pPr>
        <w:pStyle w:val="FootnoteText"/>
        <w:rPr>
          <w:rFonts w:ascii="Times New Roman" w:hAnsi="Times New Roman" w:cs="Times New Roman"/>
          <w:sz w:val="17"/>
          <w:szCs w:val="17"/>
        </w:rPr>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Hans Betz (ed), </w:t>
      </w:r>
      <w:r w:rsidRPr="00FE584B">
        <w:rPr>
          <w:rFonts w:ascii="Times New Roman" w:hAnsi="Times New Roman" w:cs="Times New Roman"/>
          <w:i/>
          <w:sz w:val="17"/>
          <w:szCs w:val="17"/>
        </w:rPr>
        <w:t>The Greek Magical Papyri in Translation: Including the Demotic Spells</w:t>
      </w:r>
      <w:r w:rsidRPr="00FE584B">
        <w:rPr>
          <w:rFonts w:ascii="Times New Roman" w:hAnsi="Times New Roman" w:cs="Times New Roman"/>
          <w:sz w:val="17"/>
          <w:szCs w:val="17"/>
        </w:rPr>
        <w:t xml:space="preserve">, (Chicago: University of Chicago Press, 1986). </w:t>
      </w:r>
      <w:r w:rsidRPr="00FE584B">
        <w:rPr>
          <w:rFonts w:ascii="Times New Roman" w:hAnsi="Times New Roman" w:cs="Times New Roman"/>
          <w:kern w:val="0"/>
          <w:sz w:val="17"/>
          <w:szCs w:val="17"/>
        </w:rPr>
        <w:t>This train of thought often leads to discussions regarding so-called, ‘higher’ and ‘lower’ theurgy versus the blurry lines of what constitutes magic.</w:t>
      </w:r>
      <w:r w:rsidR="006D1558">
        <w:rPr>
          <w:rFonts w:ascii="Times New Roman" w:hAnsi="Times New Roman" w:cs="Times New Roman" w:hint="eastAsia"/>
          <w:kern w:val="0"/>
          <w:sz w:val="17"/>
          <w:szCs w:val="17"/>
        </w:rPr>
        <w:t xml:space="preserve"> For more on higher and lower theurgy see, Andrew Smith, </w:t>
      </w:r>
      <w:r w:rsidR="006D1558" w:rsidRPr="006D1558">
        <w:rPr>
          <w:rFonts w:ascii="Times New Roman" w:hAnsi="Times New Roman" w:cs="Times New Roman" w:hint="eastAsia"/>
          <w:i/>
          <w:kern w:val="0"/>
          <w:sz w:val="17"/>
          <w:szCs w:val="17"/>
        </w:rPr>
        <w:t>Porphyry</w:t>
      </w:r>
      <w:r w:rsidR="006D1558" w:rsidRPr="006D1558">
        <w:rPr>
          <w:rFonts w:ascii="Times New Roman" w:hAnsi="Times New Roman" w:cs="Times New Roman"/>
          <w:i/>
          <w:kern w:val="0"/>
          <w:sz w:val="17"/>
          <w:szCs w:val="17"/>
        </w:rPr>
        <w:t>’</w:t>
      </w:r>
      <w:r w:rsidR="006D1558" w:rsidRPr="006D1558">
        <w:rPr>
          <w:rFonts w:ascii="Times New Roman" w:hAnsi="Times New Roman" w:cs="Times New Roman" w:hint="eastAsia"/>
          <w:i/>
          <w:kern w:val="0"/>
          <w:sz w:val="17"/>
          <w:szCs w:val="17"/>
        </w:rPr>
        <w:t>s Place in the Neoplatonic Tradition: A Study in Post-Plotinian Neoplatonism</w:t>
      </w:r>
      <w:r w:rsidR="006D1558">
        <w:rPr>
          <w:rFonts w:ascii="Times New Roman" w:hAnsi="Times New Roman" w:cs="Times New Roman" w:hint="eastAsia"/>
          <w:kern w:val="0"/>
          <w:sz w:val="17"/>
          <w:szCs w:val="17"/>
        </w:rPr>
        <w:t>, (The Hague: Kluwer, 1974), pp. 83-99.</w:t>
      </w:r>
    </w:p>
  </w:footnote>
  <w:footnote w:id="52">
    <w:p w:rsidR="006D1558" w:rsidRDefault="006D1558">
      <w:pPr>
        <w:pStyle w:val="FootnoteText"/>
        <w:rPr>
          <w:rFonts w:hint="eastAsia"/>
        </w:rPr>
      </w:pPr>
      <w:r>
        <w:rPr>
          <w:rStyle w:val="FootnoteReference"/>
        </w:rPr>
        <w:footnoteRef/>
      </w:r>
      <w:r>
        <w:t xml:space="preserve"> </w:t>
      </w:r>
      <w:r w:rsidRPr="00FE584B">
        <w:rPr>
          <w:rFonts w:ascii="Times New Roman" w:hAnsi="Times New Roman" w:cs="Times New Roman"/>
          <w:iCs/>
          <w:kern w:val="0"/>
          <w:sz w:val="17"/>
          <w:szCs w:val="17"/>
        </w:rPr>
        <w:t>John Dillon, ‘</w:t>
      </w:r>
      <w:r w:rsidRPr="00FE584B">
        <w:rPr>
          <w:rFonts w:ascii="Times New Roman" w:hAnsi="Times New Roman" w:cs="Times New Roman"/>
          <w:bCs/>
          <w:kern w:val="0"/>
          <w:sz w:val="17"/>
          <w:szCs w:val="17"/>
        </w:rPr>
        <w:t xml:space="preserve">Iamblichus’ Defence of Theurgy: Some Reflections’, </w:t>
      </w:r>
      <w:r w:rsidRPr="00FE584B">
        <w:rPr>
          <w:rFonts w:ascii="Times New Roman" w:hAnsi="Times New Roman" w:cs="Times New Roman"/>
          <w:i/>
          <w:iCs/>
          <w:kern w:val="0"/>
          <w:sz w:val="17"/>
          <w:szCs w:val="17"/>
        </w:rPr>
        <w:t xml:space="preserve">The International Journal of the Platonic Tradition </w:t>
      </w:r>
      <w:r w:rsidRPr="00FE584B">
        <w:rPr>
          <w:rFonts w:ascii="Times New Roman" w:hAnsi="Times New Roman" w:cs="Times New Roman"/>
          <w:iCs/>
          <w:kern w:val="0"/>
          <w:sz w:val="17"/>
          <w:szCs w:val="17"/>
        </w:rPr>
        <w:t>1</w:t>
      </w:r>
      <w:r w:rsidRPr="00FE584B">
        <w:rPr>
          <w:rFonts w:ascii="Times New Roman" w:hAnsi="Times New Roman" w:cs="Times New Roman"/>
          <w:i/>
          <w:iCs/>
          <w:kern w:val="0"/>
          <w:sz w:val="17"/>
          <w:szCs w:val="17"/>
        </w:rPr>
        <w:t xml:space="preserve"> </w:t>
      </w:r>
      <w:r w:rsidRPr="00FE584B">
        <w:rPr>
          <w:rFonts w:ascii="Times New Roman" w:hAnsi="Times New Roman" w:cs="Times New Roman"/>
          <w:iCs/>
          <w:kern w:val="0"/>
          <w:sz w:val="17"/>
          <w:szCs w:val="17"/>
        </w:rPr>
        <w:t>(2007)</w:t>
      </w:r>
      <w:r>
        <w:rPr>
          <w:rFonts w:ascii="Times New Roman" w:hAnsi="Times New Roman" w:cs="Times New Roman" w:hint="eastAsia"/>
          <w:iCs/>
          <w:kern w:val="0"/>
          <w:sz w:val="17"/>
          <w:szCs w:val="17"/>
        </w:rPr>
        <w:t>,</w:t>
      </w:r>
      <w:r w:rsidRPr="00FE584B">
        <w:rPr>
          <w:rFonts w:ascii="Times New Roman" w:hAnsi="Times New Roman" w:cs="Times New Roman"/>
          <w:iCs/>
          <w:kern w:val="0"/>
          <w:sz w:val="17"/>
          <w:szCs w:val="17"/>
        </w:rPr>
        <w:t xml:space="preserve"> p. 40.</w:t>
      </w:r>
    </w:p>
  </w:footnote>
  <w:footnote w:id="53">
    <w:p w:rsidR="006273EA" w:rsidRDefault="006273EA">
      <w:pPr>
        <w:pStyle w:val="FootnoteText"/>
      </w:pPr>
      <w:r w:rsidRPr="00FE584B">
        <w:rPr>
          <w:rStyle w:val="FootnoteReference"/>
          <w:rFonts w:ascii="Times New Roman" w:hAnsi="Times New Roman" w:cs="Times New Roman"/>
          <w:sz w:val="17"/>
          <w:szCs w:val="17"/>
        </w:rPr>
        <w:footnoteRef/>
      </w:r>
      <w:r w:rsidRPr="00FE584B">
        <w:rPr>
          <w:rFonts w:ascii="Times New Roman" w:hAnsi="Times New Roman" w:cs="Times New Roman"/>
          <w:sz w:val="17"/>
          <w:szCs w:val="17"/>
        </w:rPr>
        <w:t xml:space="preserve"> </w:t>
      </w:r>
      <w:r w:rsidRPr="00FE584B">
        <w:rPr>
          <w:rFonts w:ascii="Times New Roman" w:hAnsi="Times New Roman" w:cs="Times New Roman"/>
          <w:i/>
          <w:sz w:val="17"/>
          <w:szCs w:val="17"/>
        </w:rPr>
        <w:t>De mysteriis</w:t>
      </w:r>
      <w:r w:rsidRPr="00FE584B">
        <w:rPr>
          <w:rFonts w:ascii="Times New Roman" w:hAnsi="Times New Roman" w:cs="Times New Roman"/>
          <w:sz w:val="17"/>
          <w:szCs w:val="17"/>
        </w:rPr>
        <w:t>, I</w:t>
      </w:r>
      <w:r w:rsidRPr="00FE584B">
        <w:rPr>
          <w:rFonts w:ascii="Times New Roman" w:hAnsi="Times New Roman" w:cs="Times New Roman" w:hint="eastAsia"/>
          <w:sz w:val="17"/>
          <w:szCs w:val="17"/>
        </w:rPr>
        <w:t>.2.6.6-7.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720"/>
  <w:characterSpacingControl w:val="doNotCompress"/>
  <w:hdrShapeDefaults>
    <o:shapedefaults v:ext="edit" spidmax="32770"/>
  </w:hdrShapeDefaults>
  <w:footnotePr>
    <w:footnote w:id="0"/>
    <w:footnote w:id="1"/>
  </w:footnotePr>
  <w:endnotePr>
    <w:endnote w:id="0"/>
    <w:endnote w:id="1"/>
  </w:endnotePr>
  <w:compat>
    <w:useFELayout/>
  </w:compat>
  <w:rsids>
    <w:rsidRoot w:val="006D74AB"/>
    <w:rsid w:val="00005AE5"/>
    <w:rsid w:val="000128FB"/>
    <w:rsid w:val="00012C51"/>
    <w:rsid w:val="0002230F"/>
    <w:rsid w:val="00022B79"/>
    <w:rsid w:val="0002682A"/>
    <w:rsid w:val="00086ADD"/>
    <w:rsid w:val="0009756D"/>
    <w:rsid w:val="000C5E97"/>
    <w:rsid w:val="000E25FA"/>
    <w:rsid w:val="000F34CB"/>
    <w:rsid w:val="00135152"/>
    <w:rsid w:val="00144BE5"/>
    <w:rsid w:val="001500E0"/>
    <w:rsid w:val="00151521"/>
    <w:rsid w:val="00152155"/>
    <w:rsid w:val="001B7792"/>
    <w:rsid w:val="001C1433"/>
    <w:rsid w:val="001E2A08"/>
    <w:rsid w:val="001E6DF5"/>
    <w:rsid w:val="00206B64"/>
    <w:rsid w:val="00207257"/>
    <w:rsid w:val="002236A3"/>
    <w:rsid w:val="002279A3"/>
    <w:rsid w:val="002355E6"/>
    <w:rsid w:val="00241C7D"/>
    <w:rsid w:val="00252D99"/>
    <w:rsid w:val="00253436"/>
    <w:rsid w:val="0026325D"/>
    <w:rsid w:val="00265999"/>
    <w:rsid w:val="0027143B"/>
    <w:rsid w:val="002723D4"/>
    <w:rsid w:val="00274E55"/>
    <w:rsid w:val="00283B3A"/>
    <w:rsid w:val="002854BD"/>
    <w:rsid w:val="002A4D5B"/>
    <w:rsid w:val="002B402C"/>
    <w:rsid w:val="002C087F"/>
    <w:rsid w:val="002D3EFF"/>
    <w:rsid w:val="002D448A"/>
    <w:rsid w:val="002D53C9"/>
    <w:rsid w:val="002D5A0A"/>
    <w:rsid w:val="002D71FD"/>
    <w:rsid w:val="002E2D10"/>
    <w:rsid w:val="002E6E46"/>
    <w:rsid w:val="002F54B4"/>
    <w:rsid w:val="002F6054"/>
    <w:rsid w:val="00315431"/>
    <w:rsid w:val="00323AA2"/>
    <w:rsid w:val="0034109D"/>
    <w:rsid w:val="00343277"/>
    <w:rsid w:val="00353F9D"/>
    <w:rsid w:val="00355650"/>
    <w:rsid w:val="003632DE"/>
    <w:rsid w:val="00371C08"/>
    <w:rsid w:val="00373BDF"/>
    <w:rsid w:val="00377E5F"/>
    <w:rsid w:val="0039003F"/>
    <w:rsid w:val="0039070C"/>
    <w:rsid w:val="00393190"/>
    <w:rsid w:val="00396FC6"/>
    <w:rsid w:val="003A333C"/>
    <w:rsid w:val="003B4F7A"/>
    <w:rsid w:val="003E270E"/>
    <w:rsid w:val="003E42E1"/>
    <w:rsid w:val="003E7883"/>
    <w:rsid w:val="003F3458"/>
    <w:rsid w:val="004017DD"/>
    <w:rsid w:val="00403AD2"/>
    <w:rsid w:val="00407BAD"/>
    <w:rsid w:val="00431D3B"/>
    <w:rsid w:val="004454D0"/>
    <w:rsid w:val="00447471"/>
    <w:rsid w:val="0046538B"/>
    <w:rsid w:val="00485752"/>
    <w:rsid w:val="004872E2"/>
    <w:rsid w:val="004A059B"/>
    <w:rsid w:val="004C116B"/>
    <w:rsid w:val="004C4D5F"/>
    <w:rsid w:val="004C687B"/>
    <w:rsid w:val="004D0AC0"/>
    <w:rsid w:val="004F1C4F"/>
    <w:rsid w:val="004F4412"/>
    <w:rsid w:val="0050008D"/>
    <w:rsid w:val="00516F30"/>
    <w:rsid w:val="005208B4"/>
    <w:rsid w:val="0054650C"/>
    <w:rsid w:val="00551186"/>
    <w:rsid w:val="00551376"/>
    <w:rsid w:val="00564B51"/>
    <w:rsid w:val="0056547C"/>
    <w:rsid w:val="005667D1"/>
    <w:rsid w:val="005670F5"/>
    <w:rsid w:val="005A1B4D"/>
    <w:rsid w:val="005B4034"/>
    <w:rsid w:val="005D2587"/>
    <w:rsid w:val="005E5BDB"/>
    <w:rsid w:val="005F0C15"/>
    <w:rsid w:val="00606C1E"/>
    <w:rsid w:val="00612DA5"/>
    <w:rsid w:val="00614F1B"/>
    <w:rsid w:val="00623BB1"/>
    <w:rsid w:val="006273B8"/>
    <w:rsid w:val="006273EA"/>
    <w:rsid w:val="00633433"/>
    <w:rsid w:val="00657C7F"/>
    <w:rsid w:val="00660048"/>
    <w:rsid w:val="00681939"/>
    <w:rsid w:val="0068292D"/>
    <w:rsid w:val="006B723E"/>
    <w:rsid w:val="006D1558"/>
    <w:rsid w:val="006D43B4"/>
    <w:rsid w:val="006D74AB"/>
    <w:rsid w:val="007055D2"/>
    <w:rsid w:val="0071551F"/>
    <w:rsid w:val="0071557B"/>
    <w:rsid w:val="0072058A"/>
    <w:rsid w:val="007320F4"/>
    <w:rsid w:val="00763137"/>
    <w:rsid w:val="00792790"/>
    <w:rsid w:val="007C7263"/>
    <w:rsid w:val="007D3F06"/>
    <w:rsid w:val="007E5EE1"/>
    <w:rsid w:val="00812A30"/>
    <w:rsid w:val="0081468E"/>
    <w:rsid w:val="00830117"/>
    <w:rsid w:val="008344CF"/>
    <w:rsid w:val="00840A80"/>
    <w:rsid w:val="00842719"/>
    <w:rsid w:val="0088541F"/>
    <w:rsid w:val="008A203B"/>
    <w:rsid w:val="008B3539"/>
    <w:rsid w:val="008D7E2E"/>
    <w:rsid w:val="008E4051"/>
    <w:rsid w:val="008F7B61"/>
    <w:rsid w:val="009337C1"/>
    <w:rsid w:val="00936198"/>
    <w:rsid w:val="00936975"/>
    <w:rsid w:val="0094328E"/>
    <w:rsid w:val="00950FE1"/>
    <w:rsid w:val="00951600"/>
    <w:rsid w:val="00951B89"/>
    <w:rsid w:val="00952D5E"/>
    <w:rsid w:val="009A5E5D"/>
    <w:rsid w:val="009B60E0"/>
    <w:rsid w:val="009E1057"/>
    <w:rsid w:val="009E48C6"/>
    <w:rsid w:val="00A26FA9"/>
    <w:rsid w:val="00A47361"/>
    <w:rsid w:val="00A731A1"/>
    <w:rsid w:val="00A73727"/>
    <w:rsid w:val="00A75422"/>
    <w:rsid w:val="00A8536C"/>
    <w:rsid w:val="00A91DCD"/>
    <w:rsid w:val="00A9470E"/>
    <w:rsid w:val="00AA6300"/>
    <w:rsid w:val="00AC6F69"/>
    <w:rsid w:val="00AD2A38"/>
    <w:rsid w:val="00AE67DA"/>
    <w:rsid w:val="00B74905"/>
    <w:rsid w:val="00B74AE3"/>
    <w:rsid w:val="00B751EA"/>
    <w:rsid w:val="00B830BC"/>
    <w:rsid w:val="00B84704"/>
    <w:rsid w:val="00B92456"/>
    <w:rsid w:val="00BF497D"/>
    <w:rsid w:val="00BF4E26"/>
    <w:rsid w:val="00C026A3"/>
    <w:rsid w:val="00C026D5"/>
    <w:rsid w:val="00C04D88"/>
    <w:rsid w:val="00C13BC3"/>
    <w:rsid w:val="00C1421B"/>
    <w:rsid w:val="00C177F8"/>
    <w:rsid w:val="00C21D11"/>
    <w:rsid w:val="00C23FE7"/>
    <w:rsid w:val="00C2516B"/>
    <w:rsid w:val="00C3326F"/>
    <w:rsid w:val="00C35292"/>
    <w:rsid w:val="00C428E2"/>
    <w:rsid w:val="00C44475"/>
    <w:rsid w:val="00C54DC3"/>
    <w:rsid w:val="00C55A94"/>
    <w:rsid w:val="00C65033"/>
    <w:rsid w:val="00C7114B"/>
    <w:rsid w:val="00C94205"/>
    <w:rsid w:val="00C95D19"/>
    <w:rsid w:val="00CB039A"/>
    <w:rsid w:val="00CB0F69"/>
    <w:rsid w:val="00CD07BB"/>
    <w:rsid w:val="00CE7759"/>
    <w:rsid w:val="00CF1326"/>
    <w:rsid w:val="00D50687"/>
    <w:rsid w:val="00D57A8F"/>
    <w:rsid w:val="00D74EAC"/>
    <w:rsid w:val="00D815EB"/>
    <w:rsid w:val="00D858A7"/>
    <w:rsid w:val="00D869C7"/>
    <w:rsid w:val="00DA4D82"/>
    <w:rsid w:val="00DB6BDC"/>
    <w:rsid w:val="00DD43AA"/>
    <w:rsid w:val="00DD50D9"/>
    <w:rsid w:val="00DE2525"/>
    <w:rsid w:val="00DF7A65"/>
    <w:rsid w:val="00E40383"/>
    <w:rsid w:val="00E42E26"/>
    <w:rsid w:val="00E4612E"/>
    <w:rsid w:val="00E57A77"/>
    <w:rsid w:val="00E622F0"/>
    <w:rsid w:val="00EB1938"/>
    <w:rsid w:val="00EB2334"/>
    <w:rsid w:val="00ED04D3"/>
    <w:rsid w:val="00EF4960"/>
    <w:rsid w:val="00F01A39"/>
    <w:rsid w:val="00F44FAA"/>
    <w:rsid w:val="00F46C9C"/>
    <w:rsid w:val="00F625D4"/>
    <w:rsid w:val="00F74BEF"/>
    <w:rsid w:val="00F87F1A"/>
    <w:rsid w:val="00FA4B96"/>
    <w:rsid w:val="00FB601F"/>
    <w:rsid w:val="00FC5871"/>
    <w:rsid w:val="00FE58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4AB"/>
    <w:pPr>
      <w:widowControl w:val="0"/>
      <w:spacing w:after="0" w:line="240" w:lineRule="auto"/>
      <w:jc w:val="both"/>
    </w:pPr>
    <w:rPr>
      <w:kern w:val="2"/>
      <w:sz w:val="21"/>
    </w:rPr>
  </w:style>
  <w:style w:type="paragraph" w:styleId="Heading1">
    <w:name w:val="heading 1"/>
    <w:basedOn w:val="Normal"/>
    <w:link w:val="Heading1Char"/>
    <w:uiPriority w:val="9"/>
    <w:qFormat/>
    <w:rsid w:val="00AD2A38"/>
    <w:pPr>
      <w:widowControl/>
      <w:spacing w:before="100" w:beforeAutospacing="1" w:after="100" w:afterAutospacing="1"/>
      <w:jc w:val="left"/>
      <w:outlineLvl w:val="0"/>
    </w:pPr>
    <w:rPr>
      <w:rFonts w:ascii="SimSun" w:eastAsia="SimSun" w:hAnsi="SimSun" w:cs="SimSun"/>
      <w:b/>
      <w:bCs/>
      <w:kern w:val="36"/>
      <w:sz w:val="48"/>
      <w:szCs w:val="48"/>
    </w:rPr>
  </w:style>
  <w:style w:type="paragraph" w:styleId="Heading3">
    <w:name w:val="heading 3"/>
    <w:basedOn w:val="Normal"/>
    <w:next w:val="Normal"/>
    <w:link w:val="Heading3Char"/>
    <w:uiPriority w:val="9"/>
    <w:semiHidden/>
    <w:unhideWhenUsed/>
    <w:qFormat/>
    <w:rsid w:val="00952D5E"/>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D74AB"/>
    <w:pPr>
      <w:snapToGrid w:val="0"/>
      <w:jc w:val="left"/>
    </w:pPr>
    <w:rPr>
      <w:sz w:val="18"/>
      <w:szCs w:val="18"/>
    </w:rPr>
  </w:style>
  <w:style w:type="character" w:customStyle="1" w:styleId="FootnoteTextChar">
    <w:name w:val="Footnote Text Char"/>
    <w:basedOn w:val="DefaultParagraphFont"/>
    <w:link w:val="FootnoteText"/>
    <w:uiPriority w:val="99"/>
    <w:rsid w:val="006D74AB"/>
    <w:rPr>
      <w:kern w:val="2"/>
      <w:sz w:val="18"/>
      <w:szCs w:val="18"/>
    </w:rPr>
  </w:style>
  <w:style w:type="character" w:styleId="FootnoteReference">
    <w:name w:val="footnote reference"/>
    <w:basedOn w:val="DefaultParagraphFont"/>
    <w:uiPriority w:val="99"/>
    <w:semiHidden/>
    <w:unhideWhenUsed/>
    <w:rsid w:val="006D74AB"/>
    <w:rPr>
      <w:vertAlign w:val="superscript"/>
    </w:rPr>
  </w:style>
  <w:style w:type="character" w:styleId="Emphasis">
    <w:name w:val="Emphasis"/>
    <w:basedOn w:val="DefaultParagraphFont"/>
    <w:uiPriority w:val="20"/>
    <w:qFormat/>
    <w:rsid w:val="006D74AB"/>
    <w:rPr>
      <w:i/>
      <w:iCs/>
    </w:rPr>
  </w:style>
  <w:style w:type="character" w:styleId="Hyperlink">
    <w:name w:val="Hyperlink"/>
    <w:basedOn w:val="DefaultParagraphFont"/>
    <w:uiPriority w:val="99"/>
    <w:unhideWhenUsed/>
    <w:rsid w:val="006D74AB"/>
    <w:rPr>
      <w:color w:val="0000FF"/>
      <w:u w:val="single"/>
    </w:rPr>
  </w:style>
  <w:style w:type="character" w:customStyle="1" w:styleId="Heading1Char">
    <w:name w:val="Heading 1 Char"/>
    <w:basedOn w:val="DefaultParagraphFont"/>
    <w:link w:val="Heading1"/>
    <w:uiPriority w:val="9"/>
    <w:rsid w:val="00AD2A38"/>
    <w:rPr>
      <w:rFonts w:ascii="SimSun" w:eastAsia="SimSun" w:hAnsi="SimSun" w:cs="SimSun"/>
      <w:b/>
      <w:bCs/>
      <w:kern w:val="36"/>
      <w:sz w:val="48"/>
      <w:szCs w:val="48"/>
    </w:rPr>
  </w:style>
  <w:style w:type="paragraph" w:styleId="Header">
    <w:name w:val="header"/>
    <w:basedOn w:val="Normal"/>
    <w:link w:val="HeaderChar"/>
    <w:uiPriority w:val="99"/>
    <w:semiHidden/>
    <w:unhideWhenUsed/>
    <w:rsid w:val="00AD2A38"/>
    <w:pPr>
      <w:pBdr>
        <w:bottom w:val="single" w:sz="6" w:space="1" w:color="auto"/>
      </w:pBdr>
      <w:tabs>
        <w:tab w:val="center" w:pos="4513"/>
        <w:tab w:val="right" w:pos="9026"/>
      </w:tabs>
      <w:snapToGrid w:val="0"/>
      <w:jc w:val="center"/>
    </w:pPr>
    <w:rPr>
      <w:sz w:val="18"/>
      <w:szCs w:val="18"/>
    </w:rPr>
  </w:style>
  <w:style w:type="character" w:customStyle="1" w:styleId="HeaderChar">
    <w:name w:val="Header Char"/>
    <w:basedOn w:val="DefaultParagraphFont"/>
    <w:link w:val="Header"/>
    <w:uiPriority w:val="99"/>
    <w:semiHidden/>
    <w:rsid w:val="00AD2A38"/>
    <w:rPr>
      <w:kern w:val="2"/>
      <w:sz w:val="18"/>
      <w:szCs w:val="18"/>
    </w:rPr>
  </w:style>
  <w:style w:type="paragraph" w:styleId="Footer">
    <w:name w:val="footer"/>
    <w:basedOn w:val="Normal"/>
    <w:link w:val="FooterChar"/>
    <w:uiPriority w:val="99"/>
    <w:unhideWhenUsed/>
    <w:rsid w:val="00AD2A38"/>
    <w:pPr>
      <w:tabs>
        <w:tab w:val="center" w:pos="4513"/>
        <w:tab w:val="right" w:pos="9026"/>
      </w:tabs>
      <w:snapToGrid w:val="0"/>
      <w:jc w:val="left"/>
    </w:pPr>
    <w:rPr>
      <w:sz w:val="18"/>
      <w:szCs w:val="18"/>
    </w:rPr>
  </w:style>
  <w:style w:type="character" w:customStyle="1" w:styleId="FooterChar">
    <w:name w:val="Footer Char"/>
    <w:basedOn w:val="DefaultParagraphFont"/>
    <w:link w:val="Footer"/>
    <w:uiPriority w:val="99"/>
    <w:rsid w:val="00AD2A38"/>
    <w:rPr>
      <w:kern w:val="2"/>
      <w:sz w:val="18"/>
      <w:szCs w:val="18"/>
    </w:rPr>
  </w:style>
  <w:style w:type="character" w:customStyle="1" w:styleId="Heading3Char">
    <w:name w:val="Heading 3 Char"/>
    <w:basedOn w:val="DefaultParagraphFont"/>
    <w:link w:val="Heading3"/>
    <w:uiPriority w:val="9"/>
    <w:semiHidden/>
    <w:rsid w:val="00952D5E"/>
    <w:rPr>
      <w:b/>
      <w:bCs/>
      <w:kern w:val="2"/>
      <w:sz w:val="32"/>
      <w:szCs w:val="32"/>
    </w:rPr>
  </w:style>
  <w:style w:type="paragraph" w:styleId="NormalWeb">
    <w:name w:val="Normal (Web)"/>
    <w:basedOn w:val="Normal"/>
    <w:rsid w:val="00952D5E"/>
    <w:pPr>
      <w:widowControl/>
      <w:spacing w:before="100" w:beforeAutospacing="1" w:after="100" w:afterAutospacing="1"/>
      <w:jc w:val="left"/>
    </w:pPr>
    <w:rPr>
      <w:rFonts w:ascii="Georgia" w:eastAsia="SimSun" w:hAnsi="Georgia" w:cs="Times New Roman"/>
      <w:color w:val="000000"/>
      <w:kern w:val="0"/>
      <w:szCs w:val="21"/>
      <w:lang w:val="en-GB"/>
    </w:rPr>
  </w:style>
  <w:style w:type="paragraph" w:styleId="BalloonText">
    <w:name w:val="Balloon Text"/>
    <w:basedOn w:val="Normal"/>
    <w:link w:val="BalloonTextChar"/>
    <w:uiPriority w:val="99"/>
    <w:semiHidden/>
    <w:unhideWhenUsed/>
    <w:rsid w:val="00952D5E"/>
    <w:rPr>
      <w:sz w:val="16"/>
      <w:szCs w:val="16"/>
    </w:rPr>
  </w:style>
  <w:style w:type="character" w:customStyle="1" w:styleId="BalloonTextChar">
    <w:name w:val="Balloon Text Char"/>
    <w:basedOn w:val="DefaultParagraphFont"/>
    <w:link w:val="BalloonText"/>
    <w:uiPriority w:val="99"/>
    <w:semiHidden/>
    <w:rsid w:val="00952D5E"/>
    <w:rPr>
      <w:kern w:val="2"/>
      <w:sz w:val="16"/>
      <w:szCs w:val="16"/>
    </w:rPr>
  </w:style>
  <w:style w:type="paragraph" w:customStyle="1" w:styleId="Default">
    <w:name w:val="Default"/>
    <w:rsid w:val="00152155"/>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r="http://schemas.openxmlformats.org/officeDocument/2006/relationships" xmlns:w="http://schemas.openxmlformats.org/wordprocessingml/2006/main">
  <w:divs>
    <w:div w:id="7296271">
      <w:bodyDiv w:val="1"/>
      <w:marLeft w:val="0"/>
      <w:marRight w:val="0"/>
      <w:marTop w:val="0"/>
      <w:marBottom w:val="0"/>
      <w:divBdr>
        <w:top w:val="none" w:sz="0" w:space="0" w:color="auto"/>
        <w:left w:val="none" w:sz="0" w:space="0" w:color="auto"/>
        <w:bottom w:val="none" w:sz="0" w:space="0" w:color="auto"/>
        <w:right w:val="none" w:sz="0" w:space="0" w:color="auto"/>
      </w:divBdr>
    </w:div>
    <w:div w:id="116119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i!10.1163/15700593-0150100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2010.1558/pome.vl5il-2.202" TargetMode="External"/><Relationship Id="rId4" Type="http://schemas.openxmlformats.org/officeDocument/2006/relationships/webSettings" Target="webSettings.xml"/><Relationship Id="rId9" Type="http://schemas.openxmlformats.org/officeDocument/2006/relationships/hyperlink" Target="http://dx.doi.org/10.12795/Habis.2000.i31.1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9792379-AAE8-4E22-9BE2-0BF1B1F04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2606</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Ideapad</cp:lastModifiedBy>
  <cp:revision>2</cp:revision>
  <cp:lastPrinted>2019-06-15T12:01:00Z</cp:lastPrinted>
  <dcterms:created xsi:type="dcterms:W3CDTF">2019-06-16T12:33:00Z</dcterms:created>
  <dcterms:modified xsi:type="dcterms:W3CDTF">2019-06-16T12:33:00Z</dcterms:modified>
</cp:coreProperties>
</file>