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347D" w:rsidRDefault="005A347D" w:rsidP="00780DF9">
      <w:pPr>
        <w:spacing w:line="360" w:lineRule="auto"/>
        <w:jc w:val="center"/>
        <w:rPr>
          <w:rFonts w:ascii="Arial" w:hAnsi="Arial" w:cs="Arial"/>
          <w:bCs/>
          <w:sz w:val="24"/>
          <w:szCs w:val="24"/>
        </w:rPr>
      </w:pPr>
    </w:p>
    <w:p w:rsidR="005A347D" w:rsidRDefault="005A347D" w:rsidP="00780DF9">
      <w:pPr>
        <w:spacing w:line="360" w:lineRule="auto"/>
        <w:jc w:val="center"/>
        <w:rPr>
          <w:rFonts w:ascii="Arial" w:hAnsi="Arial" w:cs="Arial"/>
          <w:bCs/>
          <w:sz w:val="24"/>
          <w:szCs w:val="24"/>
        </w:rPr>
      </w:pPr>
    </w:p>
    <w:p w:rsidR="005A347D" w:rsidRDefault="005A347D" w:rsidP="00780DF9">
      <w:pPr>
        <w:spacing w:line="360" w:lineRule="auto"/>
        <w:jc w:val="center"/>
        <w:rPr>
          <w:rFonts w:ascii="Arial" w:hAnsi="Arial" w:cs="Arial"/>
          <w:bCs/>
          <w:sz w:val="24"/>
          <w:szCs w:val="24"/>
        </w:rPr>
      </w:pPr>
    </w:p>
    <w:p w:rsidR="005A347D" w:rsidRDefault="005A347D" w:rsidP="00780DF9">
      <w:pPr>
        <w:spacing w:line="360" w:lineRule="auto"/>
        <w:jc w:val="center"/>
        <w:rPr>
          <w:rFonts w:ascii="Arial" w:hAnsi="Arial" w:cs="Arial"/>
          <w:bCs/>
          <w:sz w:val="24"/>
          <w:szCs w:val="24"/>
        </w:rPr>
      </w:pPr>
    </w:p>
    <w:p w:rsidR="005A347D" w:rsidRDefault="005A347D" w:rsidP="00780DF9">
      <w:pPr>
        <w:spacing w:line="360" w:lineRule="auto"/>
        <w:jc w:val="center"/>
        <w:rPr>
          <w:rFonts w:ascii="Arial" w:hAnsi="Arial" w:cs="Arial"/>
          <w:bCs/>
          <w:sz w:val="24"/>
          <w:szCs w:val="24"/>
        </w:rPr>
      </w:pPr>
    </w:p>
    <w:p w:rsidR="005A347D" w:rsidRDefault="005A347D" w:rsidP="00780DF9">
      <w:pPr>
        <w:spacing w:line="360" w:lineRule="auto"/>
        <w:jc w:val="center"/>
        <w:rPr>
          <w:rFonts w:ascii="Arial" w:hAnsi="Arial" w:cs="Arial"/>
          <w:bCs/>
          <w:sz w:val="24"/>
          <w:szCs w:val="24"/>
        </w:rPr>
      </w:pPr>
    </w:p>
    <w:p w:rsidR="005A347D" w:rsidRDefault="005A347D" w:rsidP="00780DF9">
      <w:pPr>
        <w:spacing w:line="360" w:lineRule="auto"/>
        <w:jc w:val="center"/>
        <w:rPr>
          <w:rFonts w:ascii="Arial" w:hAnsi="Arial" w:cs="Arial"/>
          <w:bCs/>
          <w:sz w:val="24"/>
          <w:szCs w:val="24"/>
        </w:rPr>
      </w:pPr>
    </w:p>
    <w:p w:rsidR="00C94F55" w:rsidRPr="00685A21" w:rsidRDefault="00C94F55" w:rsidP="00780DF9">
      <w:pPr>
        <w:spacing w:line="360" w:lineRule="auto"/>
        <w:jc w:val="center"/>
        <w:rPr>
          <w:rFonts w:ascii="Arial" w:hAnsi="Arial" w:cs="Arial"/>
          <w:bCs/>
          <w:sz w:val="24"/>
          <w:szCs w:val="24"/>
          <w:lang w:val="en-US"/>
        </w:rPr>
      </w:pPr>
      <w:r w:rsidRPr="00685A21">
        <w:rPr>
          <w:rFonts w:ascii="Arial" w:hAnsi="Arial" w:cs="Arial"/>
          <w:bCs/>
          <w:sz w:val="24"/>
          <w:szCs w:val="24"/>
        </w:rPr>
        <w:t xml:space="preserve">Business Report – </w:t>
      </w:r>
      <w:r w:rsidR="005A347D" w:rsidRPr="005A347D">
        <w:rPr>
          <w:rFonts w:ascii="Arial" w:hAnsi="Arial" w:cs="Arial"/>
          <w:bCs/>
          <w:sz w:val="24"/>
          <w:szCs w:val="24"/>
        </w:rPr>
        <w:t>Turnaround Strategy for Urban Heights Hotel: Addressing Financial and Operational Challenges</w:t>
      </w:r>
      <w:r w:rsidRPr="00685A21">
        <w:rPr>
          <w:rFonts w:ascii="Arial" w:hAnsi="Arial" w:cs="Arial"/>
          <w:bCs/>
          <w:sz w:val="24"/>
          <w:szCs w:val="24"/>
        </w:rPr>
        <w:t>.</w:t>
      </w:r>
    </w:p>
    <w:p w:rsidR="00C94F55" w:rsidRPr="00685A21" w:rsidRDefault="00C94F55" w:rsidP="00780DF9">
      <w:pPr>
        <w:spacing w:after="0" w:line="360" w:lineRule="auto"/>
        <w:jc w:val="center"/>
        <w:rPr>
          <w:rFonts w:ascii="Arial" w:hAnsi="Arial" w:cs="Arial"/>
          <w:bCs/>
          <w:sz w:val="24"/>
          <w:szCs w:val="24"/>
          <w:lang w:val="en-US"/>
        </w:rPr>
      </w:pPr>
    </w:p>
    <w:p w:rsidR="00C94F55" w:rsidRPr="00685A21" w:rsidRDefault="00C94F55" w:rsidP="00780DF9">
      <w:pPr>
        <w:spacing w:after="0" w:line="360" w:lineRule="auto"/>
        <w:jc w:val="center"/>
        <w:rPr>
          <w:rFonts w:ascii="Arial" w:hAnsi="Arial" w:cs="Arial"/>
          <w:bCs/>
          <w:sz w:val="24"/>
          <w:szCs w:val="24"/>
          <w:lang w:val="en-US"/>
        </w:rPr>
      </w:pPr>
    </w:p>
    <w:p w:rsidR="00C94F55" w:rsidRPr="00685A21" w:rsidRDefault="00C94F55" w:rsidP="00780DF9">
      <w:pPr>
        <w:pStyle w:val="Default"/>
        <w:spacing w:line="360" w:lineRule="auto"/>
        <w:jc w:val="center"/>
        <w:rPr>
          <w:color w:val="auto"/>
        </w:rPr>
      </w:pPr>
      <w:r w:rsidRPr="00685A21">
        <w:rPr>
          <w:bCs/>
          <w:color w:val="auto"/>
          <w:lang w:val="en-US"/>
        </w:rPr>
        <w:t>Dina Priedulena</w:t>
      </w:r>
      <w:r w:rsidRPr="00685A21">
        <w:rPr>
          <w:bCs/>
          <w:color w:val="auto"/>
          <w:lang w:val="en-US"/>
        </w:rPr>
        <w:br/>
        <w:t>Student ID Number: 2233688</w:t>
      </w:r>
      <w:r w:rsidRPr="00685A21">
        <w:rPr>
          <w:bCs/>
          <w:color w:val="auto"/>
          <w:lang w:val="en-US"/>
        </w:rPr>
        <w:br/>
      </w:r>
      <w:r w:rsidRPr="00685A21">
        <w:rPr>
          <w:bCs/>
          <w:color w:val="auto"/>
        </w:rPr>
        <w:t>Financial Management for the Hotel Industry</w:t>
      </w:r>
      <w:r w:rsidRPr="00685A21">
        <w:rPr>
          <w:bCs/>
          <w:color w:val="auto"/>
          <w:lang w:val="en-US"/>
        </w:rPr>
        <w:br/>
      </w:r>
      <w:r w:rsidRPr="00685A21">
        <w:rPr>
          <w:bCs/>
          <w:color w:val="auto"/>
        </w:rPr>
        <w:t xml:space="preserve"> BMIH5007</w:t>
      </w:r>
    </w:p>
    <w:p w:rsidR="00C94F55" w:rsidRPr="00685A21" w:rsidRDefault="00C94F55" w:rsidP="00780DF9">
      <w:pPr>
        <w:pStyle w:val="Default"/>
        <w:spacing w:line="360" w:lineRule="auto"/>
        <w:jc w:val="center"/>
        <w:rPr>
          <w:color w:val="auto"/>
        </w:rPr>
      </w:pPr>
      <w:r w:rsidRPr="00685A21">
        <w:rPr>
          <w:bCs/>
          <w:color w:val="auto"/>
        </w:rPr>
        <w:t>Tristan Hawkins</w:t>
      </w:r>
    </w:p>
    <w:p w:rsidR="00C94F55" w:rsidRPr="00685A21" w:rsidRDefault="00C94F55" w:rsidP="00780DF9">
      <w:pPr>
        <w:pStyle w:val="Default"/>
        <w:spacing w:line="360" w:lineRule="auto"/>
        <w:jc w:val="center"/>
        <w:rPr>
          <w:color w:val="auto"/>
        </w:rPr>
      </w:pPr>
      <w:r w:rsidRPr="00685A21">
        <w:rPr>
          <w:rFonts w:eastAsia="Times New Roman"/>
          <w:color w:val="auto"/>
          <w:lang w:val="en-US"/>
        </w:rPr>
        <w:t>Word Count</w:t>
      </w:r>
      <w:r w:rsidRPr="00685A21">
        <w:rPr>
          <w:color w:val="auto"/>
          <w:lang w:val="en-US"/>
        </w:rPr>
        <w:t>:</w:t>
      </w:r>
      <w:r w:rsidR="005A347D">
        <w:rPr>
          <w:color w:val="auto"/>
          <w:lang w:val="en-US"/>
        </w:rPr>
        <w:t xml:space="preserve"> </w:t>
      </w:r>
      <w:r w:rsidRPr="00685A21">
        <w:rPr>
          <w:color w:val="auto"/>
          <w:lang w:val="en-US"/>
        </w:rPr>
        <w:t>219</w:t>
      </w:r>
      <w:r w:rsidR="00780DF9">
        <w:rPr>
          <w:color w:val="auto"/>
          <w:lang w:val="en-US"/>
        </w:rPr>
        <w:t>7</w:t>
      </w:r>
    </w:p>
    <w:p w:rsidR="00C94F55" w:rsidRDefault="00C94F55" w:rsidP="00780DF9">
      <w:pPr>
        <w:spacing w:line="360" w:lineRule="auto"/>
        <w:jc w:val="center"/>
        <w:rPr>
          <w:rFonts w:ascii="Arial" w:hAnsi="Arial" w:cs="Arial"/>
          <w:sz w:val="24"/>
          <w:szCs w:val="24"/>
        </w:rPr>
      </w:pPr>
      <w:r>
        <w:rPr>
          <w:rFonts w:ascii="Arial" w:hAnsi="Arial" w:cs="Arial"/>
          <w:sz w:val="24"/>
          <w:szCs w:val="24"/>
        </w:rPr>
        <w:br w:type="page"/>
      </w:r>
    </w:p>
    <w:p w:rsidR="00E77B3D" w:rsidRPr="00DD1ACF" w:rsidRDefault="00E77B3D" w:rsidP="0063325A">
      <w:pPr>
        <w:spacing w:line="360" w:lineRule="auto"/>
        <w:jc w:val="center"/>
        <w:rPr>
          <w:rFonts w:ascii="Arial" w:hAnsi="Arial" w:cs="Arial"/>
          <w:sz w:val="24"/>
          <w:szCs w:val="24"/>
        </w:rPr>
      </w:pPr>
      <w:r w:rsidRPr="00DD1ACF">
        <w:rPr>
          <w:rFonts w:ascii="Arial" w:hAnsi="Arial" w:cs="Arial"/>
          <w:sz w:val="24"/>
          <w:szCs w:val="24"/>
        </w:rPr>
        <w:lastRenderedPageBreak/>
        <w:t>Executive Summary</w:t>
      </w:r>
      <w:r w:rsidR="00EF22D2" w:rsidRPr="00DD1ACF">
        <w:rPr>
          <w:rFonts w:ascii="Arial" w:hAnsi="Arial" w:cs="Arial"/>
          <w:sz w:val="24"/>
          <w:szCs w:val="24"/>
        </w:rPr>
        <w:t>.</w:t>
      </w:r>
    </w:p>
    <w:p w:rsidR="00934A42" w:rsidRPr="00DD1ACF" w:rsidRDefault="00934A42" w:rsidP="00DD1ACF">
      <w:pPr>
        <w:spacing w:line="360" w:lineRule="auto"/>
        <w:rPr>
          <w:rFonts w:ascii="Arial" w:hAnsi="Arial" w:cs="Arial"/>
          <w:sz w:val="24"/>
          <w:szCs w:val="24"/>
        </w:rPr>
      </w:pPr>
      <w:r w:rsidRPr="00DD1ACF">
        <w:rPr>
          <w:rFonts w:ascii="Arial" w:hAnsi="Arial" w:cs="Arial"/>
          <w:sz w:val="24"/>
          <w:szCs w:val="24"/>
        </w:rPr>
        <w:t>This report assesses the potential for a turnaround strategy to revive Urban Heights Hotel, which has been struggling with declining revenue, occupancy rates, and customer satisfaction. The report aims to analyse the hotel’s recent financial performance, identify the underlying causes of its decline, and propose actionable strategies to improve its financial health and reputation. Key findings indicate that external factors and internal inefficiencies have contributed to the hotel's challenges. The report outlines a comprehensive turnaround strategy to enhance revenue, reduce costs, and improve customer experience. This report provides a potential roadmap for the hotel’s recovery, emphasising the importance of effective implementation and ongoing performance monitoring.</w:t>
      </w:r>
    </w:p>
    <w:p w:rsidR="005A347D" w:rsidRDefault="005A347D" w:rsidP="00DD1ACF">
      <w:pPr>
        <w:spacing w:line="360" w:lineRule="auto"/>
        <w:rPr>
          <w:rFonts w:ascii="Arial" w:hAnsi="Arial" w:cs="Arial"/>
          <w:sz w:val="24"/>
          <w:szCs w:val="24"/>
        </w:rPr>
      </w:pPr>
    </w:p>
    <w:p w:rsidR="00934A42" w:rsidRPr="00DD1ACF" w:rsidRDefault="00934A42" w:rsidP="00DD1ACF">
      <w:pPr>
        <w:spacing w:line="360" w:lineRule="auto"/>
        <w:rPr>
          <w:rFonts w:ascii="Arial" w:hAnsi="Arial" w:cs="Arial"/>
          <w:sz w:val="24"/>
          <w:szCs w:val="24"/>
        </w:rPr>
      </w:pPr>
      <w:r w:rsidRPr="00DD1ACF">
        <w:rPr>
          <w:rFonts w:ascii="Arial" w:hAnsi="Arial" w:cs="Arial"/>
          <w:sz w:val="24"/>
          <w:szCs w:val="24"/>
        </w:rPr>
        <w:t>Table of Contents:</w:t>
      </w:r>
    </w:p>
    <w:p w:rsidR="00934A42" w:rsidRPr="00DD1ACF" w:rsidRDefault="00934A42" w:rsidP="00DD1ACF">
      <w:pPr>
        <w:pStyle w:val="ListParagraph"/>
        <w:numPr>
          <w:ilvl w:val="0"/>
          <w:numId w:val="1"/>
        </w:numPr>
        <w:spacing w:line="360" w:lineRule="auto"/>
        <w:ind w:left="142" w:hanging="142"/>
        <w:rPr>
          <w:rFonts w:ascii="Arial" w:hAnsi="Arial" w:cs="Arial"/>
          <w:sz w:val="24"/>
          <w:szCs w:val="24"/>
        </w:rPr>
      </w:pPr>
      <w:r w:rsidRPr="00DD1ACF">
        <w:rPr>
          <w:rFonts w:ascii="Arial" w:hAnsi="Arial" w:cs="Arial"/>
          <w:sz w:val="24"/>
          <w:szCs w:val="24"/>
        </w:rPr>
        <w:t xml:space="preserve"> Introduction</w:t>
      </w:r>
      <w:r w:rsidR="00EF22D2" w:rsidRPr="00DD1ACF">
        <w:rPr>
          <w:rFonts w:ascii="Arial" w:hAnsi="Arial" w:cs="Arial"/>
          <w:sz w:val="24"/>
          <w:szCs w:val="24"/>
        </w:rPr>
        <w:t>.</w:t>
      </w:r>
    </w:p>
    <w:p w:rsidR="00934A42" w:rsidRPr="00DD1ACF" w:rsidRDefault="00934A42" w:rsidP="00DD1ACF">
      <w:pPr>
        <w:pStyle w:val="ListParagraph"/>
        <w:numPr>
          <w:ilvl w:val="0"/>
          <w:numId w:val="1"/>
        </w:numPr>
        <w:spacing w:line="360" w:lineRule="auto"/>
        <w:ind w:left="142" w:hanging="142"/>
        <w:rPr>
          <w:rFonts w:ascii="Arial" w:hAnsi="Arial" w:cs="Arial"/>
          <w:sz w:val="24"/>
          <w:szCs w:val="24"/>
        </w:rPr>
      </w:pPr>
      <w:r w:rsidRPr="00DD1ACF">
        <w:rPr>
          <w:rFonts w:ascii="Arial" w:hAnsi="Arial" w:cs="Arial"/>
          <w:sz w:val="24"/>
          <w:szCs w:val="24"/>
        </w:rPr>
        <w:t xml:space="preserve"> Financial Performance Evaluation</w:t>
      </w:r>
      <w:r w:rsidR="00EF22D2" w:rsidRPr="00DD1ACF">
        <w:rPr>
          <w:rFonts w:ascii="Arial" w:hAnsi="Arial" w:cs="Arial"/>
          <w:sz w:val="24"/>
          <w:szCs w:val="24"/>
        </w:rPr>
        <w:t>:</w:t>
      </w:r>
    </w:p>
    <w:p w:rsidR="00EF22D2" w:rsidRPr="00DD1ACF" w:rsidRDefault="00EF22D2" w:rsidP="0070060F">
      <w:pPr>
        <w:pStyle w:val="ListParagraph"/>
        <w:numPr>
          <w:ilvl w:val="0"/>
          <w:numId w:val="31"/>
        </w:numPr>
        <w:spacing w:line="360" w:lineRule="auto"/>
        <w:rPr>
          <w:rFonts w:ascii="Arial" w:hAnsi="Arial" w:cs="Arial"/>
          <w:sz w:val="24"/>
          <w:szCs w:val="24"/>
        </w:rPr>
      </w:pPr>
      <w:r w:rsidRPr="00DD1ACF">
        <w:rPr>
          <w:rFonts w:ascii="Arial" w:hAnsi="Arial" w:cs="Arial"/>
          <w:sz w:val="24"/>
          <w:szCs w:val="24"/>
        </w:rPr>
        <w:t>Income Statement Analysis.</w:t>
      </w:r>
    </w:p>
    <w:p w:rsidR="00EF22D2" w:rsidRPr="00DD1ACF" w:rsidRDefault="00EF22D2" w:rsidP="0070060F">
      <w:pPr>
        <w:pStyle w:val="ListParagraph"/>
        <w:numPr>
          <w:ilvl w:val="0"/>
          <w:numId w:val="31"/>
        </w:numPr>
        <w:spacing w:line="360" w:lineRule="auto"/>
        <w:rPr>
          <w:rFonts w:ascii="Arial" w:hAnsi="Arial" w:cs="Arial"/>
          <w:sz w:val="24"/>
          <w:szCs w:val="24"/>
        </w:rPr>
      </w:pPr>
      <w:r w:rsidRPr="00DD1ACF">
        <w:rPr>
          <w:rFonts w:ascii="Arial" w:hAnsi="Arial" w:cs="Arial"/>
          <w:sz w:val="24"/>
          <w:szCs w:val="24"/>
        </w:rPr>
        <w:t>Balance Sheet Analysis.</w:t>
      </w:r>
    </w:p>
    <w:p w:rsidR="00EF22D2" w:rsidRPr="00DD1ACF" w:rsidRDefault="00EF22D2" w:rsidP="0070060F">
      <w:pPr>
        <w:pStyle w:val="ListParagraph"/>
        <w:numPr>
          <w:ilvl w:val="0"/>
          <w:numId w:val="31"/>
        </w:numPr>
        <w:spacing w:line="360" w:lineRule="auto"/>
        <w:rPr>
          <w:rFonts w:ascii="Arial" w:hAnsi="Arial" w:cs="Arial"/>
          <w:sz w:val="24"/>
          <w:szCs w:val="24"/>
        </w:rPr>
      </w:pPr>
      <w:r w:rsidRPr="00DD1ACF">
        <w:rPr>
          <w:rFonts w:ascii="Arial" w:hAnsi="Arial" w:cs="Arial"/>
          <w:sz w:val="24"/>
          <w:szCs w:val="24"/>
        </w:rPr>
        <w:t>Key Financial Ratios.</w:t>
      </w:r>
    </w:p>
    <w:p w:rsidR="00934A42" w:rsidRPr="00DD1ACF" w:rsidRDefault="00934A42" w:rsidP="00751950">
      <w:pPr>
        <w:pStyle w:val="ListParagraph"/>
        <w:numPr>
          <w:ilvl w:val="0"/>
          <w:numId w:val="2"/>
        </w:numPr>
        <w:spacing w:line="360" w:lineRule="auto"/>
        <w:rPr>
          <w:rFonts w:ascii="Arial" w:hAnsi="Arial" w:cs="Arial"/>
          <w:sz w:val="24"/>
          <w:szCs w:val="24"/>
        </w:rPr>
      </w:pPr>
      <w:r w:rsidRPr="00DD1ACF">
        <w:rPr>
          <w:rFonts w:ascii="Arial" w:hAnsi="Arial" w:cs="Arial"/>
          <w:sz w:val="24"/>
          <w:szCs w:val="24"/>
        </w:rPr>
        <w:t>Reasons for Decline in Profitability</w:t>
      </w:r>
      <w:r w:rsidR="00EF22D2" w:rsidRPr="00DD1ACF">
        <w:rPr>
          <w:rFonts w:ascii="Arial" w:hAnsi="Arial" w:cs="Arial"/>
          <w:sz w:val="24"/>
          <w:szCs w:val="24"/>
        </w:rPr>
        <w:t>:</w:t>
      </w:r>
    </w:p>
    <w:p w:rsidR="00934A42" w:rsidRPr="00DD1ACF" w:rsidRDefault="00934A42" w:rsidP="00751950">
      <w:pPr>
        <w:pStyle w:val="ListParagraph"/>
        <w:numPr>
          <w:ilvl w:val="0"/>
          <w:numId w:val="3"/>
        </w:numPr>
        <w:spacing w:line="360" w:lineRule="auto"/>
        <w:rPr>
          <w:rFonts w:ascii="Arial" w:hAnsi="Arial" w:cs="Arial"/>
          <w:sz w:val="24"/>
          <w:szCs w:val="24"/>
        </w:rPr>
      </w:pPr>
      <w:r w:rsidRPr="00DD1ACF">
        <w:rPr>
          <w:rFonts w:ascii="Arial" w:hAnsi="Arial" w:cs="Arial"/>
          <w:sz w:val="24"/>
          <w:szCs w:val="24"/>
        </w:rPr>
        <w:t>External Factors</w:t>
      </w:r>
      <w:r w:rsidR="00EF22D2" w:rsidRPr="00DD1ACF">
        <w:rPr>
          <w:rFonts w:ascii="Arial" w:hAnsi="Arial" w:cs="Arial"/>
          <w:sz w:val="24"/>
          <w:szCs w:val="24"/>
        </w:rPr>
        <w:t>.</w:t>
      </w:r>
    </w:p>
    <w:p w:rsidR="00934A42" w:rsidRPr="00DD1ACF" w:rsidRDefault="00934A42" w:rsidP="00751950">
      <w:pPr>
        <w:pStyle w:val="ListParagraph"/>
        <w:numPr>
          <w:ilvl w:val="0"/>
          <w:numId w:val="3"/>
        </w:numPr>
        <w:spacing w:line="360" w:lineRule="auto"/>
        <w:rPr>
          <w:rFonts w:ascii="Arial" w:hAnsi="Arial" w:cs="Arial"/>
          <w:sz w:val="24"/>
          <w:szCs w:val="24"/>
        </w:rPr>
      </w:pPr>
      <w:r w:rsidRPr="00DD1ACF">
        <w:rPr>
          <w:rFonts w:ascii="Arial" w:hAnsi="Arial" w:cs="Arial"/>
          <w:sz w:val="24"/>
          <w:szCs w:val="24"/>
        </w:rPr>
        <w:t>Internal Factors</w:t>
      </w:r>
      <w:r w:rsidR="00EF22D2" w:rsidRPr="00DD1ACF">
        <w:rPr>
          <w:rFonts w:ascii="Arial" w:hAnsi="Arial" w:cs="Arial"/>
          <w:sz w:val="24"/>
          <w:szCs w:val="24"/>
        </w:rPr>
        <w:t>.</w:t>
      </w:r>
    </w:p>
    <w:p w:rsidR="00934A42" w:rsidRPr="00DD1ACF" w:rsidRDefault="00934A42" w:rsidP="00751950">
      <w:pPr>
        <w:pStyle w:val="ListParagraph"/>
        <w:numPr>
          <w:ilvl w:val="0"/>
          <w:numId w:val="2"/>
        </w:numPr>
        <w:spacing w:line="360" w:lineRule="auto"/>
        <w:rPr>
          <w:rFonts w:ascii="Arial" w:hAnsi="Arial" w:cs="Arial"/>
          <w:sz w:val="24"/>
          <w:szCs w:val="24"/>
        </w:rPr>
      </w:pPr>
      <w:r w:rsidRPr="00DD1ACF">
        <w:rPr>
          <w:rFonts w:ascii="Arial" w:hAnsi="Arial" w:cs="Arial"/>
          <w:sz w:val="24"/>
          <w:szCs w:val="24"/>
        </w:rPr>
        <w:t>Turnaround Strategy</w:t>
      </w:r>
      <w:r w:rsidR="00EF22D2" w:rsidRPr="00DD1ACF">
        <w:rPr>
          <w:rFonts w:ascii="Arial" w:hAnsi="Arial" w:cs="Arial"/>
          <w:sz w:val="24"/>
          <w:szCs w:val="24"/>
        </w:rPr>
        <w:t>:</w:t>
      </w:r>
    </w:p>
    <w:p w:rsidR="00934A42" w:rsidRPr="00DD1ACF" w:rsidRDefault="00934A42" w:rsidP="00751950">
      <w:pPr>
        <w:pStyle w:val="ListParagraph"/>
        <w:numPr>
          <w:ilvl w:val="0"/>
          <w:numId w:val="4"/>
        </w:numPr>
        <w:spacing w:line="360" w:lineRule="auto"/>
        <w:rPr>
          <w:rFonts w:ascii="Arial" w:hAnsi="Arial" w:cs="Arial"/>
          <w:sz w:val="24"/>
          <w:szCs w:val="24"/>
        </w:rPr>
      </w:pPr>
      <w:r w:rsidRPr="00DD1ACF">
        <w:rPr>
          <w:rFonts w:ascii="Arial" w:hAnsi="Arial" w:cs="Arial"/>
          <w:sz w:val="24"/>
          <w:szCs w:val="24"/>
        </w:rPr>
        <w:t>Strategic Objectives</w:t>
      </w:r>
      <w:r w:rsidR="00EF22D2" w:rsidRPr="00DD1ACF">
        <w:rPr>
          <w:rFonts w:ascii="Arial" w:hAnsi="Arial" w:cs="Arial"/>
          <w:sz w:val="24"/>
          <w:szCs w:val="24"/>
        </w:rPr>
        <w:t>.</w:t>
      </w:r>
    </w:p>
    <w:p w:rsidR="00934A42" w:rsidRPr="00DD1ACF" w:rsidRDefault="00934A42" w:rsidP="00751950">
      <w:pPr>
        <w:pStyle w:val="ListParagraph"/>
        <w:numPr>
          <w:ilvl w:val="0"/>
          <w:numId w:val="4"/>
        </w:numPr>
        <w:spacing w:line="360" w:lineRule="auto"/>
        <w:rPr>
          <w:rFonts w:ascii="Arial" w:hAnsi="Arial" w:cs="Arial"/>
          <w:sz w:val="24"/>
          <w:szCs w:val="24"/>
        </w:rPr>
      </w:pPr>
      <w:r w:rsidRPr="00DD1ACF">
        <w:rPr>
          <w:rFonts w:ascii="Arial" w:hAnsi="Arial" w:cs="Arial"/>
          <w:sz w:val="24"/>
          <w:szCs w:val="24"/>
        </w:rPr>
        <w:t>Action Plan</w:t>
      </w:r>
      <w:r w:rsidR="00EF22D2" w:rsidRPr="00DD1ACF">
        <w:rPr>
          <w:rFonts w:ascii="Arial" w:hAnsi="Arial" w:cs="Arial"/>
          <w:sz w:val="24"/>
          <w:szCs w:val="24"/>
        </w:rPr>
        <w:t>.</w:t>
      </w:r>
    </w:p>
    <w:p w:rsidR="00934A42" w:rsidRPr="00DD1ACF" w:rsidRDefault="00934A42" w:rsidP="00751950">
      <w:pPr>
        <w:pStyle w:val="ListParagraph"/>
        <w:numPr>
          <w:ilvl w:val="0"/>
          <w:numId w:val="2"/>
        </w:numPr>
        <w:spacing w:line="360" w:lineRule="auto"/>
        <w:rPr>
          <w:rFonts w:ascii="Arial" w:hAnsi="Arial" w:cs="Arial"/>
          <w:sz w:val="24"/>
          <w:szCs w:val="24"/>
        </w:rPr>
      </w:pPr>
      <w:r w:rsidRPr="00DD1ACF">
        <w:rPr>
          <w:rFonts w:ascii="Arial" w:hAnsi="Arial" w:cs="Arial"/>
          <w:sz w:val="24"/>
          <w:szCs w:val="24"/>
        </w:rPr>
        <w:t>Financial Forecast and Viability</w:t>
      </w:r>
      <w:r w:rsidR="00EF22D2" w:rsidRPr="00DD1ACF">
        <w:rPr>
          <w:rFonts w:ascii="Arial" w:hAnsi="Arial" w:cs="Arial"/>
          <w:sz w:val="24"/>
          <w:szCs w:val="24"/>
        </w:rPr>
        <w:t>:</w:t>
      </w:r>
    </w:p>
    <w:p w:rsidR="00934A42" w:rsidRPr="00DD1ACF" w:rsidRDefault="00934A42" w:rsidP="00751950">
      <w:pPr>
        <w:pStyle w:val="ListParagraph"/>
        <w:numPr>
          <w:ilvl w:val="0"/>
          <w:numId w:val="5"/>
        </w:numPr>
        <w:spacing w:line="360" w:lineRule="auto"/>
        <w:rPr>
          <w:rFonts w:ascii="Arial" w:hAnsi="Arial" w:cs="Arial"/>
          <w:sz w:val="24"/>
          <w:szCs w:val="24"/>
        </w:rPr>
      </w:pPr>
      <w:r w:rsidRPr="00DD1ACF">
        <w:rPr>
          <w:rFonts w:ascii="Arial" w:hAnsi="Arial" w:cs="Arial"/>
          <w:sz w:val="24"/>
          <w:szCs w:val="24"/>
        </w:rPr>
        <w:t>Projections</w:t>
      </w:r>
      <w:r w:rsidR="00FE0A1C" w:rsidRPr="00DD1ACF">
        <w:rPr>
          <w:rFonts w:ascii="Arial" w:hAnsi="Arial" w:cs="Arial"/>
          <w:sz w:val="24"/>
          <w:szCs w:val="24"/>
        </w:rPr>
        <w:t>, Break-even Analysis</w:t>
      </w:r>
      <w:r w:rsidR="00EF22D2" w:rsidRPr="00DD1ACF">
        <w:rPr>
          <w:rFonts w:ascii="Arial" w:hAnsi="Arial" w:cs="Arial"/>
          <w:sz w:val="24"/>
          <w:szCs w:val="24"/>
        </w:rPr>
        <w:t>.</w:t>
      </w:r>
    </w:p>
    <w:p w:rsidR="00EF22D2" w:rsidRPr="00DD1ACF" w:rsidRDefault="0083474E" w:rsidP="00751950">
      <w:pPr>
        <w:pStyle w:val="ListParagraph"/>
        <w:numPr>
          <w:ilvl w:val="0"/>
          <w:numId w:val="5"/>
        </w:numPr>
        <w:spacing w:after="0" w:line="360" w:lineRule="auto"/>
        <w:rPr>
          <w:rFonts w:ascii="Arial" w:hAnsi="Arial" w:cs="Arial"/>
          <w:sz w:val="24"/>
          <w:szCs w:val="24"/>
        </w:rPr>
      </w:pPr>
      <w:r w:rsidRPr="00DD1ACF">
        <w:rPr>
          <w:rFonts w:ascii="Arial" w:hAnsi="Arial" w:cs="Arial"/>
          <w:sz w:val="24"/>
          <w:szCs w:val="24"/>
        </w:rPr>
        <w:t>Key Financial Ratios after Turnaround Strategy</w:t>
      </w:r>
      <w:r w:rsidR="00EF22D2" w:rsidRPr="00DD1ACF">
        <w:rPr>
          <w:rFonts w:ascii="Arial" w:hAnsi="Arial" w:cs="Arial"/>
          <w:sz w:val="24"/>
          <w:szCs w:val="24"/>
        </w:rPr>
        <w:t>.</w:t>
      </w:r>
    </w:p>
    <w:p w:rsidR="0083474E" w:rsidRPr="00DD1ACF" w:rsidRDefault="0083474E" w:rsidP="00751950">
      <w:pPr>
        <w:pStyle w:val="ListParagraph"/>
        <w:numPr>
          <w:ilvl w:val="0"/>
          <w:numId w:val="2"/>
        </w:numPr>
        <w:spacing w:after="0" w:line="360" w:lineRule="auto"/>
        <w:rPr>
          <w:rFonts w:ascii="Arial" w:hAnsi="Arial" w:cs="Arial"/>
          <w:sz w:val="24"/>
          <w:szCs w:val="24"/>
        </w:rPr>
      </w:pPr>
      <w:r w:rsidRPr="000272AF">
        <w:rPr>
          <w:rFonts w:ascii="Arial" w:hAnsi="Arial" w:cs="Arial"/>
          <w:sz w:val="24"/>
          <w:szCs w:val="24"/>
        </w:rPr>
        <w:t>Risk Management</w:t>
      </w:r>
      <w:r w:rsidR="00EF22D2" w:rsidRPr="00DD1ACF">
        <w:rPr>
          <w:rFonts w:ascii="Arial" w:hAnsi="Arial" w:cs="Arial"/>
          <w:color w:val="132E57"/>
          <w:sz w:val="24"/>
          <w:szCs w:val="24"/>
        </w:rPr>
        <w:t>:</w:t>
      </w:r>
    </w:p>
    <w:p w:rsidR="0083474E" w:rsidRPr="00DD1ACF" w:rsidRDefault="0083474E" w:rsidP="0070060F">
      <w:pPr>
        <w:pStyle w:val="ListParagraph"/>
        <w:numPr>
          <w:ilvl w:val="0"/>
          <w:numId w:val="29"/>
        </w:numPr>
        <w:spacing w:before="100" w:beforeAutospacing="1" w:after="100" w:afterAutospacing="1" w:line="360" w:lineRule="auto"/>
        <w:rPr>
          <w:rFonts w:ascii="Arial" w:hAnsi="Arial" w:cs="Arial"/>
          <w:sz w:val="24"/>
          <w:szCs w:val="24"/>
        </w:rPr>
      </w:pPr>
      <w:r w:rsidRPr="00DD1ACF">
        <w:rPr>
          <w:rFonts w:ascii="Arial" w:hAnsi="Arial" w:cs="Arial"/>
          <w:sz w:val="24"/>
          <w:szCs w:val="24"/>
        </w:rPr>
        <w:t>Risk Management Strategy</w:t>
      </w:r>
      <w:r w:rsidR="00EF22D2" w:rsidRPr="00DD1ACF">
        <w:rPr>
          <w:rFonts w:ascii="Arial" w:hAnsi="Arial" w:cs="Arial"/>
          <w:sz w:val="24"/>
          <w:szCs w:val="24"/>
        </w:rPr>
        <w:t>.</w:t>
      </w:r>
    </w:p>
    <w:p w:rsidR="00934A42" w:rsidRPr="00DD1ACF" w:rsidRDefault="00934A42" w:rsidP="00751950">
      <w:pPr>
        <w:pStyle w:val="ListParagraph"/>
        <w:numPr>
          <w:ilvl w:val="0"/>
          <w:numId w:val="2"/>
        </w:numPr>
        <w:spacing w:line="360" w:lineRule="auto"/>
        <w:rPr>
          <w:rFonts w:ascii="Arial" w:hAnsi="Arial" w:cs="Arial"/>
          <w:sz w:val="24"/>
          <w:szCs w:val="24"/>
        </w:rPr>
      </w:pPr>
      <w:r w:rsidRPr="00DD1ACF">
        <w:rPr>
          <w:rFonts w:ascii="Arial" w:hAnsi="Arial" w:cs="Arial"/>
          <w:sz w:val="24"/>
          <w:szCs w:val="24"/>
        </w:rPr>
        <w:t>Conclusion</w:t>
      </w:r>
      <w:r w:rsidR="00EF22D2" w:rsidRPr="00DD1ACF">
        <w:rPr>
          <w:rFonts w:ascii="Arial" w:hAnsi="Arial" w:cs="Arial"/>
          <w:sz w:val="24"/>
          <w:szCs w:val="24"/>
        </w:rPr>
        <w:t>.</w:t>
      </w:r>
    </w:p>
    <w:p w:rsidR="00E22388" w:rsidRPr="00E22388" w:rsidRDefault="00934A42" w:rsidP="00E77B3D">
      <w:pPr>
        <w:pStyle w:val="ListParagraph"/>
        <w:numPr>
          <w:ilvl w:val="0"/>
          <w:numId w:val="2"/>
        </w:numPr>
        <w:spacing w:line="360" w:lineRule="auto"/>
        <w:rPr>
          <w:rFonts w:ascii="Arial" w:hAnsi="Arial" w:cs="Arial"/>
          <w:sz w:val="24"/>
          <w:szCs w:val="24"/>
        </w:rPr>
      </w:pPr>
      <w:r w:rsidRPr="00DD1ACF">
        <w:rPr>
          <w:rFonts w:ascii="Arial" w:hAnsi="Arial" w:cs="Arial"/>
          <w:sz w:val="24"/>
          <w:szCs w:val="24"/>
        </w:rPr>
        <w:t>Refer</w:t>
      </w:r>
      <w:r w:rsidR="00DE1AC2">
        <w:rPr>
          <w:rFonts w:ascii="Arial" w:hAnsi="Arial" w:cs="Arial"/>
          <w:sz w:val="24"/>
          <w:szCs w:val="24"/>
        </w:rPr>
        <w:t>ences.</w:t>
      </w:r>
    </w:p>
    <w:p w:rsidR="00E77B3D" w:rsidRDefault="00E77B3D" w:rsidP="00E77B3D">
      <w:pPr>
        <w:spacing w:line="360" w:lineRule="auto"/>
        <w:rPr>
          <w:rFonts w:ascii="Arial" w:hAnsi="Arial" w:cs="Arial"/>
          <w:sz w:val="24"/>
          <w:szCs w:val="24"/>
        </w:rPr>
      </w:pPr>
      <w:r w:rsidRPr="00E77B3D">
        <w:rPr>
          <w:rFonts w:ascii="Arial" w:hAnsi="Arial" w:cs="Arial"/>
          <w:sz w:val="24"/>
          <w:szCs w:val="24"/>
        </w:rPr>
        <w:lastRenderedPageBreak/>
        <w:t>Urban Heights Hotel, located in a vibrant urban area, offers a range of services including accommodation, dining, and event facilities. Recently, the hotel has faced significant challenges, including declining revenue, increasing operating expenses, reduced customer satisfaction, and heightened competition. This report aims to evaluate the hotel's financial performance, identify the reasons for its decline, and propose a comprehensive strategy for its potential turnaround.</w:t>
      </w:r>
    </w:p>
    <w:p w:rsidR="00E22388" w:rsidRDefault="00E22388" w:rsidP="00E22388">
      <w:pPr>
        <w:spacing w:line="360" w:lineRule="auto"/>
        <w:jc w:val="center"/>
        <w:rPr>
          <w:rFonts w:ascii="Arial" w:hAnsi="Arial" w:cs="Arial"/>
          <w:sz w:val="24"/>
          <w:szCs w:val="24"/>
        </w:rPr>
      </w:pPr>
    </w:p>
    <w:p w:rsidR="00E22388" w:rsidRDefault="00E22388" w:rsidP="00E22388">
      <w:pPr>
        <w:spacing w:line="360" w:lineRule="auto"/>
        <w:jc w:val="center"/>
        <w:rPr>
          <w:rFonts w:ascii="Arial" w:hAnsi="Arial" w:cs="Arial"/>
          <w:sz w:val="24"/>
          <w:szCs w:val="24"/>
        </w:rPr>
      </w:pPr>
    </w:p>
    <w:p w:rsidR="009C271D" w:rsidRPr="00DD1ACF" w:rsidRDefault="009C271D" w:rsidP="00E22388">
      <w:pPr>
        <w:spacing w:line="360" w:lineRule="auto"/>
        <w:jc w:val="center"/>
        <w:rPr>
          <w:rFonts w:ascii="Arial" w:hAnsi="Arial" w:cs="Arial"/>
          <w:sz w:val="24"/>
          <w:szCs w:val="24"/>
        </w:rPr>
      </w:pPr>
      <w:r w:rsidRPr="00DD1ACF">
        <w:rPr>
          <w:rFonts w:ascii="Arial" w:hAnsi="Arial" w:cs="Arial"/>
          <w:sz w:val="24"/>
          <w:szCs w:val="24"/>
        </w:rPr>
        <w:t>Financial Performance Evaluation.</w:t>
      </w:r>
    </w:p>
    <w:p w:rsidR="00E22388" w:rsidRDefault="00E22388" w:rsidP="00DD1ACF">
      <w:pPr>
        <w:spacing w:after="0" w:line="360" w:lineRule="auto"/>
        <w:rPr>
          <w:rFonts w:ascii="Arial" w:hAnsi="Arial" w:cs="Arial"/>
          <w:sz w:val="24"/>
          <w:szCs w:val="24"/>
        </w:rPr>
      </w:pPr>
    </w:p>
    <w:p w:rsidR="00E22388" w:rsidRPr="00DE1AC2" w:rsidRDefault="00E22388" w:rsidP="00DD1ACF">
      <w:pPr>
        <w:spacing w:after="0" w:line="360" w:lineRule="auto"/>
        <w:rPr>
          <w:rFonts w:ascii="Arial" w:hAnsi="Arial" w:cs="Arial"/>
          <w:sz w:val="24"/>
          <w:szCs w:val="24"/>
          <w:u w:val="single"/>
        </w:rPr>
      </w:pPr>
    </w:p>
    <w:p w:rsidR="0063325A" w:rsidRPr="00DE1AC2" w:rsidRDefault="00456A6A" w:rsidP="00DD1ACF">
      <w:pPr>
        <w:spacing w:after="0" w:line="360" w:lineRule="auto"/>
        <w:rPr>
          <w:rFonts w:ascii="Arial" w:hAnsi="Arial" w:cs="Arial"/>
          <w:sz w:val="24"/>
          <w:szCs w:val="24"/>
          <w:u w:val="single"/>
        </w:rPr>
      </w:pPr>
      <w:r w:rsidRPr="00DE1AC2">
        <w:rPr>
          <w:rFonts w:ascii="Arial" w:hAnsi="Arial" w:cs="Arial"/>
          <w:sz w:val="24"/>
          <w:szCs w:val="24"/>
          <w:u w:val="single"/>
        </w:rPr>
        <w:t>Income Statement Analysis</w:t>
      </w:r>
      <w:r w:rsidR="00DD1ACF" w:rsidRPr="00DE1AC2">
        <w:rPr>
          <w:rFonts w:ascii="Arial" w:hAnsi="Arial" w:cs="Arial"/>
          <w:sz w:val="24"/>
          <w:szCs w:val="24"/>
          <w:u w:val="single"/>
        </w:rPr>
        <w:t>:</w:t>
      </w:r>
    </w:p>
    <w:tbl>
      <w:tblPr>
        <w:tblW w:w="7120" w:type="dxa"/>
        <w:jc w:val="center"/>
        <w:tblCellSpacing w:w="15" w:type="dxa"/>
        <w:tblInd w:w="40"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tblPr>
      <w:tblGrid>
        <w:gridCol w:w="497"/>
        <w:gridCol w:w="938"/>
        <w:gridCol w:w="1085"/>
        <w:gridCol w:w="1203"/>
        <w:gridCol w:w="1415"/>
        <w:gridCol w:w="891"/>
        <w:gridCol w:w="1091"/>
      </w:tblGrid>
      <w:tr w:rsidR="00826AC9" w:rsidRPr="0063325A" w:rsidTr="009E1C77">
        <w:trPr>
          <w:tblHeader/>
          <w:tblCellSpacing w:w="15" w:type="dxa"/>
          <w:jc w:val="center"/>
        </w:trPr>
        <w:tc>
          <w:tcPr>
            <w:tcW w:w="0" w:type="auto"/>
            <w:tcBorders>
              <w:top w:val="single" w:sz="4"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DD1ACF" w:rsidP="009E1C77">
            <w:pPr>
              <w:spacing w:after="0" w:line="360" w:lineRule="auto"/>
              <w:jc w:val="center"/>
              <w:rPr>
                <w:rFonts w:eastAsia="Times New Roman" w:cstheme="minorHAnsi"/>
                <w:b/>
                <w:bCs/>
                <w:color w:val="0D0D0D"/>
                <w:sz w:val="20"/>
                <w:szCs w:val="20"/>
              </w:rPr>
            </w:pPr>
            <w:r w:rsidRPr="0063325A">
              <w:rPr>
                <w:rFonts w:eastAsia="Times New Roman" w:cstheme="minorHAnsi"/>
                <w:b/>
                <w:bCs/>
                <w:color w:val="0D0D0D"/>
                <w:sz w:val="20"/>
                <w:szCs w:val="20"/>
              </w:rPr>
              <w:t>Y</w:t>
            </w:r>
            <w:r w:rsidR="00826AC9" w:rsidRPr="0063325A">
              <w:rPr>
                <w:rFonts w:eastAsia="Times New Roman" w:cstheme="minorHAnsi"/>
                <w:b/>
                <w:bCs/>
                <w:color w:val="0D0D0D"/>
                <w:sz w:val="20"/>
                <w:szCs w:val="20"/>
              </w:rPr>
              <w:t>ear</w:t>
            </w:r>
          </w:p>
        </w:tc>
        <w:tc>
          <w:tcPr>
            <w:tcW w:w="0" w:type="auto"/>
            <w:tcBorders>
              <w:top w:val="single" w:sz="4"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bCs/>
                <w:color w:val="0D0D0D"/>
                <w:sz w:val="20"/>
                <w:szCs w:val="20"/>
              </w:rPr>
            </w:pPr>
            <w:r w:rsidRPr="0063325A">
              <w:rPr>
                <w:rFonts w:eastAsia="Times New Roman" w:cstheme="minorHAnsi"/>
                <w:b/>
                <w:bCs/>
                <w:color w:val="0D0D0D"/>
                <w:sz w:val="20"/>
                <w:szCs w:val="20"/>
              </w:rPr>
              <w:t>Revenue (£)</w:t>
            </w:r>
          </w:p>
        </w:tc>
        <w:tc>
          <w:tcPr>
            <w:tcW w:w="0" w:type="auto"/>
            <w:tcBorders>
              <w:top w:val="single" w:sz="4"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bCs/>
                <w:color w:val="0D0D0D"/>
                <w:sz w:val="20"/>
                <w:szCs w:val="20"/>
              </w:rPr>
            </w:pPr>
            <w:r w:rsidRPr="0063325A">
              <w:rPr>
                <w:rFonts w:eastAsia="Times New Roman" w:cstheme="minorHAnsi"/>
                <w:b/>
                <w:bCs/>
                <w:color w:val="0D0D0D"/>
                <w:sz w:val="20"/>
                <w:szCs w:val="20"/>
              </w:rPr>
              <w:t>% Change in Revenue</w:t>
            </w:r>
          </w:p>
        </w:tc>
        <w:tc>
          <w:tcPr>
            <w:tcW w:w="0" w:type="auto"/>
            <w:tcBorders>
              <w:top w:val="single" w:sz="4"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bCs/>
                <w:color w:val="0D0D0D"/>
                <w:sz w:val="20"/>
                <w:szCs w:val="20"/>
              </w:rPr>
            </w:pPr>
            <w:r w:rsidRPr="0063325A">
              <w:rPr>
                <w:rFonts w:eastAsia="Times New Roman" w:cstheme="minorHAnsi"/>
                <w:b/>
                <w:bCs/>
                <w:color w:val="0D0D0D"/>
                <w:sz w:val="20"/>
                <w:szCs w:val="20"/>
              </w:rPr>
              <w:t>Operating Expenses (£)</w:t>
            </w:r>
          </w:p>
        </w:tc>
        <w:tc>
          <w:tcPr>
            <w:tcW w:w="0" w:type="auto"/>
            <w:tcBorders>
              <w:top w:val="single" w:sz="4"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bCs/>
                <w:color w:val="0D0D0D"/>
                <w:sz w:val="20"/>
                <w:szCs w:val="20"/>
              </w:rPr>
            </w:pPr>
            <w:r w:rsidRPr="0063325A">
              <w:rPr>
                <w:rFonts w:eastAsia="Times New Roman" w:cstheme="minorHAnsi"/>
                <w:b/>
                <w:bCs/>
                <w:color w:val="0D0D0D"/>
                <w:sz w:val="20"/>
                <w:szCs w:val="20"/>
              </w:rPr>
              <w:t>% Change in Operating Expenses</w:t>
            </w:r>
          </w:p>
        </w:tc>
        <w:tc>
          <w:tcPr>
            <w:tcW w:w="0" w:type="auto"/>
            <w:tcBorders>
              <w:top w:val="single" w:sz="4"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bCs/>
                <w:color w:val="0D0D0D"/>
                <w:sz w:val="20"/>
                <w:szCs w:val="20"/>
              </w:rPr>
            </w:pPr>
            <w:r w:rsidRPr="0063325A">
              <w:rPr>
                <w:rFonts w:eastAsia="Times New Roman" w:cstheme="minorHAnsi"/>
                <w:b/>
                <w:bCs/>
                <w:color w:val="0D0D0D"/>
                <w:sz w:val="20"/>
                <w:szCs w:val="20"/>
              </w:rPr>
              <w:t>Net Income (£)</w:t>
            </w:r>
          </w:p>
        </w:tc>
        <w:tc>
          <w:tcPr>
            <w:tcW w:w="0" w:type="auto"/>
            <w:tcBorders>
              <w:top w:val="single" w:sz="4" w:space="0" w:color="auto"/>
              <w:left w:val="single" w:sz="4" w:space="0" w:color="auto"/>
              <w:bottom w:val="single" w:sz="4" w:space="0" w:color="auto"/>
              <w:right w:val="single" w:sz="4"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bCs/>
                <w:color w:val="0D0D0D"/>
                <w:sz w:val="20"/>
                <w:szCs w:val="20"/>
              </w:rPr>
            </w:pPr>
            <w:r w:rsidRPr="0063325A">
              <w:rPr>
                <w:rFonts w:eastAsia="Times New Roman" w:cstheme="minorHAnsi"/>
                <w:b/>
                <w:bCs/>
                <w:color w:val="0D0D0D"/>
                <w:sz w:val="20"/>
                <w:szCs w:val="20"/>
              </w:rPr>
              <w:t>% Change in Net Income</w:t>
            </w:r>
          </w:p>
        </w:tc>
      </w:tr>
      <w:tr w:rsidR="00826AC9" w:rsidRPr="0063325A" w:rsidTr="009E1C77">
        <w:trPr>
          <w:tblCellSpacing w:w="15" w:type="dxa"/>
          <w:jc w:val="center"/>
        </w:trPr>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2021</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2,500,000</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1,800,000</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700,000</w:t>
            </w:r>
          </w:p>
        </w:tc>
        <w:tc>
          <w:tcPr>
            <w:tcW w:w="0" w:type="auto"/>
            <w:tcBorders>
              <w:top w:val="single" w:sz="2" w:space="0" w:color="auto"/>
              <w:left w:val="single" w:sz="4" w:space="0" w:color="auto"/>
              <w:bottom w:val="single" w:sz="4" w:space="0" w:color="auto"/>
              <w:right w:val="single" w:sz="4"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w:t>
            </w:r>
          </w:p>
        </w:tc>
      </w:tr>
      <w:tr w:rsidR="00826AC9" w:rsidRPr="0063325A" w:rsidTr="009E1C77">
        <w:trPr>
          <w:tblCellSpacing w:w="15" w:type="dxa"/>
          <w:jc w:val="center"/>
        </w:trPr>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2022</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2,200,000</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-12%</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2,000,000</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+11.11%</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200,000</w:t>
            </w:r>
          </w:p>
        </w:tc>
        <w:tc>
          <w:tcPr>
            <w:tcW w:w="0" w:type="auto"/>
            <w:tcBorders>
              <w:top w:val="single" w:sz="2" w:space="0" w:color="auto"/>
              <w:left w:val="single" w:sz="4" w:space="0" w:color="auto"/>
              <w:bottom w:val="single" w:sz="4" w:space="0" w:color="auto"/>
              <w:right w:val="single" w:sz="4"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-71.43%</w:t>
            </w:r>
          </w:p>
        </w:tc>
      </w:tr>
      <w:tr w:rsidR="00826AC9" w:rsidRPr="0063325A" w:rsidTr="009E1C77">
        <w:trPr>
          <w:tblCellSpacing w:w="15" w:type="dxa"/>
          <w:jc w:val="center"/>
        </w:trPr>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2023</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1,800,000</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-18.18%</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2,300,000</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+15%</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-500,000</w:t>
            </w:r>
          </w:p>
        </w:tc>
        <w:tc>
          <w:tcPr>
            <w:tcW w:w="0" w:type="auto"/>
            <w:tcBorders>
              <w:top w:val="single" w:sz="2" w:space="0" w:color="auto"/>
              <w:left w:val="single" w:sz="4" w:space="0" w:color="auto"/>
              <w:bottom w:val="single" w:sz="4" w:space="0" w:color="auto"/>
              <w:right w:val="single" w:sz="4" w:space="0" w:color="auto"/>
            </w:tcBorders>
            <w:shd w:val="clear" w:color="auto" w:fill="FFFFFF"/>
            <w:vAlign w:val="center"/>
            <w:hideMark/>
          </w:tcPr>
          <w:p w:rsidR="00826AC9" w:rsidRPr="0063325A" w:rsidRDefault="00826AC9" w:rsidP="009E1C77">
            <w:pPr>
              <w:spacing w:after="0" w:line="360" w:lineRule="auto"/>
              <w:jc w:val="center"/>
              <w:rPr>
                <w:rFonts w:eastAsia="Times New Roman" w:cstheme="minorHAnsi"/>
                <w:b/>
                <w:color w:val="0D0D0D"/>
                <w:sz w:val="20"/>
                <w:szCs w:val="20"/>
              </w:rPr>
            </w:pPr>
            <w:r w:rsidRPr="0063325A">
              <w:rPr>
                <w:rFonts w:eastAsia="Times New Roman" w:cstheme="minorHAnsi"/>
                <w:b/>
                <w:color w:val="0D0D0D"/>
                <w:sz w:val="20"/>
                <w:szCs w:val="20"/>
              </w:rPr>
              <w:t>-350%</w:t>
            </w:r>
          </w:p>
        </w:tc>
      </w:tr>
    </w:tbl>
    <w:p w:rsidR="00826AC9" w:rsidRPr="0063325A" w:rsidRDefault="00826AC9" w:rsidP="009C271D">
      <w:pPr>
        <w:spacing w:after="0" w:line="360" w:lineRule="auto"/>
        <w:rPr>
          <w:rFonts w:cstheme="minorHAnsi"/>
          <w:b/>
          <w:sz w:val="20"/>
          <w:szCs w:val="20"/>
        </w:rPr>
      </w:pPr>
    </w:p>
    <w:p w:rsidR="00DD1ACF" w:rsidRDefault="00456A6A" w:rsidP="00E22388">
      <w:pPr>
        <w:spacing w:line="360" w:lineRule="auto"/>
        <w:rPr>
          <w:rFonts w:ascii="Arial" w:hAnsi="Arial" w:cs="Arial"/>
          <w:sz w:val="24"/>
          <w:szCs w:val="24"/>
        </w:rPr>
      </w:pPr>
      <w:r w:rsidRPr="00DD1ACF">
        <w:rPr>
          <w:rFonts w:ascii="Arial" w:hAnsi="Arial" w:cs="Arial"/>
          <w:sz w:val="24"/>
          <w:szCs w:val="24"/>
        </w:rPr>
        <w:t>The income statement reveals a troubling trend of declining revenue coupled with increasing operating expenses, leading to a significant drop in net income.</w:t>
      </w:r>
    </w:p>
    <w:p w:rsidR="00E22388" w:rsidRDefault="00E22388" w:rsidP="00E22388">
      <w:pPr>
        <w:spacing w:line="360" w:lineRule="auto"/>
        <w:rPr>
          <w:rFonts w:ascii="Arial" w:hAnsi="Arial" w:cs="Arial"/>
          <w:sz w:val="24"/>
          <w:szCs w:val="24"/>
        </w:rPr>
      </w:pPr>
    </w:p>
    <w:p w:rsidR="00E22388" w:rsidRDefault="00E22388" w:rsidP="00DD1ACF">
      <w:pPr>
        <w:spacing w:after="0" w:line="360" w:lineRule="auto"/>
        <w:rPr>
          <w:rFonts w:ascii="Arial" w:hAnsi="Arial" w:cs="Arial"/>
          <w:sz w:val="24"/>
          <w:szCs w:val="24"/>
        </w:rPr>
      </w:pPr>
    </w:p>
    <w:p w:rsidR="00E22388" w:rsidRDefault="00E22388" w:rsidP="00DD1ACF">
      <w:pPr>
        <w:spacing w:after="0" w:line="360" w:lineRule="auto"/>
        <w:rPr>
          <w:rFonts w:ascii="Arial" w:hAnsi="Arial" w:cs="Arial"/>
          <w:sz w:val="24"/>
          <w:szCs w:val="24"/>
        </w:rPr>
      </w:pPr>
    </w:p>
    <w:p w:rsidR="00E22388" w:rsidRDefault="00E22388" w:rsidP="00DD1ACF">
      <w:pPr>
        <w:spacing w:after="0" w:line="360" w:lineRule="auto"/>
        <w:rPr>
          <w:rFonts w:ascii="Arial" w:hAnsi="Arial" w:cs="Arial"/>
          <w:sz w:val="24"/>
          <w:szCs w:val="24"/>
        </w:rPr>
      </w:pPr>
    </w:p>
    <w:p w:rsidR="00E22388" w:rsidRDefault="00E22388" w:rsidP="00DD1ACF">
      <w:pPr>
        <w:spacing w:after="0" w:line="360" w:lineRule="auto"/>
        <w:rPr>
          <w:rFonts w:ascii="Arial" w:hAnsi="Arial" w:cs="Arial"/>
          <w:sz w:val="24"/>
          <w:szCs w:val="24"/>
        </w:rPr>
      </w:pPr>
    </w:p>
    <w:p w:rsidR="00E22388" w:rsidRDefault="00E22388" w:rsidP="00DD1ACF">
      <w:pPr>
        <w:spacing w:after="0" w:line="360" w:lineRule="auto"/>
        <w:rPr>
          <w:rFonts w:ascii="Arial" w:hAnsi="Arial" w:cs="Arial"/>
          <w:sz w:val="24"/>
          <w:szCs w:val="24"/>
        </w:rPr>
      </w:pPr>
    </w:p>
    <w:p w:rsidR="00E22388" w:rsidRDefault="00E22388" w:rsidP="00DD1ACF">
      <w:pPr>
        <w:spacing w:after="0" w:line="360" w:lineRule="auto"/>
        <w:rPr>
          <w:rFonts w:ascii="Arial" w:hAnsi="Arial" w:cs="Arial"/>
          <w:sz w:val="24"/>
          <w:szCs w:val="24"/>
        </w:rPr>
      </w:pPr>
    </w:p>
    <w:p w:rsidR="00E22388" w:rsidRDefault="00E22388" w:rsidP="00DD1ACF">
      <w:pPr>
        <w:spacing w:after="0" w:line="360" w:lineRule="auto"/>
        <w:rPr>
          <w:rFonts w:ascii="Arial" w:hAnsi="Arial" w:cs="Arial"/>
          <w:sz w:val="24"/>
          <w:szCs w:val="24"/>
        </w:rPr>
      </w:pPr>
    </w:p>
    <w:p w:rsidR="00E22388" w:rsidRDefault="00E22388" w:rsidP="00DD1ACF">
      <w:pPr>
        <w:spacing w:after="0" w:line="360" w:lineRule="auto"/>
        <w:rPr>
          <w:rFonts w:ascii="Arial" w:hAnsi="Arial" w:cs="Arial"/>
          <w:sz w:val="24"/>
          <w:szCs w:val="24"/>
        </w:rPr>
      </w:pPr>
    </w:p>
    <w:p w:rsidR="00E22388" w:rsidRDefault="00E22388" w:rsidP="00DD1ACF">
      <w:pPr>
        <w:spacing w:after="0" w:line="360" w:lineRule="auto"/>
        <w:rPr>
          <w:rFonts w:ascii="Arial" w:hAnsi="Arial" w:cs="Arial"/>
          <w:sz w:val="24"/>
          <w:szCs w:val="24"/>
        </w:rPr>
      </w:pPr>
    </w:p>
    <w:p w:rsidR="00826AC9" w:rsidRPr="00DE1AC2" w:rsidRDefault="0028713C" w:rsidP="00DD1ACF">
      <w:pPr>
        <w:spacing w:after="0" w:line="360" w:lineRule="auto"/>
        <w:rPr>
          <w:rFonts w:ascii="Arial" w:hAnsi="Arial" w:cs="Arial"/>
          <w:sz w:val="24"/>
          <w:szCs w:val="24"/>
          <w:u w:val="single"/>
        </w:rPr>
      </w:pPr>
      <w:r w:rsidRPr="00DE1AC2">
        <w:rPr>
          <w:rFonts w:ascii="Arial" w:hAnsi="Arial" w:cs="Arial"/>
          <w:sz w:val="24"/>
          <w:szCs w:val="24"/>
          <w:u w:val="single"/>
        </w:rPr>
        <w:lastRenderedPageBreak/>
        <w:t>Balance Sheet Analysis:</w:t>
      </w:r>
    </w:p>
    <w:tbl>
      <w:tblPr>
        <w:tblW w:w="9478" w:type="dxa"/>
        <w:jc w:val="center"/>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tblPr>
      <w:tblGrid>
        <w:gridCol w:w="2318"/>
        <w:gridCol w:w="1077"/>
        <w:gridCol w:w="1077"/>
        <w:gridCol w:w="1077"/>
        <w:gridCol w:w="3929"/>
      </w:tblGrid>
      <w:tr w:rsidR="00826AC9" w:rsidRPr="00DD1ACF" w:rsidTr="009E1C77">
        <w:trPr>
          <w:tblHeader/>
          <w:tblCellSpacing w:w="15" w:type="dxa"/>
          <w:jc w:val="center"/>
        </w:trPr>
        <w:tc>
          <w:tcPr>
            <w:tcW w:w="0" w:type="auto"/>
            <w:tcBorders>
              <w:top w:val="single" w:sz="4"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bCs/>
                <w:color w:val="0D0D0D"/>
                <w:sz w:val="20"/>
                <w:szCs w:val="20"/>
              </w:rPr>
            </w:pPr>
            <w:r w:rsidRPr="008F17C5">
              <w:rPr>
                <w:rFonts w:eastAsia="Times New Roman" w:cstheme="minorHAnsi"/>
                <w:b/>
                <w:bCs/>
                <w:color w:val="0D0D0D"/>
                <w:sz w:val="20"/>
                <w:szCs w:val="20"/>
              </w:rPr>
              <w:t>Asset/Liability</w:t>
            </w:r>
          </w:p>
        </w:tc>
        <w:tc>
          <w:tcPr>
            <w:tcW w:w="0" w:type="auto"/>
            <w:tcBorders>
              <w:top w:val="single" w:sz="4"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bCs/>
                <w:color w:val="0D0D0D"/>
                <w:sz w:val="20"/>
                <w:szCs w:val="20"/>
              </w:rPr>
            </w:pPr>
            <w:r w:rsidRPr="008F17C5">
              <w:rPr>
                <w:rFonts w:eastAsia="Times New Roman" w:cstheme="minorHAnsi"/>
                <w:b/>
                <w:bCs/>
                <w:color w:val="0D0D0D"/>
                <w:sz w:val="20"/>
                <w:szCs w:val="20"/>
              </w:rPr>
              <w:t>2021</w:t>
            </w:r>
          </w:p>
        </w:tc>
        <w:tc>
          <w:tcPr>
            <w:tcW w:w="0" w:type="auto"/>
            <w:tcBorders>
              <w:top w:val="single" w:sz="4"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bCs/>
                <w:color w:val="0D0D0D"/>
                <w:sz w:val="20"/>
                <w:szCs w:val="20"/>
              </w:rPr>
            </w:pPr>
            <w:r w:rsidRPr="008F17C5">
              <w:rPr>
                <w:rFonts w:eastAsia="Times New Roman" w:cstheme="minorHAnsi"/>
                <w:b/>
                <w:bCs/>
                <w:color w:val="0D0D0D"/>
                <w:sz w:val="20"/>
                <w:szCs w:val="20"/>
              </w:rPr>
              <w:t>2022</w:t>
            </w:r>
          </w:p>
        </w:tc>
        <w:tc>
          <w:tcPr>
            <w:tcW w:w="0" w:type="auto"/>
            <w:tcBorders>
              <w:top w:val="single" w:sz="4"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bCs/>
                <w:color w:val="0D0D0D"/>
                <w:sz w:val="20"/>
                <w:szCs w:val="20"/>
              </w:rPr>
            </w:pPr>
            <w:r w:rsidRPr="008F17C5">
              <w:rPr>
                <w:rFonts w:eastAsia="Times New Roman" w:cstheme="minorHAnsi"/>
                <w:b/>
                <w:bCs/>
                <w:color w:val="0D0D0D"/>
                <w:sz w:val="20"/>
                <w:szCs w:val="20"/>
              </w:rPr>
              <w:t>2023</w:t>
            </w:r>
          </w:p>
        </w:tc>
        <w:tc>
          <w:tcPr>
            <w:tcW w:w="3884"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bCs/>
                <w:color w:val="0D0D0D"/>
                <w:sz w:val="20"/>
                <w:szCs w:val="20"/>
              </w:rPr>
            </w:pPr>
            <w:r w:rsidRPr="008F17C5">
              <w:rPr>
                <w:rFonts w:eastAsia="Times New Roman" w:cstheme="minorHAnsi"/>
                <w:b/>
                <w:bCs/>
                <w:color w:val="0D0D0D"/>
                <w:sz w:val="20"/>
                <w:szCs w:val="20"/>
              </w:rPr>
              <w:t>Analysis</w:t>
            </w:r>
          </w:p>
        </w:tc>
      </w:tr>
      <w:tr w:rsidR="00826AC9" w:rsidRPr="00DD1ACF" w:rsidTr="009E1C77">
        <w:trPr>
          <w:tblCellSpacing w:w="15" w:type="dxa"/>
          <w:jc w:val="center"/>
        </w:trPr>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1F6D08">
            <w:pPr>
              <w:spacing w:after="0" w:line="360" w:lineRule="auto"/>
              <w:rPr>
                <w:rFonts w:eastAsia="Times New Roman" w:cstheme="minorHAnsi"/>
                <w:b/>
                <w:color w:val="0D0D0D"/>
                <w:sz w:val="20"/>
                <w:szCs w:val="20"/>
              </w:rPr>
            </w:pPr>
            <w:r w:rsidRPr="008F17C5">
              <w:rPr>
                <w:rFonts w:eastAsia="Times New Roman" w:cstheme="minorHAnsi"/>
                <w:b/>
                <w:bCs/>
                <w:color w:val="0D0D0D"/>
                <w:sz w:val="20"/>
                <w:szCs w:val="20"/>
              </w:rPr>
              <w:t>Cash and Equivalents</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color w:val="0D0D0D"/>
                <w:sz w:val="20"/>
                <w:szCs w:val="20"/>
              </w:rPr>
            </w:pPr>
            <w:r w:rsidRPr="008F17C5">
              <w:rPr>
                <w:rFonts w:eastAsia="Times New Roman" w:cstheme="minorHAnsi"/>
                <w:b/>
                <w:color w:val="0D0D0D"/>
                <w:sz w:val="20"/>
                <w:szCs w:val="20"/>
              </w:rPr>
              <w:t>£300,000</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color w:val="0D0D0D"/>
                <w:sz w:val="20"/>
                <w:szCs w:val="20"/>
              </w:rPr>
            </w:pPr>
            <w:r w:rsidRPr="008F17C5">
              <w:rPr>
                <w:rFonts w:eastAsia="Times New Roman" w:cstheme="minorHAnsi"/>
                <w:b/>
                <w:color w:val="0D0D0D"/>
                <w:sz w:val="20"/>
                <w:szCs w:val="20"/>
              </w:rPr>
              <w:t>£200,000</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color w:val="0D0D0D"/>
                <w:sz w:val="20"/>
                <w:szCs w:val="20"/>
              </w:rPr>
            </w:pPr>
            <w:r w:rsidRPr="008F17C5">
              <w:rPr>
                <w:rFonts w:eastAsia="Times New Roman" w:cstheme="minorHAnsi"/>
                <w:b/>
                <w:color w:val="0D0D0D"/>
                <w:sz w:val="20"/>
                <w:szCs w:val="20"/>
              </w:rPr>
              <w:t>£100,000</w:t>
            </w:r>
          </w:p>
        </w:tc>
        <w:tc>
          <w:tcPr>
            <w:tcW w:w="3884" w:type="dxa"/>
            <w:tcBorders>
              <w:top w:val="single" w:sz="2" w:space="0" w:color="auto"/>
              <w:left w:val="single" w:sz="4" w:space="0" w:color="auto"/>
              <w:bottom w:val="single" w:sz="4" w:space="0" w:color="auto"/>
              <w:right w:val="single" w:sz="4" w:space="0" w:color="auto"/>
            </w:tcBorders>
            <w:shd w:val="clear" w:color="auto" w:fill="FFFFFF"/>
            <w:vAlign w:val="center"/>
            <w:hideMark/>
          </w:tcPr>
          <w:p w:rsidR="00826AC9" w:rsidRPr="008F17C5" w:rsidRDefault="00826AC9" w:rsidP="001F6D08">
            <w:pPr>
              <w:spacing w:after="0" w:line="360" w:lineRule="auto"/>
              <w:rPr>
                <w:rFonts w:eastAsia="Times New Roman" w:cstheme="minorHAnsi"/>
                <w:b/>
                <w:color w:val="0D0D0D"/>
                <w:sz w:val="20"/>
                <w:szCs w:val="20"/>
              </w:rPr>
            </w:pPr>
            <w:r w:rsidRPr="008F17C5">
              <w:rPr>
                <w:rFonts w:eastAsia="Times New Roman" w:cstheme="minorHAnsi"/>
                <w:b/>
                <w:color w:val="0D0D0D"/>
                <w:sz w:val="20"/>
                <w:szCs w:val="20"/>
              </w:rPr>
              <w:t>Represents the most liquid assets for day-to-day operations. Declined significantly, indicating reduced liquidity and potential struggle to cover short-term obligations.</w:t>
            </w:r>
          </w:p>
        </w:tc>
      </w:tr>
      <w:tr w:rsidR="00826AC9" w:rsidRPr="00DD1ACF" w:rsidTr="009E1C77">
        <w:trPr>
          <w:tblCellSpacing w:w="15" w:type="dxa"/>
          <w:jc w:val="center"/>
        </w:trPr>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1F6D08">
            <w:pPr>
              <w:spacing w:after="0" w:line="360" w:lineRule="auto"/>
              <w:rPr>
                <w:rFonts w:eastAsia="Times New Roman" w:cstheme="minorHAnsi"/>
                <w:b/>
                <w:color w:val="0D0D0D"/>
                <w:sz w:val="20"/>
                <w:szCs w:val="20"/>
              </w:rPr>
            </w:pPr>
            <w:r w:rsidRPr="008F17C5">
              <w:rPr>
                <w:rFonts w:eastAsia="Times New Roman" w:cstheme="minorHAnsi"/>
                <w:b/>
                <w:bCs/>
                <w:color w:val="0D0D0D"/>
                <w:sz w:val="20"/>
                <w:szCs w:val="20"/>
              </w:rPr>
              <w:t>Accounts Receivable</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color w:val="0D0D0D"/>
                <w:sz w:val="20"/>
                <w:szCs w:val="20"/>
              </w:rPr>
            </w:pPr>
            <w:r w:rsidRPr="008F17C5">
              <w:rPr>
                <w:rFonts w:eastAsia="Times New Roman" w:cstheme="minorHAnsi"/>
                <w:b/>
                <w:color w:val="0D0D0D"/>
                <w:sz w:val="20"/>
                <w:szCs w:val="20"/>
              </w:rPr>
              <w:t>£150,000</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color w:val="0D0D0D"/>
                <w:sz w:val="20"/>
                <w:szCs w:val="20"/>
              </w:rPr>
            </w:pPr>
            <w:r w:rsidRPr="008F17C5">
              <w:rPr>
                <w:rFonts w:eastAsia="Times New Roman" w:cstheme="minorHAnsi"/>
                <w:b/>
                <w:color w:val="0D0D0D"/>
                <w:sz w:val="20"/>
                <w:szCs w:val="20"/>
              </w:rPr>
              <w:t>£100,000</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color w:val="0D0D0D"/>
                <w:sz w:val="20"/>
                <w:szCs w:val="20"/>
              </w:rPr>
            </w:pPr>
            <w:r w:rsidRPr="008F17C5">
              <w:rPr>
                <w:rFonts w:eastAsia="Times New Roman" w:cstheme="minorHAnsi"/>
                <w:b/>
                <w:color w:val="0D0D0D"/>
                <w:sz w:val="20"/>
                <w:szCs w:val="20"/>
              </w:rPr>
              <w:t>£80,000</w:t>
            </w:r>
          </w:p>
        </w:tc>
        <w:tc>
          <w:tcPr>
            <w:tcW w:w="3884" w:type="dxa"/>
            <w:tcBorders>
              <w:top w:val="single" w:sz="2" w:space="0" w:color="auto"/>
              <w:left w:val="single" w:sz="4" w:space="0" w:color="auto"/>
              <w:bottom w:val="single" w:sz="4" w:space="0" w:color="auto"/>
              <w:right w:val="single" w:sz="4" w:space="0" w:color="auto"/>
            </w:tcBorders>
            <w:shd w:val="clear" w:color="auto" w:fill="FFFFFF"/>
            <w:vAlign w:val="center"/>
            <w:hideMark/>
          </w:tcPr>
          <w:p w:rsidR="00826AC9" w:rsidRPr="008F17C5" w:rsidRDefault="00826AC9" w:rsidP="001F6D08">
            <w:pPr>
              <w:spacing w:after="0" w:line="360" w:lineRule="auto"/>
              <w:rPr>
                <w:rFonts w:eastAsia="Times New Roman" w:cstheme="minorHAnsi"/>
                <w:b/>
                <w:color w:val="0D0D0D"/>
                <w:sz w:val="20"/>
                <w:szCs w:val="20"/>
              </w:rPr>
            </w:pPr>
            <w:r w:rsidRPr="008F17C5">
              <w:rPr>
                <w:rFonts w:eastAsia="Times New Roman" w:cstheme="minorHAnsi"/>
                <w:b/>
                <w:color w:val="0D0D0D"/>
                <w:sz w:val="20"/>
                <w:szCs w:val="20"/>
              </w:rPr>
              <w:t>Amounts owed by customers for services provided. The decrease suggests a decline in sales or issues with collecting payments.</w:t>
            </w:r>
          </w:p>
        </w:tc>
      </w:tr>
      <w:tr w:rsidR="00826AC9" w:rsidRPr="00DD1ACF" w:rsidTr="009E1C77">
        <w:trPr>
          <w:tblCellSpacing w:w="15" w:type="dxa"/>
          <w:jc w:val="center"/>
        </w:trPr>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1F6D08">
            <w:pPr>
              <w:spacing w:after="0" w:line="360" w:lineRule="auto"/>
              <w:rPr>
                <w:rFonts w:eastAsia="Times New Roman" w:cstheme="minorHAnsi"/>
                <w:b/>
                <w:color w:val="0D0D0D"/>
                <w:sz w:val="20"/>
                <w:szCs w:val="20"/>
              </w:rPr>
            </w:pPr>
            <w:r w:rsidRPr="008F17C5">
              <w:rPr>
                <w:rFonts w:eastAsia="Times New Roman" w:cstheme="minorHAnsi"/>
                <w:b/>
                <w:bCs/>
                <w:color w:val="0D0D0D"/>
                <w:sz w:val="20"/>
                <w:szCs w:val="20"/>
              </w:rPr>
              <w:t>Property and Equipment</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color w:val="0D0D0D"/>
                <w:sz w:val="20"/>
                <w:szCs w:val="20"/>
              </w:rPr>
            </w:pPr>
            <w:r w:rsidRPr="008F17C5">
              <w:rPr>
                <w:rFonts w:eastAsia="Times New Roman" w:cstheme="minorHAnsi"/>
                <w:b/>
                <w:color w:val="0D0D0D"/>
                <w:sz w:val="20"/>
                <w:szCs w:val="20"/>
              </w:rPr>
              <w:t>£5,000,000</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color w:val="0D0D0D"/>
                <w:sz w:val="20"/>
                <w:szCs w:val="20"/>
              </w:rPr>
            </w:pPr>
            <w:r w:rsidRPr="008F17C5">
              <w:rPr>
                <w:rFonts w:eastAsia="Times New Roman" w:cstheme="minorHAnsi"/>
                <w:b/>
                <w:color w:val="0D0D0D"/>
                <w:sz w:val="20"/>
                <w:szCs w:val="20"/>
              </w:rPr>
              <w:t>£4,800,000</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color w:val="0D0D0D"/>
                <w:sz w:val="20"/>
                <w:szCs w:val="20"/>
              </w:rPr>
            </w:pPr>
            <w:r w:rsidRPr="008F17C5">
              <w:rPr>
                <w:rFonts w:eastAsia="Times New Roman" w:cstheme="minorHAnsi"/>
                <w:b/>
                <w:color w:val="0D0D0D"/>
                <w:sz w:val="20"/>
                <w:szCs w:val="20"/>
              </w:rPr>
              <w:t>£4,500,000</w:t>
            </w:r>
          </w:p>
        </w:tc>
        <w:tc>
          <w:tcPr>
            <w:tcW w:w="3884" w:type="dxa"/>
            <w:tcBorders>
              <w:top w:val="single" w:sz="2" w:space="0" w:color="auto"/>
              <w:left w:val="single" w:sz="4" w:space="0" w:color="auto"/>
              <w:bottom w:val="single" w:sz="4" w:space="0" w:color="auto"/>
              <w:right w:val="single" w:sz="4" w:space="0" w:color="auto"/>
            </w:tcBorders>
            <w:shd w:val="clear" w:color="auto" w:fill="FFFFFF"/>
            <w:vAlign w:val="center"/>
            <w:hideMark/>
          </w:tcPr>
          <w:p w:rsidR="00826AC9" w:rsidRPr="008F17C5" w:rsidRDefault="00826AC9" w:rsidP="001F6D08">
            <w:pPr>
              <w:spacing w:after="0" w:line="360" w:lineRule="auto"/>
              <w:rPr>
                <w:rFonts w:eastAsia="Times New Roman" w:cstheme="minorHAnsi"/>
                <w:b/>
                <w:color w:val="0D0D0D"/>
                <w:sz w:val="20"/>
                <w:szCs w:val="20"/>
              </w:rPr>
            </w:pPr>
            <w:r w:rsidRPr="008F17C5">
              <w:rPr>
                <w:rFonts w:eastAsia="Times New Roman" w:cstheme="minorHAnsi"/>
                <w:b/>
                <w:color w:val="0D0D0D"/>
                <w:sz w:val="20"/>
                <w:szCs w:val="20"/>
              </w:rPr>
              <w:t>Long-term assets crucial for operations. Reduction could be due to depreciation, impairment, or lack of reinvestment.</w:t>
            </w:r>
          </w:p>
        </w:tc>
      </w:tr>
      <w:tr w:rsidR="00826AC9" w:rsidRPr="00DD1ACF" w:rsidTr="009E1C77">
        <w:trPr>
          <w:tblCellSpacing w:w="15" w:type="dxa"/>
          <w:jc w:val="center"/>
        </w:trPr>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826AC9" w:rsidRPr="008F17C5" w:rsidRDefault="00826AC9" w:rsidP="001F6D08">
            <w:pPr>
              <w:spacing w:after="0" w:line="360" w:lineRule="auto"/>
              <w:rPr>
                <w:rFonts w:eastAsia="Times New Roman" w:cstheme="minorHAnsi"/>
                <w:b/>
                <w:color w:val="0D0D0D"/>
                <w:sz w:val="20"/>
                <w:szCs w:val="20"/>
              </w:rPr>
            </w:pPr>
            <w:r w:rsidRPr="008F17C5">
              <w:rPr>
                <w:rFonts w:eastAsia="Times New Roman" w:cstheme="minorHAnsi"/>
                <w:b/>
                <w:bCs/>
                <w:color w:val="0D0D0D"/>
                <w:sz w:val="20"/>
                <w:szCs w:val="20"/>
              </w:rPr>
              <w:t>Total Assets</w:t>
            </w:r>
          </w:p>
        </w:tc>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color w:val="0D0D0D"/>
                <w:sz w:val="20"/>
                <w:szCs w:val="20"/>
              </w:rPr>
            </w:pPr>
            <w:r w:rsidRPr="008F17C5">
              <w:rPr>
                <w:rFonts w:eastAsia="Times New Roman" w:cstheme="minorHAnsi"/>
                <w:b/>
                <w:color w:val="0D0D0D"/>
                <w:sz w:val="20"/>
                <w:szCs w:val="20"/>
              </w:rPr>
              <w:t>£5,450,000</w:t>
            </w:r>
          </w:p>
        </w:tc>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color w:val="0D0D0D"/>
                <w:sz w:val="20"/>
                <w:szCs w:val="20"/>
              </w:rPr>
            </w:pPr>
            <w:r w:rsidRPr="008F17C5">
              <w:rPr>
                <w:rFonts w:eastAsia="Times New Roman" w:cstheme="minorHAnsi"/>
                <w:b/>
                <w:color w:val="0D0D0D"/>
                <w:sz w:val="20"/>
                <w:szCs w:val="20"/>
              </w:rPr>
              <w:t>£5,100,000</w:t>
            </w:r>
          </w:p>
        </w:tc>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826AC9" w:rsidRPr="008F17C5" w:rsidRDefault="00826AC9" w:rsidP="009E1C77">
            <w:pPr>
              <w:spacing w:after="0" w:line="360" w:lineRule="auto"/>
              <w:jc w:val="center"/>
              <w:rPr>
                <w:rFonts w:eastAsia="Times New Roman" w:cstheme="minorHAnsi"/>
                <w:b/>
                <w:color w:val="0D0D0D"/>
                <w:sz w:val="20"/>
                <w:szCs w:val="20"/>
              </w:rPr>
            </w:pPr>
            <w:r w:rsidRPr="008F17C5">
              <w:rPr>
                <w:rFonts w:eastAsia="Times New Roman" w:cstheme="minorHAnsi"/>
                <w:b/>
                <w:color w:val="0D0D0D"/>
                <w:sz w:val="20"/>
                <w:szCs w:val="20"/>
              </w:rPr>
              <w:t>£4,680,000</w:t>
            </w:r>
          </w:p>
        </w:tc>
        <w:tc>
          <w:tcPr>
            <w:tcW w:w="3884" w:type="dxa"/>
            <w:tcBorders>
              <w:top w:val="single" w:sz="2" w:space="0" w:color="auto"/>
              <w:left w:val="single" w:sz="4" w:space="0" w:color="auto"/>
              <w:bottom w:val="single" w:sz="2" w:space="0" w:color="auto"/>
              <w:right w:val="single" w:sz="4" w:space="0" w:color="auto"/>
            </w:tcBorders>
            <w:shd w:val="clear" w:color="auto" w:fill="FFFFFF"/>
            <w:vAlign w:val="center"/>
            <w:hideMark/>
          </w:tcPr>
          <w:p w:rsidR="00826AC9" w:rsidRPr="008F17C5" w:rsidRDefault="00826AC9" w:rsidP="001F6D08">
            <w:pPr>
              <w:spacing w:after="0" w:line="360" w:lineRule="auto"/>
              <w:rPr>
                <w:rFonts w:eastAsia="Times New Roman" w:cstheme="minorHAnsi"/>
                <w:b/>
                <w:color w:val="0D0D0D"/>
                <w:sz w:val="20"/>
                <w:szCs w:val="20"/>
              </w:rPr>
            </w:pPr>
            <w:r w:rsidRPr="008F17C5">
              <w:rPr>
                <w:rFonts w:eastAsia="Times New Roman" w:cstheme="minorHAnsi"/>
                <w:b/>
                <w:color w:val="0D0D0D"/>
                <w:sz w:val="20"/>
                <w:szCs w:val="20"/>
              </w:rPr>
              <w:t>Overall decline in the value of resources, impacting the ability to leverage assets for operational and strategic needs.</w:t>
            </w:r>
          </w:p>
        </w:tc>
      </w:tr>
      <w:tr w:rsidR="007118A8" w:rsidRPr="00DD1ACF" w:rsidTr="009E1C77">
        <w:trPr>
          <w:trHeight w:val="390"/>
          <w:tblCellSpacing w:w="15" w:type="dxa"/>
          <w:jc w:val="center"/>
        </w:trPr>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7118A8" w:rsidRPr="008F17C5" w:rsidRDefault="007118A8" w:rsidP="001F6D08">
            <w:pPr>
              <w:spacing w:after="0" w:line="360" w:lineRule="auto"/>
              <w:rPr>
                <w:rFonts w:eastAsia="Times New Roman" w:cstheme="minorHAnsi"/>
                <w:b/>
                <w:bCs/>
                <w:color w:val="0D0D0D"/>
                <w:sz w:val="20"/>
                <w:szCs w:val="20"/>
              </w:rPr>
            </w:pPr>
            <w:r w:rsidRPr="008F17C5">
              <w:rPr>
                <w:rStyle w:val="Strong"/>
                <w:rFonts w:cstheme="minorHAnsi"/>
                <w:color w:val="0D0D0D"/>
                <w:sz w:val="20"/>
                <w:szCs w:val="20"/>
                <w:bdr w:val="single" w:sz="2" w:space="0" w:color="E3E3E3" w:frame="1"/>
              </w:rPr>
              <w:t>Accounts Payable</w:t>
            </w:r>
          </w:p>
        </w:tc>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7118A8" w:rsidRPr="008F17C5" w:rsidRDefault="007118A8" w:rsidP="009E1C77">
            <w:pPr>
              <w:pStyle w:val="Default"/>
              <w:spacing w:line="360" w:lineRule="auto"/>
              <w:jc w:val="center"/>
              <w:rPr>
                <w:rFonts w:asciiTheme="minorHAnsi" w:hAnsiTheme="minorHAnsi" w:cstheme="minorHAnsi"/>
                <w:b/>
                <w:sz w:val="20"/>
                <w:szCs w:val="20"/>
              </w:rPr>
            </w:pPr>
            <w:r w:rsidRPr="008F17C5">
              <w:rPr>
                <w:rFonts w:asciiTheme="minorHAnsi" w:hAnsiTheme="minorHAnsi" w:cstheme="minorHAnsi"/>
                <w:b/>
                <w:sz w:val="20"/>
                <w:szCs w:val="20"/>
              </w:rPr>
              <w:t>£250,000</w:t>
            </w:r>
          </w:p>
        </w:tc>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7118A8" w:rsidRPr="008F17C5" w:rsidRDefault="007118A8" w:rsidP="009E1C77">
            <w:pPr>
              <w:pStyle w:val="Default"/>
              <w:spacing w:line="360" w:lineRule="auto"/>
              <w:jc w:val="center"/>
              <w:rPr>
                <w:rFonts w:asciiTheme="minorHAnsi" w:hAnsiTheme="minorHAnsi" w:cstheme="minorHAnsi"/>
                <w:b/>
                <w:sz w:val="20"/>
                <w:szCs w:val="20"/>
              </w:rPr>
            </w:pPr>
            <w:r w:rsidRPr="008F17C5">
              <w:rPr>
                <w:rFonts w:asciiTheme="minorHAnsi" w:hAnsiTheme="minorHAnsi" w:cstheme="minorHAnsi"/>
                <w:b/>
                <w:sz w:val="20"/>
                <w:szCs w:val="20"/>
              </w:rPr>
              <w:t>£270,000</w:t>
            </w:r>
          </w:p>
        </w:tc>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7118A8" w:rsidRPr="008F17C5" w:rsidRDefault="007118A8" w:rsidP="009E1C77">
            <w:pPr>
              <w:pStyle w:val="Default"/>
              <w:spacing w:line="360" w:lineRule="auto"/>
              <w:jc w:val="center"/>
              <w:rPr>
                <w:rFonts w:asciiTheme="minorHAnsi" w:hAnsiTheme="minorHAnsi" w:cstheme="minorHAnsi"/>
                <w:b/>
                <w:sz w:val="20"/>
                <w:szCs w:val="20"/>
              </w:rPr>
            </w:pPr>
            <w:r w:rsidRPr="008F17C5">
              <w:rPr>
                <w:rFonts w:asciiTheme="minorHAnsi" w:hAnsiTheme="minorHAnsi" w:cstheme="minorHAnsi"/>
                <w:b/>
                <w:sz w:val="20"/>
                <w:szCs w:val="20"/>
              </w:rPr>
              <w:t>£300,000</w:t>
            </w:r>
          </w:p>
        </w:tc>
        <w:tc>
          <w:tcPr>
            <w:tcW w:w="3884" w:type="dxa"/>
            <w:tcBorders>
              <w:top w:val="single" w:sz="2" w:space="0" w:color="auto"/>
              <w:left w:val="single" w:sz="4" w:space="0" w:color="auto"/>
              <w:bottom w:val="single" w:sz="2" w:space="0" w:color="auto"/>
              <w:right w:val="single" w:sz="4" w:space="0" w:color="auto"/>
            </w:tcBorders>
            <w:shd w:val="clear" w:color="auto" w:fill="FFFFFF"/>
            <w:vAlign w:val="center"/>
            <w:hideMark/>
          </w:tcPr>
          <w:p w:rsidR="007118A8" w:rsidRPr="008F17C5" w:rsidRDefault="007118A8" w:rsidP="001F6D08">
            <w:pPr>
              <w:spacing w:after="0" w:line="360" w:lineRule="auto"/>
              <w:rPr>
                <w:rFonts w:eastAsia="Times New Roman" w:cstheme="minorHAnsi"/>
                <w:b/>
                <w:color w:val="0D0D0D"/>
                <w:sz w:val="20"/>
                <w:szCs w:val="20"/>
              </w:rPr>
            </w:pPr>
            <w:r w:rsidRPr="008F17C5">
              <w:rPr>
                <w:rFonts w:cstheme="minorHAnsi"/>
                <w:b/>
                <w:color w:val="0D0D0D"/>
                <w:sz w:val="20"/>
                <w:szCs w:val="20"/>
              </w:rPr>
              <w:t>Amounts owed to suppliers and creditors. The increase suggests growing obligations and potentially strained supplier relationships due to delayed payments.</w:t>
            </w:r>
          </w:p>
        </w:tc>
      </w:tr>
      <w:tr w:rsidR="007118A8" w:rsidRPr="00DD1ACF" w:rsidTr="009E1C77">
        <w:trPr>
          <w:trHeight w:val="390"/>
          <w:tblCellSpacing w:w="15" w:type="dxa"/>
          <w:jc w:val="center"/>
        </w:trPr>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7118A8" w:rsidRPr="008F17C5" w:rsidRDefault="007118A8" w:rsidP="001F6D08">
            <w:pPr>
              <w:pStyle w:val="Default"/>
              <w:spacing w:line="360" w:lineRule="auto"/>
              <w:rPr>
                <w:rFonts w:asciiTheme="minorHAnsi" w:hAnsiTheme="minorHAnsi" w:cstheme="minorHAnsi"/>
                <w:b/>
                <w:sz w:val="20"/>
                <w:szCs w:val="20"/>
              </w:rPr>
            </w:pPr>
            <w:r w:rsidRPr="008F17C5">
              <w:rPr>
                <w:rFonts w:asciiTheme="minorHAnsi" w:hAnsiTheme="minorHAnsi" w:cstheme="minorHAnsi"/>
                <w:b/>
                <w:sz w:val="20"/>
                <w:szCs w:val="20"/>
              </w:rPr>
              <w:t>Long-term Debt</w:t>
            </w:r>
          </w:p>
        </w:tc>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7118A8" w:rsidRPr="008F17C5" w:rsidRDefault="007118A8" w:rsidP="009E1C77">
            <w:pPr>
              <w:pStyle w:val="Default"/>
              <w:spacing w:line="360" w:lineRule="auto"/>
              <w:jc w:val="center"/>
              <w:rPr>
                <w:rFonts w:asciiTheme="minorHAnsi" w:hAnsiTheme="minorHAnsi" w:cstheme="minorHAnsi"/>
                <w:b/>
                <w:sz w:val="20"/>
                <w:szCs w:val="20"/>
              </w:rPr>
            </w:pPr>
            <w:r w:rsidRPr="008F17C5">
              <w:rPr>
                <w:rFonts w:asciiTheme="minorHAnsi" w:hAnsiTheme="minorHAnsi" w:cstheme="minorHAnsi"/>
                <w:b/>
                <w:sz w:val="20"/>
                <w:szCs w:val="20"/>
              </w:rPr>
              <w:t>£3,000,000</w:t>
            </w:r>
          </w:p>
        </w:tc>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7118A8" w:rsidRPr="008F17C5" w:rsidRDefault="007118A8" w:rsidP="009E1C77">
            <w:pPr>
              <w:pStyle w:val="Default"/>
              <w:spacing w:line="360" w:lineRule="auto"/>
              <w:jc w:val="center"/>
              <w:rPr>
                <w:rFonts w:asciiTheme="minorHAnsi" w:hAnsiTheme="minorHAnsi" w:cstheme="minorHAnsi"/>
                <w:b/>
                <w:sz w:val="20"/>
                <w:szCs w:val="20"/>
              </w:rPr>
            </w:pPr>
            <w:r w:rsidRPr="008F17C5">
              <w:rPr>
                <w:rFonts w:asciiTheme="minorHAnsi" w:hAnsiTheme="minorHAnsi" w:cstheme="minorHAnsi"/>
                <w:b/>
                <w:sz w:val="20"/>
                <w:szCs w:val="20"/>
              </w:rPr>
              <w:t>£3,000,000</w:t>
            </w:r>
          </w:p>
        </w:tc>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7118A8" w:rsidRPr="008F17C5" w:rsidRDefault="007118A8" w:rsidP="009E1C77">
            <w:pPr>
              <w:pStyle w:val="Default"/>
              <w:spacing w:line="360" w:lineRule="auto"/>
              <w:jc w:val="center"/>
              <w:rPr>
                <w:rFonts w:asciiTheme="minorHAnsi" w:hAnsiTheme="minorHAnsi" w:cstheme="minorHAnsi"/>
                <w:b/>
                <w:sz w:val="20"/>
                <w:szCs w:val="20"/>
              </w:rPr>
            </w:pPr>
            <w:r w:rsidRPr="008F17C5">
              <w:rPr>
                <w:rFonts w:asciiTheme="minorHAnsi" w:hAnsiTheme="minorHAnsi" w:cstheme="minorHAnsi"/>
                <w:b/>
                <w:sz w:val="20"/>
                <w:szCs w:val="20"/>
              </w:rPr>
              <w:t>£3,000,000</w:t>
            </w:r>
          </w:p>
        </w:tc>
        <w:tc>
          <w:tcPr>
            <w:tcW w:w="3884" w:type="dxa"/>
            <w:tcBorders>
              <w:top w:val="single" w:sz="2" w:space="0" w:color="auto"/>
              <w:left w:val="single" w:sz="4" w:space="0" w:color="auto"/>
              <w:bottom w:val="single" w:sz="2" w:space="0" w:color="auto"/>
              <w:right w:val="single" w:sz="4" w:space="0" w:color="auto"/>
            </w:tcBorders>
            <w:shd w:val="clear" w:color="auto" w:fill="FFFFFF"/>
            <w:vAlign w:val="center"/>
            <w:hideMark/>
          </w:tcPr>
          <w:p w:rsidR="007118A8" w:rsidRPr="008F17C5" w:rsidRDefault="007118A8" w:rsidP="001F6D08">
            <w:pPr>
              <w:spacing w:after="0" w:line="360" w:lineRule="auto"/>
              <w:rPr>
                <w:rFonts w:eastAsia="Times New Roman" w:cstheme="minorHAnsi"/>
                <w:b/>
                <w:color w:val="0D0D0D"/>
                <w:sz w:val="20"/>
                <w:szCs w:val="20"/>
              </w:rPr>
            </w:pPr>
            <w:r w:rsidRPr="008F17C5">
              <w:rPr>
                <w:rFonts w:cstheme="minorHAnsi"/>
                <w:b/>
                <w:color w:val="0D0D0D"/>
                <w:sz w:val="20"/>
                <w:szCs w:val="20"/>
              </w:rPr>
              <w:t>Loans and financial obligations to be repaid over a period longer than one year. Stable figure indicates no new long-term borrowing but also no significant repayment.</w:t>
            </w:r>
          </w:p>
        </w:tc>
      </w:tr>
      <w:tr w:rsidR="007118A8" w:rsidRPr="00DD1ACF" w:rsidTr="009E1C77">
        <w:trPr>
          <w:trHeight w:val="390"/>
          <w:tblCellSpacing w:w="15" w:type="dxa"/>
          <w:jc w:val="center"/>
        </w:trPr>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7118A8" w:rsidRPr="008F17C5" w:rsidRDefault="007118A8" w:rsidP="001F6D08">
            <w:pPr>
              <w:pStyle w:val="Default"/>
              <w:spacing w:line="360" w:lineRule="auto"/>
              <w:rPr>
                <w:rFonts w:asciiTheme="minorHAnsi" w:hAnsiTheme="minorHAnsi" w:cstheme="minorHAnsi"/>
                <w:b/>
                <w:sz w:val="20"/>
                <w:szCs w:val="20"/>
              </w:rPr>
            </w:pPr>
            <w:r w:rsidRPr="008F17C5">
              <w:rPr>
                <w:rFonts w:asciiTheme="minorHAnsi" w:hAnsiTheme="minorHAnsi" w:cstheme="minorHAnsi"/>
                <w:b/>
                <w:sz w:val="20"/>
                <w:szCs w:val="20"/>
              </w:rPr>
              <w:t>Total Liabilities</w:t>
            </w:r>
          </w:p>
        </w:tc>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7118A8" w:rsidRPr="008F17C5" w:rsidRDefault="007118A8" w:rsidP="009E1C77">
            <w:pPr>
              <w:pStyle w:val="Default"/>
              <w:spacing w:line="360" w:lineRule="auto"/>
              <w:jc w:val="center"/>
              <w:rPr>
                <w:rFonts w:asciiTheme="minorHAnsi" w:hAnsiTheme="minorHAnsi" w:cstheme="minorHAnsi"/>
                <w:b/>
                <w:sz w:val="20"/>
                <w:szCs w:val="20"/>
              </w:rPr>
            </w:pPr>
            <w:r w:rsidRPr="008F17C5">
              <w:rPr>
                <w:rFonts w:asciiTheme="minorHAnsi" w:hAnsiTheme="minorHAnsi" w:cstheme="minorHAnsi"/>
                <w:b/>
                <w:sz w:val="20"/>
                <w:szCs w:val="20"/>
              </w:rPr>
              <w:t>£3,250,000</w:t>
            </w:r>
          </w:p>
        </w:tc>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7118A8" w:rsidRPr="008F17C5" w:rsidRDefault="007118A8" w:rsidP="009E1C77">
            <w:pPr>
              <w:pStyle w:val="Default"/>
              <w:spacing w:line="360" w:lineRule="auto"/>
              <w:jc w:val="center"/>
              <w:rPr>
                <w:rFonts w:asciiTheme="minorHAnsi" w:hAnsiTheme="minorHAnsi" w:cstheme="minorHAnsi"/>
                <w:b/>
                <w:sz w:val="20"/>
                <w:szCs w:val="20"/>
              </w:rPr>
            </w:pPr>
            <w:r w:rsidRPr="008F17C5">
              <w:rPr>
                <w:rFonts w:asciiTheme="minorHAnsi" w:hAnsiTheme="minorHAnsi" w:cstheme="minorHAnsi"/>
                <w:b/>
                <w:sz w:val="20"/>
                <w:szCs w:val="20"/>
              </w:rPr>
              <w:t>£3,270,000</w:t>
            </w:r>
          </w:p>
        </w:tc>
        <w:tc>
          <w:tcPr>
            <w:tcW w:w="0" w:type="auto"/>
            <w:tcBorders>
              <w:top w:val="single" w:sz="2" w:space="0" w:color="auto"/>
              <w:left w:val="single" w:sz="4" w:space="0" w:color="auto"/>
              <w:bottom w:val="single" w:sz="2" w:space="0" w:color="auto"/>
              <w:right w:val="single" w:sz="2" w:space="0" w:color="auto"/>
            </w:tcBorders>
            <w:shd w:val="clear" w:color="auto" w:fill="FFFFFF"/>
            <w:vAlign w:val="center"/>
            <w:hideMark/>
          </w:tcPr>
          <w:p w:rsidR="007118A8" w:rsidRPr="008F17C5" w:rsidRDefault="007118A8" w:rsidP="009E1C77">
            <w:pPr>
              <w:pStyle w:val="Default"/>
              <w:spacing w:line="360" w:lineRule="auto"/>
              <w:jc w:val="center"/>
              <w:rPr>
                <w:rFonts w:asciiTheme="minorHAnsi" w:hAnsiTheme="minorHAnsi" w:cstheme="minorHAnsi"/>
                <w:b/>
                <w:sz w:val="20"/>
                <w:szCs w:val="20"/>
              </w:rPr>
            </w:pPr>
            <w:r w:rsidRPr="008F17C5">
              <w:rPr>
                <w:rFonts w:asciiTheme="minorHAnsi" w:hAnsiTheme="minorHAnsi" w:cstheme="minorHAnsi"/>
                <w:b/>
                <w:sz w:val="20"/>
                <w:szCs w:val="20"/>
              </w:rPr>
              <w:t>£3,300,000</w:t>
            </w:r>
          </w:p>
        </w:tc>
        <w:tc>
          <w:tcPr>
            <w:tcW w:w="3884" w:type="dxa"/>
            <w:tcBorders>
              <w:top w:val="single" w:sz="2" w:space="0" w:color="auto"/>
              <w:left w:val="single" w:sz="4" w:space="0" w:color="auto"/>
              <w:bottom w:val="single" w:sz="2" w:space="0" w:color="auto"/>
              <w:right w:val="single" w:sz="4" w:space="0" w:color="auto"/>
            </w:tcBorders>
            <w:shd w:val="clear" w:color="auto" w:fill="FFFFFF"/>
            <w:vAlign w:val="center"/>
            <w:hideMark/>
          </w:tcPr>
          <w:p w:rsidR="007118A8" w:rsidRPr="008F17C5" w:rsidRDefault="007118A8" w:rsidP="001F6D08">
            <w:pPr>
              <w:spacing w:after="0" w:line="360" w:lineRule="auto"/>
              <w:rPr>
                <w:rFonts w:eastAsia="Times New Roman" w:cstheme="minorHAnsi"/>
                <w:b/>
                <w:color w:val="0D0D0D"/>
                <w:sz w:val="20"/>
                <w:szCs w:val="20"/>
              </w:rPr>
            </w:pPr>
            <w:r w:rsidRPr="008F17C5">
              <w:rPr>
                <w:rFonts w:cstheme="minorHAnsi"/>
                <w:b/>
                <w:color w:val="0D0D0D"/>
                <w:sz w:val="20"/>
                <w:szCs w:val="20"/>
              </w:rPr>
              <w:t>Slight increase primarily due to rising accounts payable, indicating higher short-term obligations and potential cash flow management issues.</w:t>
            </w:r>
          </w:p>
        </w:tc>
      </w:tr>
      <w:tr w:rsidR="007118A8" w:rsidRPr="00DD1ACF" w:rsidTr="009E1C77">
        <w:trPr>
          <w:trHeight w:val="390"/>
          <w:tblCellSpacing w:w="15" w:type="dxa"/>
          <w:jc w:val="center"/>
        </w:trPr>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7118A8" w:rsidRPr="008F17C5" w:rsidRDefault="007118A8" w:rsidP="001F6D08">
            <w:pPr>
              <w:pStyle w:val="Default"/>
              <w:spacing w:line="360" w:lineRule="auto"/>
              <w:rPr>
                <w:rFonts w:asciiTheme="minorHAnsi" w:hAnsiTheme="minorHAnsi" w:cstheme="minorHAnsi"/>
                <w:b/>
                <w:sz w:val="20"/>
                <w:szCs w:val="20"/>
              </w:rPr>
            </w:pPr>
            <w:r w:rsidRPr="008F17C5">
              <w:rPr>
                <w:rFonts w:asciiTheme="minorHAnsi" w:hAnsiTheme="minorHAnsi" w:cstheme="minorHAnsi"/>
                <w:b/>
                <w:sz w:val="20"/>
                <w:szCs w:val="20"/>
              </w:rPr>
              <w:t>Equity</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7118A8" w:rsidRPr="008F17C5" w:rsidRDefault="007118A8" w:rsidP="009E1C77">
            <w:pPr>
              <w:pStyle w:val="Default"/>
              <w:spacing w:line="360" w:lineRule="auto"/>
              <w:jc w:val="center"/>
              <w:rPr>
                <w:rFonts w:asciiTheme="minorHAnsi" w:hAnsiTheme="minorHAnsi" w:cstheme="minorHAnsi"/>
                <w:b/>
                <w:sz w:val="20"/>
                <w:szCs w:val="20"/>
              </w:rPr>
            </w:pPr>
            <w:r w:rsidRPr="008F17C5">
              <w:rPr>
                <w:rFonts w:asciiTheme="minorHAnsi" w:hAnsiTheme="minorHAnsi" w:cstheme="minorHAnsi"/>
                <w:b/>
                <w:sz w:val="20"/>
                <w:szCs w:val="20"/>
              </w:rPr>
              <w:t>£2,200,000</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7118A8" w:rsidRPr="008F17C5" w:rsidRDefault="007118A8" w:rsidP="009E1C77">
            <w:pPr>
              <w:pStyle w:val="Default"/>
              <w:spacing w:line="360" w:lineRule="auto"/>
              <w:jc w:val="center"/>
              <w:rPr>
                <w:rFonts w:asciiTheme="minorHAnsi" w:hAnsiTheme="minorHAnsi" w:cstheme="minorHAnsi"/>
                <w:b/>
                <w:sz w:val="20"/>
                <w:szCs w:val="20"/>
              </w:rPr>
            </w:pPr>
            <w:r w:rsidRPr="008F17C5">
              <w:rPr>
                <w:rFonts w:asciiTheme="minorHAnsi" w:hAnsiTheme="minorHAnsi" w:cstheme="minorHAnsi"/>
                <w:b/>
                <w:sz w:val="20"/>
                <w:szCs w:val="20"/>
              </w:rPr>
              <w:t>£1,830,000</w:t>
            </w:r>
          </w:p>
        </w:tc>
        <w:tc>
          <w:tcPr>
            <w:tcW w:w="0" w:type="auto"/>
            <w:tcBorders>
              <w:top w:val="single" w:sz="2" w:space="0" w:color="auto"/>
              <w:left w:val="single" w:sz="4" w:space="0" w:color="auto"/>
              <w:bottom w:val="single" w:sz="4" w:space="0" w:color="auto"/>
              <w:right w:val="single" w:sz="2" w:space="0" w:color="auto"/>
            </w:tcBorders>
            <w:shd w:val="clear" w:color="auto" w:fill="FFFFFF"/>
            <w:vAlign w:val="center"/>
            <w:hideMark/>
          </w:tcPr>
          <w:p w:rsidR="007118A8" w:rsidRPr="008F17C5" w:rsidRDefault="007118A8" w:rsidP="009E1C77">
            <w:pPr>
              <w:pStyle w:val="Default"/>
              <w:spacing w:line="360" w:lineRule="auto"/>
              <w:jc w:val="center"/>
              <w:rPr>
                <w:rFonts w:asciiTheme="minorHAnsi" w:hAnsiTheme="minorHAnsi" w:cstheme="minorHAnsi"/>
                <w:b/>
                <w:sz w:val="20"/>
                <w:szCs w:val="20"/>
              </w:rPr>
            </w:pPr>
            <w:r w:rsidRPr="008F17C5">
              <w:rPr>
                <w:rFonts w:asciiTheme="minorHAnsi" w:hAnsiTheme="minorHAnsi" w:cstheme="minorHAnsi"/>
                <w:b/>
                <w:sz w:val="20"/>
                <w:szCs w:val="20"/>
              </w:rPr>
              <w:t>£1,380,000</w:t>
            </w:r>
          </w:p>
        </w:tc>
        <w:tc>
          <w:tcPr>
            <w:tcW w:w="3884" w:type="dxa"/>
            <w:tcBorders>
              <w:top w:val="single" w:sz="2" w:space="0" w:color="auto"/>
              <w:left w:val="single" w:sz="4" w:space="0" w:color="auto"/>
              <w:bottom w:val="single" w:sz="4" w:space="0" w:color="auto"/>
              <w:right w:val="single" w:sz="4" w:space="0" w:color="auto"/>
            </w:tcBorders>
            <w:shd w:val="clear" w:color="auto" w:fill="FFFFFF"/>
            <w:vAlign w:val="center"/>
            <w:hideMark/>
          </w:tcPr>
          <w:p w:rsidR="007118A8" w:rsidRPr="008F17C5" w:rsidRDefault="007118A8" w:rsidP="001F6D08">
            <w:pPr>
              <w:spacing w:after="0" w:line="360" w:lineRule="auto"/>
              <w:rPr>
                <w:rFonts w:eastAsia="Times New Roman" w:cstheme="minorHAnsi"/>
                <w:b/>
                <w:color w:val="0D0D0D"/>
                <w:sz w:val="20"/>
                <w:szCs w:val="20"/>
              </w:rPr>
            </w:pPr>
            <w:r w:rsidRPr="008F17C5">
              <w:rPr>
                <w:rFonts w:eastAsia="Times New Roman" w:cstheme="minorHAnsi"/>
                <w:b/>
                <w:color w:val="0D0D0D"/>
                <w:sz w:val="20"/>
                <w:szCs w:val="20"/>
              </w:rPr>
              <w:t>Owner’s residual interest in the assets after deducting liabilities. The sharp decline indicates significant losses, reduced retained earnings, or possible dividend payouts, weakening the financial position and solvency.</w:t>
            </w:r>
          </w:p>
        </w:tc>
      </w:tr>
    </w:tbl>
    <w:p w:rsidR="003306D8" w:rsidRDefault="003306D8" w:rsidP="00D76D9B">
      <w:pPr>
        <w:spacing w:line="360" w:lineRule="auto"/>
        <w:jc w:val="center"/>
        <w:rPr>
          <w:rFonts w:ascii="Arial" w:hAnsi="Arial" w:cs="Arial"/>
          <w:sz w:val="24"/>
          <w:szCs w:val="24"/>
        </w:rPr>
      </w:pPr>
    </w:p>
    <w:p w:rsidR="00E22388" w:rsidRDefault="00E22388" w:rsidP="00D76D9B">
      <w:pPr>
        <w:spacing w:line="360" w:lineRule="auto"/>
        <w:jc w:val="center"/>
        <w:rPr>
          <w:rFonts w:ascii="Arial" w:hAnsi="Arial" w:cs="Arial"/>
          <w:sz w:val="24"/>
          <w:szCs w:val="24"/>
        </w:rPr>
      </w:pPr>
    </w:p>
    <w:p w:rsidR="00735261" w:rsidRPr="00DE1AC2" w:rsidRDefault="00735261" w:rsidP="00E22388">
      <w:pPr>
        <w:spacing w:after="0" w:line="360" w:lineRule="auto"/>
        <w:rPr>
          <w:rFonts w:ascii="Arial" w:hAnsi="Arial" w:cs="Arial"/>
          <w:sz w:val="24"/>
          <w:szCs w:val="24"/>
          <w:u w:val="single"/>
        </w:rPr>
      </w:pPr>
      <w:r w:rsidRPr="00DE1AC2">
        <w:rPr>
          <w:rFonts w:ascii="Arial" w:hAnsi="Arial" w:cs="Arial"/>
          <w:sz w:val="24"/>
          <w:szCs w:val="24"/>
          <w:u w:val="single"/>
        </w:rPr>
        <w:lastRenderedPageBreak/>
        <w:t>Key Financial Ratios</w:t>
      </w:r>
      <w:r w:rsidR="009C271D" w:rsidRPr="00DE1AC2">
        <w:rPr>
          <w:rFonts w:ascii="Arial" w:hAnsi="Arial" w:cs="Arial"/>
          <w:sz w:val="24"/>
          <w:szCs w:val="24"/>
          <w:u w:val="single"/>
        </w:rPr>
        <w:t>.</w:t>
      </w:r>
    </w:p>
    <w:tbl>
      <w:tblPr>
        <w:tblStyle w:val="TableGrid"/>
        <w:tblW w:w="0" w:type="auto"/>
        <w:tblLook w:val="04A0"/>
      </w:tblPr>
      <w:tblGrid>
        <w:gridCol w:w="2057"/>
        <w:gridCol w:w="886"/>
        <w:gridCol w:w="851"/>
        <w:gridCol w:w="992"/>
        <w:gridCol w:w="4456"/>
      </w:tblGrid>
      <w:tr w:rsidR="003306D8" w:rsidTr="003306D8">
        <w:tc>
          <w:tcPr>
            <w:tcW w:w="2057" w:type="dxa"/>
            <w:vAlign w:val="center"/>
          </w:tcPr>
          <w:tbl>
            <w:tblPr>
              <w:tblW w:w="0" w:type="auto"/>
              <w:tblCellSpacing w:w="15" w:type="dxa"/>
              <w:tblCellMar>
                <w:top w:w="15" w:type="dxa"/>
                <w:left w:w="15" w:type="dxa"/>
                <w:bottom w:w="15" w:type="dxa"/>
                <w:right w:w="15" w:type="dxa"/>
              </w:tblCellMar>
              <w:tblLook w:val="04A0"/>
            </w:tblPr>
            <w:tblGrid>
              <w:gridCol w:w="528"/>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bCs/>
                      <w:sz w:val="20"/>
                      <w:szCs w:val="20"/>
                    </w:rPr>
                  </w:pPr>
                  <w:r w:rsidRPr="003306D8">
                    <w:rPr>
                      <w:rFonts w:cstheme="minorHAnsi"/>
                      <w:b/>
                      <w:bCs/>
                      <w:sz w:val="20"/>
                      <w:szCs w:val="20"/>
                    </w:rPr>
                    <w:t>Ratio</w:t>
                  </w:r>
                </w:p>
              </w:tc>
            </w:tr>
          </w:tbl>
          <w:p w:rsidR="003306D8" w:rsidRPr="003306D8" w:rsidRDefault="003306D8" w:rsidP="003306D8">
            <w:pPr>
              <w:spacing w:line="360" w:lineRule="auto"/>
              <w:jc w:val="center"/>
              <w:rPr>
                <w:rFonts w:cstheme="minorHAnsi"/>
                <w:b/>
                <w:vanish/>
                <w:sz w:val="20"/>
                <w:szCs w:val="20"/>
              </w:rPr>
            </w:pPr>
          </w:p>
        </w:tc>
        <w:tc>
          <w:tcPr>
            <w:tcW w:w="886" w:type="dxa"/>
            <w:vAlign w:val="center"/>
          </w:tcPr>
          <w:tbl>
            <w:tblPr>
              <w:tblW w:w="0" w:type="auto"/>
              <w:tblCellSpacing w:w="15" w:type="dxa"/>
              <w:tblCellMar>
                <w:top w:w="15" w:type="dxa"/>
                <w:left w:w="15" w:type="dxa"/>
                <w:bottom w:w="15" w:type="dxa"/>
                <w:right w:w="15" w:type="dxa"/>
              </w:tblCellMar>
              <w:tblLook w:val="04A0"/>
            </w:tblPr>
            <w:tblGrid>
              <w:gridCol w:w="496"/>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bCs/>
                      <w:sz w:val="20"/>
                      <w:szCs w:val="20"/>
                    </w:rPr>
                  </w:pPr>
                  <w:r w:rsidRPr="003306D8">
                    <w:rPr>
                      <w:rFonts w:cstheme="minorHAnsi"/>
                      <w:b/>
                      <w:bCs/>
                      <w:sz w:val="20"/>
                      <w:szCs w:val="20"/>
                    </w:rPr>
                    <w:t>2021</w:t>
                  </w:r>
                </w:p>
              </w:tc>
            </w:tr>
          </w:tbl>
          <w:p w:rsidR="003306D8" w:rsidRPr="003306D8" w:rsidRDefault="003306D8" w:rsidP="003306D8">
            <w:pPr>
              <w:spacing w:line="360" w:lineRule="auto"/>
              <w:jc w:val="center"/>
              <w:rPr>
                <w:rFonts w:cstheme="minorHAnsi"/>
                <w:b/>
                <w:vanish/>
                <w:sz w:val="20"/>
                <w:szCs w:val="20"/>
              </w:rPr>
            </w:pPr>
          </w:p>
        </w:tc>
        <w:tc>
          <w:tcPr>
            <w:tcW w:w="851" w:type="dxa"/>
            <w:vAlign w:val="center"/>
          </w:tcPr>
          <w:tbl>
            <w:tblPr>
              <w:tblW w:w="0" w:type="auto"/>
              <w:tblCellSpacing w:w="15" w:type="dxa"/>
              <w:tblCellMar>
                <w:top w:w="15" w:type="dxa"/>
                <w:left w:w="15" w:type="dxa"/>
                <w:bottom w:w="15" w:type="dxa"/>
                <w:right w:w="15" w:type="dxa"/>
              </w:tblCellMar>
              <w:tblLook w:val="04A0"/>
            </w:tblPr>
            <w:tblGrid>
              <w:gridCol w:w="496"/>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bCs/>
                      <w:sz w:val="20"/>
                      <w:szCs w:val="20"/>
                    </w:rPr>
                  </w:pPr>
                  <w:r w:rsidRPr="003306D8">
                    <w:rPr>
                      <w:rFonts w:cstheme="minorHAnsi"/>
                      <w:b/>
                      <w:bCs/>
                      <w:sz w:val="20"/>
                      <w:szCs w:val="20"/>
                    </w:rPr>
                    <w:t>2022</w:t>
                  </w:r>
                </w:p>
              </w:tc>
            </w:tr>
          </w:tbl>
          <w:p w:rsidR="003306D8" w:rsidRPr="003306D8" w:rsidRDefault="003306D8" w:rsidP="003306D8">
            <w:pPr>
              <w:spacing w:line="360" w:lineRule="auto"/>
              <w:jc w:val="center"/>
              <w:rPr>
                <w:rFonts w:cstheme="minorHAnsi"/>
                <w:b/>
                <w:vanish/>
                <w:sz w:val="20"/>
                <w:szCs w:val="20"/>
              </w:rPr>
            </w:pPr>
          </w:p>
        </w:tc>
        <w:tc>
          <w:tcPr>
            <w:tcW w:w="992" w:type="dxa"/>
            <w:vAlign w:val="center"/>
          </w:tcPr>
          <w:tbl>
            <w:tblPr>
              <w:tblW w:w="0" w:type="auto"/>
              <w:tblCellSpacing w:w="15" w:type="dxa"/>
              <w:tblCellMar>
                <w:top w:w="15" w:type="dxa"/>
                <w:left w:w="15" w:type="dxa"/>
                <w:bottom w:w="15" w:type="dxa"/>
                <w:right w:w="15" w:type="dxa"/>
              </w:tblCellMar>
              <w:tblLook w:val="04A0"/>
            </w:tblPr>
            <w:tblGrid>
              <w:gridCol w:w="496"/>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bCs/>
                      <w:sz w:val="20"/>
                      <w:szCs w:val="20"/>
                    </w:rPr>
                  </w:pPr>
                  <w:r w:rsidRPr="003306D8">
                    <w:rPr>
                      <w:rFonts w:cstheme="minorHAnsi"/>
                      <w:b/>
                      <w:bCs/>
                      <w:sz w:val="20"/>
                      <w:szCs w:val="20"/>
                    </w:rPr>
                    <w:t>2023</w:t>
                  </w:r>
                </w:p>
              </w:tc>
            </w:tr>
          </w:tbl>
          <w:p w:rsidR="003306D8" w:rsidRPr="003306D8" w:rsidRDefault="003306D8" w:rsidP="003306D8">
            <w:pPr>
              <w:spacing w:line="360" w:lineRule="auto"/>
              <w:jc w:val="center"/>
              <w:rPr>
                <w:rFonts w:cstheme="minorHAnsi"/>
                <w:b/>
                <w:sz w:val="20"/>
                <w:szCs w:val="20"/>
              </w:rPr>
            </w:pPr>
          </w:p>
        </w:tc>
        <w:tc>
          <w:tcPr>
            <w:tcW w:w="4456" w:type="dxa"/>
            <w:vAlign w:val="center"/>
          </w:tcPr>
          <w:p w:rsidR="003306D8" w:rsidRPr="003306D8" w:rsidRDefault="003306D8" w:rsidP="003306D8">
            <w:pPr>
              <w:spacing w:line="360" w:lineRule="auto"/>
              <w:jc w:val="center"/>
              <w:rPr>
                <w:rFonts w:cstheme="minorHAnsi"/>
                <w:b/>
                <w:bCs/>
                <w:sz w:val="20"/>
                <w:szCs w:val="20"/>
              </w:rPr>
            </w:pPr>
            <w:r w:rsidRPr="003306D8">
              <w:rPr>
                <w:rFonts w:cstheme="minorHAnsi"/>
                <w:b/>
                <w:bCs/>
                <w:sz w:val="20"/>
                <w:szCs w:val="20"/>
              </w:rPr>
              <w:t>Analysis</w:t>
            </w:r>
          </w:p>
        </w:tc>
      </w:tr>
      <w:tr w:rsidR="003306D8" w:rsidTr="003306D8">
        <w:tc>
          <w:tcPr>
            <w:tcW w:w="2057" w:type="dxa"/>
            <w:vAlign w:val="center"/>
          </w:tcPr>
          <w:tbl>
            <w:tblPr>
              <w:tblW w:w="0" w:type="auto"/>
              <w:tblCellSpacing w:w="15" w:type="dxa"/>
              <w:tblCellMar>
                <w:top w:w="15" w:type="dxa"/>
                <w:left w:w="15" w:type="dxa"/>
                <w:bottom w:w="15" w:type="dxa"/>
                <w:right w:w="15" w:type="dxa"/>
              </w:tblCellMar>
              <w:tblLook w:val="04A0"/>
            </w:tblPr>
            <w:tblGrid>
              <w:gridCol w:w="1709"/>
            </w:tblGrid>
            <w:tr w:rsidR="003306D8" w:rsidRPr="003306D8" w:rsidTr="00DE1AC2">
              <w:trPr>
                <w:tblCellSpacing w:w="15" w:type="dxa"/>
              </w:trPr>
              <w:tc>
                <w:tcPr>
                  <w:tcW w:w="0" w:type="auto"/>
                  <w:vAlign w:val="center"/>
                  <w:hideMark/>
                </w:tcPr>
                <w:p w:rsidR="003306D8" w:rsidRPr="003306D8" w:rsidRDefault="003306D8" w:rsidP="001F6D08">
                  <w:pPr>
                    <w:spacing w:after="0" w:line="360" w:lineRule="auto"/>
                    <w:rPr>
                      <w:rFonts w:cstheme="minorHAnsi"/>
                      <w:b/>
                      <w:sz w:val="20"/>
                      <w:szCs w:val="20"/>
                    </w:rPr>
                  </w:pPr>
                  <w:r w:rsidRPr="003306D8">
                    <w:rPr>
                      <w:rFonts w:cstheme="minorHAnsi"/>
                      <w:b/>
                      <w:sz w:val="20"/>
                      <w:szCs w:val="20"/>
                    </w:rPr>
                    <w:t>Profitability Ratios:</w:t>
                  </w:r>
                </w:p>
                <w:p w:rsidR="003306D8" w:rsidRPr="003306D8" w:rsidRDefault="003306D8" w:rsidP="001F6D08">
                  <w:pPr>
                    <w:spacing w:line="360" w:lineRule="auto"/>
                    <w:rPr>
                      <w:rFonts w:cstheme="minorHAnsi"/>
                      <w:b/>
                      <w:sz w:val="20"/>
                      <w:szCs w:val="20"/>
                    </w:rPr>
                  </w:pPr>
                  <w:r w:rsidRPr="003306D8">
                    <w:rPr>
                      <w:rStyle w:val="Strong"/>
                      <w:rFonts w:cstheme="minorHAnsi"/>
                      <w:sz w:val="20"/>
                      <w:szCs w:val="20"/>
                    </w:rPr>
                    <w:t>Gross Profit Margin</w:t>
                  </w:r>
                </w:p>
              </w:tc>
            </w:tr>
          </w:tbl>
          <w:p w:rsidR="003306D8" w:rsidRPr="003306D8" w:rsidRDefault="003306D8" w:rsidP="001F6D08">
            <w:pPr>
              <w:spacing w:line="360" w:lineRule="auto"/>
              <w:rPr>
                <w:rFonts w:cstheme="minorHAnsi"/>
                <w:b/>
                <w:vanish/>
                <w:sz w:val="20"/>
                <w:szCs w:val="20"/>
              </w:rPr>
            </w:pPr>
          </w:p>
        </w:tc>
        <w:tc>
          <w:tcPr>
            <w:tcW w:w="886" w:type="dxa"/>
            <w:vAlign w:val="center"/>
          </w:tcPr>
          <w:tbl>
            <w:tblPr>
              <w:tblW w:w="0" w:type="auto"/>
              <w:tblCellSpacing w:w="15" w:type="dxa"/>
              <w:tblCellMar>
                <w:top w:w="15" w:type="dxa"/>
                <w:left w:w="15" w:type="dxa"/>
                <w:bottom w:w="15" w:type="dxa"/>
                <w:right w:w="15" w:type="dxa"/>
              </w:tblCellMar>
              <w:tblLook w:val="04A0"/>
            </w:tblPr>
            <w:tblGrid>
              <w:gridCol w:w="439"/>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sz w:val="20"/>
                      <w:szCs w:val="20"/>
                    </w:rPr>
                  </w:pPr>
                  <w:r w:rsidRPr="003306D8">
                    <w:rPr>
                      <w:rFonts w:cstheme="minorHAnsi"/>
                      <w:b/>
                      <w:sz w:val="20"/>
                      <w:szCs w:val="20"/>
                    </w:rPr>
                    <w:t>28%</w:t>
                  </w:r>
                </w:p>
              </w:tc>
            </w:tr>
          </w:tbl>
          <w:p w:rsidR="003306D8" w:rsidRPr="003306D8" w:rsidRDefault="003306D8" w:rsidP="003306D8">
            <w:pPr>
              <w:spacing w:line="360" w:lineRule="auto"/>
              <w:jc w:val="center"/>
              <w:rPr>
                <w:rFonts w:cstheme="minorHAnsi"/>
                <w:b/>
                <w:vanish/>
                <w:sz w:val="20"/>
                <w:szCs w:val="20"/>
              </w:rPr>
            </w:pPr>
          </w:p>
        </w:tc>
        <w:tc>
          <w:tcPr>
            <w:tcW w:w="851" w:type="dxa"/>
            <w:vAlign w:val="center"/>
          </w:tcPr>
          <w:tbl>
            <w:tblPr>
              <w:tblW w:w="0" w:type="auto"/>
              <w:tblCellSpacing w:w="15" w:type="dxa"/>
              <w:tblCellMar>
                <w:top w:w="15" w:type="dxa"/>
                <w:left w:w="15" w:type="dxa"/>
                <w:bottom w:w="15" w:type="dxa"/>
                <w:right w:w="15" w:type="dxa"/>
              </w:tblCellMar>
              <w:tblLook w:val="04A0"/>
            </w:tblPr>
            <w:tblGrid>
              <w:gridCol w:w="338"/>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sz w:val="20"/>
                      <w:szCs w:val="20"/>
                    </w:rPr>
                  </w:pPr>
                  <w:r w:rsidRPr="003306D8">
                    <w:rPr>
                      <w:rFonts w:cstheme="minorHAnsi"/>
                      <w:b/>
                      <w:sz w:val="20"/>
                      <w:szCs w:val="20"/>
                    </w:rPr>
                    <w:t>9%</w:t>
                  </w:r>
                </w:p>
              </w:tc>
            </w:tr>
          </w:tbl>
          <w:p w:rsidR="003306D8" w:rsidRPr="003306D8" w:rsidRDefault="003306D8" w:rsidP="003306D8">
            <w:pPr>
              <w:spacing w:line="360" w:lineRule="auto"/>
              <w:jc w:val="center"/>
              <w:rPr>
                <w:rFonts w:cstheme="minorHAnsi"/>
                <w:b/>
                <w:vanish/>
                <w:sz w:val="20"/>
                <w:szCs w:val="20"/>
              </w:rPr>
            </w:pPr>
          </w:p>
        </w:tc>
        <w:tc>
          <w:tcPr>
            <w:tcW w:w="992" w:type="dxa"/>
            <w:vAlign w:val="center"/>
          </w:tcPr>
          <w:tbl>
            <w:tblPr>
              <w:tblW w:w="0" w:type="auto"/>
              <w:tblCellSpacing w:w="15" w:type="dxa"/>
              <w:tblCellMar>
                <w:top w:w="15" w:type="dxa"/>
                <w:left w:w="15" w:type="dxa"/>
                <w:bottom w:w="15" w:type="dxa"/>
                <w:right w:w="15" w:type="dxa"/>
              </w:tblCellMar>
              <w:tblLook w:val="04A0"/>
            </w:tblPr>
            <w:tblGrid>
              <w:gridCol w:w="500"/>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sz w:val="20"/>
                      <w:szCs w:val="20"/>
                    </w:rPr>
                  </w:pPr>
                  <w:r w:rsidRPr="003306D8">
                    <w:rPr>
                      <w:rFonts w:cstheme="minorHAnsi"/>
                      <w:b/>
                      <w:sz w:val="20"/>
                      <w:szCs w:val="20"/>
                    </w:rPr>
                    <w:t>-28%</w:t>
                  </w:r>
                </w:p>
              </w:tc>
            </w:tr>
          </w:tbl>
          <w:p w:rsidR="003306D8" w:rsidRPr="003306D8" w:rsidRDefault="003306D8" w:rsidP="003306D8">
            <w:pPr>
              <w:spacing w:line="360" w:lineRule="auto"/>
              <w:jc w:val="center"/>
              <w:rPr>
                <w:rFonts w:cstheme="minorHAnsi"/>
                <w:b/>
                <w:sz w:val="20"/>
                <w:szCs w:val="20"/>
              </w:rPr>
            </w:pPr>
          </w:p>
        </w:tc>
        <w:tc>
          <w:tcPr>
            <w:tcW w:w="4456" w:type="dxa"/>
            <w:vAlign w:val="center"/>
          </w:tcPr>
          <w:p w:rsidR="003306D8" w:rsidRPr="003306D8" w:rsidRDefault="003306D8" w:rsidP="003306D8">
            <w:pPr>
              <w:spacing w:line="360" w:lineRule="auto"/>
              <w:rPr>
                <w:rFonts w:cstheme="minorHAnsi"/>
                <w:b/>
                <w:sz w:val="20"/>
                <w:szCs w:val="20"/>
              </w:rPr>
            </w:pPr>
            <w:r w:rsidRPr="003306D8">
              <w:rPr>
                <w:rFonts w:cstheme="minorHAnsi"/>
                <w:b/>
                <w:sz w:val="20"/>
                <w:szCs w:val="20"/>
              </w:rPr>
              <w:t>A declining gross profit margin from 28% in 2021 to -28% in 2023 suggests that the hotel’s operating expenses have increased significantly compared to its revenue, highlighting inefficiencies and escalating costs.</w:t>
            </w:r>
          </w:p>
        </w:tc>
      </w:tr>
      <w:tr w:rsidR="003306D8" w:rsidTr="003306D8">
        <w:tc>
          <w:tcPr>
            <w:tcW w:w="2057" w:type="dxa"/>
            <w:vAlign w:val="center"/>
          </w:tcPr>
          <w:tbl>
            <w:tblPr>
              <w:tblW w:w="0" w:type="auto"/>
              <w:tblCellSpacing w:w="15" w:type="dxa"/>
              <w:tblCellMar>
                <w:top w:w="15" w:type="dxa"/>
                <w:left w:w="15" w:type="dxa"/>
                <w:bottom w:w="15" w:type="dxa"/>
                <w:right w:w="15" w:type="dxa"/>
              </w:tblCellMar>
              <w:tblLook w:val="04A0"/>
            </w:tblPr>
            <w:tblGrid>
              <w:gridCol w:w="1545"/>
            </w:tblGrid>
            <w:tr w:rsidR="003306D8" w:rsidRPr="003306D8" w:rsidTr="00DE1AC2">
              <w:trPr>
                <w:tblCellSpacing w:w="15" w:type="dxa"/>
              </w:trPr>
              <w:tc>
                <w:tcPr>
                  <w:tcW w:w="0" w:type="auto"/>
                  <w:vAlign w:val="center"/>
                  <w:hideMark/>
                </w:tcPr>
                <w:p w:rsidR="003306D8" w:rsidRPr="003306D8" w:rsidRDefault="003306D8" w:rsidP="001F6D08">
                  <w:pPr>
                    <w:spacing w:line="360" w:lineRule="auto"/>
                    <w:rPr>
                      <w:rFonts w:cstheme="minorHAnsi"/>
                      <w:b/>
                      <w:sz w:val="20"/>
                      <w:szCs w:val="20"/>
                    </w:rPr>
                  </w:pPr>
                  <w:r w:rsidRPr="003306D8">
                    <w:rPr>
                      <w:rStyle w:val="Strong"/>
                      <w:rFonts w:cstheme="minorHAnsi"/>
                      <w:sz w:val="20"/>
                      <w:szCs w:val="20"/>
                    </w:rPr>
                    <w:t>Net Profit Margin</w:t>
                  </w:r>
                </w:p>
              </w:tc>
            </w:tr>
          </w:tbl>
          <w:p w:rsidR="003306D8" w:rsidRPr="003306D8" w:rsidRDefault="003306D8" w:rsidP="001F6D08">
            <w:pPr>
              <w:spacing w:line="360" w:lineRule="auto"/>
              <w:rPr>
                <w:rFonts w:cstheme="minorHAnsi"/>
                <w:b/>
                <w:vanish/>
                <w:sz w:val="20"/>
                <w:szCs w:val="20"/>
              </w:rPr>
            </w:pPr>
          </w:p>
        </w:tc>
        <w:tc>
          <w:tcPr>
            <w:tcW w:w="886" w:type="dxa"/>
            <w:vAlign w:val="center"/>
          </w:tcPr>
          <w:tbl>
            <w:tblPr>
              <w:tblW w:w="0" w:type="auto"/>
              <w:tblCellSpacing w:w="15" w:type="dxa"/>
              <w:tblCellMar>
                <w:top w:w="15" w:type="dxa"/>
                <w:left w:w="15" w:type="dxa"/>
                <w:bottom w:w="15" w:type="dxa"/>
                <w:right w:w="15" w:type="dxa"/>
              </w:tblCellMar>
              <w:tblLook w:val="04A0"/>
            </w:tblPr>
            <w:tblGrid>
              <w:gridCol w:w="439"/>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sz w:val="20"/>
                      <w:szCs w:val="20"/>
                    </w:rPr>
                  </w:pPr>
                  <w:r w:rsidRPr="003306D8">
                    <w:rPr>
                      <w:rFonts w:cstheme="minorHAnsi"/>
                      <w:b/>
                      <w:sz w:val="20"/>
                      <w:szCs w:val="20"/>
                    </w:rPr>
                    <w:t>28%</w:t>
                  </w:r>
                </w:p>
              </w:tc>
            </w:tr>
          </w:tbl>
          <w:p w:rsidR="003306D8" w:rsidRPr="003306D8" w:rsidRDefault="003306D8" w:rsidP="003306D8">
            <w:pPr>
              <w:spacing w:line="360" w:lineRule="auto"/>
              <w:jc w:val="center"/>
              <w:rPr>
                <w:rFonts w:cstheme="minorHAnsi"/>
                <w:b/>
                <w:vanish/>
                <w:sz w:val="20"/>
                <w:szCs w:val="20"/>
              </w:rPr>
            </w:pPr>
          </w:p>
        </w:tc>
        <w:tc>
          <w:tcPr>
            <w:tcW w:w="851" w:type="dxa"/>
            <w:vAlign w:val="center"/>
          </w:tcPr>
          <w:tbl>
            <w:tblPr>
              <w:tblW w:w="0" w:type="auto"/>
              <w:tblCellSpacing w:w="15" w:type="dxa"/>
              <w:tblCellMar>
                <w:top w:w="15" w:type="dxa"/>
                <w:left w:w="15" w:type="dxa"/>
                <w:bottom w:w="15" w:type="dxa"/>
                <w:right w:w="15" w:type="dxa"/>
              </w:tblCellMar>
              <w:tblLook w:val="04A0"/>
            </w:tblPr>
            <w:tblGrid>
              <w:gridCol w:w="338"/>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sz w:val="20"/>
                      <w:szCs w:val="20"/>
                    </w:rPr>
                  </w:pPr>
                  <w:r w:rsidRPr="003306D8">
                    <w:rPr>
                      <w:rFonts w:cstheme="minorHAnsi"/>
                      <w:b/>
                      <w:sz w:val="20"/>
                      <w:szCs w:val="20"/>
                    </w:rPr>
                    <w:t>9%</w:t>
                  </w:r>
                </w:p>
              </w:tc>
            </w:tr>
          </w:tbl>
          <w:p w:rsidR="003306D8" w:rsidRPr="003306D8" w:rsidRDefault="003306D8" w:rsidP="003306D8">
            <w:pPr>
              <w:spacing w:line="360" w:lineRule="auto"/>
              <w:jc w:val="center"/>
              <w:rPr>
                <w:rFonts w:cstheme="minorHAnsi"/>
                <w:b/>
                <w:vanish/>
                <w:sz w:val="20"/>
                <w:szCs w:val="20"/>
              </w:rPr>
            </w:pPr>
          </w:p>
        </w:tc>
        <w:tc>
          <w:tcPr>
            <w:tcW w:w="992" w:type="dxa"/>
            <w:vAlign w:val="center"/>
          </w:tcPr>
          <w:tbl>
            <w:tblPr>
              <w:tblW w:w="0" w:type="auto"/>
              <w:tblCellSpacing w:w="15" w:type="dxa"/>
              <w:tblCellMar>
                <w:top w:w="15" w:type="dxa"/>
                <w:left w:w="15" w:type="dxa"/>
                <w:bottom w:w="15" w:type="dxa"/>
                <w:right w:w="15" w:type="dxa"/>
              </w:tblCellMar>
              <w:tblLook w:val="04A0"/>
            </w:tblPr>
            <w:tblGrid>
              <w:gridCol w:w="500"/>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sz w:val="20"/>
                      <w:szCs w:val="20"/>
                    </w:rPr>
                  </w:pPr>
                  <w:r w:rsidRPr="003306D8">
                    <w:rPr>
                      <w:rFonts w:cstheme="minorHAnsi"/>
                      <w:b/>
                      <w:sz w:val="20"/>
                      <w:szCs w:val="20"/>
                    </w:rPr>
                    <w:t>-28%</w:t>
                  </w:r>
                </w:p>
              </w:tc>
            </w:tr>
          </w:tbl>
          <w:p w:rsidR="003306D8" w:rsidRPr="003306D8" w:rsidRDefault="003306D8" w:rsidP="003306D8">
            <w:pPr>
              <w:spacing w:line="360" w:lineRule="auto"/>
              <w:jc w:val="center"/>
              <w:rPr>
                <w:rFonts w:cstheme="minorHAnsi"/>
                <w:b/>
                <w:sz w:val="20"/>
                <w:szCs w:val="20"/>
              </w:rPr>
            </w:pPr>
          </w:p>
        </w:tc>
        <w:tc>
          <w:tcPr>
            <w:tcW w:w="4456" w:type="dxa"/>
            <w:vAlign w:val="center"/>
          </w:tcPr>
          <w:p w:rsidR="003306D8" w:rsidRPr="003306D8" w:rsidRDefault="003306D8" w:rsidP="003306D8">
            <w:pPr>
              <w:spacing w:line="360" w:lineRule="auto"/>
              <w:rPr>
                <w:rFonts w:cstheme="minorHAnsi"/>
                <w:b/>
                <w:sz w:val="20"/>
                <w:szCs w:val="20"/>
              </w:rPr>
            </w:pPr>
            <w:r w:rsidRPr="003306D8">
              <w:rPr>
                <w:rFonts w:cstheme="minorHAnsi"/>
                <w:b/>
                <w:sz w:val="20"/>
                <w:szCs w:val="20"/>
              </w:rPr>
              <w:t>The sharp decline from 28% in 2021 to -28% in 2023 indicates that the hotel has transitioned from being profitable to incurring losses, underscoring the severity of its financial challenges.</w:t>
            </w:r>
          </w:p>
          <w:p w:rsidR="003306D8" w:rsidRPr="003306D8" w:rsidRDefault="003306D8" w:rsidP="003306D8">
            <w:pPr>
              <w:spacing w:line="360" w:lineRule="auto"/>
              <w:rPr>
                <w:rFonts w:cstheme="minorHAnsi"/>
                <w:b/>
                <w:sz w:val="20"/>
                <w:szCs w:val="20"/>
              </w:rPr>
            </w:pPr>
          </w:p>
        </w:tc>
      </w:tr>
      <w:tr w:rsidR="003306D8" w:rsidTr="003306D8">
        <w:tc>
          <w:tcPr>
            <w:tcW w:w="2057" w:type="dxa"/>
            <w:vAlign w:val="center"/>
          </w:tcPr>
          <w:tbl>
            <w:tblPr>
              <w:tblW w:w="0" w:type="auto"/>
              <w:tblCellSpacing w:w="15" w:type="dxa"/>
              <w:tblCellMar>
                <w:top w:w="15" w:type="dxa"/>
                <w:left w:w="15" w:type="dxa"/>
                <w:bottom w:w="15" w:type="dxa"/>
                <w:right w:w="15" w:type="dxa"/>
              </w:tblCellMar>
              <w:tblLook w:val="04A0"/>
            </w:tblPr>
            <w:tblGrid>
              <w:gridCol w:w="1426"/>
            </w:tblGrid>
            <w:tr w:rsidR="003306D8" w:rsidRPr="003306D8" w:rsidTr="00DE1AC2">
              <w:trPr>
                <w:tblCellSpacing w:w="15" w:type="dxa"/>
              </w:trPr>
              <w:tc>
                <w:tcPr>
                  <w:tcW w:w="0" w:type="auto"/>
                  <w:vAlign w:val="center"/>
                  <w:hideMark/>
                </w:tcPr>
                <w:p w:rsidR="003306D8" w:rsidRPr="003306D8" w:rsidRDefault="003306D8" w:rsidP="001F6D08">
                  <w:pPr>
                    <w:spacing w:after="0" w:line="360" w:lineRule="auto"/>
                    <w:rPr>
                      <w:rFonts w:cstheme="minorHAnsi"/>
                      <w:b/>
                      <w:sz w:val="20"/>
                      <w:szCs w:val="20"/>
                    </w:rPr>
                  </w:pPr>
                  <w:r w:rsidRPr="003306D8">
                    <w:rPr>
                      <w:rFonts w:cstheme="minorHAnsi"/>
                      <w:b/>
                      <w:sz w:val="20"/>
                      <w:szCs w:val="20"/>
                    </w:rPr>
                    <w:t>Liquidity Ratios:</w:t>
                  </w:r>
                </w:p>
                <w:p w:rsidR="003306D8" w:rsidRPr="003306D8" w:rsidRDefault="003306D8" w:rsidP="001F6D08">
                  <w:pPr>
                    <w:spacing w:line="360" w:lineRule="auto"/>
                    <w:rPr>
                      <w:rFonts w:cstheme="minorHAnsi"/>
                      <w:b/>
                      <w:sz w:val="20"/>
                      <w:szCs w:val="20"/>
                    </w:rPr>
                  </w:pPr>
                  <w:r w:rsidRPr="003306D8">
                    <w:rPr>
                      <w:rFonts w:cstheme="minorHAnsi"/>
                      <w:b/>
                      <w:sz w:val="20"/>
                      <w:szCs w:val="20"/>
                    </w:rPr>
                    <w:t>Current Ratio.</w:t>
                  </w:r>
                </w:p>
                <w:p w:rsidR="003306D8" w:rsidRPr="003306D8" w:rsidRDefault="003306D8" w:rsidP="001F6D08">
                  <w:pPr>
                    <w:spacing w:line="360" w:lineRule="auto"/>
                    <w:rPr>
                      <w:rFonts w:cstheme="minorHAnsi"/>
                      <w:b/>
                      <w:sz w:val="20"/>
                      <w:szCs w:val="20"/>
                    </w:rPr>
                  </w:pPr>
                </w:p>
              </w:tc>
            </w:tr>
          </w:tbl>
          <w:p w:rsidR="003306D8" w:rsidRPr="003306D8" w:rsidRDefault="003306D8" w:rsidP="001F6D08">
            <w:pPr>
              <w:spacing w:line="360" w:lineRule="auto"/>
              <w:rPr>
                <w:rFonts w:cstheme="minorHAnsi"/>
                <w:b/>
                <w:vanish/>
                <w:sz w:val="20"/>
                <w:szCs w:val="20"/>
              </w:rPr>
            </w:pPr>
          </w:p>
        </w:tc>
        <w:tc>
          <w:tcPr>
            <w:tcW w:w="886" w:type="dxa"/>
            <w:vAlign w:val="center"/>
          </w:tcPr>
          <w:tbl>
            <w:tblPr>
              <w:tblW w:w="0" w:type="auto"/>
              <w:tblCellSpacing w:w="15" w:type="dxa"/>
              <w:tblCellMar>
                <w:top w:w="15" w:type="dxa"/>
                <w:left w:w="15" w:type="dxa"/>
                <w:bottom w:w="15" w:type="dxa"/>
                <w:right w:w="15" w:type="dxa"/>
              </w:tblCellMar>
              <w:tblLook w:val="04A0"/>
            </w:tblPr>
            <w:tblGrid>
              <w:gridCol w:w="347"/>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sz w:val="20"/>
                      <w:szCs w:val="20"/>
                    </w:rPr>
                  </w:pPr>
                  <w:r w:rsidRPr="003306D8">
                    <w:rPr>
                      <w:rFonts w:cstheme="minorHAnsi"/>
                      <w:b/>
                      <w:sz w:val="20"/>
                      <w:szCs w:val="20"/>
                    </w:rPr>
                    <w:t>1.8</w:t>
                  </w:r>
                </w:p>
              </w:tc>
            </w:tr>
          </w:tbl>
          <w:p w:rsidR="003306D8" w:rsidRPr="003306D8" w:rsidRDefault="003306D8" w:rsidP="003306D8">
            <w:pPr>
              <w:spacing w:line="360" w:lineRule="auto"/>
              <w:jc w:val="center"/>
              <w:rPr>
                <w:rFonts w:cstheme="minorHAnsi"/>
                <w:b/>
                <w:vanish/>
                <w:sz w:val="20"/>
                <w:szCs w:val="20"/>
              </w:rPr>
            </w:pPr>
          </w:p>
        </w:tc>
        <w:tc>
          <w:tcPr>
            <w:tcW w:w="851" w:type="dxa"/>
            <w:vAlign w:val="center"/>
          </w:tcPr>
          <w:tbl>
            <w:tblPr>
              <w:tblW w:w="0" w:type="auto"/>
              <w:tblCellSpacing w:w="15" w:type="dxa"/>
              <w:tblCellMar>
                <w:top w:w="15" w:type="dxa"/>
                <w:left w:w="15" w:type="dxa"/>
                <w:bottom w:w="15" w:type="dxa"/>
                <w:right w:w="15" w:type="dxa"/>
              </w:tblCellMar>
              <w:tblLook w:val="04A0"/>
            </w:tblPr>
            <w:tblGrid>
              <w:gridCol w:w="347"/>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sz w:val="20"/>
                      <w:szCs w:val="20"/>
                    </w:rPr>
                  </w:pPr>
                  <w:r w:rsidRPr="003306D8">
                    <w:rPr>
                      <w:rFonts w:cstheme="minorHAnsi"/>
                      <w:b/>
                      <w:sz w:val="20"/>
                      <w:szCs w:val="20"/>
                    </w:rPr>
                    <w:t>1.1</w:t>
                  </w:r>
                </w:p>
              </w:tc>
            </w:tr>
          </w:tbl>
          <w:p w:rsidR="003306D8" w:rsidRPr="003306D8" w:rsidRDefault="003306D8" w:rsidP="003306D8">
            <w:pPr>
              <w:spacing w:line="360" w:lineRule="auto"/>
              <w:jc w:val="center"/>
              <w:rPr>
                <w:rFonts w:cstheme="minorHAnsi"/>
                <w:b/>
                <w:vanish/>
                <w:sz w:val="20"/>
                <w:szCs w:val="20"/>
              </w:rPr>
            </w:pPr>
          </w:p>
        </w:tc>
        <w:tc>
          <w:tcPr>
            <w:tcW w:w="992" w:type="dxa"/>
            <w:vAlign w:val="center"/>
          </w:tcPr>
          <w:tbl>
            <w:tblPr>
              <w:tblW w:w="0" w:type="auto"/>
              <w:tblCellSpacing w:w="15" w:type="dxa"/>
              <w:tblCellMar>
                <w:top w:w="15" w:type="dxa"/>
                <w:left w:w="15" w:type="dxa"/>
                <w:bottom w:w="15" w:type="dxa"/>
                <w:right w:w="15" w:type="dxa"/>
              </w:tblCellMar>
              <w:tblLook w:val="04A0"/>
            </w:tblPr>
            <w:tblGrid>
              <w:gridCol w:w="347"/>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sz w:val="20"/>
                      <w:szCs w:val="20"/>
                    </w:rPr>
                  </w:pPr>
                  <w:r w:rsidRPr="003306D8">
                    <w:rPr>
                      <w:rFonts w:cstheme="minorHAnsi"/>
                      <w:b/>
                      <w:sz w:val="20"/>
                      <w:szCs w:val="20"/>
                    </w:rPr>
                    <w:t>0.6</w:t>
                  </w:r>
                </w:p>
              </w:tc>
            </w:tr>
          </w:tbl>
          <w:p w:rsidR="003306D8" w:rsidRPr="003306D8" w:rsidRDefault="003306D8" w:rsidP="003306D8">
            <w:pPr>
              <w:spacing w:line="360" w:lineRule="auto"/>
              <w:jc w:val="center"/>
              <w:rPr>
                <w:rFonts w:cstheme="minorHAnsi"/>
                <w:b/>
                <w:sz w:val="20"/>
                <w:szCs w:val="20"/>
              </w:rPr>
            </w:pPr>
          </w:p>
        </w:tc>
        <w:tc>
          <w:tcPr>
            <w:tcW w:w="4456" w:type="dxa"/>
            <w:vAlign w:val="center"/>
          </w:tcPr>
          <w:p w:rsidR="003306D8" w:rsidRPr="003306D8" w:rsidRDefault="003306D8" w:rsidP="003306D8">
            <w:pPr>
              <w:spacing w:line="360" w:lineRule="auto"/>
              <w:rPr>
                <w:rFonts w:cstheme="minorHAnsi"/>
                <w:b/>
                <w:sz w:val="20"/>
                <w:szCs w:val="20"/>
              </w:rPr>
            </w:pPr>
            <w:r w:rsidRPr="003306D8">
              <w:rPr>
                <w:rFonts w:cstheme="minorHAnsi"/>
                <w:b/>
                <w:sz w:val="20"/>
                <w:szCs w:val="20"/>
              </w:rPr>
              <w:t>A ratio above 1 indicates a good liquidity position, whereas a ratio below 1 suggests potential liquidity problems. The decline from 1.8 in 2021 to 0.6 in 2023 indicates that the hotel is increasingly unable to cover its short-term obligations, risking liquidity crises and insolvency.</w:t>
            </w:r>
          </w:p>
        </w:tc>
      </w:tr>
      <w:tr w:rsidR="003306D8" w:rsidRPr="003306D8" w:rsidTr="003306D8">
        <w:tc>
          <w:tcPr>
            <w:tcW w:w="2057" w:type="dxa"/>
            <w:vAlign w:val="center"/>
          </w:tcPr>
          <w:tbl>
            <w:tblPr>
              <w:tblW w:w="0" w:type="auto"/>
              <w:tblCellSpacing w:w="15" w:type="dxa"/>
              <w:tblCellMar>
                <w:top w:w="15" w:type="dxa"/>
                <w:left w:w="15" w:type="dxa"/>
                <w:bottom w:w="15" w:type="dxa"/>
                <w:right w:w="15" w:type="dxa"/>
              </w:tblCellMar>
              <w:tblLook w:val="04A0"/>
            </w:tblPr>
            <w:tblGrid>
              <w:gridCol w:w="1769"/>
            </w:tblGrid>
            <w:tr w:rsidR="003306D8" w:rsidRPr="003306D8" w:rsidTr="00DE1AC2">
              <w:trPr>
                <w:tblCellSpacing w:w="15" w:type="dxa"/>
              </w:trPr>
              <w:tc>
                <w:tcPr>
                  <w:tcW w:w="0" w:type="auto"/>
                  <w:vAlign w:val="center"/>
                  <w:hideMark/>
                </w:tcPr>
                <w:p w:rsidR="003306D8" w:rsidRPr="003306D8" w:rsidRDefault="003306D8" w:rsidP="001F6D08">
                  <w:pPr>
                    <w:spacing w:line="360" w:lineRule="auto"/>
                    <w:rPr>
                      <w:rFonts w:cstheme="minorHAnsi"/>
                      <w:b/>
                      <w:sz w:val="20"/>
                      <w:szCs w:val="20"/>
                    </w:rPr>
                  </w:pPr>
                  <w:r w:rsidRPr="003306D8">
                    <w:rPr>
                      <w:rStyle w:val="Strong"/>
                      <w:rFonts w:cstheme="minorHAnsi"/>
                      <w:sz w:val="20"/>
                      <w:szCs w:val="20"/>
                    </w:rPr>
                    <w:t>Debt to Equity Ratio</w:t>
                  </w:r>
                </w:p>
              </w:tc>
            </w:tr>
          </w:tbl>
          <w:p w:rsidR="003306D8" w:rsidRPr="003306D8" w:rsidRDefault="003306D8" w:rsidP="001F6D08">
            <w:pPr>
              <w:spacing w:line="360" w:lineRule="auto"/>
              <w:rPr>
                <w:rFonts w:cstheme="minorHAnsi"/>
                <w:b/>
                <w:vanish/>
                <w:sz w:val="20"/>
                <w:szCs w:val="20"/>
              </w:rPr>
            </w:pPr>
          </w:p>
        </w:tc>
        <w:tc>
          <w:tcPr>
            <w:tcW w:w="886" w:type="dxa"/>
            <w:vAlign w:val="center"/>
          </w:tcPr>
          <w:tbl>
            <w:tblPr>
              <w:tblW w:w="0" w:type="auto"/>
              <w:tblCellSpacing w:w="15" w:type="dxa"/>
              <w:tblCellMar>
                <w:top w:w="15" w:type="dxa"/>
                <w:left w:w="15" w:type="dxa"/>
                <w:bottom w:w="15" w:type="dxa"/>
                <w:right w:w="15" w:type="dxa"/>
              </w:tblCellMar>
              <w:tblLook w:val="04A0"/>
            </w:tblPr>
            <w:tblGrid>
              <w:gridCol w:w="448"/>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sz w:val="20"/>
                      <w:szCs w:val="20"/>
                    </w:rPr>
                  </w:pPr>
                  <w:r w:rsidRPr="003306D8">
                    <w:rPr>
                      <w:rFonts w:cstheme="minorHAnsi"/>
                      <w:b/>
                      <w:sz w:val="20"/>
                      <w:szCs w:val="20"/>
                    </w:rPr>
                    <w:t>1.48</w:t>
                  </w:r>
                </w:p>
              </w:tc>
            </w:tr>
          </w:tbl>
          <w:p w:rsidR="003306D8" w:rsidRPr="003306D8" w:rsidRDefault="003306D8" w:rsidP="003306D8">
            <w:pPr>
              <w:spacing w:line="360" w:lineRule="auto"/>
              <w:jc w:val="center"/>
              <w:rPr>
                <w:rFonts w:cstheme="minorHAnsi"/>
                <w:b/>
                <w:vanish/>
                <w:sz w:val="20"/>
                <w:szCs w:val="20"/>
              </w:rPr>
            </w:pPr>
          </w:p>
        </w:tc>
        <w:tc>
          <w:tcPr>
            <w:tcW w:w="851" w:type="dxa"/>
            <w:vAlign w:val="center"/>
          </w:tcPr>
          <w:tbl>
            <w:tblPr>
              <w:tblW w:w="0" w:type="auto"/>
              <w:tblCellSpacing w:w="15" w:type="dxa"/>
              <w:tblCellMar>
                <w:top w:w="15" w:type="dxa"/>
                <w:left w:w="15" w:type="dxa"/>
                <w:bottom w:w="15" w:type="dxa"/>
                <w:right w:w="15" w:type="dxa"/>
              </w:tblCellMar>
              <w:tblLook w:val="04A0"/>
            </w:tblPr>
            <w:tblGrid>
              <w:gridCol w:w="448"/>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sz w:val="20"/>
                      <w:szCs w:val="20"/>
                    </w:rPr>
                  </w:pPr>
                  <w:r w:rsidRPr="003306D8">
                    <w:rPr>
                      <w:rFonts w:cstheme="minorHAnsi"/>
                      <w:b/>
                      <w:sz w:val="20"/>
                      <w:szCs w:val="20"/>
                    </w:rPr>
                    <w:t>1.78</w:t>
                  </w:r>
                </w:p>
              </w:tc>
            </w:tr>
          </w:tbl>
          <w:p w:rsidR="003306D8" w:rsidRPr="003306D8" w:rsidRDefault="003306D8" w:rsidP="003306D8">
            <w:pPr>
              <w:spacing w:line="360" w:lineRule="auto"/>
              <w:jc w:val="center"/>
              <w:rPr>
                <w:rFonts w:cstheme="minorHAnsi"/>
                <w:b/>
                <w:vanish/>
                <w:sz w:val="20"/>
                <w:szCs w:val="20"/>
              </w:rPr>
            </w:pPr>
          </w:p>
        </w:tc>
        <w:tc>
          <w:tcPr>
            <w:tcW w:w="992" w:type="dxa"/>
            <w:vAlign w:val="center"/>
          </w:tcPr>
          <w:tbl>
            <w:tblPr>
              <w:tblW w:w="0" w:type="auto"/>
              <w:tblCellSpacing w:w="15" w:type="dxa"/>
              <w:tblCellMar>
                <w:top w:w="15" w:type="dxa"/>
                <w:left w:w="15" w:type="dxa"/>
                <w:bottom w:w="15" w:type="dxa"/>
                <w:right w:w="15" w:type="dxa"/>
              </w:tblCellMar>
              <w:tblLook w:val="04A0"/>
            </w:tblPr>
            <w:tblGrid>
              <w:gridCol w:w="448"/>
            </w:tblGrid>
            <w:tr w:rsidR="003306D8" w:rsidRPr="003306D8" w:rsidTr="00DE1AC2">
              <w:trPr>
                <w:tblCellSpacing w:w="15" w:type="dxa"/>
              </w:trPr>
              <w:tc>
                <w:tcPr>
                  <w:tcW w:w="0" w:type="auto"/>
                  <w:vAlign w:val="center"/>
                  <w:hideMark/>
                </w:tcPr>
                <w:p w:rsidR="003306D8" w:rsidRPr="003306D8" w:rsidRDefault="003306D8" w:rsidP="003306D8">
                  <w:pPr>
                    <w:spacing w:line="360" w:lineRule="auto"/>
                    <w:jc w:val="center"/>
                    <w:rPr>
                      <w:rFonts w:cstheme="minorHAnsi"/>
                      <w:b/>
                      <w:sz w:val="20"/>
                      <w:szCs w:val="20"/>
                    </w:rPr>
                  </w:pPr>
                  <w:r w:rsidRPr="003306D8">
                    <w:rPr>
                      <w:rFonts w:cstheme="minorHAnsi"/>
                      <w:b/>
                      <w:sz w:val="20"/>
                      <w:szCs w:val="20"/>
                    </w:rPr>
                    <w:t>2.39</w:t>
                  </w:r>
                </w:p>
              </w:tc>
            </w:tr>
          </w:tbl>
          <w:p w:rsidR="003306D8" w:rsidRPr="003306D8" w:rsidRDefault="003306D8" w:rsidP="003306D8">
            <w:pPr>
              <w:spacing w:line="360" w:lineRule="auto"/>
              <w:jc w:val="center"/>
              <w:rPr>
                <w:rFonts w:cstheme="minorHAnsi"/>
                <w:b/>
                <w:sz w:val="20"/>
                <w:szCs w:val="20"/>
              </w:rPr>
            </w:pPr>
          </w:p>
        </w:tc>
        <w:tc>
          <w:tcPr>
            <w:tcW w:w="4456" w:type="dxa"/>
            <w:vAlign w:val="center"/>
          </w:tcPr>
          <w:p w:rsidR="003306D8" w:rsidRPr="003306D8" w:rsidRDefault="003306D8" w:rsidP="003306D8">
            <w:pPr>
              <w:spacing w:line="360" w:lineRule="auto"/>
              <w:rPr>
                <w:rFonts w:cstheme="minorHAnsi"/>
                <w:b/>
                <w:sz w:val="20"/>
                <w:szCs w:val="20"/>
              </w:rPr>
            </w:pPr>
            <w:r w:rsidRPr="003306D8">
              <w:rPr>
                <w:rFonts w:cstheme="minorHAnsi"/>
                <w:b/>
                <w:sz w:val="20"/>
                <w:szCs w:val="20"/>
              </w:rPr>
              <w:t>A higher ratio indicates more leverage and financial risk. The increase from 1.48 in 2021 to 2.39 in 2023 reflects a growing reliance on debt, which can be risky if the hotel’s revenue continues to decline. This rising ratio signals potential long-term solvency issues and increased risk for creditors and investors</w:t>
            </w:r>
          </w:p>
        </w:tc>
      </w:tr>
    </w:tbl>
    <w:p w:rsidR="003306D8" w:rsidRPr="003306D8" w:rsidRDefault="003306D8" w:rsidP="003306D8">
      <w:pPr>
        <w:spacing w:after="0" w:line="360" w:lineRule="auto"/>
        <w:rPr>
          <w:rFonts w:cstheme="minorHAnsi"/>
          <w:b/>
          <w:sz w:val="20"/>
          <w:szCs w:val="20"/>
        </w:rPr>
      </w:pPr>
    </w:p>
    <w:p w:rsidR="003306D8" w:rsidRDefault="003306D8" w:rsidP="003E30E4">
      <w:pPr>
        <w:spacing w:after="0" w:line="360" w:lineRule="auto"/>
        <w:rPr>
          <w:rFonts w:ascii="Arial" w:hAnsi="Arial" w:cs="Arial"/>
          <w:sz w:val="24"/>
          <w:szCs w:val="24"/>
        </w:rPr>
      </w:pPr>
    </w:p>
    <w:p w:rsidR="003E30E4" w:rsidRDefault="003E30E4" w:rsidP="00D76D9B">
      <w:pPr>
        <w:jc w:val="center"/>
        <w:rPr>
          <w:rFonts w:ascii="Arial" w:hAnsi="Arial" w:cs="Arial"/>
          <w:sz w:val="24"/>
          <w:szCs w:val="24"/>
        </w:rPr>
      </w:pPr>
    </w:p>
    <w:p w:rsidR="000C72E9" w:rsidRPr="003E30E4" w:rsidRDefault="000C72E9" w:rsidP="003E30E4">
      <w:pPr>
        <w:spacing w:line="360" w:lineRule="auto"/>
        <w:jc w:val="center"/>
        <w:rPr>
          <w:rFonts w:ascii="Arial" w:hAnsi="Arial" w:cs="Arial"/>
          <w:sz w:val="24"/>
          <w:szCs w:val="24"/>
        </w:rPr>
      </w:pPr>
      <w:r w:rsidRPr="003E30E4">
        <w:rPr>
          <w:rFonts w:ascii="Arial" w:hAnsi="Arial" w:cs="Arial"/>
          <w:sz w:val="24"/>
          <w:szCs w:val="24"/>
        </w:rPr>
        <w:t>Reasons for Decline in Profitability</w:t>
      </w:r>
      <w:r w:rsidR="0063325A">
        <w:rPr>
          <w:rFonts w:ascii="Arial" w:hAnsi="Arial" w:cs="Arial"/>
          <w:sz w:val="24"/>
          <w:szCs w:val="24"/>
        </w:rPr>
        <w:t>.</w:t>
      </w:r>
    </w:p>
    <w:p w:rsidR="000C72E9" w:rsidRPr="00DE1AC2" w:rsidRDefault="000C72E9" w:rsidP="003E30E4">
      <w:pPr>
        <w:spacing w:after="0" w:line="360" w:lineRule="auto"/>
        <w:rPr>
          <w:rFonts w:ascii="Arial" w:hAnsi="Arial" w:cs="Arial"/>
          <w:sz w:val="24"/>
          <w:szCs w:val="24"/>
          <w:u w:val="single"/>
        </w:rPr>
      </w:pPr>
      <w:r w:rsidRPr="00DE1AC2">
        <w:rPr>
          <w:rFonts w:ascii="Arial" w:hAnsi="Arial" w:cs="Arial"/>
          <w:sz w:val="24"/>
          <w:szCs w:val="24"/>
          <w:u w:val="single"/>
        </w:rPr>
        <w:t>External Factors</w:t>
      </w:r>
      <w:r w:rsidR="00AA5962" w:rsidRPr="00DE1AC2">
        <w:rPr>
          <w:rFonts w:ascii="Arial" w:hAnsi="Arial" w:cs="Arial"/>
          <w:sz w:val="24"/>
          <w:szCs w:val="24"/>
          <w:u w:val="single"/>
        </w:rPr>
        <w:t>:</w:t>
      </w:r>
    </w:p>
    <w:p w:rsidR="008527F8" w:rsidRDefault="000C72E9" w:rsidP="003E30E4">
      <w:pPr>
        <w:pStyle w:val="ListParagraph"/>
        <w:numPr>
          <w:ilvl w:val="0"/>
          <w:numId w:val="6"/>
        </w:numPr>
        <w:spacing w:after="0" w:line="360" w:lineRule="auto"/>
        <w:rPr>
          <w:rFonts w:ascii="Arial" w:hAnsi="Arial" w:cs="Arial"/>
          <w:sz w:val="24"/>
          <w:szCs w:val="24"/>
        </w:rPr>
      </w:pPr>
      <w:r w:rsidRPr="008527F8">
        <w:rPr>
          <w:rFonts w:ascii="Arial" w:hAnsi="Arial" w:cs="Arial"/>
          <w:sz w:val="24"/>
          <w:szCs w:val="24"/>
        </w:rPr>
        <w:t>Economic Downturn</w:t>
      </w:r>
      <w:r w:rsidR="008527F8">
        <w:rPr>
          <w:rFonts w:ascii="Arial" w:hAnsi="Arial" w:cs="Arial"/>
          <w:sz w:val="24"/>
          <w:szCs w:val="24"/>
        </w:rPr>
        <w:t>.</w:t>
      </w:r>
    </w:p>
    <w:p w:rsidR="008C1C69" w:rsidRPr="008527F8" w:rsidRDefault="008C1C69" w:rsidP="008527F8">
      <w:pPr>
        <w:spacing w:after="0" w:line="360" w:lineRule="auto"/>
        <w:ind w:left="360"/>
        <w:rPr>
          <w:rFonts w:ascii="Arial" w:hAnsi="Arial" w:cs="Arial"/>
          <w:sz w:val="24"/>
          <w:szCs w:val="24"/>
        </w:rPr>
      </w:pPr>
      <w:r w:rsidRPr="008527F8">
        <w:rPr>
          <w:rFonts w:ascii="Arial" w:hAnsi="Arial" w:cs="Arial"/>
          <w:sz w:val="24"/>
          <w:szCs w:val="24"/>
        </w:rPr>
        <w:t xml:space="preserve">UK hospitality entrepreneurs have faced significant external challenges due to the economic downturn, including Brexit-driven staff shortages, the COVID-19 </w:t>
      </w:r>
      <w:r w:rsidR="00A72D10" w:rsidRPr="008527F8">
        <w:rPr>
          <w:rFonts w:ascii="Arial" w:hAnsi="Arial" w:cs="Arial"/>
          <w:sz w:val="24"/>
          <w:szCs w:val="24"/>
        </w:rPr>
        <w:t>pandemic</w:t>
      </w:r>
      <w:r w:rsidRPr="008527F8">
        <w:rPr>
          <w:rFonts w:ascii="Arial" w:hAnsi="Arial" w:cs="Arial"/>
          <w:sz w:val="24"/>
          <w:szCs w:val="24"/>
        </w:rPr>
        <w:t xml:space="preserve"> and rising business costs</w:t>
      </w:r>
      <w:r w:rsidR="004C4D93">
        <w:rPr>
          <w:rFonts w:ascii="Arial" w:hAnsi="Arial" w:cs="Arial"/>
          <w:sz w:val="24"/>
          <w:szCs w:val="24"/>
        </w:rPr>
        <w:t>.</w:t>
      </w:r>
      <w:r w:rsidRPr="008527F8">
        <w:rPr>
          <w:rFonts w:ascii="Arial" w:hAnsi="Arial" w:cs="Arial"/>
          <w:sz w:val="24"/>
          <w:szCs w:val="24"/>
        </w:rPr>
        <w:t xml:space="preserve"> Additional pressures include deflated tourism, shorter work weeks, and foot</w:t>
      </w:r>
      <w:r w:rsidR="00C94F55">
        <w:rPr>
          <w:rFonts w:ascii="Arial" w:hAnsi="Arial" w:cs="Arial"/>
          <w:sz w:val="24"/>
          <w:szCs w:val="24"/>
        </w:rPr>
        <w:t>fall below pre-pandemic levels.</w:t>
      </w:r>
      <w:r w:rsidR="000272AF">
        <w:rPr>
          <w:rFonts w:ascii="Arial" w:hAnsi="Arial" w:cs="Arial"/>
          <w:sz w:val="24"/>
          <w:szCs w:val="24"/>
        </w:rPr>
        <w:t xml:space="preserve"> </w:t>
      </w:r>
      <w:r w:rsidR="00C94F55">
        <w:rPr>
          <w:rFonts w:ascii="Arial" w:hAnsi="Arial" w:cs="Arial"/>
          <w:sz w:val="24"/>
          <w:szCs w:val="24"/>
        </w:rPr>
        <w:t>O</w:t>
      </w:r>
      <w:r w:rsidRPr="008527F8">
        <w:rPr>
          <w:rFonts w:ascii="Arial" w:hAnsi="Arial" w:cs="Arial"/>
          <w:sz w:val="24"/>
          <w:szCs w:val="24"/>
        </w:rPr>
        <w:t xml:space="preserve">ngoing </w:t>
      </w:r>
      <w:r w:rsidRPr="008527F8">
        <w:rPr>
          <w:rFonts w:ascii="Arial" w:hAnsi="Arial" w:cs="Arial"/>
          <w:sz w:val="24"/>
          <w:szCs w:val="24"/>
        </w:rPr>
        <w:lastRenderedPageBreak/>
        <w:t>staff shortages and economic pressures continue to pose substantial hurdles</w:t>
      </w:r>
      <w:r w:rsidR="004C4D93">
        <w:rPr>
          <w:rFonts w:ascii="Arial" w:hAnsi="Arial" w:cs="Arial"/>
          <w:color w:val="0D0D0D"/>
          <w:sz w:val="24"/>
          <w:szCs w:val="24"/>
          <w:shd w:val="clear" w:color="auto" w:fill="FFFFFF"/>
        </w:rPr>
        <w:t xml:space="preserve"> </w:t>
      </w:r>
      <w:r w:rsidRPr="008527F8">
        <w:rPr>
          <w:rFonts w:ascii="Arial" w:hAnsi="Arial" w:cs="Arial"/>
          <w:color w:val="0D0D0D"/>
          <w:sz w:val="24"/>
          <w:szCs w:val="24"/>
          <w:shd w:val="clear" w:color="auto" w:fill="FFFFFF"/>
        </w:rPr>
        <w:t>(Coleman, 2023)</w:t>
      </w:r>
      <w:r w:rsidRPr="008527F8">
        <w:rPr>
          <w:rFonts w:ascii="Arial" w:hAnsi="Arial" w:cs="Arial"/>
          <w:sz w:val="24"/>
          <w:szCs w:val="24"/>
        </w:rPr>
        <w:t>.</w:t>
      </w:r>
    </w:p>
    <w:p w:rsidR="000C72E9" w:rsidRPr="003E30E4" w:rsidRDefault="000C72E9" w:rsidP="00751950">
      <w:pPr>
        <w:pStyle w:val="ListParagraph"/>
        <w:numPr>
          <w:ilvl w:val="0"/>
          <w:numId w:val="6"/>
        </w:numPr>
        <w:spacing w:line="360" w:lineRule="auto"/>
        <w:rPr>
          <w:rFonts w:ascii="Arial" w:hAnsi="Arial" w:cs="Arial"/>
          <w:sz w:val="24"/>
          <w:szCs w:val="24"/>
        </w:rPr>
      </w:pPr>
      <w:r w:rsidRPr="003E30E4">
        <w:rPr>
          <w:rFonts w:ascii="Arial" w:hAnsi="Arial" w:cs="Arial"/>
          <w:sz w:val="24"/>
          <w:szCs w:val="24"/>
        </w:rPr>
        <w:t>The COVID-19 pandemic has severely affected the hospitality industry, with reduced travel and event restrictions leading to lower occupancy and event bookings.</w:t>
      </w:r>
    </w:p>
    <w:p w:rsidR="000C72E9" w:rsidRPr="003E30E4" w:rsidRDefault="000C72E9" w:rsidP="00751950">
      <w:pPr>
        <w:pStyle w:val="ListParagraph"/>
        <w:numPr>
          <w:ilvl w:val="0"/>
          <w:numId w:val="6"/>
        </w:numPr>
        <w:spacing w:after="0" w:line="360" w:lineRule="auto"/>
        <w:rPr>
          <w:rFonts w:ascii="Arial" w:hAnsi="Arial" w:cs="Arial"/>
          <w:sz w:val="24"/>
          <w:szCs w:val="24"/>
        </w:rPr>
      </w:pPr>
      <w:r w:rsidRPr="003E30E4">
        <w:rPr>
          <w:rFonts w:ascii="Arial" w:hAnsi="Arial" w:cs="Arial"/>
          <w:sz w:val="24"/>
          <w:szCs w:val="24"/>
        </w:rPr>
        <w:t>Increased competition from new hotels and alternative lodging options (e.g., Airbnb) has likely impacted market share.</w:t>
      </w:r>
    </w:p>
    <w:p w:rsidR="009C271D" w:rsidRPr="003E30E4" w:rsidRDefault="009C271D" w:rsidP="003E30E4">
      <w:pPr>
        <w:pStyle w:val="ListParagraph"/>
        <w:spacing w:line="360" w:lineRule="auto"/>
        <w:rPr>
          <w:rFonts w:ascii="Arial" w:hAnsi="Arial" w:cs="Arial"/>
          <w:sz w:val="24"/>
          <w:szCs w:val="24"/>
        </w:rPr>
      </w:pPr>
      <w:r w:rsidRPr="003E30E4">
        <w:rPr>
          <w:rFonts w:ascii="Arial" w:hAnsi="Arial" w:cs="Arial"/>
          <w:sz w:val="24"/>
          <w:szCs w:val="24"/>
        </w:rPr>
        <w:t>The sharing accommodations significantly impacts all hotel types, particularly economy hotels, followed by midscale and upscale hotels. The presence of sharing accommodations increases the price elasticity of hotels, exerting downward pressure on hotel prices, e</w:t>
      </w:r>
      <w:r w:rsidR="004C4D93">
        <w:rPr>
          <w:rFonts w:ascii="Arial" w:hAnsi="Arial" w:cs="Arial"/>
          <w:sz w:val="24"/>
          <w:szCs w:val="24"/>
        </w:rPr>
        <w:t>specially for higher-end hotels</w:t>
      </w:r>
      <w:r w:rsidRPr="003E30E4">
        <w:rPr>
          <w:rFonts w:ascii="Arial" w:hAnsi="Arial" w:cs="Arial"/>
          <w:sz w:val="24"/>
          <w:szCs w:val="24"/>
        </w:rPr>
        <w:t xml:space="preserve"> </w:t>
      </w:r>
      <w:r w:rsidRPr="003E30E4">
        <w:rPr>
          <w:rFonts w:ascii="Arial" w:hAnsi="Arial" w:cs="Arial"/>
          <w:color w:val="0D0D0D"/>
          <w:sz w:val="24"/>
          <w:szCs w:val="24"/>
          <w:shd w:val="clear" w:color="auto" w:fill="FFFFFF"/>
        </w:rPr>
        <w:t>(Lin et al., 2023)</w:t>
      </w:r>
      <w:r w:rsidRPr="003E30E4">
        <w:rPr>
          <w:rFonts w:ascii="Arial" w:hAnsi="Arial" w:cs="Arial"/>
          <w:sz w:val="24"/>
          <w:szCs w:val="24"/>
        </w:rPr>
        <w:t>.</w:t>
      </w:r>
    </w:p>
    <w:p w:rsidR="000C72E9" w:rsidRPr="00DE1AC2" w:rsidRDefault="000C72E9" w:rsidP="003E30E4">
      <w:pPr>
        <w:spacing w:after="0" w:line="360" w:lineRule="auto"/>
        <w:rPr>
          <w:rFonts w:ascii="Arial" w:hAnsi="Arial" w:cs="Arial"/>
          <w:sz w:val="24"/>
          <w:szCs w:val="24"/>
          <w:u w:val="single"/>
        </w:rPr>
      </w:pPr>
      <w:r w:rsidRPr="00DE1AC2">
        <w:rPr>
          <w:rFonts w:ascii="Arial" w:hAnsi="Arial" w:cs="Arial"/>
          <w:sz w:val="24"/>
          <w:szCs w:val="24"/>
          <w:u w:val="single"/>
        </w:rPr>
        <w:t>Internal Factors</w:t>
      </w:r>
      <w:r w:rsidR="003E30E4" w:rsidRPr="00DE1AC2">
        <w:rPr>
          <w:rFonts w:ascii="Arial" w:hAnsi="Arial" w:cs="Arial"/>
          <w:sz w:val="24"/>
          <w:szCs w:val="24"/>
          <w:u w:val="single"/>
        </w:rPr>
        <w:t>:</w:t>
      </w:r>
    </w:p>
    <w:p w:rsidR="000C72E9" w:rsidRPr="003E30E4" w:rsidRDefault="000C72E9" w:rsidP="00751950">
      <w:pPr>
        <w:pStyle w:val="ListParagraph"/>
        <w:numPr>
          <w:ilvl w:val="0"/>
          <w:numId w:val="7"/>
        </w:numPr>
        <w:spacing w:after="0" w:line="360" w:lineRule="auto"/>
        <w:rPr>
          <w:rFonts w:ascii="Arial" w:hAnsi="Arial" w:cs="Arial"/>
          <w:sz w:val="24"/>
          <w:szCs w:val="24"/>
        </w:rPr>
      </w:pPr>
      <w:r w:rsidRPr="003E30E4">
        <w:rPr>
          <w:rFonts w:ascii="Arial" w:hAnsi="Arial" w:cs="Arial"/>
          <w:sz w:val="24"/>
          <w:szCs w:val="24"/>
        </w:rPr>
        <w:t>Rising operating expenses suggest inefficiencies in cost management and control.</w:t>
      </w:r>
    </w:p>
    <w:p w:rsidR="000C72E9" w:rsidRPr="003E30E4" w:rsidRDefault="000C72E9" w:rsidP="00751950">
      <w:pPr>
        <w:pStyle w:val="ListParagraph"/>
        <w:numPr>
          <w:ilvl w:val="0"/>
          <w:numId w:val="7"/>
        </w:numPr>
        <w:spacing w:line="360" w:lineRule="auto"/>
        <w:rPr>
          <w:rFonts w:ascii="Arial" w:hAnsi="Arial" w:cs="Arial"/>
          <w:sz w:val="24"/>
          <w:szCs w:val="24"/>
        </w:rPr>
      </w:pPr>
      <w:r w:rsidRPr="003E30E4">
        <w:rPr>
          <w:rFonts w:ascii="Arial" w:hAnsi="Arial" w:cs="Arial"/>
          <w:sz w:val="24"/>
          <w:szCs w:val="24"/>
        </w:rPr>
        <w:t xml:space="preserve"> Declining customer satisfaction points to potential issues in service quality, facilities, or value proposition.</w:t>
      </w:r>
    </w:p>
    <w:p w:rsidR="003E30E4" w:rsidRPr="0063325A" w:rsidRDefault="000C72E9" w:rsidP="0063325A">
      <w:pPr>
        <w:pStyle w:val="ListParagraph"/>
        <w:numPr>
          <w:ilvl w:val="0"/>
          <w:numId w:val="7"/>
        </w:numPr>
        <w:spacing w:line="360" w:lineRule="auto"/>
        <w:rPr>
          <w:rFonts w:ascii="Arial" w:hAnsi="Arial" w:cs="Arial"/>
          <w:sz w:val="24"/>
          <w:szCs w:val="24"/>
        </w:rPr>
      </w:pPr>
      <w:r w:rsidRPr="003E30E4">
        <w:rPr>
          <w:rFonts w:ascii="Arial" w:hAnsi="Arial" w:cs="Arial"/>
          <w:sz w:val="24"/>
          <w:szCs w:val="24"/>
        </w:rPr>
        <w:t xml:space="preserve">Ineffective marketing strategies may have failed to attract and retain customers. </w:t>
      </w:r>
    </w:p>
    <w:p w:rsidR="00A72D10" w:rsidRPr="00A72D10" w:rsidRDefault="00A72D10" w:rsidP="00AA5962">
      <w:pPr>
        <w:jc w:val="center"/>
        <w:rPr>
          <w:rFonts w:ascii="Arial" w:hAnsi="Arial" w:cs="Arial"/>
          <w:sz w:val="24"/>
          <w:szCs w:val="24"/>
        </w:rPr>
      </w:pPr>
      <w:r w:rsidRPr="00A72D10">
        <w:rPr>
          <w:rFonts w:ascii="Arial" w:hAnsi="Arial" w:cs="Arial"/>
          <w:sz w:val="24"/>
          <w:szCs w:val="24"/>
        </w:rPr>
        <w:t>Turnaround Strategy</w:t>
      </w:r>
      <w:r w:rsidR="0063325A">
        <w:rPr>
          <w:rFonts w:ascii="Arial" w:hAnsi="Arial" w:cs="Arial"/>
          <w:sz w:val="24"/>
          <w:szCs w:val="24"/>
        </w:rPr>
        <w:t>.</w:t>
      </w:r>
    </w:p>
    <w:p w:rsidR="00A72D10" w:rsidRPr="00DE1AC2" w:rsidRDefault="00A72D10" w:rsidP="00A72D10">
      <w:pPr>
        <w:rPr>
          <w:rFonts w:ascii="Arial" w:hAnsi="Arial" w:cs="Arial"/>
          <w:sz w:val="24"/>
          <w:szCs w:val="24"/>
          <w:u w:val="single"/>
        </w:rPr>
      </w:pPr>
      <w:r w:rsidRPr="00DE1AC2">
        <w:rPr>
          <w:rFonts w:ascii="Arial" w:hAnsi="Arial" w:cs="Arial"/>
          <w:sz w:val="24"/>
          <w:szCs w:val="24"/>
          <w:u w:val="single"/>
        </w:rPr>
        <w:t>Strategic Objectives</w:t>
      </w:r>
      <w:r w:rsidR="003E30E4" w:rsidRPr="00DE1AC2">
        <w:rPr>
          <w:rFonts w:ascii="Arial" w:hAnsi="Arial" w:cs="Arial"/>
          <w:sz w:val="24"/>
          <w:szCs w:val="24"/>
          <w:u w:val="single"/>
        </w:rPr>
        <w:t>:</w:t>
      </w:r>
    </w:p>
    <w:p w:rsidR="00A72D10" w:rsidRPr="003E30E4" w:rsidRDefault="00A72D10" w:rsidP="0070060F">
      <w:pPr>
        <w:pStyle w:val="ListParagraph"/>
        <w:numPr>
          <w:ilvl w:val="0"/>
          <w:numId w:val="32"/>
        </w:numPr>
        <w:rPr>
          <w:rFonts w:ascii="Arial" w:hAnsi="Arial" w:cs="Arial"/>
          <w:sz w:val="24"/>
          <w:szCs w:val="24"/>
        </w:rPr>
      </w:pPr>
      <w:r w:rsidRPr="003E30E4">
        <w:rPr>
          <w:rFonts w:ascii="Arial" w:hAnsi="Arial" w:cs="Arial"/>
          <w:sz w:val="24"/>
          <w:szCs w:val="24"/>
        </w:rPr>
        <w:t>Enhance Revenue Streams</w:t>
      </w:r>
      <w:r w:rsidR="008C1953">
        <w:rPr>
          <w:rFonts w:ascii="Arial" w:hAnsi="Arial" w:cs="Arial"/>
          <w:sz w:val="24"/>
          <w:szCs w:val="24"/>
        </w:rPr>
        <w:t>.</w:t>
      </w:r>
    </w:p>
    <w:p w:rsidR="00A72D10" w:rsidRPr="003E30E4" w:rsidRDefault="00A72D10" w:rsidP="0070060F">
      <w:pPr>
        <w:pStyle w:val="ListParagraph"/>
        <w:numPr>
          <w:ilvl w:val="0"/>
          <w:numId w:val="32"/>
        </w:numPr>
        <w:rPr>
          <w:rFonts w:ascii="Arial" w:hAnsi="Arial" w:cs="Arial"/>
          <w:sz w:val="24"/>
          <w:szCs w:val="24"/>
        </w:rPr>
      </w:pPr>
      <w:r w:rsidRPr="003E30E4">
        <w:rPr>
          <w:rFonts w:ascii="Arial" w:hAnsi="Arial" w:cs="Arial"/>
          <w:sz w:val="24"/>
          <w:szCs w:val="24"/>
        </w:rPr>
        <w:t>Cost Reduction and Efficiency</w:t>
      </w:r>
      <w:r w:rsidR="008C1953">
        <w:rPr>
          <w:rFonts w:ascii="Arial" w:hAnsi="Arial" w:cs="Arial"/>
          <w:sz w:val="24"/>
          <w:szCs w:val="24"/>
        </w:rPr>
        <w:t>.</w:t>
      </w:r>
    </w:p>
    <w:p w:rsidR="00A72D10" w:rsidRPr="003E30E4" w:rsidRDefault="00A72D10" w:rsidP="0070060F">
      <w:pPr>
        <w:pStyle w:val="ListParagraph"/>
        <w:numPr>
          <w:ilvl w:val="0"/>
          <w:numId w:val="32"/>
        </w:numPr>
        <w:rPr>
          <w:rFonts w:ascii="Arial" w:hAnsi="Arial" w:cs="Arial"/>
          <w:sz w:val="24"/>
          <w:szCs w:val="24"/>
        </w:rPr>
      </w:pPr>
      <w:r w:rsidRPr="003E30E4">
        <w:rPr>
          <w:rFonts w:ascii="Arial" w:hAnsi="Arial" w:cs="Arial"/>
          <w:sz w:val="24"/>
          <w:szCs w:val="24"/>
        </w:rPr>
        <w:t>Customer Experience Improvement</w:t>
      </w:r>
      <w:r w:rsidR="008C1953">
        <w:rPr>
          <w:rFonts w:ascii="Arial" w:hAnsi="Arial" w:cs="Arial"/>
          <w:sz w:val="24"/>
          <w:szCs w:val="24"/>
        </w:rPr>
        <w:t>.</w:t>
      </w:r>
    </w:p>
    <w:p w:rsidR="003E30E4" w:rsidRPr="0063325A" w:rsidRDefault="00A72D10" w:rsidP="0070060F">
      <w:pPr>
        <w:pStyle w:val="ListParagraph"/>
        <w:numPr>
          <w:ilvl w:val="0"/>
          <w:numId w:val="32"/>
        </w:numPr>
        <w:rPr>
          <w:rFonts w:ascii="Arial" w:hAnsi="Arial" w:cs="Arial"/>
          <w:sz w:val="24"/>
          <w:szCs w:val="24"/>
        </w:rPr>
      </w:pPr>
      <w:r w:rsidRPr="003E30E4">
        <w:rPr>
          <w:rFonts w:ascii="Arial" w:hAnsi="Arial" w:cs="Arial"/>
          <w:sz w:val="24"/>
          <w:szCs w:val="24"/>
        </w:rPr>
        <w:t>Marketing and Sales Initiatives</w:t>
      </w:r>
      <w:r w:rsidR="008F740C">
        <w:rPr>
          <w:rFonts w:ascii="Arial" w:hAnsi="Arial" w:cs="Arial"/>
          <w:sz w:val="24"/>
          <w:szCs w:val="24"/>
        </w:rPr>
        <w:t>.</w:t>
      </w:r>
    </w:p>
    <w:p w:rsidR="00A72D10" w:rsidRPr="008F740C" w:rsidRDefault="00A72D10" w:rsidP="00DE1AC2">
      <w:pPr>
        <w:spacing w:line="360" w:lineRule="auto"/>
        <w:jc w:val="center"/>
        <w:rPr>
          <w:rFonts w:ascii="Arial" w:hAnsi="Arial" w:cs="Arial"/>
          <w:sz w:val="24"/>
          <w:szCs w:val="24"/>
        </w:rPr>
      </w:pPr>
      <w:r w:rsidRPr="008F740C">
        <w:rPr>
          <w:rFonts w:ascii="Arial" w:hAnsi="Arial" w:cs="Arial"/>
          <w:sz w:val="24"/>
          <w:szCs w:val="24"/>
        </w:rPr>
        <w:t>Action Plan</w:t>
      </w:r>
      <w:r w:rsidR="00217C81" w:rsidRPr="008F740C">
        <w:rPr>
          <w:rFonts w:ascii="Arial" w:hAnsi="Arial" w:cs="Arial"/>
          <w:sz w:val="24"/>
          <w:szCs w:val="24"/>
        </w:rPr>
        <w:t>.</w:t>
      </w:r>
    </w:p>
    <w:p w:rsidR="00A72D10" w:rsidRPr="00E22388" w:rsidRDefault="00A72D10" w:rsidP="008F740C">
      <w:pPr>
        <w:spacing w:after="0" w:line="360" w:lineRule="auto"/>
        <w:rPr>
          <w:rFonts w:ascii="Arial" w:hAnsi="Arial" w:cs="Arial"/>
          <w:sz w:val="24"/>
          <w:szCs w:val="24"/>
          <w:u w:val="single"/>
        </w:rPr>
      </w:pPr>
      <w:r w:rsidRPr="00E22388">
        <w:rPr>
          <w:rFonts w:ascii="Arial" w:hAnsi="Arial" w:cs="Arial"/>
          <w:sz w:val="24"/>
          <w:szCs w:val="24"/>
          <w:u w:val="single"/>
        </w:rPr>
        <w:t>Revenue Enhancement</w:t>
      </w:r>
      <w:r w:rsidR="00E22388">
        <w:rPr>
          <w:rFonts w:ascii="Arial" w:hAnsi="Arial" w:cs="Arial"/>
          <w:sz w:val="24"/>
          <w:szCs w:val="24"/>
          <w:u w:val="single"/>
        </w:rPr>
        <w:t>.</w:t>
      </w:r>
    </w:p>
    <w:p w:rsidR="005712BD" w:rsidRPr="008F740C" w:rsidRDefault="005712BD" w:rsidP="00751950">
      <w:pPr>
        <w:pStyle w:val="ListParagraph"/>
        <w:numPr>
          <w:ilvl w:val="0"/>
          <w:numId w:val="8"/>
        </w:numPr>
        <w:spacing w:line="360" w:lineRule="auto"/>
        <w:rPr>
          <w:rFonts w:ascii="Arial" w:hAnsi="Arial" w:cs="Arial"/>
          <w:sz w:val="24"/>
          <w:szCs w:val="24"/>
        </w:rPr>
      </w:pPr>
      <w:r w:rsidRPr="008F740C">
        <w:rPr>
          <w:rFonts w:ascii="Arial" w:hAnsi="Arial" w:cs="Arial"/>
          <w:sz w:val="24"/>
          <w:szCs w:val="24"/>
        </w:rPr>
        <w:t>Reduce the range of services offered to concentrate on core areas where the hotel excels. By narrowing the focus, resources can be allocated more effectively to enhance the quality of remaining services</w:t>
      </w:r>
      <w:r w:rsidR="004C4D93">
        <w:rPr>
          <w:rFonts w:ascii="Arial" w:hAnsi="Arial" w:cs="Arial"/>
          <w:sz w:val="24"/>
          <w:szCs w:val="24"/>
        </w:rPr>
        <w:t>.</w:t>
      </w:r>
    </w:p>
    <w:p w:rsidR="003E30E4" w:rsidRPr="008F740C" w:rsidRDefault="005712BD" w:rsidP="00751950">
      <w:pPr>
        <w:pStyle w:val="ListParagraph"/>
        <w:numPr>
          <w:ilvl w:val="0"/>
          <w:numId w:val="8"/>
        </w:numPr>
        <w:spacing w:line="360" w:lineRule="auto"/>
        <w:rPr>
          <w:rFonts w:ascii="Arial" w:hAnsi="Arial" w:cs="Arial"/>
          <w:sz w:val="24"/>
          <w:szCs w:val="24"/>
        </w:rPr>
      </w:pPr>
      <w:r w:rsidRPr="008F740C">
        <w:rPr>
          <w:rFonts w:ascii="Arial" w:hAnsi="Arial" w:cs="Arial"/>
          <w:sz w:val="24"/>
          <w:szCs w:val="24"/>
        </w:rPr>
        <w:t xml:space="preserve">Implement a dynamic pricing model that adjusts room rates based on demand, seasonality, and market conditions. </w:t>
      </w:r>
    </w:p>
    <w:p w:rsidR="00A72D10" w:rsidRPr="008F740C" w:rsidRDefault="005712BD" w:rsidP="00751950">
      <w:pPr>
        <w:pStyle w:val="ListParagraph"/>
        <w:numPr>
          <w:ilvl w:val="0"/>
          <w:numId w:val="8"/>
        </w:numPr>
        <w:spacing w:line="360" w:lineRule="auto"/>
        <w:rPr>
          <w:rFonts w:ascii="Arial" w:hAnsi="Arial" w:cs="Arial"/>
          <w:sz w:val="24"/>
          <w:szCs w:val="24"/>
        </w:rPr>
      </w:pPr>
      <w:r w:rsidRPr="008F740C">
        <w:rPr>
          <w:rFonts w:ascii="Arial" w:hAnsi="Arial" w:cs="Arial"/>
          <w:sz w:val="24"/>
          <w:szCs w:val="24"/>
        </w:rPr>
        <w:lastRenderedPageBreak/>
        <w:t>Develop and promote</w:t>
      </w:r>
      <w:r w:rsidR="00E22388">
        <w:rPr>
          <w:rFonts w:ascii="Arial" w:hAnsi="Arial" w:cs="Arial"/>
          <w:sz w:val="24"/>
          <w:szCs w:val="24"/>
        </w:rPr>
        <w:t xml:space="preserve"> attractive packages for events.</w:t>
      </w:r>
      <w:r w:rsidRPr="008F740C">
        <w:rPr>
          <w:rFonts w:ascii="Arial" w:hAnsi="Arial" w:cs="Arial"/>
          <w:sz w:val="24"/>
          <w:szCs w:val="24"/>
        </w:rPr>
        <w:t xml:space="preserve"> Offering bundled services at a discounted </w:t>
      </w:r>
      <w:r w:rsidR="009E1C77" w:rsidRPr="008F740C">
        <w:rPr>
          <w:rFonts w:ascii="Arial" w:hAnsi="Arial" w:cs="Arial"/>
          <w:sz w:val="24"/>
          <w:szCs w:val="24"/>
        </w:rPr>
        <w:t xml:space="preserve">rate. </w:t>
      </w:r>
      <w:r w:rsidRPr="008F740C">
        <w:rPr>
          <w:rFonts w:ascii="Arial" w:hAnsi="Arial" w:cs="Arial"/>
          <w:sz w:val="24"/>
          <w:szCs w:val="24"/>
        </w:rPr>
        <w:t>Enhanced marketing efforts, including digital campaigns and partnerships with event planne</w:t>
      </w:r>
      <w:r w:rsidR="003E30E4" w:rsidRPr="008F740C">
        <w:rPr>
          <w:rFonts w:ascii="Arial" w:hAnsi="Arial" w:cs="Arial"/>
          <w:sz w:val="24"/>
          <w:szCs w:val="24"/>
        </w:rPr>
        <w:t>rs.</w:t>
      </w:r>
    </w:p>
    <w:p w:rsidR="008527F8" w:rsidRDefault="005712BD" w:rsidP="00751950">
      <w:pPr>
        <w:pStyle w:val="ListParagraph"/>
        <w:numPr>
          <w:ilvl w:val="0"/>
          <w:numId w:val="8"/>
        </w:numPr>
        <w:spacing w:line="360" w:lineRule="auto"/>
        <w:rPr>
          <w:rFonts w:ascii="Arial" w:hAnsi="Arial" w:cs="Arial"/>
          <w:sz w:val="24"/>
          <w:szCs w:val="24"/>
        </w:rPr>
      </w:pPr>
      <w:r w:rsidRPr="008527F8">
        <w:rPr>
          <w:rFonts w:ascii="Arial" w:hAnsi="Arial" w:cs="Arial"/>
          <w:sz w:val="24"/>
          <w:szCs w:val="24"/>
        </w:rPr>
        <w:t>Strengthen Online Presence</w:t>
      </w:r>
      <w:r w:rsidR="008C1953">
        <w:rPr>
          <w:rFonts w:ascii="Arial" w:hAnsi="Arial" w:cs="Arial"/>
          <w:sz w:val="24"/>
          <w:szCs w:val="24"/>
        </w:rPr>
        <w:t>.</w:t>
      </w:r>
    </w:p>
    <w:p w:rsidR="008452A3" w:rsidRPr="008527F8" w:rsidRDefault="008452A3" w:rsidP="00751950">
      <w:pPr>
        <w:pStyle w:val="ListParagraph"/>
        <w:numPr>
          <w:ilvl w:val="0"/>
          <w:numId w:val="8"/>
        </w:numPr>
        <w:spacing w:line="360" w:lineRule="auto"/>
        <w:rPr>
          <w:rFonts w:ascii="Arial" w:hAnsi="Arial" w:cs="Arial"/>
          <w:sz w:val="24"/>
          <w:szCs w:val="24"/>
        </w:rPr>
      </w:pPr>
      <w:r w:rsidRPr="008527F8">
        <w:rPr>
          <w:rFonts w:ascii="Arial" w:hAnsi="Arial" w:cs="Arial"/>
          <w:sz w:val="24"/>
          <w:szCs w:val="24"/>
        </w:rPr>
        <w:t xml:space="preserve">Utilise customer data and feedback to personalise services and offers. Implementing a customer relationship management (CRM) </w:t>
      </w:r>
      <w:r w:rsidR="004C4D93" w:rsidRPr="008527F8">
        <w:rPr>
          <w:rFonts w:ascii="Arial" w:hAnsi="Arial" w:cs="Arial"/>
          <w:sz w:val="24"/>
          <w:szCs w:val="24"/>
        </w:rPr>
        <w:t>system.</w:t>
      </w:r>
    </w:p>
    <w:p w:rsidR="008452A3" w:rsidRPr="008527F8" w:rsidRDefault="008452A3" w:rsidP="00751950">
      <w:pPr>
        <w:pStyle w:val="ListParagraph"/>
        <w:numPr>
          <w:ilvl w:val="0"/>
          <w:numId w:val="8"/>
        </w:numPr>
        <w:spacing w:after="0" w:line="360" w:lineRule="auto"/>
        <w:rPr>
          <w:rFonts w:ascii="Arial" w:hAnsi="Arial" w:cs="Arial"/>
          <w:sz w:val="24"/>
          <w:szCs w:val="24"/>
        </w:rPr>
      </w:pPr>
      <w:r w:rsidRPr="008527F8">
        <w:rPr>
          <w:rFonts w:ascii="Arial" w:hAnsi="Arial" w:cs="Arial"/>
          <w:sz w:val="24"/>
          <w:szCs w:val="24"/>
        </w:rPr>
        <w:t xml:space="preserve">Forge partnerships with local attractions, restaurants, and tour operators to offer exclusive deals and packages. </w:t>
      </w:r>
    </w:p>
    <w:p w:rsidR="00665AFF" w:rsidRPr="008F740C" w:rsidRDefault="00665AFF" w:rsidP="00751950">
      <w:pPr>
        <w:pStyle w:val="ListParagraph"/>
        <w:numPr>
          <w:ilvl w:val="0"/>
          <w:numId w:val="8"/>
        </w:numPr>
        <w:spacing w:after="0" w:line="360" w:lineRule="auto"/>
        <w:rPr>
          <w:rFonts w:ascii="Arial" w:hAnsi="Arial" w:cs="Arial"/>
          <w:sz w:val="24"/>
          <w:szCs w:val="24"/>
        </w:rPr>
      </w:pPr>
      <w:r w:rsidRPr="008527F8">
        <w:rPr>
          <w:rFonts w:ascii="Arial" w:hAnsi="Arial" w:cs="Arial"/>
          <w:sz w:val="24"/>
          <w:szCs w:val="24"/>
        </w:rPr>
        <w:t xml:space="preserve">Focus on improving the quality and variety of the hotel's food and beverage offerings. Introducing themed nights, local cuisine, and high-quality dining </w:t>
      </w:r>
      <w:r w:rsidR="004C4D93" w:rsidRPr="008527F8">
        <w:rPr>
          <w:rFonts w:ascii="Arial" w:hAnsi="Arial" w:cs="Arial"/>
          <w:sz w:val="24"/>
          <w:szCs w:val="24"/>
        </w:rPr>
        <w:t>experiences.</w:t>
      </w:r>
    </w:p>
    <w:p w:rsidR="00AA5962" w:rsidRPr="008F740C" w:rsidRDefault="00AA5962" w:rsidP="008F740C">
      <w:pPr>
        <w:spacing w:after="0" w:line="360" w:lineRule="auto"/>
        <w:rPr>
          <w:rFonts w:ascii="Arial" w:hAnsi="Arial" w:cs="Arial"/>
          <w:sz w:val="24"/>
          <w:szCs w:val="24"/>
        </w:rPr>
      </w:pPr>
      <w:r w:rsidRPr="008F740C">
        <w:rPr>
          <w:rFonts w:ascii="Arial" w:hAnsi="Arial" w:cs="Arial"/>
          <w:sz w:val="24"/>
          <w:szCs w:val="24"/>
        </w:rPr>
        <w:t>Ancillary Services</w:t>
      </w:r>
      <w:r w:rsidR="00E22388">
        <w:rPr>
          <w:rFonts w:ascii="Arial" w:hAnsi="Arial" w:cs="Arial"/>
          <w:sz w:val="24"/>
          <w:szCs w:val="24"/>
        </w:rPr>
        <w:t>.</w:t>
      </w:r>
    </w:p>
    <w:p w:rsidR="008527F8" w:rsidRDefault="00AA5962" w:rsidP="00751950">
      <w:pPr>
        <w:pStyle w:val="ListParagraph"/>
        <w:numPr>
          <w:ilvl w:val="0"/>
          <w:numId w:val="8"/>
        </w:numPr>
        <w:spacing w:line="360" w:lineRule="auto"/>
        <w:rPr>
          <w:rFonts w:ascii="Arial" w:hAnsi="Arial" w:cs="Arial"/>
          <w:sz w:val="24"/>
          <w:szCs w:val="24"/>
        </w:rPr>
      </w:pPr>
      <w:r w:rsidRPr="008527F8">
        <w:rPr>
          <w:rFonts w:ascii="Arial" w:hAnsi="Arial" w:cs="Arial"/>
          <w:sz w:val="24"/>
          <w:szCs w:val="24"/>
        </w:rPr>
        <w:t xml:space="preserve">Establish small retail outlets within the hotel selling local products, souvenirs, and travel essentials. </w:t>
      </w:r>
    </w:p>
    <w:p w:rsidR="00AA5962" w:rsidRPr="008527F8" w:rsidRDefault="00AA5962" w:rsidP="00751950">
      <w:pPr>
        <w:pStyle w:val="ListParagraph"/>
        <w:numPr>
          <w:ilvl w:val="0"/>
          <w:numId w:val="8"/>
        </w:numPr>
        <w:spacing w:line="360" w:lineRule="auto"/>
        <w:rPr>
          <w:rFonts w:ascii="Arial" w:hAnsi="Arial" w:cs="Arial"/>
          <w:sz w:val="24"/>
          <w:szCs w:val="24"/>
        </w:rPr>
      </w:pPr>
      <w:r w:rsidRPr="008527F8">
        <w:rPr>
          <w:rFonts w:ascii="Arial" w:hAnsi="Arial" w:cs="Arial"/>
          <w:sz w:val="24"/>
          <w:szCs w:val="24"/>
        </w:rPr>
        <w:t xml:space="preserve">Offer transportation services and guided tours to popular local attractions. </w:t>
      </w:r>
    </w:p>
    <w:p w:rsidR="00AA5962" w:rsidRPr="008F740C" w:rsidRDefault="00AA5962" w:rsidP="00751950">
      <w:pPr>
        <w:pStyle w:val="ListParagraph"/>
        <w:numPr>
          <w:ilvl w:val="0"/>
          <w:numId w:val="8"/>
        </w:numPr>
        <w:spacing w:line="360" w:lineRule="auto"/>
        <w:rPr>
          <w:rFonts w:ascii="Arial" w:hAnsi="Arial" w:cs="Arial"/>
          <w:sz w:val="24"/>
          <w:szCs w:val="24"/>
        </w:rPr>
      </w:pPr>
      <w:r w:rsidRPr="008F740C">
        <w:rPr>
          <w:rFonts w:ascii="Arial" w:hAnsi="Arial" w:cs="Arial"/>
          <w:sz w:val="24"/>
          <w:szCs w:val="24"/>
        </w:rPr>
        <w:t xml:space="preserve">Develop flexible meeting and co-working spaces to attract business travellers and remote workers. </w:t>
      </w:r>
    </w:p>
    <w:p w:rsidR="00AA5962" w:rsidRPr="008F740C" w:rsidRDefault="00AA5962" w:rsidP="00751950">
      <w:pPr>
        <w:pStyle w:val="ListParagraph"/>
        <w:numPr>
          <w:ilvl w:val="0"/>
          <w:numId w:val="8"/>
        </w:numPr>
        <w:spacing w:line="360" w:lineRule="auto"/>
        <w:rPr>
          <w:rFonts w:ascii="Arial" w:hAnsi="Arial" w:cs="Arial"/>
          <w:sz w:val="24"/>
          <w:szCs w:val="24"/>
        </w:rPr>
      </w:pPr>
      <w:r w:rsidRPr="008F740C">
        <w:rPr>
          <w:rFonts w:ascii="Arial" w:hAnsi="Arial" w:cs="Arial"/>
          <w:sz w:val="24"/>
          <w:szCs w:val="24"/>
        </w:rPr>
        <w:t xml:space="preserve">Fitness Facilities: </w:t>
      </w:r>
      <w:r w:rsidR="00665AFF" w:rsidRPr="008F740C">
        <w:rPr>
          <w:rFonts w:ascii="Arial" w:hAnsi="Arial" w:cs="Arial"/>
          <w:sz w:val="24"/>
          <w:szCs w:val="24"/>
        </w:rPr>
        <w:t xml:space="preserve"> such as gym </w:t>
      </w:r>
      <w:r w:rsidRPr="008F740C">
        <w:rPr>
          <w:rFonts w:ascii="Arial" w:hAnsi="Arial" w:cs="Arial"/>
          <w:sz w:val="24"/>
          <w:szCs w:val="24"/>
        </w:rPr>
        <w:t>and sports court. Offering memberships to local residents can generate additional income and build a community around the hotel.</w:t>
      </w:r>
    </w:p>
    <w:p w:rsidR="00AA5962" w:rsidRPr="008F740C" w:rsidRDefault="00AA5962" w:rsidP="00751950">
      <w:pPr>
        <w:pStyle w:val="ListParagraph"/>
        <w:numPr>
          <w:ilvl w:val="0"/>
          <w:numId w:val="8"/>
        </w:numPr>
        <w:spacing w:line="360" w:lineRule="auto"/>
        <w:rPr>
          <w:rFonts w:ascii="Arial" w:hAnsi="Arial" w:cs="Arial"/>
          <w:sz w:val="24"/>
          <w:szCs w:val="24"/>
        </w:rPr>
      </w:pPr>
      <w:r w:rsidRPr="008F740C">
        <w:rPr>
          <w:rFonts w:ascii="Arial" w:hAnsi="Arial" w:cs="Arial"/>
          <w:sz w:val="24"/>
          <w:szCs w:val="24"/>
        </w:rPr>
        <w:t xml:space="preserve">Provide childcare and family-oriented services, such as kids' clubs and babysitting. </w:t>
      </w:r>
    </w:p>
    <w:p w:rsidR="008773F8" w:rsidRPr="008F740C" w:rsidRDefault="00AA5962" w:rsidP="00751950">
      <w:pPr>
        <w:pStyle w:val="ListParagraph"/>
        <w:numPr>
          <w:ilvl w:val="0"/>
          <w:numId w:val="8"/>
        </w:numPr>
        <w:spacing w:after="0" w:line="360" w:lineRule="auto"/>
        <w:rPr>
          <w:rFonts w:ascii="Arial" w:hAnsi="Arial" w:cs="Arial"/>
          <w:sz w:val="24"/>
          <w:szCs w:val="24"/>
        </w:rPr>
      </w:pPr>
      <w:r w:rsidRPr="008F740C">
        <w:rPr>
          <w:rFonts w:ascii="Arial" w:hAnsi="Arial" w:cs="Arial"/>
          <w:sz w:val="24"/>
          <w:szCs w:val="24"/>
        </w:rPr>
        <w:t xml:space="preserve">Introduce pet-friendly rooms and amenities to cater to guests travelling with pets. Offering pet-sitting, grooming, and special pet </w:t>
      </w:r>
      <w:r w:rsidR="004C4D93" w:rsidRPr="008F740C">
        <w:rPr>
          <w:rFonts w:ascii="Arial" w:hAnsi="Arial" w:cs="Arial"/>
          <w:sz w:val="24"/>
          <w:szCs w:val="24"/>
        </w:rPr>
        <w:t>packages.</w:t>
      </w:r>
    </w:p>
    <w:p w:rsidR="00A72D10" w:rsidRPr="00E22388" w:rsidRDefault="00A72D10" w:rsidP="00217C81">
      <w:pPr>
        <w:spacing w:after="0" w:line="360" w:lineRule="auto"/>
        <w:rPr>
          <w:rFonts w:ascii="Arial" w:hAnsi="Arial" w:cs="Arial"/>
          <w:sz w:val="24"/>
          <w:szCs w:val="24"/>
          <w:u w:val="single"/>
        </w:rPr>
      </w:pPr>
      <w:r w:rsidRPr="00E22388">
        <w:rPr>
          <w:rFonts w:ascii="Arial" w:hAnsi="Arial" w:cs="Arial"/>
          <w:sz w:val="24"/>
          <w:szCs w:val="24"/>
          <w:u w:val="single"/>
        </w:rPr>
        <w:t>Cost Reduction</w:t>
      </w:r>
      <w:r w:rsidR="00E22388">
        <w:rPr>
          <w:rFonts w:ascii="Arial" w:hAnsi="Arial" w:cs="Arial"/>
          <w:sz w:val="24"/>
          <w:szCs w:val="24"/>
          <w:u w:val="single"/>
        </w:rPr>
        <w:t>.</w:t>
      </w:r>
    </w:p>
    <w:p w:rsidR="008C1953" w:rsidRPr="008C1953" w:rsidRDefault="008452A3" w:rsidP="00751950">
      <w:pPr>
        <w:pStyle w:val="ListParagraph"/>
        <w:numPr>
          <w:ilvl w:val="0"/>
          <w:numId w:val="9"/>
        </w:numPr>
        <w:spacing w:line="360" w:lineRule="auto"/>
        <w:rPr>
          <w:rFonts w:ascii="Arial" w:hAnsi="Arial" w:cs="Arial"/>
          <w:sz w:val="24"/>
          <w:szCs w:val="24"/>
        </w:rPr>
      </w:pPr>
      <w:r w:rsidRPr="008C1953">
        <w:rPr>
          <w:rFonts w:ascii="Arial" w:hAnsi="Arial" w:cs="Arial"/>
          <w:sz w:val="24"/>
          <w:szCs w:val="24"/>
        </w:rPr>
        <w:t xml:space="preserve">Conduct a thorough review of all operational processes to identify inefficiencies. </w:t>
      </w:r>
    </w:p>
    <w:p w:rsidR="008452A3" w:rsidRPr="008C1953" w:rsidRDefault="008452A3" w:rsidP="00751950">
      <w:pPr>
        <w:pStyle w:val="ListParagraph"/>
        <w:numPr>
          <w:ilvl w:val="0"/>
          <w:numId w:val="9"/>
        </w:numPr>
        <w:spacing w:after="0" w:line="360" w:lineRule="auto"/>
        <w:rPr>
          <w:rFonts w:ascii="Arial" w:hAnsi="Arial" w:cs="Arial"/>
          <w:sz w:val="24"/>
          <w:szCs w:val="24"/>
        </w:rPr>
      </w:pPr>
      <w:r w:rsidRPr="008C1953">
        <w:rPr>
          <w:rFonts w:ascii="Arial" w:hAnsi="Arial" w:cs="Arial"/>
          <w:sz w:val="24"/>
          <w:szCs w:val="24"/>
        </w:rPr>
        <w:t xml:space="preserve">Implement automation tools for routine tasks such as reservations, billing, and inventory management. </w:t>
      </w:r>
    </w:p>
    <w:p w:rsidR="008452A3" w:rsidRPr="008F740C" w:rsidRDefault="008452A3" w:rsidP="00751950">
      <w:pPr>
        <w:pStyle w:val="ListParagraph"/>
        <w:numPr>
          <w:ilvl w:val="0"/>
          <w:numId w:val="9"/>
        </w:numPr>
        <w:spacing w:after="0" w:line="360" w:lineRule="auto"/>
        <w:rPr>
          <w:rFonts w:ascii="Arial" w:hAnsi="Arial" w:cs="Arial"/>
          <w:sz w:val="24"/>
          <w:szCs w:val="24"/>
        </w:rPr>
      </w:pPr>
      <w:r w:rsidRPr="008C1953">
        <w:rPr>
          <w:rFonts w:ascii="Arial" w:hAnsi="Arial" w:cs="Arial"/>
          <w:sz w:val="24"/>
          <w:szCs w:val="24"/>
        </w:rPr>
        <w:t>Apply lean management techniques to streamline operations, eliminate waste, and improve service delivery. Regular training sessions on lean principles can help staff identify and address inefficiencies.</w:t>
      </w:r>
    </w:p>
    <w:p w:rsidR="00C102BA" w:rsidRPr="008F740C" w:rsidRDefault="00C102BA" w:rsidP="00217C81">
      <w:pPr>
        <w:spacing w:after="0" w:line="360" w:lineRule="auto"/>
        <w:rPr>
          <w:rFonts w:ascii="Arial" w:hAnsi="Arial" w:cs="Arial"/>
          <w:sz w:val="24"/>
          <w:szCs w:val="24"/>
        </w:rPr>
      </w:pPr>
      <w:r w:rsidRPr="008F740C">
        <w:rPr>
          <w:rFonts w:ascii="Arial" w:hAnsi="Arial" w:cs="Arial"/>
          <w:sz w:val="24"/>
          <w:szCs w:val="24"/>
        </w:rPr>
        <w:t>Supplier Negotiations</w:t>
      </w:r>
      <w:r w:rsidR="00217C81" w:rsidRPr="008F740C">
        <w:rPr>
          <w:rFonts w:ascii="Arial" w:hAnsi="Arial" w:cs="Arial"/>
          <w:sz w:val="24"/>
          <w:szCs w:val="24"/>
        </w:rPr>
        <w:t>:</w:t>
      </w:r>
    </w:p>
    <w:p w:rsidR="00C102BA" w:rsidRPr="004C4D93" w:rsidRDefault="00C102BA" w:rsidP="0070060F">
      <w:pPr>
        <w:pStyle w:val="ListParagraph"/>
        <w:numPr>
          <w:ilvl w:val="0"/>
          <w:numId w:val="44"/>
        </w:numPr>
        <w:spacing w:after="0" w:line="360" w:lineRule="auto"/>
        <w:rPr>
          <w:rFonts w:ascii="Arial" w:hAnsi="Arial" w:cs="Arial"/>
          <w:sz w:val="24"/>
          <w:szCs w:val="24"/>
        </w:rPr>
      </w:pPr>
      <w:r w:rsidRPr="004C4D93">
        <w:rPr>
          <w:rFonts w:ascii="Arial" w:hAnsi="Arial" w:cs="Arial"/>
          <w:sz w:val="24"/>
          <w:szCs w:val="24"/>
        </w:rPr>
        <w:lastRenderedPageBreak/>
        <w:t>Regularly review all supplier contracts to ensure competitive pricing and favourable terms. Identify opportunities to renegotiate contracts to secure bulk discounts, extended payment terms, or loyalty benefits.</w:t>
      </w:r>
    </w:p>
    <w:p w:rsidR="00C102BA" w:rsidRPr="004C4D93" w:rsidRDefault="00C102BA" w:rsidP="0070060F">
      <w:pPr>
        <w:pStyle w:val="ListParagraph"/>
        <w:numPr>
          <w:ilvl w:val="0"/>
          <w:numId w:val="44"/>
        </w:numPr>
        <w:spacing w:after="0" w:line="360" w:lineRule="auto"/>
        <w:rPr>
          <w:rFonts w:ascii="Arial" w:hAnsi="Arial" w:cs="Arial"/>
          <w:sz w:val="24"/>
          <w:szCs w:val="24"/>
        </w:rPr>
      </w:pPr>
      <w:r w:rsidRPr="004C4D93">
        <w:rPr>
          <w:rFonts w:ascii="Arial" w:hAnsi="Arial" w:cs="Arial"/>
          <w:sz w:val="24"/>
          <w:szCs w:val="24"/>
        </w:rPr>
        <w:t xml:space="preserve">Consider consolidating suppliers to leverage volume discounts. </w:t>
      </w:r>
    </w:p>
    <w:p w:rsidR="00C102BA" w:rsidRPr="004C4D93" w:rsidRDefault="00C102BA" w:rsidP="0070060F">
      <w:pPr>
        <w:pStyle w:val="ListParagraph"/>
        <w:numPr>
          <w:ilvl w:val="0"/>
          <w:numId w:val="44"/>
        </w:numPr>
        <w:spacing w:after="0" w:line="360" w:lineRule="auto"/>
        <w:rPr>
          <w:rFonts w:ascii="Arial" w:hAnsi="Arial" w:cs="Arial"/>
          <w:sz w:val="24"/>
          <w:szCs w:val="24"/>
        </w:rPr>
      </w:pPr>
      <w:r w:rsidRPr="004C4D93">
        <w:rPr>
          <w:rFonts w:ascii="Arial" w:hAnsi="Arial" w:cs="Arial"/>
          <w:sz w:val="24"/>
          <w:szCs w:val="24"/>
        </w:rPr>
        <w:t xml:space="preserve">Explore alternative suppliers, including local vendors, who may offer competitive rates and terms. Building strong relationships with local </w:t>
      </w:r>
      <w:r w:rsidR="004C4D93" w:rsidRPr="004C4D93">
        <w:rPr>
          <w:rFonts w:ascii="Arial" w:hAnsi="Arial" w:cs="Arial"/>
          <w:sz w:val="24"/>
          <w:szCs w:val="24"/>
        </w:rPr>
        <w:t>suppliers.</w:t>
      </w:r>
    </w:p>
    <w:p w:rsidR="00C102BA" w:rsidRPr="008F740C" w:rsidRDefault="00C102BA" w:rsidP="00217C81">
      <w:pPr>
        <w:spacing w:after="0" w:line="360" w:lineRule="auto"/>
        <w:rPr>
          <w:rFonts w:ascii="Arial" w:hAnsi="Arial" w:cs="Arial"/>
          <w:sz w:val="24"/>
          <w:szCs w:val="24"/>
        </w:rPr>
      </w:pPr>
      <w:r w:rsidRPr="008F740C">
        <w:rPr>
          <w:rFonts w:ascii="Arial" w:hAnsi="Arial" w:cs="Arial"/>
          <w:sz w:val="24"/>
          <w:szCs w:val="24"/>
        </w:rPr>
        <w:t>Energy Management</w:t>
      </w:r>
      <w:r w:rsidR="003C5884">
        <w:rPr>
          <w:rFonts w:ascii="Arial" w:hAnsi="Arial" w:cs="Arial"/>
          <w:sz w:val="24"/>
          <w:szCs w:val="24"/>
        </w:rPr>
        <w:t>.</w:t>
      </w:r>
    </w:p>
    <w:p w:rsidR="00217C81" w:rsidRPr="008F740C" w:rsidRDefault="00C102BA" w:rsidP="0070060F">
      <w:pPr>
        <w:pStyle w:val="ListParagraph"/>
        <w:numPr>
          <w:ilvl w:val="0"/>
          <w:numId w:val="10"/>
        </w:numPr>
        <w:spacing w:line="360" w:lineRule="auto"/>
        <w:rPr>
          <w:rFonts w:ascii="Arial" w:hAnsi="Arial" w:cs="Arial"/>
          <w:sz w:val="24"/>
          <w:szCs w:val="24"/>
        </w:rPr>
      </w:pPr>
      <w:r w:rsidRPr="008F740C">
        <w:rPr>
          <w:rFonts w:ascii="Arial" w:hAnsi="Arial" w:cs="Arial"/>
          <w:sz w:val="24"/>
          <w:szCs w:val="24"/>
        </w:rPr>
        <w:t xml:space="preserve">Conduct an energy audit to identify high energy consumption areas and opportunities for savings. </w:t>
      </w:r>
    </w:p>
    <w:p w:rsidR="00C102BA" w:rsidRPr="008F740C" w:rsidRDefault="00C102BA" w:rsidP="0070060F">
      <w:pPr>
        <w:pStyle w:val="ListParagraph"/>
        <w:numPr>
          <w:ilvl w:val="0"/>
          <w:numId w:val="10"/>
        </w:numPr>
        <w:spacing w:line="360" w:lineRule="auto"/>
        <w:rPr>
          <w:rFonts w:ascii="Arial" w:hAnsi="Arial" w:cs="Arial"/>
          <w:sz w:val="24"/>
          <w:szCs w:val="24"/>
        </w:rPr>
      </w:pPr>
      <w:r w:rsidRPr="008F740C">
        <w:rPr>
          <w:rFonts w:ascii="Arial" w:hAnsi="Arial" w:cs="Arial"/>
          <w:sz w:val="24"/>
          <w:szCs w:val="24"/>
        </w:rPr>
        <w:t xml:space="preserve">Invest in energy-efficient appliances, LED lighting, and smart thermostats. </w:t>
      </w:r>
    </w:p>
    <w:p w:rsidR="00C102BA" w:rsidRPr="008F740C" w:rsidRDefault="00C102BA" w:rsidP="0070060F">
      <w:pPr>
        <w:pStyle w:val="ListParagraph"/>
        <w:numPr>
          <w:ilvl w:val="0"/>
          <w:numId w:val="10"/>
        </w:numPr>
        <w:spacing w:line="360" w:lineRule="auto"/>
        <w:rPr>
          <w:rFonts w:ascii="Arial" w:hAnsi="Arial" w:cs="Arial"/>
          <w:sz w:val="24"/>
          <w:szCs w:val="24"/>
        </w:rPr>
      </w:pPr>
      <w:r w:rsidRPr="008F740C">
        <w:rPr>
          <w:rFonts w:ascii="Arial" w:hAnsi="Arial" w:cs="Arial"/>
          <w:sz w:val="24"/>
          <w:szCs w:val="24"/>
        </w:rPr>
        <w:t>Explore the feasibility of using renewable energ</w:t>
      </w:r>
      <w:r w:rsidR="008C1953">
        <w:rPr>
          <w:rFonts w:ascii="Arial" w:hAnsi="Arial" w:cs="Arial"/>
          <w:sz w:val="24"/>
          <w:szCs w:val="24"/>
        </w:rPr>
        <w:t>y sources such as solar panels.</w:t>
      </w:r>
    </w:p>
    <w:p w:rsidR="00C102BA" w:rsidRPr="008F740C" w:rsidRDefault="00C102BA" w:rsidP="0070060F">
      <w:pPr>
        <w:pStyle w:val="ListParagraph"/>
        <w:numPr>
          <w:ilvl w:val="0"/>
          <w:numId w:val="10"/>
        </w:numPr>
        <w:spacing w:after="0" w:line="360" w:lineRule="auto"/>
        <w:rPr>
          <w:rFonts w:ascii="Arial" w:hAnsi="Arial" w:cs="Arial"/>
          <w:sz w:val="24"/>
          <w:szCs w:val="24"/>
        </w:rPr>
      </w:pPr>
      <w:r w:rsidRPr="008F740C">
        <w:rPr>
          <w:rFonts w:ascii="Arial" w:hAnsi="Arial" w:cs="Arial"/>
          <w:sz w:val="24"/>
          <w:szCs w:val="24"/>
        </w:rPr>
        <w:t>Train s</w:t>
      </w:r>
      <w:r w:rsidR="008C1953">
        <w:rPr>
          <w:rFonts w:ascii="Arial" w:hAnsi="Arial" w:cs="Arial"/>
          <w:sz w:val="24"/>
          <w:szCs w:val="24"/>
        </w:rPr>
        <w:t xml:space="preserve">taff on energy-saving </w:t>
      </w:r>
      <w:r w:rsidR="004C4D93">
        <w:rPr>
          <w:rFonts w:ascii="Arial" w:hAnsi="Arial" w:cs="Arial"/>
          <w:sz w:val="24"/>
          <w:szCs w:val="24"/>
        </w:rPr>
        <w:t>practices</w:t>
      </w:r>
      <w:r w:rsidR="004C4D93" w:rsidRPr="008F740C">
        <w:rPr>
          <w:rFonts w:ascii="Arial" w:hAnsi="Arial" w:cs="Arial"/>
          <w:sz w:val="24"/>
          <w:szCs w:val="24"/>
        </w:rPr>
        <w:t>.</w:t>
      </w:r>
    </w:p>
    <w:p w:rsidR="00C102BA" w:rsidRPr="008F740C" w:rsidRDefault="008773F8" w:rsidP="00217C81">
      <w:pPr>
        <w:spacing w:after="0" w:line="360" w:lineRule="auto"/>
        <w:rPr>
          <w:rFonts w:ascii="Arial" w:hAnsi="Arial" w:cs="Arial"/>
          <w:sz w:val="24"/>
          <w:szCs w:val="24"/>
        </w:rPr>
      </w:pPr>
      <w:r w:rsidRPr="008F740C">
        <w:rPr>
          <w:rFonts w:ascii="Arial" w:hAnsi="Arial" w:cs="Arial"/>
          <w:sz w:val="24"/>
          <w:szCs w:val="24"/>
        </w:rPr>
        <w:t>Staff Optimis</w:t>
      </w:r>
      <w:r w:rsidR="00C102BA" w:rsidRPr="008F740C">
        <w:rPr>
          <w:rFonts w:ascii="Arial" w:hAnsi="Arial" w:cs="Arial"/>
          <w:sz w:val="24"/>
          <w:szCs w:val="24"/>
        </w:rPr>
        <w:t>ation</w:t>
      </w:r>
      <w:r w:rsidR="003C5884">
        <w:rPr>
          <w:rFonts w:ascii="Arial" w:hAnsi="Arial" w:cs="Arial"/>
          <w:sz w:val="24"/>
          <w:szCs w:val="24"/>
        </w:rPr>
        <w:t>.</w:t>
      </w:r>
    </w:p>
    <w:p w:rsidR="00C102BA" w:rsidRPr="008F740C" w:rsidRDefault="00C102BA" w:rsidP="0070060F">
      <w:pPr>
        <w:pStyle w:val="ListParagraph"/>
        <w:numPr>
          <w:ilvl w:val="0"/>
          <w:numId w:val="11"/>
        </w:numPr>
        <w:spacing w:line="360" w:lineRule="auto"/>
        <w:rPr>
          <w:rFonts w:ascii="Arial" w:hAnsi="Arial" w:cs="Arial"/>
          <w:sz w:val="24"/>
          <w:szCs w:val="24"/>
        </w:rPr>
      </w:pPr>
      <w:r w:rsidRPr="008F740C">
        <w:rPr>
          <w:rFonts w:ascii="Arial" w:hAnsi="Arial" w:cs="Arial"/>
          <w:sz w:val="24"/>
          <w:szCs w:val="24"/>
        </w:rPr>
        <w:t>Implement demand-based scheduling to ensure staffing levels match occ</w:t>
      </w:r>
      <w:r w:rsidR="00217C81" w:rsidRPr="008F740C">
        <w:rPr>
          <w:rFonts w:ascii="Arial" w:hAnsi="Arial" w:cs="Arial"/>
          <w:sz w:val="24"/>
          <w:szCs w:val="24"/>
        </w:rPr>
        <w:t>upancy rates and event bookings</w:t>
      </w:r>
      <w:r w:rsidRPr="008F740C">
        <w:rPr>
          <w:rFonts w:ascii="Arial" w:hAnsi="Arial" w:cs="Arial"/>
          <w:sz w:val="24"/>
          <w:szCs w:val="24"/>
        </w:rPr>
        <w:t>.</w:t>
      </w:r>
    </w:p>
    <w:p w:rsidR="00C102BA" w:rsidRPr="008527F8" w:rsidRDefault="00C102BA" w:rsidP="0070060F">
      <w:pPr>
        <w:pStyle w:val="ListParagraph"/>
        <w:numPr>
          <w:ilvl w:val="0"/>
          <w:numId w:val="11"/>
        </w:numPr>
        <w:spacing w:after="0" w:line="360" w:lineRule="auto"/>
        <w:rPr>
          <w:rFonts w:ascii="Arial" w:hAnsi="Arial" w:cs="Arial"/>
          <w:sz w:val="24"/>
          <w:szCs w:val="24"/>
        </w:rPr>
      </w:pPr>
      <w:r w:rsidRPr="008527F8">
        <w:rPr>
          <w:rFonts w:ascii="Arial" w:hAnsi="Arial" w:cs="Arial"/>
          <w:sz w:val="24"/>
          <w:szCs w:val="24"/>
        </w:rPr>
        <w:t xml:space="preserve">Cross-train employees to perform multiple roles. </w:t>
      </w:r>
    </w:p>
    <w:p w:rsidR="00D30883" w:rsidRDefault="00C102BA" w:rsidP="0070060F">
      <w:pPr>
        <w:pStyle w:val="ListParagraph"/>
        <w:numPr>
          <w:ilvl w:val="0"/>
          <w:numId w:val="11"/>
        </w:numPr>
        <w:spacing w:after="0" w:line="360" w:lineRule="auto"/>
        <w:rPr>
          <w:rFonts w:ascii="Arial" w:hAnsi="Arial" w:cs="Arial"/>
          <w:sz w:val="24"/>
          <w:szCs w:val="24"/>
        </w:rPr>
      </w:pPr>
      <w:r w:rsidRPr="00D30883">
        <w:rPr>
          <w:rFonts w:ascii="Arial" w:hAnsi="Arial" w:cs="Arial"/>
          <w:sz w:val="24"/>
          <w:szCs w:val="24"/>
        </w:rPr>
        <w:t xml:space="preserve">Introduce performance-based incentives to motivate staff to improve efficiency and productivity. </w:t>
      </w:r>
    </w:p>
    <w:p w:rsidR="000D71BC" w:rsidRPr="00E22388" w:rsidRDefault="000D71BC" w:rsidP="008F17C5">
      <w:pPr>
        <w:spacing w:after="0" w:line="360" w:lineRule="auto"/>
        <w:rPr>
          <w:rFonts w:ascii="Arial" w:hAnsi="Arial" w:cs="Arial"/>
          <w:sz w:val="24"/>
          <w:szCs w:val="24"/>
          <w:u w:val="single"/>
        </w:rPr>
      </w:pPr>
      <w:r w:rsidRPr="00E22388">
        <w:rPr>
          <w:rFonts w:ascii="Arial" w:hAnsi="Arial" w:cs="Arial"/>
          <w:sz w:val="24"/>
          <w:szCs w:val="24"/>
          <w:u w:val="single"/>
        </w:rPr>
        <w:t>Customer Experience</w:t>
      </w:r>
      <w:r w:rsidR="008F740C" w:rsidRPr="00E22388">
        <w:rPr>
          <w:rFonts w:ascii="Arial" w:hAnsi="Arial" w:cs="Arial"/>
          <w:sz w:val="24"/>
          <w:szCs w:val="24"/>
          <w:u w:val="single"/>
        </w:rPr>
        <w:t>.</w:t>
      </w:r>
    </w:p>
    <w:p w:rsidR="000D71BC" w:rsidRPr="008F740C" w:rsidRDefault="000D71BC" w:rsidP="008F740C">
      <w:pPr>
        <w:spacing w:after="0" w:line="360" w:lineRule="auto"/>
        <w:rPr>
          <w:rFonts w:ascii="Arial" w:hAnsi="Arial" w:cs="Arial"/>
          <w:sz w:val="24"/>
          <w:szCs w:val="24"/>
        </w:rPr>
      </w:pPr>
      <w:r w:rsidRPr="008F740C">
        <w:rPr>
          <w:rFonts w:ascii="Arial" w:hAnsi="Arial" w:cs="Arial"/>
          <w:sz w:val="24"/>
          <w:szCs w:val="24"/>
        </w:rPr>
        <w:t>Facility Upgrades</w:t>
      </w:r>
      <w:r w:rsidR="004C4D93">
        <w:rPr>
          <w:rFonts w:ascii="Arial" w:hAnsi="Arial" w:cs="Arial"/>
          <w:sz w:val="24"/>
          <w:szCs w:val="24"/>
        </w:rPr>
        <w:t>/</w:t>
      </w:r>
      <w:r w:rsidRPr="008F740C">
        <w:rPr>
          <w:rFonts w:ascii="Arial" w:hAnsi="Arial" w:cs="Arial"/>
          <w:sz w:val="24"/>
          <w:szCs w:val="24"/>
        </w:rPr>
        <w:t>Modernisation and Renovation:</w:t>
      </w:r>
    </w:p>
    <w:p w:rsidR="000D71BC" w:rsidRPr="008F740C" w:rsidRDefault="000D71BC" w:rsidP="0070060F">
      <w:pPr>
        <w:pStyle w:val="ListParagraph"/>
        <w:numPr>
          <w:ilvl w:val="0"/>
          <w:numId w:val="12"/>
        </w:numPr>
        <w:spacing w:after="0" w:line="360" w:lineRule="auto"/>
        <w:rPr>
          <w:rFonts w:ascii="Arial" w:hAnsi="Arial" w:cs="Arial"/>
          <w:sz w:val="24"/>
          <w:szCs w:val="24"/>
        </w:rPr>
      </w:pPr>
      <w:r w:rsidRPr="008F740C">
        <w:rPr>
          <w:rFonts w:ascii="Arial" w:hAnsi="Arial" w:cs="Arial"/>
          <w:sz w:val="24"/>
          <w:szCs w:val="24"/>
        </w:rPr>
        <w:t>Update guest rooms with modern amenities, comfortable furnishings, and contemporary décor. Consider adding features such as smart TVs, high-speed internet, and ergonomic workspaces to cater to both leisure and business travellers.</w:t>
      </w:r>
      <w:r w:rsidR="00D30883" w:rsidRPr="00D30883">
        <w:rPr>
          <w:rFonts w:ascii="Arial" w:hAnsi="Arial" w:cs="Arial"/>
          <w:sz w:val="24"/>
          <w:szCs w:val="24"/>
        </w:rPr>
        <w:t xml:space="preserve"> </w:t>
      </w:r>
      <w:r w:rsidR="00D30883" w:rsidRPr="008F740C">
        <w:rPr>
          <w:rFonts w:ascii="Arial" w:hAnsi="Arial" w:cs="Arial"/>
          <w:sz w:val="24"/>
          <w:szCs w:val="24"/>
        </w:rPr>
        <w:t>Refresh common areas like the lobby, dining spaces, and meeting rooms</w:t>
      </w:r>
      <w:r w:rsidR="00D30883">
        <w:rPr>
          <w:rFonts w:ascii="Arial" w:hAnsi="Arial" w:cs="Arial"/>
          <w:sz w:val="24"/>
          <w:szCs w:val="24"/>
        </w:rPr>
        <w:t>.</w:t>
      </w:r>
    </w:p>
    <w:p w:rsidR="00D30883" w:rsidRDefault="000D71BC" w:rsidP="004C4D93">
      <w:pPr>
        <w:spacing w:after="0" w:line="360" w:lineRule="auto"/>
        <w:ind w:left="360"/>
        <w:rPr>
          <w:rFonts w:ascii="Arial" w:hAnsi="Arial" w:cs="Arial"/>
          <w:sz w:val="24"/>
          <w:szCs w:val="24"/>
        </w:rPr>
      </w:pPr>
      <w:r w:rsidRPr="00D30883">
        <w:rPr>
          <w:rFonts w:ascii="Arial" w:hAnsi="Arial" w:cs="Arial"/>
          <w:sz w:val="24"/>
          <w:szCs w:val="24"/>
        </w:rPr>
        <w:t xml:space="preserve">Service Training: </w:t>
      </w:r>
    </w:p>
    <w:p w:rsidR="000D71BC" w:rsidRPr="00D30883" w:rsidRDefault="000D71BC" w:rsidP="0070060F">
      <w:pPr>
        <w:pStyle w:val="ListParagraph"/>
        <w:numPr>
          <w:ilvl w:val="0"/>
          <w:numId w:val="12"/>
        </w:numPr>
        <w:spacing w:line="360" w:lineRule="auto"/>
        <w:rPr>
          <w:rFonts w:ascii="Arial" w:hAnsi="Arial" w:cs="Arial"/>
          <w:sz w:val="24"/>
          <w:szCs w:val="24"/>
        </w:rPr>
      </w:pPr>
      <w:r w:rsidRPr="00D30883">
        <w:rPr>
          <w:rFonts w:ascii="Arial" w:hAnsi="Arial" w:cs="Arial"/>
          <w:sz w:val="24"/>
          <w:szCs w:val="24"/>
        </w:rPr>
        <w:t>Comprehensive Training Programs.</w:t>
      </w:r>
      <w:r w:rsidR="00217C81" w:rsidRPr="00D30883">
        <w:rPr>
          <w:rFonts w:ascii="Arial" w:hAnsi="Arial" w:cs="Arial"/>
          <w:sz w:val="24"/>
          <w:szCs w:val="24"/>
        </w:rPr>
        <w:t xml:space="preserve">  Develop training programs that emphasise exceptional customer service skills.</w:t>
      </w:r>
    </w:p>
    <w:p w:rsidR="00217C81" w:rsidRPr="008F740C" w:rsidRDefault="000D71BC" w:rsidP="0070060F">
      <w:pPr>
        <w:pStyle w:val="ListParagraph"/>
        <w:numPr>
          <w:ilvl w:val="0"/>
          <w:numId w:val="13"/>
        </w:numPr>
        <w:spacing w:line="360" w:lineRule="auto"/>
        <w:rPr>
          <w:rFonts w:ascii="Arial" w:hAnsi="Arial" w:cs="Arial"/>
          <w:sz w:val="24"/>
          <w:szCs w:val="24"/>
        </w:rPr>
      </w:pPr>
      <w:r w:rsidRPr="008F740C">
        <w:rPr>
          <w:rFonts w:ascii="Arial" w:hAnsi="Arial" w:cs="Arial"/>
          <w:sz w:val="24"/>
          <w:szCs w:val="24"/>
        </w:rPr>
        <w:t xml:space="preserve">Train staff to be culturally sensitive and aware of the diverse backgrounds of guests. </w:t>
      </w:r>
    </w:p>
    <w:p w:rsidR="008F740C" w:rsidRPr="008F740C" w:rsidRDefault="000D71BC" w:rsidP="0070060F">
      <w:pPr>
        <w:pStyle w:val="ListParagraph"/>
        <w:numPr>
          <w:ilvl w:val="0"/>
          <w:numId w:val="13"/>
        </w:numPr>
        <w:spacing w:after="0" w:line="360" w:lineRule="auto"/>
        <w:rPr>
          <w:rFonts w:ascii="Arial" w:hAnsi="Arial" w:cs="Arial"/>
          <w:sz w:val="24"/>
          <w:szCs w:val="24"/>
        </w:rPr>
      </w:pPr>
      <w:r w:rsidRPr="008F740C">
        <w:rPr>
          <w:rFonts w:ascii="Arial" w:hAnsi="Arial" w:cs="Arial"/>
          <w:sz w:val="24"/>
          <w:szCs w:val="24"/>
        </w:rPr>
        <w:t>Provide training on the latest technology used in hotel operations</w:t>
      </w:r>
      <w:r w:rsidR="00217C81" w:rsidRPr="008F740C">
        <w:rPr>
          <w:rFonts w:ascii="Arial" w:hAnsi="Arial" w:cs="Arial"/>
          <w:sz w:val="24"/>
          <w:szCs w:val="24"/>
        </w:rPr>
        <w:t>.</w:t>
      </w:r>
    </w:p>
    <w:p w:rsidR="00A033DC" w:rsidRPr="008F740C" w:rsidRDefault="00A033DC" w:rsidP="008F740C">
      <w:pPr>
        <w:spacing w:after="0" w:line="360" w:lineRule="auto"/>
        <w:rPr>
          <w:rFonts w:ascii="Arial" w:hAnsi="Arial" w:cs="Arial"/>
          <w:sz w:val="24"/>
          <w:szCs w:val="24"/>
        </w:rPr>
      </w:pPr>
      <w:r w:rsidRPr="008F740C">
        <w:rPr>
          <w:rFonts w:ascii="Arial" w:hAnsi="Arial" w:cs="Arial"/>
          <w:sz w:val="24"/>
          <w:szCs w:val="24"/>
        </w:rPr>
        <w:t>Feedback Mechanisms: Robust Feedback Systems</w:t>
      </w:r>
      <w:r w:rsidR="00217C81" w:rsidRPr="008F740C">
        <w:rPr>
          <w:rFonts w:ascii="Arial" w:hAnsi="Arial" w:cs="Arial"/>
          <w:sz w:val="24"/>
          <w:szCs w:val="24"/>
        </w:rPr>
        <w:t>:</w:t>
      </w:r>
    </w:p>
    <w:p w:rsidR="00217C81" w:rsidRPr="008F740C" w:rsidRDefault="00A033DC" w:rsidP="0070060F">
      <w:pPr>
        <w:pStyle w:val="ListParagraph"/>
        <w:numPr>
          <w:ilvl w:val="0"/>
          <w:numId w:val="14"/>
        </w:numPr>
        <w:spacing w:line="360" w:lineRule="auto"/>
        <w:rPr>
          <w:rFonts w:ascii="Arial" w:hAnsi="Arial" w:cs="Arial"/>
          <w:sz w:val="24"/>
          <w:szCs w:val="24"/>
        </w:rPr>
      </w:pPr>
      <w:r w:rsidRPr="008F740C">
        <w:rPr>
          <w:rFonts w:ascii="Arial" w:hAnsi="Arial" w:cs="Arial"/>
          <w:sz w:val="24"/>
          <w:szCs w:val="24"/>
        </w:rPr>
        <w:lastRenderedPageBreak/>
        <w:t xml:space="preserve">Implement post-stay surveys to gather detailed feedback on guest experiences. </w:t>
      </w:r>
    </w:p>
    <w:p w:rsidR="00217C81" w:rsidRPr="008F740C" w:rsidRDefault="00A033DC" w:rsidP="0070060F">
      <w:pPr>
        <w:pStyle w:val="ListParagraph"/>
        <w:numPr>
          <w:ilvl w:val="0"/>
          <w:numId w:val="14"/>
        </w:numPr>
        <w:spacing w:line="360" w:lineRule="auto"/>
        <w:rPr>
          <w:rFonts w:ascii="Arial" w:hAnsi="Arial" w:cs="Arial"/>
          <w:sz w:val="24"/>
          <w:szCs w:val="24"/>
        </w:rPr>
      </w:pPr>
      <w:r w:rsidRPr="008F740C">
        <w:rPr>
          <w:rFonts w:ascii="Arial" w:hAnsi="Arial" w:cs="Arial"/>
          <w:sz w:val="24"/>
          <w:szCs w:val="24"/>
        </w:rPr>
        <w:t xml:space="preserve">Encourage guests to provide feedback during their stay using digital platforms or in-room tablets. </w:t>
      </w:r>
    </w:p>
    <w:p w:rsidR="00665AFF" w:rsidRPr="008F740C" w:rsidRDefault="00A033DC" w:rsidP="0070060F">
      <w:pPr>
        <w:pStyle w:val="ListParagraph"/>
        <w:numPr>
          <w:ilvl w:val="0"/>
          <w:numId w:val="14"/>
        </w:numPr>
        <w:spacing w:after="0" w:line="360" w:lineRule="auto"/>
        <w:rPr>
          <w:rFonts w:ascii="Arial" w:hAnsi="Arial" w:cs="Arial"/>
          <w:sz w:val="24"/>
          <w:szCs w:val="24"/>
        </w:rPr>
      </w:pPr>
      <w:r w:rsidRPr="008F740C">
        <w:rPr>
          <w:rFonts w:ascii="Arial" w:hAnsi="Arial" w:cs="Arial"/>
          <w:sz w:val="24"/>
          <w:szCs w:val="24"/>
        </w:rPr>
        <w:t>Actively monitor social media platforms and online review sites to track guest feedback and sentiment. Respond promptly to reviews, both positive and negative</w:t>
      </w:r>
      <w:r w:rsidR="00217C81" w:rsidRPr="008F740C">
        <w:rPr>
          <w:rFonts w:ascii="Arial" w:hAnsi="Arial" w:cs="Arial"/>
          <w:sz w:val="24"/>
          <w:szCs w:val="24"/>
        </w:rPr>
        <w:t>.</w:t>
      </w:r>
    </w:p>
    <w:p w:rsidR="00891E62" w:rsidRPr="00E22388" w:rsidRDefault="00891E62" w:rsidP="008F740C">
      <w:pPr>
        <w:spacing w:after="0" w:line="360" w:lineRule="auto"/>
        <w:rPr>
          <w:rFonts w:ascii="Arial" w:hAnsi="Arial" w:cs="Arial"/>
          <w:sz w:val="24"/>
          <w:szCs w:val="24"/>
          <w:u w:val="single"/>
        </w:rPr>
      </w:pPr>
      <w:r w:rsidRPr="00E22388">
        <w:rPr>
          <w:rFonts w:ascii="Arial" w:hAnsi="Arial" w:cs="Arial"/>
          <w:sz w:val="24"/>
          <w:szCs w:val="24"/>
          <w:u w:val="single"/>
        </w:rPr>
        <w:t>Marketing and Sales</w:t>
      </w:r>
      <w:r w:rsidR="004C4D93" w:rsidRPr="00E22388">
        <w:rPr>
          <w:rFonts w:ascii="Arial" w:hAnsi="Arial" w:cs="Arial"/>
          <w:sz w:val="24"/>
          <w:szCs w:val="24"/>
          <w:u w:val="single"/>
        </w:rPr>
        <w:t>.</w:t>
      </w:r>
    </w:p>
    <w:p w:rsidR="00891E62" w:rsidRPr="008F740C" w:rsidRDefault="00891E62" w:rsidP="008F740C">
      <w:pPr>
        <w:spacing w:after="0" w:line="360" w:lineRule="auto"/>
        <w:rPr>
          <w:rFonts w:ascii="Arial" w:hAnsi="Arial" w:cs="Arial"/>
          <w:sz w:val="24"/>
          <w:szCs w:val="24"/>
        </w:rPr>
      </w:pPr>
      <w:r w:rsidRPr="008F740C">
        <w:rPr>
          <w:rFonts w:ascii="Arial" w:hAnsi="Arial" w:cs="Arial"/>
          <w:sz w:val="24"/>
          <w:szCs w:val="24"/>
        </w:rPr>
        <w:t>Social Media Marketing</w:t>
      </w:r>
      <w:r w:rsidR="004C4D93">
        <w:rPr>
          <w:rFonts w:ascii="Arial" w:hAnsi="Arial" w:cs="Arial"/>
          <w:sz w:val="24"/>
          <w:szCs w:val="24"/>
        </w:rPr>
        <w:t>:</w:t>
      </w:r>
    </w:p>
    <w:p w:rsidR="00891E62" w:rsidRPr="008F740C" w:rsidRDefault="00891E62" w:rsidP="0070060F">
      <w:pPr>
        <w:pStyle w:val="ListParagraph"/>
        <w:numPr>
          <w:ilvl w:val="0"/>
          <w:numId w:val="34"/>
        </w:numPr>
        <w:spacing w:line="360" w:lineRule="auto"/>
        <w:rPr>
          <w:rFonts w:ascii="Arial" w:hAnsi="Arial" w:cs="Arial"/>
          <w:sz w:val="24"/>
          <w:szCs w:val="24"/>
        </w:rPr>
      </w:pPr>
      <w:r w:rsidRPr="008F740C">
        <w:rPr>
          <w:rFonts w:ascii="Arial" w:hAnsi="Arial" w:cs="Arial"/>
          <w:sz w:val="24"/>
          <w:szCs w:val="24"/>
        </w:rPr>
        <w:t>Platform Utilisation</w:t>
      </w:r>
      <w:r w:rsidR="00217C81" w:rsidRPr="008F740C">
        <w:rPr>
          <w:rFonts w:ascii="Arial" w:hAnsi="Arial" w:cs="Arial"/>
          <w:sz w:val="24"/>
          <w:szCs w:val="24"/>
        </w:rPr>
        <w:t>.</w:t>
      </w:r>
    </w:p>
    <w:p w:rsidR="00891E62" w:rsidRPr="008F740C" w:rsidRDefault="00891E62" w:rsidP="0070060F">
      <w:pPr>
        <w:pStyle w:val="ListParagraph"/>
        <w:numPr>
          <w:ilvl w:val="0"/>
          <w:numId w:val="34"/>
        </w:numPr>
        <w:spacing w:after="0" w:line="360" w:lineRule="auto"/>
        <w:rPr>
          <w:rFonts w:ascii="Arial" w:hAnsi="Arial" w:cs="Arial"/>
          <w:sz w:val="24"/>
          <w:szCs w:val="24"/>
        </w:rPr>
      </w:pPr>
      <w:r w:rsidRPr="008F740C">
        <w:rPr>
          <w:rFonts w:ascii="Arial" w:hAnsi="Arial" w:cs="Arial"/>
          <w:sz w:val="24"/>
          <w:szCs w:val="24"/>
        </w:rPr>
        <w:t>Targeted Advertising</w:t>
      </w:r>
      <w:r w:rsidR="00217C81" w:rsidRPr="008F740C">
        <w:rPr>
          <w:rFonts w:ascii="Arial" w:hAnsi="Arial" w:cs="Arial"/>
          <w:sz w:val="24"/>
          <w:szCs w:val="24"/>
        </w:rPr>
        <w:t>.</w:t>
      </w:r>
    </w:p>
    <w:p w:rsidR="00891E62" w:rsidRPr="008F740C" w:rsidRDefault="00665AFF" w:rsidP="008F740C">
      <w:pPr>
        <w:spacing w:after="0" w:line="360" w:lineRule="auto"/>
        <w:rPr>
          <w:rFonts w:ascii="Arial" w:hAnsi="Arial" w:cs="Arial"/>
          <w:sz w:val="24"/>
          <w:szCs w:val="24"/>
        </w:rPr>
      </w:pPr>
      <w:r w:rsidRPr="008F740C">
        <w:rPr>
          <w:rFonts w:ascii="Arial" w:hAnsi="Arial" w:cs="Arial"/>
          <w:sz w:val="24"/>
          <w:szCs w:val="24"/>
        </w:rPr>
        <w:t>Search Engine Optimis</w:t>
      </w:r>
      <w:r w:rsidR="00891E62" w:rsidRPr="008F740C">
        <w:rPr>
          <w:rFonts w:ascii="Arial" w:hAnsi="Arial" w:cs="Arial"/>
          <w:sz w:val="24"/>
          <w:szCs w:val="24"/>
        </w:rPr>
        <w:t>ation (SEO):</w:t>
      </w:r>
    </w:p>
    <w:p w:rsidR="00891E62" w:rsidRPr="008F740C" w:rsidRDefault="00891E62" w:rsidP="0070060F">
      <w:pPr>
        <w:pStyle w:val="ListParagraph"/>
        <w:numPr>
          <w:ilvl w:val="0"/>
          <w:numId w:val="15"/>
        </w:numPr>
        <w:spacing w:line="360" w:lineRule="auto"/>
        <w:rPr>
          <w:rFonts w:ascii="Arial" w:hAnsi="Arial" w:cs="Arial"/>
          <w:sz w:val="24"/>
          <w:szCs w:val="24"/>
        </w:rPr>
      </w:pPr>
      <w:r w:rsidRPr="008F740C">
        <w:rPr>
          <w:rFonts w:ascii="Arial" w:hAnsi="Arial" w:cs="Arial"/>
          <w:sz w:val="24"/>
          <w:szCs w:val="24"/>
        </w:rPr>
        <w:t>Keyword Optimisation</w:t>
      </w:r>
      <w:r w:rsidR="00217C81" w:rsidRPr="008F740C">
        <w:rPr>
          <w:rFonts w:ascii="Arial" w:hAnsi="Arial" w:cs="Arial"/>
          <w:sz w:val="24"/>
          <w:szCs w:val="24"/>
        </w:rPr>
        <w:t>.</w:t>
      </w:r>
    </w:p>
    <w:p w:rsidR="00891E62" w:rsidRPr="008F740C" w:rsidRDefault="00891E62" w:rsidP="0070060F">
      <w:pPr>
        <w:pStyle w:val="ListParagraph"/>
        <w:numPr>
          <w:ilvl w:val="0"/>
          <w:numId w:val="15"/>
        </w:numPr>
        <w:spacing w:after="0" w:line="360" w:lineRule="auto"/>
        <w:rPr>
          <w:rFonts w:ascii="Arial" w:hAnsi="Arial" w:cs="Arial"/>
          <w:sz w:val="24"/>
          <w:szCs w:val="24"/>
        </w:rPr>
      </w:pPr>
      <w:r w:rsidRPr="008F740C">
        <w:rPr>
          <w:rFonts w:ascii="Arial" w:hAnsi="Arial" w:cs="Arial"/>
          <w:sz w:val="24"/>
          <w:szCs w:val="24"/>
        </w:rPr>
        <w:t>Local SEO</w:t>
      </w:r>
      <w:r w:rsidR="00217C81" w:rsidRPr="008F740C">
        <w:rPr>
          <w:rFonts w:ascii="Arial" w:hAnsi="Arial" w:cs="Arial"/>
          <w:sz w:val="24"/>
          <w:szCs w:val="24"/>
        </w:rPr>
        <w:t>.</w:t>
      </w:r>
    </w:p>
    <w:p w:rsidR="00891E62" w:rsidRPr="008F740C" w:rsidRDefault="00891E62" w:rsidP="008F740C">
      <w:pPr>
        <w:spacing w:after="0" w:line="360" w:lineRule="auto"/>
        <w:rPr>
          <w:rFonts w:ascii="Arial" w:hAnsi="Arial" w:cs="Arial"/>
          <w:sz w:val="24"/>
          <w:szCs w:val="24"/>
        </w:rPr>
      </w:pPr>
      <w:r w:rsidRPr="008F740C">
        <w:rPr>
          <w:rFonts w:ascii="Arial" w:hAnsi="Arial" w:cs="Arial"/>
          <w:sz w:val="24"/>
          <w:szCs w:val="24"/>
        </w:rPr>
        <w:t>Pay-Per-Click (PPC) Advertising:</w:t>
      </w:r>
    </w:p>
    <w:p w:rsidR="00891E62" w:rsidRPr="008F740C" w:rsidRDefault="00891E62" w:rsidP="0070060F">
      <w:pPr>
        <w:pStyle w:val="ListParagraph"/>
        <w:numPr>
          <w:ilvl w:val="0"/>
          <w:numId w:val="16"/>
        </w:numPr>
        <w:spacing w:line="360" w:lineRule="auto"/>
        <w:rPr>
          <w:rFonts w:ascii="Arial" w:hAnsi="Arial" w:cs="Arial"/>
          <w:sz w:val="24"/>
          <w:szCs w:val="24"/>
        </w:rPr>
      </w:pPr>
      <w:r w:rsidRPr="008F740C">
        <w:rPr>
          <w:rFonts w:ascii="Arial" w:hAnsi="Arial" w:cs="Arial"/>
          <w:sz w:val="24"/>
          <w:szCs w:val="24"/>
        </w:rPr>
        <w:t>Google Ads</w:t>
      </w:r>
      <w:r w:rsidR="00217C81" w:rsidRPr="008F740C">
        <w:rPr>
          <w:rFonts w:ascii="Arial" w:hAnsi="Arial" w:cs="Arial"/>
          <w:sz w:val="24"/>
          <w:szCs w:val="24"/>
        </w:rPr>
        <w:t>.</w:t>
      </w:r>
    </w:p>
    <w:p w:rsidR="00891E62" w:rsidRPr="008F740C" w:rsidRDefault="00891E62" w:rsidP="0070060F">
      <w:pPr>
        <w:pStyle w:val="ListParagraph"/>
        <w:numPr>
          <w:ilvl w:val="0"/>
          <w:numId w:val="16"/>
        </w:numPr>
        <w:spacing w:after="0" w:line="360" w:lineRule="auto"/>
        <w:rPr>
          <w:rFonts w:ascii="Arial" w:hAnsi="Arial" w:cs="Arial"/>
          <w:sz w:val="24"/>
          <w:szCs w:val="24"/>
        </w:rPr>
      </w:pPr>
      <w:r w:rsidRPr="008F740C">
        <w:rPr>
          <w:rFonts w:ascii="Arial" w:hAnsi="Arial" w:cs="Arial"/>
          <w:sz w:val="24"/>
          <w:szCs w:val="24"/>
        </w:rPr>
        <w:t>Retargeting Campaigns</w:t>
      </w:r>
      <w:r w:rsidR="00217C81" w:rsidRPr="008F740C">
        <w:rPr>
          <w:rFonts w:ascii="Arial" w:hAnsi="Arial" w:cs="Arial"/>
          <w:sz w:val="24"/>
          <w:szCs w:val="24"/>
        </w:rPr>
        <w:t>.</w:t>
      </w:r>
    </w:p>
    <w:p w:rsidR="00217C81" w:rsidRPr="008F740C" w:rsidRDefault="00C53264" w:rsidP="008F740C">
      <w:pPr>
        <w:spacing w:after="0" w:line="360" w:lineRule="auto"/>
        <w:rPr>
          <w:rFonts w:ascii="Arial" w:hAnsi="Arial" w:cs="Arial"/>
          <w:sz w:val="24"/>
          <w:szCs w:val="24"/>
        </w:rPr>
      </w:pPr>
      <w:r w:rsidRPr="008F740C">
        <w:rPr>
          <w:rFonts w:ascii="Arial" w:hAnsi="Arial" w:cs="Arial"/>
          <w:sz w:val="24"/>
          <w:szCs w:val="24"/>
        </w:rPr>
        <w:t>Content Marketing:</w:t>
      </w:r>
    </w:p>
    <w:p w:rsidR="00C53264" w:rsidRPr="008F740C" w:rsidRDefault="00C53264" w:rsidP="0070060F">
      <w:pPr>
        <w:pStyle w:val="ListParagraph"/>
        <w:numPr>
          <w:ilvl w:val="0"/>
          <w:numId w:val="33"/>
        </w:numPr>
        <w:spacing w:line="360" w:lineRule="auto"/>
        <w:rPr>
          <w:rFonts w:ascii="Arial" w:hAnsi="Arial" w:cs="Arial"/>
          <w:sz w:val="24"/>
          <w:szCs w:val="24"/>
        </w:rPr>
      </w:pPr>
      <w:r w:rsidRPr="008F740C">
        <w:rPr>
          <w:rFonts w:ascii="Arial" w:hAnsi="Arial" w:cs="Arial"/>
          <w:sz w:val="24"/>
          <w:szCs w:val="24"/>
        </w:rPr>
        <w:t>Blog Posts:</w:t>
      </w:r>
    </w:p>
    <w:p w:rsidR="008F740C" w:rsidRPr="008F740C" w:rsidRDefault="00C53264" w:rsidP="0070060F">
      <w:pPr>
        <w:pStyle w:val="ListParagraph"/>
        <w:numPr>
          <w:ilvl w:val="0"/>
          <w:numId w:val="17"/>
        </w:numPr>
        <w:spacing w:line="360" w:lineRule="auto"/>
        <w:rPr>
          <w:rFonts w:ascii="Arial" w:hAnsi="Arial" w:cs="Arial"/>
          <w:sz w:val="24"/>
          <w:szCs w:val="24"/>
        </w:rPr>
      </w:pPr>
      <w:r w:rsidRPr="008F740C">
        <w:rPr>
          <w:rFonts w:ascii="Arial" w:hAnsi="Arial" w:cs="Arial"/>
          <w:sz w:val="24"/>
          <w:szCs w:val="24"/>
        </w:rPr>
        <w:t>Informative Articles</w:t>
      </w:r>
      <w:r w:rsidR="008F740C" w:rsidRPr="008F740C">
        <w:rPr>
          <w:rFonts w:ascii="Arial" w:hAnsi="Arial" w:cs="Arial"/>
          <w:sz w:val="24"/>
          <w:szCs w:val="24"/>
        </w:rPr>
        <w:t>.</w:t>
      </w:r>
    </w:p>
    <w:p w:rsidR="008F740C" w:rsidRDefault="00C53264" w:rsidP="0070060F">
      <w:pPr>
        <w:pStyle w:val="ListParagraph"/>
        <w:numPr>
          <w:ilvl w:val="0"/>
          <w:numId w:val="17"/>
        </w:numPr>
        <w:spacing w:after="0" w:line="360" w:lineRule="auto"/>
        <w:rPr>
          <w:rFonts w:ascii="Arial" w:hAnsi="Arial" w:cs="Arial"/>
          <w:sz w:val="24"/>
          <w:szCs w:val="24"/>
        </w:rPr>
      </w:pPr>
      <w:r w:rsidRPr="008F740C">
        <w:rPr>
          <w:rFonts w:ascii="Arial" w:hAnsi="Arial" w:cs="Arial"/>
          <w:sz w:val="24"/>
          <w:szCs w:val="24"/>
        </w:rPr>
        <w:t>Guest Stories</w:t>
      </w:r>
      <w:r w:rsidR="008F740C" w:rsidRPr="008F740C">
        <w:rPr>
          <w:rFonts w:ascii="Arial" w:hAnsi="Arial" w:cs="Arial"/>
          <w:sz w:val="24"/>
          <w:szCs w:val="24"/>
        </w:rPr>
        <w:t>.</w:t>
      </w:r>
    </w:p>
    <w:p w:rsidR="00C53264" w:rsidRPr="008F740C" w:rsidRDefault="00C53264" w:rsidP="008F740C">
      <w:pPr>
        <w:spacing w:after="0" w:line="360" w:lineRule="auto"/>
        <w:rPr>
          <w:rFonts w:ascii="Arial" w:hAnsi="Arial" w:cs="Arial"/>
          <w:sz w:val="24"/>
          <w:szCs w:val="24"/>
        </w:rPr>
      </w:pPr>
      <w:r w:rsidRPr="008F740C">
        <w:rPr>
          <w:rFonts w:ascii="Arial" w:hAnsi="Arial" w:cs="Arial"/>
          <w:sz w:val="24"/>
          <w:szCs w:val="24"/>
        </w:rPr>
        <w:t xml:space="preserve">Seasonal Promotions: </w:t>
      </w:r>
    </w:p>
    <w:p w:rsidR="008F740C" w:rsidRPr="008F740C" w:rsidRDefault="00C53264" w:rsidP="0070060F">
      <w:pPr>
        <w:pStyle w:val="ListParagraph"/>
        <w:numPr>
          <w:ilvl w:val="0"/>
          <w:numId w:val="18"/>
        </w:numPr>
        <w:spacing w:line="360" w:lineRule="auto"/>
        <w:rPr>
          <w:rFonts w:ascii="Arial" w:hAnsi="Arial" w:cs="Arial"/>
          <w:sz w:val="24"/>
          <w:szCs w:val="24"/>
        </w:rPr>
      </w:pPr>
      <w:r w:rsidRPr="008F740C">
        <w:rPr>
          <w:rFonts w:ascii="Arial" w:hAnsi="Arial" w:cs="Arial"/>
          <w:sz w:val="24"/>
          <w:szCs w:val="24"/>
        </w:rPr>
        <w:t xml:space="preserve">Offer discounted rates during off-peak seasons to attract budget-conscious travellers. </w:t>
      </w:r>
    </w:p>
    <w:p w:rsidR="008F740C" w:rsidRPr="008F740C" w:rsidRDefault="00C53264" w:rsidP="0070060F">
      <w:pPr>
        <w:pStyle w:val="ListParagraph"/>
        <w:numPr>
          <w:ilvl w:val="0"/>
          <w:numId w:val="18"/>
        </w:numPr>
        <w:spacing w:line="360" w:lineRule="auto"/>
        <w:rPr>
          <w:rFonts w:ascii="Arial" w:hAnsi="Arial" w:cs="Arial"/>
          <w:sz w:val="24"/>
          <w:szCs w:val="24"/>
        </w:rPr>
      </w:pPr>
      <w:r w:rsidRPr="008F740C">
        <w:rPr>
          <w:rFonts w:ascii="Arial" w:hAnsi="Arial" w:cs="Arial"/>
          <w:sz w:val="24"/>
          <w:szCs w:val="24"/>
        </w:rPr>
        <w:t xml:space="preserve">Create bundled packages that include accommodations, meals, and local experiences at a reduced price. </w:t>
      </w:r>
    </w:p>
    <w:p w:rsidR="00C53264" w:rsidRPr="008F740C" w:rsidRDefault="008C1953" w:rsidP="0070060F">
      <w:pPr>
        <w:pStyle w:val="ListParagraph"/>
        <w:numPr>
          <w:ilvl w:val="0"/>
          <w:numId w:val="18"/>
        </w:numPr>
        <w:spacing w:line="360" w:lineRule="auto"/>
        <w:rPr>
          <w:rFonts w:ascii="Arial" w:hAnsi="Arial" w:cs="Arial"/>
          <w:sz w:val="24"/>
          <w:szCs w:val="24"/>
        </w:rPr>
      </w:pPr>
      <w:r>
        <w:rPr>
          <w:rFonts w:ascii="Arial" w:hAnsi="Arial" w:cs="Arial"/>
          <w:sz w:val="24"/>
          <w:szCs w:val="24"/>
        </w:rPr>
        <w:t>Holiday and Event Promotions.</w:t>
      </w:r>
    </w:p>
    <w:p w:rsidR="008F740C" w:rsidRPr="008F740C" w:rsidRDefault="00C53264" w:rsidP="0070060F">
      <w:pPr>
        <w:pStyle w:val="ListParagraph"/>
        <w:numPr>
          <w:ilvl w:val="0"/>
          <w:numId w:val="19"/>
        </w:numPr>
        <w:spacing w:after="0" w:line="360" w:lineRule="auto"/>
        <w:rPr>
          <w:rFonts w:ascii="Arial" w:hAnsi="Arial" w:cs="Arial"/>
          <w:sz w:val="24"/>
          <w:szCs w:val="24"/>
        </w:rPr>
      </w:pPr>
      <w:r w:rsidRPr="008F740C">
        <w:rPr>
          <w:rFonts w:ascii="Arial" w:hAnsi="Arial" w:cs="Arial"/>
          <w:sz w:val="24"/>
          <w:szCs w:val="24"/>
        </w:rPr>
        <w:t>Event-Based Offers</w:t>
      </w:r>
      <w:r w:rsidR="008F740C" w:rsidRPr="008F740C">
        <w:rPr>
          <w:rFonts w:ascii="Arial" w:hAnsi="Arial" w:cs="Arial"/>
          <w:sz w:val="24"/>
          <w:szCs w:val="24"/>
        </w:rPr>
        <w:t>.</w:t>
      </w:r>
    </w:p>
    <w:p w:rsidR="00C53264" w:rsidRPr="008F740C" w:rsidRDefault="00C53264" w:rsidP="008F740C">
      <w:pPr>
        <w:spacing w:after="0" w:line="360" w:lineRule="auto"/>
        <w:rPr>
          <w:rFonts w:ascii="Arial" w:hAnsi="Arial" w:cs="Arial"/>
          <w:sz w:val="24"/>
          <w:szCs w:val="24"/>
        </w:rPr>
      </w:pPr>
      <w:r w:rsidRPr="008F740C">
        <w:rPr>
          <w:rFonts w:ascii="Arial" w:hAnsi="Arial" w:cs="Arial"/>
          <w:sz w:val="24"/>
          <w:szCs w:val="24"/>
        </w:rPr>
        <w:t>Loyalty Programs:</w:t>
      </w:r>
    </w:p>
    <w:p w:rsidR="00C53264" w:rsidRPr="008F740C" w:rsidRDefault="00C53264" w:rsidP="0070060F">
      <w:pPr>
        <w:pStyle w:val="ListParagraph"/>
        <w:numPr>
          <w:ilvl w:val="0"/>
          <w:numId w:val="20"/>
        </w:numPr>
        <w:spacing w:line="360" w:lineRule="auto"/>
        <w:rPr>
          <w:rFonts w:ascii="Arial" w:hAnsi="Arial" w:cs="Arial"/>
          <w:sz w:val="24"/>
          <w:szCs w:val="24"/>
        </w:rPr>
      </w:pPr>
      <w:r w:rsidRPr="008F740C">
        <w:rPr>
          <w:rFonts w:ascii="Arial" w:hAnsi="Arial" w:cs="Arial"/>
          <w:sz w:val="24"/>
          <w:szCs w:val="24"/>
        </w:rPr>
        <w:t>Member Discounts</w:t>
      </w:r>
      <w:r w:rsidR="008F740C" w:rsidRPr="008F740C">
        <w:rPr>
          <w:rFonts w:ascii="Arial" w:hAnsi="Arial" w:cs="Arial"/>
          <w:sz w:val="24"/>
          <w:szCs w:val="24"/>
        </w:rPr>
        <w:t>.</w:t>
      </w:r>
    </w:p>
    <w:p w:rsidR="000D71BC" w:rsidRPr="001A3E00" w:rsidRDefault="00C53264" w:rsidP="0070060F">
      <w:pPr>
        <w:pStyle w:val="ListParagraph"/>
        <w:numPr>
          <w:ilvl w:val="0"/>
          <w:numId w:val="20"/>
        </w:numPr>
        <w:spacing w:line="360" w:lineRule="auto"/>
        <w:rPr>
          <w:rFonts w:ascii="Arial" w:hAnsi="Arial" w:cs="Arial"/>
          <w:sz w:val="24"/>
          <w:szCs w:val="24"/>
        </w:rPr>
      </w:pPr>
      <w:r w:rsidRPr="008F740C">
        <w:rPr>
          <w:rFonts w:ascii="Arial" w:hAnsi="Arial" w:cs="Arial"/>
          <w:sz w:val="24"/>
          <w:szCs w:val="24"/>
        </w:rPr>
        <w:t>Referral Programs</w:t>
      </w:r>
      <w:r w:rsidR="008F740C" w:rsidRPr="008F740C">
        <w:rPr>
          <w:rFonts w:ascii="Arial" w:hAnsi="Arial" w:cs="Arial"/>
          <w:sz w:val="24"/>
          <w:szCs w:val="24"/>
        </w:rPr>
        <w:t>.</w:t>
      </w:r>
    </w:p>
    <w:p w:rsidR="0063325A" w:rsidRDefault="0063325A" w:rsidP="00D30883">
      <w:pPr>
        <w:spacing w:line="360" w:lineRule="auto"/>
        <w:rPr>
          <w:rFonts w:ascii="Arial" w:hAnsi="Arial" w:cs="Arial"/>
          <w:sz w:val="24"/>
          <w:szCs w:val="24"/>
        </w:rPr>
      </w:pPr>
    </w:p>
    <w:p w:rsidR="004F6368" w:rsidRPr="001A3E00" w:rsidRDefault="004F6368" w:rsidP="001A3E00">
      <w:pPr>
        <w:spacing w:line="360" w:lineRule="auto"/>
        <w:jc w:val="center"/>
        <w:rPr>
          <w:rFonts w:ascii="Arial" w:hAnsi="Arial" w:cs="Arial"/>
          <w:sz w:val="24"/>
          <w:szCs w:val="24"/>
        </w:rPr>
      </w:pPr>
      <w:r w:rsidRPr="001A3E00">
        <w:rPr>
          <w:rFonts w:ascii="Arial" w:hAnsi="Arial" w:cs="Arial"/>
          <w:sz w:val="24"/>
          <w:szCs w:val="24"/>
        </w:rPr>
        <w:lastRenderedPageBreak/>
        <w:t>Financial Forecast and Viability</w:t>
      </w:r>
      <w:r w:rsidR="001A3E00" w:rsidRPr="001A3E00">
        <w:rPr>
          <w:rFonts w:ascii="Arial" w:hAnsi="Arial" w:cs="Arial"/>
          <w:sz w:val="24"/>
          <w:szCs w:val="24"/>
        </w:rPr>
        <w:t>.</w:t>
      </w:r>
    </w:p>
    <w:p w:rsidR="007D565F" w:rsidRPr="00DE1AC2" w:rsidRDefault="001A3E00" w:rsidP="001A3E00">
      <w:pPr>
        <w:spacing w:after="0" w:line="360" w:lineRule="auto"/>
        <w:rPr>
          <w:rFonts w:ascii="Arial" w:hAnsi="Arial" w:cs="Arial"/>
          <w:sz w:val="24"/>
          <w:szCs w:val="24"/>
          <w:u w:val="single"/>
        </w:rPr>
      </w:pPr>
      <w:r w:rsidRPr="00DE1AC2">
        <w:rPr>
          <w:rFonts w:ascii="Arial" w:hAnsi="Arial" w:cs="Arial"/>
          <w:sz w:val="24"/>
          <w:szCs w:val="24"/>
          <w:u w:val="single"/>
        </w:rPr>
        <w:t>Projections, Financial</w:t>
      </w:r>
      <w:r w:rsidR="005F2FC9" w:rsidRPr="00DE1AC2">
        <w:rPr>
          <w:rFonts w:ascii="Arial" w:hAnsi="Arial" w:cs="Arial"/>
          <w:sz w:val="24"/>
          <w:szCs w:val="24"/>
          <w:u w:val="single"/>
        </w:rPr>
        <w:t xml:space="preserve"> Goals and Assumptions</w:t>
      </w:r>
      <w:r w:rsidRPr="00DE1AC2">
        <w:rPr>
          <w:rFonts w:ascii="Arial" w:hAnsi="Arial" w:cs="Arial"/>
          <w:sz w:val="24"/>
          <w:szCs w:val="24"/>
          <w:u w:val="single"/>
        </w:rPr>
        <w:t>:</w:t>
      </w:r>
    </w:p>
    <w:p w:rsidR="00D34CAF" w:rsidRPr="001A3E00" w:rsidRDefault="00D34CAF" w:rsidP="0070060F">
      <w:pPr>
        <w:pStyle w:val="ListParagraph"/>
        <w:numPr>
          <w:ilvl w:val="0"/>
          <w:numId w:val="22"/>
        </w:numPr>
        <w:spacing w:line="360" w:lineRule="auto"/>
        <w:rPr>
          <w:rFonts w:ascii="Arial" w:hAnsi="Arial" w:cs="Arial"/>
          <w:sz w:val="24"/>
          <w:szCs w:val="24"/>
        </w:rPr>
      </w:pPr>
      <w:r w:rsidRPr="001A3E00">
        <w:rPr>
          <w:rFonts w:ascii="Arial" w:hAnsi="Arial" w:cs="Arial"/>
          <w:sz w:val="24"/>
          <w:szCs w:val="24"/>
        </w:rPr>
        <w:t>Increase revenue by 25% in 2024, 30% in 2025, and 35% in 2026</w:t>
      </w:r>
      <w:r w:rsidR="00B542BE" w:rsidRPr="001A3E00">
        <w:rPr>
          <w:rFonts w:ascii="Arial" w:hAnsi="Arial" w:cs="Arial"/>
          <w:sz w:val="24"/>
          <w:szCs w:val="24"/>
        </w:rPr>
        <w:t xml:space="preserve"> (Table No. 1)</w:t>
      </w:r>
      <w:r w:rsidRPr="001A3E00">
        <w:rPr>
          <w:rFonts w:ascii="Arial" w:hAnsi="Arial" w:cs="Arial"/>
          <w:sz w:val="24"/>
          <w:szCs w:val="24"/>
        </w:rPr>
        <w:t>.</w:t>
      </w:r>
    </w:p>
    <w:p w:rsidR="00D34CAF" w:rsidRPr="001A3E00" w:rsidRDefault="00D34CAF" w:rsidP="0070060F">
      <w:pPr>
        <w:pStyle w:val="ListParagraph"/>
        <w:numPr>
          <w:ilvl w:val="0"/>
          <w:numId w:val="22"/>
        </w:numPr>
        <w:spacing w:line="360" w:lineRule="auto"/>
        <w:rPr>
          <w:rFonts w:ascii="Arial" w:hAnsi="Arial" w:cs="Arial"/>
          <w:sz w:val="24"/>
          <w:szCs w:val="24"/>
        </w:rPr>
      </w:pPr>
      <w:r w:rsidRPr="001A3E00">
        <w:rPr>
          <w:rFonts w:ascii="Arial" w:hAnsi="Arial" w:cs="Arial"/>
          <w:sz w:val="24"/>
          <w:szCs w:val="24"/>
        </w:rPr>
        <w:t>Limit the increase in operating expenses to 15%</w:t>
      </w:r>
      <w:r w:rsidR="009807FD" w:rsidRPr="001A3E00">
        <w:rPr>
          <w:rFonts w:ascii="Arial" w:hAnsi="Arial" w:cs="Arial"/>
          <w:sz w:val="24"/>
          <w:szCs w:val="24"/>
        </w:rPr>
        <w:t xml:space="preserve"> - 17%</w:t>
      </w:r>
      <w:r w:rsidRPr="001A3E00">
        <w:rPr>
          <w:rFonts w:ascii="Arial" w:hAnsi="Arial" w:cs="Arial"/>
          <w:sz w:val="24"/>
          <w:szCs w:val="24"/>
        </w:rPr>
        <w:t xml:space="preserve"> annually, excluding one-time investments</w:t>
      </w:r>
      <w:r w:rsidR="00B542BE" w:rsidRPr="001A3E00">
        <w:rPr>
          <w:rFonts w:ascii="Arial" w:hAnsi="Arial" w:cs="Arial"/>
          <w:sz w:val="24"/>
          <w:szCs w:val="24"/>
        </w:rPr>
        <w:t xml:space="preserve"> (Table No. 1)</w:t>
      </w:r>
      <w:r w:rsidRPr="001A3E00">
        <w:rPr>
          <w:rFonts w:ascii="Arial" w:hAnsi="Arial" w:cs="Arial"/>
          <w:sz w:val="24"/>
          <w:szCs w:val="24"/>
        </w:rPr>
        <w:t>.</w:t>
      </w:r>
    </w:p>
    <w:p w:rsidR="00D34CAF" w:rsidRPr="001A3E00" w:rsidRDefault="0009735B" w:rsidP="0070060F">
      <w:pPr>
        <w:pStyle w:val="ListParagraph"/>
        <w:numPr>
          <w:ilvl w:val="0"/>
          <w:numId w:val="22"/>
        </w:numPr>
        <w:spacing w:line="360" w:lineRule="auto"/>
        <w:rPr>
          <w:rFonts w:ascii="Arial" w:hAnsi="Arial" w:cs="Arial"/>
          <w:sz w:val="24"/>
          <w:szCs w:val="24"/>
        </w:rPr>
      </w:pPr>
      <w:r w:rsidRPr="001A3E00">
        <w:rPr>
          <w:rFonts w:ascii="Arial" w:hAnsi="Arial" w:cs="Arial"/>
          <w:color w:val="0D0D0D"/>
          <w:sz w:val="24"/>
          <w:szCs w:val="24"/>
          <w:shd w:val="clear" w:color="auto" w:fill="FFFFFF"/>
        </w:rPr>
        <w:t>To reach the break-even point in 2025, achieving a positive net income of £90,250.</w:t>
      </w:r>
    </w:p>
    <w:p w:rsidR="00D34CAF" w:rsidRPr="001A3E00" w:rsidRDefault="00D34CAF" w:rsidP="0070060F">
      <w:pPr>
        <w:pStyle w:val="ListParagraph"/>
        <w:numPr>
          <w:ilvl w:val="0"/>
          <w:numId w:val="22"/>
        </w:numPr>
        <w:spacing w:line="360" w:lineRule="auto"/>
        <w:rPr>
          <w:rFonts w:ascii="Arial" w:hAnsi="Arial" w:cs="Arial"/>
          <w:sz w:val="24"/>
          <w:szCs w:val="24"/>
        </w:rPr>
      </w:pPr>
      <w:r w:rsidRPr="001A3E00">
        <w:rPr>
          <w:rFonts w:ascii="Arial" w:hAnsi="Arial" w:cs="Arial"/>
          <w:sz w:val="24"/>
          <w:szCs w:val="24"/>
        </w:rPr>
        <w:t>Reduce the OER</w:t>
      </w:r>
      <w:r w:rsidR="00D30883" w:rsidRPr="00D30883">
        <w:rPr>
          <w:rFonts w:ascii="Arial" w:hAnsi="Arial" w:cs="Arial"/>
          <w:sz w:val="24"/>
          <w:szCs w:val="24"/>
        </w:rPr>
        <w:t xml:space="preserve"> </w:t>
      </w:r>
      <w:r w:rsidR="00D30883">
        <w:rPr>
          <w:rFonts w:ascii="Arial" w:hAnsi="Arial" w:cs="Arial"/>
          <w:sz w:val="24"/>
          <w:szCs w:val="24"/>
        </w:rPr>
        <w:t>(</w:t>
      </w:r>
      <w:r w:rsidR="00D30883" w:rsidRPr="001A3E00">
        <w:rPr>
          <w:rFonts w:ascii="Arial" w:hAnsi="Arial" w:cs="Arial"/>
          <w:sz w:val="24"/>
          <w:szCs w:val="24"/>
        </w:rPr>
        <w:t>Operating Expense Ratio</w:t>
      </w:r>
      <w:r w:rsidR="00D30883">
        <w:rPr>
          <w:rFonts w:ascii="Arial" w:hAnsi="Arial" w:cs="Arial"/>
          <w:sz w:val="24"/>
          <w:szCs w:val="24"/>
        </w:rPr>
        <w:t>)</w:t>
      </w:r>
      <w:r w:rsidRPr="001A3E00">
        <w:rPr>
          <w:rFonts w:ascii="Arial" w:hAnsi="Arial" w:cs="Arial"/>
          <w:sz w:val="24"/>
          <w:szCs w:val="24"/>
        </w:rPr>
        <w:t xml:space="preserve"> from </w:t>
      </w:r>
      <w:r w:rsidR="009807FD" w:rsidRPr="001A3E00">
        <w:rPr>
          <w:rFonts w:ascii="Arial" w:eastAsia="Times New Roman" w:hAnsi="Arial" w:cs="Arial"/>
          <w:color w:val="0D0D0D"/>
          <w:sz w:val="24"/>
          <w:szCs w:val="24"/>
        </w:rPr>
        <w:t>109.56</w:t>
      </w:r>
      <w:r w:rsidRPr="001A3E00">
        <w:rPr>
          <w:rFonts w:ascii="Arial" w:hAnsi="Arial" w:cs="Arial"/>
          <w:sz w:val="24"/>
          <w:szCs w:val="24"/>
        </w:rPr>
        <w:t xml:space="preserve">% in 2024 to </w:t>
      </w:r>
      <w:r w:rsidR="009807FD" w:rsidRPr="001A3E00">
        <w:rPr>
          <w:rFonts w:ascii="Arial" w:eastAsia="Times New Roman" w:hAnsi="Arial" w:cs="Arial"/>
          <w:color w:val="0D0D0D"/>
          <w:sz w:val="24"/>
          <w:szCs w:val="24"/>
        </w:rPr>
        <w:t>98.63%</w:t>
      </w:r>
      <w:r w:rsidRPr="001A3E00">
        <w:rPr>
          <w:rFonts w:ascii="Arial" w:hAnsi="Arial" w:cs="Arial"/>
          <w:sz w:val="24"/>
          <w:szCs w:val="24"/>
        </w:rPr>
        <w:t xml:space="preserve"> in 2025 and further down to </w:t>
      </w:r>
      <w:r w:rsidR="009807FD" w:rsidRPr="001A3E00">
        <w:rPr>
          <w:rFonts w:ascii="Arial" w:eastAsia="Times New Roman" w:hAnsi="Arial" w:cs="Arial"/>
          <w:color w:val="0D0D0D"/>
          <w:sz w:val="24"/>
          <w:szCs w:val="24"/>
        </w:rPr>
        <w:t xml:space="preserve">83.86% </w:t>
      </w:r>
      <w:r w:rsidRPr="001A3E00">
        <w:rPr>
          <w:rFonts w:ascii="Arial" w:hAnsi="Arial" w:cs="Arial"/>
          <w:sz w:val="24"/>
          <w:szCs w:val="24"/>
        </w:rPr>
        <w:t>in 2026</w:t>
      </w:r>
      <w:r w:rsidR="008C1953">
        <w:rPr>
          <w:rFonts w:ascii="Arial" w:hAnsi="Arial" w:cs="Arial"/>
          <w:sz w:val="24"/>
          <w:szCs w:val="24"/>
        </w:rPr>
        <w:t xml:space="preserve"> (Table No. 1)</w:t>
      </w:r>
      <w:r w:rsidRPr="001A3E00">
        <w:rPr>
          <w:rFonts w:ascii="Arial" w:hAnsi="Arial" w:cs="Arial"/>
          <w:sz w:val="24"/>
          <w:szCs w:val="24"/>
        </w:rPr>
        <w:t>.</w:t>
      </w:r>
    </w:p>
    <w:p w:rsidR="00665AFF" w:rsidRPr="001A3E00" w:rsidRDefault="00665AFF" w:rsidP="0070060F">
      <w:pPr>
        <w:pStyle w:val="ListParagraph"/>
        <w:numPr>
          <w:ilvl w:val="0"/>
          <w:numId w:val="22"/>
        </w:numPr>
        <w:spacing w:line="360" w:lineRule="auto"/>
        <w:rPr>
          <w:rFonts w:ascii="Arial" w:hAnsi="Arial" w:cs="Arial"/>
          <w:sz w:val="24"/>
          <w:szCs w:val="24"/>
        </w:rPr>
      </w:pPr>
      <w:r w:rsidRPr="001A3E00">
        <w:rPr>
          <w:rFonts w:ascii="Arial" w:hAnsi="Arial" w:cs="Arial"/>
          <w:sz w:val="24"/>
          <w:szCs w:val="24"/>
        </w:rPr>
        <w:t xml:space="preserve">Debt Repayment 10-Year Plan </w:t>
      </w:r>
      <w:r w:rsidR="00412033" w:rsidRPr="001A3E00">
        <w:rPr>
          <w:rFonts w:ascii="Arial" w:hAnsi="Arial" w:cs="Arial"/>
          <w:sz w:val="24"/>
          <w:szCs w:val="24"/>
        </w:rPr>
        <w:t>b</w:t>
      </w:r>
      <w:r w:rsidR="00D34CAF" w:rsidRPr="001A3E00">
        <w:rPr>
          <w:rFonts w:ascii="Arial" w:hAnsi="Arial" w:cs="Arial"/>
          <w:sz w:val="24"/>
          <w:szCs w:val="24"/>
        </w:rPr>
        <w:t>ased on allocating approximately 45.6% of net income to debt repayment</w:t>
      </w:r>
      <w:r w:rsidR="00412033" w:rsidRPr="001A3E00">
        <w:rPr>
          <w:rFonts w:ascii="Arial" w:hAnsi="Arial" w:cs="Arial"/>
          <w:sz w:val="24"/>
          <w:szCs w:val="24"/>
        </w:rPr>
        <w:t xml:space="preserve"> (Table No.3)</w:t>
      </w:r>
      <w:r w:rsidR="00D34CAF" w:rsidRPr="001A3E00">
        <w:rPr>
          <w:rFonts w:ascii="Arial" w:hAnsi="Arial" w:cs="Arial"/>
          <w:sz w:val="24"/>
          <w:szCs w:val="24"/>
        </w:rPr>
        <w:t xml:space="preserve">. </w:t>
      </w:r>
    </w:p>
    <w:p w:rsidR="0009735B" w:rsidRPr="001A3E00" w:rsidRDefault="0009735B" w:rsidP="001A3E00">
      <w:pPr>
        <w:pStyle w:val="ListParagraph"/>
        <w:spacing w:line="360" w:lineRule="auto"/>
        <w:rPr>
          <w:rFonts w:ascii="Arial" w:hAnsi="Arial" w:cs="Arial"/>
          <w:sz w:val="24"/>
          <w:szCs w:val="24"/>
        </w:rPr>
      </w:pPr>
      <w:r w:rsidRPr="001A3E00">
        <w:rPr>
          <w:rFonts w:ascii="Arial" w:hAnsi="Arial" w:cs="Arial"/>
          <w:sz w:val="24"/>
          <w:szCs w:val="24"/>
        </w:rPr>
        <w:t>* Allows for adjustments based on actual financial performance.</w:t>
      </w:r>
    </w:p>
    <w:p w:rsidR="00665AFF" w:rsidRPr="001A3E00" w:rsidRDefault="00665AFF" w:rsidP="0070060F">
      <w:pPr>
        <w:pStyle w:val="ListParagraph"/>
        <w:numPr>
          <w:ilvl w:val="0"/>
          <w:numId w:val="24"/>
        </w:numPr>
        <w:spacing w:after="0" w:line="360" w:lineRule="auto"/>
        <w:rPr>
          <w:rFonts w:ascii="Arial" w:hAnsi="Arial" w:cs="Arial"/>
          <w:sz w:val="24"/>
          <w:szCs w:val="24"/>
        </w:rPr>
      </w:pPr>
      <w:r w:rsidRPr="001A3E00">
        <w:rPr>
          <w:rFonts w:ascii="Arial" w:hAnsi="Arial" w:cs="Arial"/>
          <w:sz w:val="24"/>
          <w:szCs w:val="24"/>
        </w:rPr>
        <w:t>Investments in Modernisation and Renovation, Marketing Programs and Training Programs.</w:t>
      </w:r>
    </w:p>
    <w:p w:rsidR="00D34CAF" w:rsidRPr="001A3E00" w:rsidRDefault="0009735B" w:rsidP="001A3E00">
      <w:pPr>
        <w:pStyle w:val="ListParagraph"/>
        <w:spacing w:line="360" w:lineRule="auto"/>
        <w:rPr>
          <w:rFonts w:ascii="Arial" w:hAnsi="Arial" w:cs="Arial"/>
          <w:sz w:val="24"/>
          <w:szCs w:val="24"/>
        </w:rPr>
      </w:pPr>
      <w:r w:rsidRPr="001A3E00">
        <w:rPr>
          <w:rFonts w:ascii="Arial" w:hAnsi="Arial" w:cs="Arial"/>
          <w:sz w:val="24"/>
          <w:szCs w:val="24"/>
        </w:rPr>
        <w:t>Modernis</w:t>
      </w:r>
      <w:r w:rsidR="00D34CAF" w:rsidRPr="001A3E00">
        <w:rPr>
          <w:rFonts w:ascii="Arial" w:hAnsi="Arial" w:cs="Arial"/>
          <w:sz w:val="24"/>
          <w:szCs w:val="24"/>
        </w:rPr>
        <w:t>ation and Renovation: £100,000</w:t>
      </w:r>
    </w:p>
    <w:p w:rsidR="00D34CAF" w:rsidRPr="001A3E00" w:rsidRDefault="00D34CAF" w:rsidP="001A3E00">
      <w:pPr>
        <w:pStyle w:val="ListParagraph"/>
        <w:spacing w:line="360" w:lineRule="auto"/>
        <w:rPr>
          <w:rFonts w:ascii="Arial" w:hAnsi="Arial" w:cs="Arial"/>
          <w:sz w:val="24"/>
          <w:szCs w:val="24"/>
        </w:rPr>
      </w:pPr>
      <w:r w:rsidRPr="001A3E00">
        <w:rPr>
          <w:rFonts w:ascii="Arial" w:hAnsi="Arial" w:cs="Arial"/>
          <w:sz w:val="24"/>
          <w:szCs w:val="24"/>
        </w:rPr>
        <w:t>Marketing Programs: £20,000</w:t>
      </w:r>
    </w:p>
    <w:p w:rsidR="00D34CAF" w:rsidRPr="001A3E00" w:rsidRDefault="00D34CAF" w:rsidP="001A3E00">
      <w:pPr>
        <w:pStyle w:val="ListParagraph"/>
        <w:spacing w:after="0" w:line="360" w:lineRule="auto"/>
        <w:rPr>
          <w:rFonts w:ascii="Arial" w:hAnsi="Arial" w:cs="Arial"/>
          <w:sz w:val="24"/>
          <w:szCs w:val="24"/>
        </w:rPr>
      </w:pPr>
      <w:r w:rsidRPr="001A3E00">
        <w:rPr>
          <w:rFonts w:ascii="Arial" w:hAnsi="Arial" w:cs="Arial"/>
          <w:sz w:val="24"/>
          <w:szCs w:val="24"/>
        </w:rPr>
        <w:t>Training Programs: £20,000</w:t>
      </w:r>
    </w:p>
    <w:p w:rsidR="00D34CAF" w:rsidRPr="007724C3" w:rsidRDefault="001A3E00" w:rsidP="007724C3">
      <w:pPr>
        <w:pStyle w:val="ListParagraph"/>
        <w:spacing w:after="0" w:line="360" w:lineRule="auto"/>
        <w:rPr>
          <w:rFonts w:ascii="Arial" w:hAnsi="Arial" w:cs="Arial"/>
          <w:sz w:val="24"/>
          <w:szCs w:val="24"/>
          <w:u w:val="single"/>
        </w:rPr>
      </w:pPr>
      <w:r w:rsidRPr="007724C3">
        <w:rPr>
          <w:rFonts w:ascii="Arial" w:hAnsi="Arial" w:cs="Arial"/>
          <w:sz w:val="24"/>
          <w:szCs w:val="24"/>
          <w:u w:val="single"/>
        </w:rPr>
        <w:t>Total Investments in Year 1 (2024):</w:t>
      </w:r>
      <w:r w:rsidR="00D34CAF" w:rsidRPr="007724C3">
        <w:rPr>
          <w:rFonts w:ascii="Arial" w:hAnsi="Arial" w:cs="Arial"/>
          <w:sz w:val="24"/>
          <w:szCs w:val="24"/>
          <w:u w:val="single"/>
        </w:rPr>
        <w:t xml:space="preserve"> £140,000</w:t>
      </w:r>
    </w:p>
    <w:p w:rsidR="0063325A" w:rsidRPr="003C5884" w:rsidRDefault="0063325A" w:rsidP="003C5884">
      <w:pPr>
        <w:rPr>
          <w:rFonts w:ascii="Arial" w:hAnsi="Arial" w:cs="Arial"/>
          <w:sz w:val="24"/>
          <w:szCs w:val="24"/>
        </w:rPr>
      </w:pPr>
    </w:p>
    <w:p w:rsidR="0063325A" w:rsidRPr="001A3E00" w:rsidRDefault="0063325A" w:rsidP="00B542BE">
      <w:pPr>
        <w:pStyle w:val="ListParagraph"/>
        <w:rPr>
          <w:rFonts w:ascii="Arial" w:hAnsi="Arial" w:cs="Arial"/>
          <w:sz w:val="24"/>
          <w:szCs w:val="24"/>
        </w:rPr>
      </w:pPr>
    </w:p>
    <w:p w:rsidR="00D34CAF" w:rsidRPr="001A3E00" w:rsidRDefault="00412033" w:rsidP="006A658A">
      <w:pPr>
        <w:pStyle w:val="ListParagraph"/>
        <w:spacing w:after="0"/>
        <w:rPr>
          <w:rFonts w:ascii="Arial" w:hAnsi="Arial" w:cs="Arial"/>
          <w:sz w:val="24"/>
          <w:szCs w:val="24"/>
        </w:rPr>
      </w:pPr>
      <w:r w:rsidRPr="001A3E00">
        <w:rPr>
          <w:rFonts w:ascii="Arial" w:hAnsi="Arial" w:cs="Arial"/>
          <w:sz w:val="24"/>
          <w:szCs w:val="24"/>
        </w:rPr>
        <w:t>Table No.</w:t>
      </w:r>
      <w:r w:rsidR="00B542BE" w:rsidRPr="001A3E00">
        <w:rPr>
          <w:rFonts w:ascii="Arial" w:hAnsi="Arial" w:cs="Arial"/>
          <w:sz w:val="24"/>
          <w:szCs w:val="24"/>
        </w:rPr>
        <w:t xml:space="preserve">1- Revenue </w:t>
      </w:r>
      <w:r w:rsidR="001A3E00" w:rsidRPr="001A3E00">
        <w:rPr>
          <w:rFonts w:ascii="Arial" w:hAnsi="Arial" w:cs="Arial"/>
          <w:sz w:val="24"/>
          <w:szCs w:val="24"/>
        </w:rPr>
        <w:t>Growth,</w:t>
      </w:r>
      <w:r w:rsidR="00B542BE" w:rsidRPr="001A3E00">
        <w:rPr>
          <w:rFonts w:ascii="Arial" w:hAnsi="Arial" w:cs="Arial"/>
          <w:sz w:val="24"/>
          <w:szCs w:val="24"/>
        </w:rPr>
        <w:t xml:space="preserve"> Cost Management and OER.</w:t>
      </w:r>
    </w:p>
    <w:tbl>
      <w:tblPr>
        <w:tblStyle w:val="TableGrid"/>
        <w:tblW w:w="0" w:type="auto"/>
        <w:jc w:val="center"/>
        <w:tblLook w:val="04A0"/>
      </w:tblPr>
      <w:tblGrid>
        <w:gridCol w:w="622"/>
        <w:gridCol w:w="1131"/>
        <w:gridCol w:w="1022"/>
        <w:gridCol w:w="1860"/>
        <w:gridCol w:w="1022"/>
        <w:gridCol w:w="1234"/>
        <w:gridCol w:w="923"/>
      </w:tblGrid>
      <w:tr w:rsidR="009807FD" w:rsidRPr="006A658A" w:rsidTr="009E1C77">
        <w:trPr>
          <w:jc w:val="center"/>
        </w:trPr>
        <w:tc>
          <w:tcPr>
            <w:tcW w:w="0" w:type="auto"/>
            <w:vAlign w:val="center"/>
            <w:hideMark/>
          </w:tcPr>
          <w:p w:rsidR="009807FD" w:rsidRPr="006A658A" w:rsidRDefault="009807FD" w:rsidP="009E1C77">
            <w:pPr>
              <w:spacing w:line="360" w:lineRule="auto"/>
              <w:jc w:val="center"/>
              <w:rPr>
                <w:rFonts w:eastAsia="Times New Roman" w:cstheme="minorHAnsi"/>
                <w:b/>
                <w:bCs/>
                <w:color w:val="0D0D0D"/>
                <w:sz w:val="20"/>
                <w:szCs w:val="20"/>
              </w:rPr>
            </w:pPr>
            <w:r w:rsidRPr="006A658A">
              <w:rPr>
                <w:rFonts w:eastAsia="Times New Roman" w:cstheme="minorHAnsi"/>
                <w:b/>
                <w:bCs/>
                <w:color w:val="0D0D0D"/>
                <w:sz w:val="20"/>
                <w:szCs w:val="20"/>
              </w:rPr>
              <w:t>Year</w:t>
            </w:r>
          </w:p>
        </w:tc>
        <w:tc>
          <w:tcPr>
            <w:tcW w:w="0" w:type="auto"/>
            <w:vAlign w:val="center"/>
            <w:hideMark/>
          </w:tcPr>
          <w:p w:rsidR="009807FD" w:rsidRPr="006A658A" w:rsidRDefault="009807FD" w:rsidP="009E1C77">
            <w:pPr>
              <w:spacing w:line="360" w:lineRule="auto"/>
              <w:jc w:val="center"/>
              <w:rPr>
                <w:rFonts w:eastAsia="Times New Roman" w:cstheme="minorHAnsi"/>
                <w:b/>
                <w:bCs/>
                <w:color w:val="0D0D0D"/>
                <w:sz w:val="20"/>
                <w:szCs w:val="20"/>
              </w:rPr>
            </w:pPr>
            <w:r w:rsidRPr="006A658A">
              <w:rPr>
                <w:rFonts w:eastAsia="Times New Roman" w:cstheme="minorHAnsi"/>
                <w:b/>
                <w:bCs/>
                <w:color w:val="0D0D0D"/>
                <w:sz w:val="20"/>
                <w:szCs w:val="20"/>
              </w:rPr>
              <w:t>Revenue</w:t>
            </w:r>
          </w:p>
        </w:tc>
        <w:tc>
          <w:tcPr>
            <w:tcW w:w="0" w:type="auto"/>
            <w:vAlign w:val="center"/>
            <w:hideMark/>
          </w:tcPr>
          <w:p w:rsidR="009807FD" w:rsidRPr="006A658A" w:rsidRDefault="009807FD" w:rsidP="009E1C77">
            <w:pPr>
              <w:spacing w:line="360" w:lineRule="auto"/>
              <w:jc w:val="center"/>
              <w:rPr>
                <w:rFonts w:eastAsia="Times New Roman" w:cstheme="minorHAnsi"/>
                <w:b/>
                <w:bCs/>
                <w:color w:val="0D0D0D"/>
                <w:sz w:val="20"/>
                <w:szCs w:val="20"/>
              </w:rPr>
            </w:pPr>
            <w:r w:rsidRPr="006A658A">
              <w:rPr>
                <w:rFonts w:eastAsia="Times New Roman" w:cstheme="minorHAnsi"/>
                <w:b/>
                <w:bCs/>
                <w:color w:val="0D0D0D"/>
                <w:sz w:val="20"/>
                <w:szCs w:val="20"/>
              </w:rPr>
              <w:t>% Change</w:t>
            </w:r>
          </w:p>
        </w:tc>
        <w:tc>
          <w:tcPr>
            <w:tcW w:w="0" w:type="auto"/>
            <w:vAlign w:val="center"/>
            <w:hideMark/>
          </w:tcPr>
          <w:p w:rsidR="009807FD" w:rsidRPr="006A658A" w:rsidRDefault="009807FD" w:rsidP="009E1C77">
            <w:pPr>
              <w:spacing w:line="360" w:lineRule="auto"/>
              <w:jc w:val="center"/>
              <w:rPr>
                <w:rFonts w:eastAsia="Times New Roman" w:cstheme="minorHAnsi"/>
                <w:b/>
                <w:bCs/>
                <w:color w:val="0D0D0D"/>
                <w:sz w:val="20"/>
                <w:szCs w:val="20"/>
              </w:rPr>
            </w:pPr>
            <w:r w:rsidRPr="006A658A">
              <w:rPr>
                <w:rFonts w:eastAsia="Times New Roman" w:cstheme="minorHAnsi"/>
                <w:b/>
                <w:bCs/>
                <w:color w:val="0D0D0D"/>
                <w:sz w:val="20"/>
                <w:szCs w:val="20"/>
              </w:rPr>
              <w:t>Operating Expenses</w:t>
            </w:r>
          </w:p>
        </w:tc>
        <w:tc>
          <w:tcPr>
            <w:tcW w:w="0" w:type="auto"/>
            <w:vAlign w:val="center"/>
            <w:hideMark/>
          </w:tcPr>
          <w:p w:rsidR="009807FD" w:rsidRPr="006A658A" w:rsidRDefault="009807FD" w:rsidP="009E1C77">
            <w:pPr>
              <w:spacing w:line="360" w:lineRule="auto"/>
              <w:jc w:val="center"/>
              <w:rPr>
                <w:rFonts w:eastAsia="Times New Roman" w:cstheme="minorHAnsi"/>
                <w:b/>
                <w:bCs/>
                <w:color w:val="0D0D0D"/>
                <w:sz w:val="20"/>
                <w:szCs w:val="20"/>
              </w:rPr>
            </w:pPr>
            <w:r w:rsidRPr="006A658A">
              <w:rPr>
                <w:rFonts w:eastAsia="Times New Roman" w:cstheme="minorHAnsi"/>
                <w:b/>
                <w:bCs/>
                <w:color w:val="0D0D0D"/>
                <w:sz w:val="20"/>
                <w:szCs w:val="20"/>
              </w:rPr>
              <w:t>% Change</w:t>
            </w:r>
          </w:p>
        </w:tc>
        <w:tc>
          <w:tcPr>
            <w:tcW w:w="0" w:type="auto"/>
            <w:vAlign w:val="center"/>
            <w:hideMark/>
          </w:tcPr>
          <w:p w:rsidR="009807FD" w:rsidRPr="006A658A" w:rsidRDefault="009807FD" w:rsidP="009E1C77">
            <w:pPr>
              <w:spacing w:line="360" w:lineRule="auto"/>
              <w:jc w:val="center"/>
              <w:rPr>
                <w:rFonts w:eastAsia="Times New Roman" w:cstheme="minorHAnsi"/>
                <w:b/>
                <w:bCs/>
                <w:color w:val="0D0D0D"/>
                <w:sz w:val="20"/>
                <w:szCs w:val="20"/>
              </w:rPr>
            </w:pPr>
            <w:r w:rsidRPr="006A658A">
              <w:rPr>
                <w:rFonts w:eastAsia="Times New Roman" w:cstheme="minorHAnsi"/>
                <w:b/>
                <w:bCs/>
                <w:color w:val="0D0D0D"/>
                <w:sz w:val="20"/>
                <w:szCs w:val="20"/>
              </w:rPr>
              <w:t>Net Income</w:t>
            </w:r>
          </w:p>
        </w:tc>
        <w:tc>
          <w:tcPr>
            <w:tcW w:w="0" w:type="auto"/>
            <w:vAlign w:val="center"/>
            <w:hideMark/>
          </w:tcPr>
          <w:p w:rsidR="009807FD" w:rsidRPr="006A658A" w:rsidRDefault="009807FD" w:rsidP="009E1C77">
            <w:pPr>
              <w:spacing w:line="360" w:lineRule="auto"/>
              <w:jc w:val="center"/>
              <w:rPr>
                <w:rFonts w:eastAsia="Times New Roman" w:cstheme="minorHAnsi"/>
                <w:b/>
                <w:bCs/>
                <w:color w:val="0D0D0D"/>
                <w:sz w:val="20"/>
                <w:szCs w:val="20"/>
              </w:rPr>
            </w:pPr>
            <w:r w:rsidRPr="006A658A">
              <w:rPr>
                <w:rFonts w:eastAsia="Times New Roman" w:cstheme="minorHAnsi"/>
                <w:b/>
                <w:bCs/>
                <w:color w:val="0D0D0D"/>
                <w:sz w:val="20"/>
                <w:szCs w:val="20"/>
              </w:rPr>
              <w:t>OER</w:t>
            </w:r>
          </w:p>
        </w:tc>
      </w:tr>
      <w:tr w:rsidR="009807FD" w:rsidRPr="006A658A" w:rsidTr="009E1C77">
        <w:trPr>
          <w:jc w:val="center"/>
        </w:trPr>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2021</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£2,500,000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£1,800,000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£700,000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72.00%</w:t>
            </w:r>
          </w:p>
        </w:tc>
      </w:tr>
      <w:tr w:rsidR="009807FD" w:rsidRPr="006A658A" w:rsidTr="009E1C77">
        <w:trPr>
          <w:jc w:val="center"/>
        </w:trPr>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2022</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£2,200,000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-12%</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£2,000,000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+11.11%</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£200,000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90.91%</w:t>
            </w:r>
          </w:p>
        </w:tc>
      </w:tr>
      <w:tr w:rsidR="009807FD" w:rsidRPr="006A658A" w:rsidTr="009E1C77">
        <w:trPr>
          <w:jc w:val="center"/>
        </w:trPr>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2023</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£1,800,000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-18.18%</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£2,300,000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+15%</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(£500,000)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127.78%</w:t>
            </w:r>
          </w:p>
        </w:tc>
      </w:tr>
      <w:tr w:rsidR="009807FD" w:rsidRPr="006A658A" w:rsidTr="009E1C77">
        <w:trPr>
          <w:jc w:val="center"/>
        </w:trPr>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2024</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£2,250,000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+25%</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£2,465,000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+7.17%</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(£215,000)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109.56%</w:t>
            </w:r>
          </w:p>
        </w:tc>
      </w:tr>
      <w:tr w:rsidR="009807FD" w:rsidRPr="006A658A" w:rsidTr="009E1C77">
        <w:trPr>
          <w:jc w:val="center"/>
        </w:trPr>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2025</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£2,925,000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+30%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£2,884,750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+17.03%</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£40,250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98.63%</w:t>
            </w:r>
          </w:p>
        </w:tc>
      </w:tr>
      <w:tr w:rsidR="009807FD" w:rsidRPr="006A658A" w:rsidTr="009E1C77">
        <w:trPr>
          <w:jc w:val="center"/>
        </w:trPr>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2026</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£3,948,750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+35%</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£3,309,962.50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+14.74%</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£638,787.50</w:t>
            </w:r>
          </w:p>
        </w:tc>
        <w:tc>
          <w:tcPr>
            <w:tcW w:w="0" w:type="auto"/>
            <w:vAlign w:val="center"/>
            <w:hideMark/>
          </w:tcPr>
          <w:p w:rsidR="009807FD" w:rsidRPr="006A658A" w:rsidRDefault="009807FD" w:rsidP="009E1C77">
            <w:pPr>
              <w:spacing w:line="360" w:lineRule="auto"/>
              <w:jc w:val="center"/>
              <w:rPr>
                <w:rFonts w:eastAsia="Times New Roman" w:cstheme="minorHAnsi"/>
                <w:b/>
                <w:color w:val="0D0D0D"/>
                <w:sz w:val="20"/>
                <w:szCs w:val="20"/>
              </w:rPr>
            </w:pPr>
            <w:r w:rsidRPr="006A658A">
              <w:rPr>
                <w:rFonts w:eastAsia="Times New Roman" w:cstheme="minorHAnsi"/>
                <w:b/>
                <w:color w:val="0D0D0D"/>
                <w:sz w:val="20"/>
                <w:szCs w:val="20"/>
              </w:rPr>
              <w:t>83.86%</w:t>
            </w:r>
          </w:p>
        </w:tc>
      </w:tr>
    </w:tbl>
    <w:p w:rsidR="00911AFC" w:rsidRPr="006A658A" w:rsidRDefault="00911AFC" w:rsidP="001A3E00">
      <w:pPr>
        <w:rPr>
          <w:rFonts w:cstheme="minorHAnsi"/>
          <w:sz w:val="20"/>
          <w:szCs w:val="20"/>
        </w:rPr>
      </w:pPr>
    </w:p>
    <w:p w:rsidR="00B20AE7" w:rsidRPr="00B20AE7" w:rsidRDefault="00B20AE7" w:rsidP="00B20AE7">
      <w:pPr>
        <w:pStyle w:val="ListParagraph"/>
        <w:spacing w:after="0" w:line="360" w:lineRule="auto"/>
        <w:rPr>
          <w:rFonts w:ascii="Arial" w:hAnsi="Arial" w:cs="Arial"/>
          <w:sz w:val="24"/>
          <w:szCs w:val="24"/>
        </w:rPr>
      </w:pPr>
    </w:p>
    <w:p w:rsidR="003C5884" w:rsidRDefault="003C5884" w:rsidP="001A3E00">
      <w:pPr>
        <w:spacing w:after="0" w:line="360" w:lineRule="auto"/>
        <w:rPr>
          <w:rFonts w:ascii="Arial" w:hAnsi="Arial" w:cs="Arial"/>
          <w:sz w:val="24"/>
          <w:szCs w:val="24"/>
        </w:rPr>
      </w:pPr>
    </w:p>
    <w:p w:rsidR="003C5884" w:rsidRDefault="003C5884" w:rsidP="001A3E00">
      <w:pPr>
        <w:spacing w:after="0" w:line="360" w:lineRule="auto"/>
        <w:rPr>
          <w:rFonts w:ascii="Arial" w:hAnsi="Arial" w:cs="Arial"/>
          <w:sz w:val="24"/>
          <w:szCs w:val="24"/>
        </w:rPr>
      </w:pPr>
    </w:p>
    <w:p w:rsidR="003C5884" w:rsidRDefault="003C5884" w:rsidP="001A3E00">
      <w:pPr>
        <w:spacing w:after="0" w:line="360" w:lineRule="auto"/>
        <w:rPr>
          <w:rFonts w:ascii="Arial" w:hAnsi="Arial" w:cs="Arial"/>
          <w:sz w:val="24"/>
          <w:szCs w:val="24"/>
        </w:rPr>
      </w:pPr>
    </w:p>
    <w:p w:rsidR="00B542BE" w:rsidRPr="001A3E00" w:rsidRDefault="00B542BE" w:rsidP="001A3E00">
      <w:pPr>
        <w:spacing w:after="0" w:line="360" w:lineRule="auto"/>
        <w:rPr>
          <w:rFonts w:ascii="Arial" w:hAnsi="Arial" w:cs="Arial"/>
          <w:sz w:val="24"/>
          <w:szCs w:val="24"/>
        </w:rPr>
      </w:pPr>
      <w:r w:rsidRPr="001A3E00">
        <w:rPr>
          <w:rFonts w:ascii="Arial" w:hAnsi="Arial" w:cs="Arial"/>
          <w:sz w:val="24"/>
          <w:szCs w:val="24"/>
        </w:rPr>
        <w:lastRenderedPageBreak/>
        <w:t>Assumptions</w:t>
      </w:r>
      <w:r w:rsidR="00412033" w:rsidRPr="001A3E00">
        <w:rPr>
          <w:rFonts w:ascii="Arial" w:hAnsi="Arial" w:cs="Arial"/>
          <w:sz w:val="24"/>
          <w:szCs w:val="24"/>
        </w:rPr>
        <w:t>:</w:t>
      </w:r>
    </w:p>
    <w:p w:rsidR="00B542BE" w:rsidRPr="001A3E00" w:rsidRDefault="00B542BE" w:rsidP="0070060F">
      <w:pPr>
        <w:pStyle w:val="ListParagraph"/>
        <w:numPr>
          <w:ilvl w:val="0"/>
          <w:numId w:val="21"/>
        </w:numPr>
        <w:spacing w:line="360" w:lineRule="auto"/>
        <w:rPr>
          <w:rFonts w:ascii="Arial" w:hAnsi="Arial" w:cs="Arial"/>
          <w:sz w:val="24"/>
          <w:szCs w:val="24"/>
        </w:rPr>
      </w:pPr>
      <w:r w:rsidRPr="001A3E00">
        <w:rPr>
          <w:rFonts w:ascii="Arial" w:hAnsi="Arial" w:cs="Arial"/>
          <w:sz w:val="24"/>
          <w:szCs w:val="24"/>
        </w:rPr>
        <w:t>Average Spend per Restaurant Cover: £18</w:t>
      </w:r>
    </w:p>
    <w:p w:rsidR="00B542BE" w:rsidRPr="001A3E00" w:rsidRDefault="00B542BE" w:rsidP="0070060F">
      <w:pPr>
        <w:pStyle w:val="ListParagraph"/>
        <w:numPr>
          <w:ilvl w:val="0"/>
          <w:numId w:val="21"/>
        </w:numPr>
        <w:spacing w:line="360" w:lineRule="auto"/>
        <w:rPr>
          <w:rFonts w:ascii="Arial" w:hAnsi="Arial" w:cs="Arial"/>
          <w:sz w:val="24"/>
          <w:szCs w:val="24"/>
        </w:rPr>
      </w:pPr>
      <w:r w:rsidRPr="001A3E00">
        <w:rPr>
          <w:rFonts w:ascii="Arial" w:hAnsi="Arial" w:cs="Arial"/>
          <w:sz w:val="24"/>
          <w:szCs w:val="24"/>
        </w:rPr>
        <w:t>Average Spend per Event Cover: £25</w:t>
      </w:r>
    </w:p>
    <w:p w:rsidR="00B542BE" w:rsidRPr="001A3E00" w:rsidRDefault="00B542BE" w:rsidP="0070060F">
      <w:pPr>
        <w:pStyle w:val="ListParagraph"/>
        <w:numPr>
          <w:ilvl w:val="0"/>
          <w:numId w:val="21"/>
        </w:numPr>
        <w:spacing w:line="360" w:lineRule="auto"/>
        <w:rPr>
          <w:rFonts w:ascii="Arial" w:hAnsi="Arial" w:cs="Arial"/>
          <w:sz w:val="24"/>
          <w:szCs w:val="24"/>
        </w:rPr>
      </w:pPr>
      <w:r w:rsidRPr="001A3E00">
        <w:rPr>
          <w:rFonts w:ascii="Arial" w:hAnsi="Arial" w:cs="Arial"/>
          <w:sz w:val="24"/>
          <w:szCs w:val="24"/>
        </w:rPr>
        <w:t>Number of Rooms: 98</w:t>
      </w:r>
    </w:p>
    <w:p w:rsidR="00B542BE" w:rsidRPr="001A3E00" w:rsidRDefault="00B542BE" w:rsidP="0070060F">
      <w:pPr>
        <w:pStyle w:val="ListParagraph"/>
        <w:numPr>
          <w:ilvl w:val="0"/>
          <w:numId w:val="21"/>
        </w:numPr>
        <w:spacing w:line="360" w:lineRule="auto"/>
        <w:rPr>
          <w:rFonts w:ascii="Arial" w:hAnsi="Arial" w:cs="Arial"/>
          <w:sz w:val="24"/>
          <w:szCs w:val="24"/>
        </w:rPr>
      </w:pPr>
      <w:r w:rsidRPr="001A3E00">
        <w:rPr>
          <w:rFonts w:ascii="Arial" w:hAnsi="Arial" w:cs="Arial"/>
          <w:sz w:val="24"/>
          <w:szCs w:val="24"/>
        </w:rPr>
        <w:t>Average Room Rate: £100 per night</w:t>
      </w:r>
    </w:p>
    <w:p w:rsidR="006A658A" w:rsidRPr="003C5884" w:rsidRDefault="00B542BE" w:rsidP="0070060F">
      <w:pPr>
        <w:pStyle w:val="ListParagraph"/>
        <w:numPr>
          <w:ilvl w:val="0"/>
          <w:numId w:val="21"/>
        </w:numPr>
        <w:spacing w:line="360" w:lineRule="auto"/>
        <w:rPr>
          <w:rFonts w:ascii="Arial" w:hAnsi="Arial" w:cs="Arial"/>
          <w:sz w:val="24"/>
          <w:szCs w:val="24"/>
        </w:rPr>
      </w:pPr>
      <w:r w:rsidRPr="001A3E00">
        <w:rPr>
          <w:rFonts w:ascii="Arial" w:hAnsi="Arial" w:cs="Arial"/>
          <w:sz w:val="24"/>
          <w:szCs w:val="24"/>
        </w:rPr>
        <w:t>Occupancy Rate: 70%</w:t>
      </w:r>
    </w:p>
    <w:p w:rsidR="005F2FC9" w:rsidRPr="007724C3" w:rsidRDefault="00412033" w:rsidP="007724C3">
      <w:pPr>
        <w:spacing w:after="0"/>
        <w:rPr>
          <w:rFonts w:ascii="Arial" w:hAnsi="Arial" w:cs="Arial"/>
          <w:sz w:val="24"/>
          <w:szCs w:val="24"/>
        </w:rPr>
      </w:pPr>
      <w:r w:rsidRPr="007724C3">
        <w:rPr>
          <w:rFonts w:ascii="Arial" w:hAnsi="Arial" w:cs="Arial"/>
          <w:sz w:val="24"/>
          <w:szCs w:val="24"/>
        </w:rPr>
        <w:t xml:space="preserve">Table No.2 - </w:t>
      </w:r>
      <w:r w:rsidR="00541BE0" w:rsidRPr="007724C3">
        <w:rPr>
          <w:rFonts w:ascii="Arial" w:hAnsi="Arial" w:cs="Arial"/>
          <w:sz w:val="24"/>
          <w:szCs w:val="24"/>
        </w:rPr>
        <w:t>Revenue Streams Forecast</w:t>
      </w:r>
      <w:r w:rsidR="00B542BE" w:rsidRPr="007724C3">
        <w:rPr>
          <w:rFonts w:ascii="Arial" w:hAnsi="Arial" w:cs="Arial"/>
          <w:sz w:val="24"/>
          <w:szCs w:val="24"/>
        </w:rPr>
        <w:t>.</w:t>
      </w:r>
    </w:p>
    <w:tbl>
      <w:tblPr>
        <w:tblStyle w:val="TableGrid"/>
        <w:tblW w:w="0" w:type="auto"/>
        <w:tblLook w:val="04A0"/>
      </w:tblPr>
      <w:tblGrid>
        <w:gridCol w:w="1848"/>
        <w:gridCol w:w="1848"/>
        <w:gridCol w:w="1848"/>
        <w:gridCol w:w="1849"/>
        <w:gridCol w:w="1849"/>
      </w:tblGrid>
      <w:tr w:rsidR="00541BE0" w:rsidRPr="006A658A" w:rsidTr="009E1C77">
        <w:tc>
          <w:tcPr>
            <w:tcW w:w="1848" w:type="dxa"/>
            <w:vAlign w:val="center"/>
          </w:tcPr>
          <w:p w:rsidR="00541BE0" w:rsidRPr="006A658A" w:rsidRDefault="00541BE0" w:rsidP="009E1C77">
            <w:pPr>
              <w:spacing w:line="360" w:lineRule="auto"/>
              <w:jc w:val="center"/>
              <w:rPr>
                <w:rFonts w:cstheme="minorHAnsi"/>
                <w:b/>
                <w:bCs/>
                <w:color w:val="0D0D0D"/>
                <w:sz w:val="20"/>
                <w:szCs w:val="20"/>
              </w:rPr>
            </w:pPr>
            <w:r w:rsidRPr="006A658A">
              <w:rPr>
                <w:rFonts w:cstheme="minorHAnsi"/>
                <w:b/>
                <w:bCs/>
                <w:color w:val="0D0D0D"/>
                <w:sz w:val="20"/>
                <w:szCs w:val="20"/>
              </w:rPr>
              <w:t>Year</w:t>
            </w:r>
          </w:p>
        </w:tc>
        <w:tc>
          <w:tcPr>
            <w:tcW w:w="1848" w:type="dxa"/>
            <w:vAlign w:val="center"/>
          </w:tcPr>
          <w:p w:rsidR="00541BE0" w:rsidRPr="006A658A" w:rsidRDefault="00541BE0" w:rsidP="009E1C77">
            <w:pPr>
              <w:spacing w:line="360" w:lineRule="auto"/>
              <w:jc w:val="center"/>
              <w:rPr>
                <w:rFonts w:cstheme="minorHAnsi"/>
                <w:b/>
                <w:bCs/>
                <w:color w:val="0D0D0D"/>
                <w:sz w:val="20"/>
                <w:szCs w:val="20"/>
              </w:rPr>
            </w:pPr>
            <w:r w:rsidRPr="006A658A">
              <w:rPr>
                <w:rFonts w:cstheme="minorHAnsi"/>
                <w:b/>
                <w:bCs/>
                <w:color w:val="0D0D0D"/>
                <w:sz w:val="20"/>
                <w:szCs w:val="20"/>
              </w:rPr>
              <w:t>Total Revenue</w:t>
            </w:r>
          </w:p>
        </w:tc>
        <w:tc>
          <w:tcPr>
            <w:tcW w:w="1848" w:type="dxa"/>
            <w:vAlign w:val="center"/>
          </w:tcPr>
          <w:p w:rsidR="00541BE0" w:rsidRPr="006A658A" w:rsidRDefault="00541BE0" w:rsidP="009E1C77">
            <w:pPr>
              <w:spacing w:line="360" w:lineRule="auto"/>
              <w:jc w:val="center"/>
              <w:rPr>
                <w:rFonts w:cstheme="minorHAnsi"/>
                <w:b/>
                <w:bCs/>
                <w:color w:val="0D0D0D"/>
                <w:sz w:val="20"/>
                <w:szCs w:val="20"/>
              </w:rPr>
            </w:pPr>
            <w:r w:rsidRPr="006A658A">
              <w:rPr>
                <w:rFonts w:cstheme="minorHAnsi"/>
                <w:b/>
                <w:bCs/>
                <w:color w:val="0D0D0D"/>
                <w:sz w:val="20"/>
                <w:szCs w:val="20"/>
              </w:rPr>
              <w:t>Room Revenue</w:t>
            </w:r>
          </w:p>
        </w:tc>
        <w:tc>
          <w:tcPr>
            <w:tcW w:w="1849" w:type="dxa"/>
            <w:vAlign w:val="center"/>
          </w:tcPr>
          <w:p w:rsidR="00541BE0" w:rsidRPr="006A658A" w:rsidRDefault="00541BE0" w:rsidP="009E1C77">
            <w:pPr>
              <w:spacing w:line="360" w:lineRule="auto"/>
              <w:jc w:val="center"/>
              <w:rPr>
                <w:rFonts w:cstheme="minorHAnsi"/>
                <w:b/>
                <w:bCs/>
                <w:color w:val="0D0D0D"/>
                <w:sz w:val="20"/>
                <w:szCs w:val="20"/>
              </w:rPr>
            </w:pPr>
            <w:r w:rsidRPr="006A658A">
              <w:rPr>
                <w:rFonts w:cstheme="minorHAnsi"/>
                <w:b/>
                <w:bCs/>
                <w:color w:val="0D0D0D"/>
                <w:sz w:val="20"/>
                <w:szCs w:val="20"/>
              </w:rPr>
              <w:t>Restaurant Revenue</w:t>
            </w:r>
          </w:p>
        </w:tc>
        <w:tc>
          <w:tcPr>
            <w:tcW w:w="1849" w:type="dxa"/>
            <w:vAlign w:val="center"/>
          </w:tcPr>
          <w:p w:rsidR="00541BE0" w:rsidRPr="006A658A" w:rsidRDefault="00541BE0" w:rsidP="009E1C77">
            <w:pPr>
              <w:spacing w:line="360" w:lineRule="auto"/>
              <w:jc w:val="center"/>
              <w:rPr>
                <w:rFonts w:cstheme="minorHAnsi"/>
                <w:b/>
                <w:bCs/>
                <w:color w:val="0D0D0D"/>
                <w:sz w:val="20"/>
                <w:szCs w:val="20"/>
              </w:rPr>
            </w:pPr>
            <w:r w:rsidRPr="006A658A">
              <w:rPr>
                <w:rFonts w:cstheme="minorHAnsi"/>
                <w:b/>
                <w:bCs/>
                <w:color w:val="0D0D0D"/>
                <w:sz w:val="20"/>
                <w:szCs w:val="20"/>
              </w:rPr>
              <w:t>Event Revenue</w:t>
            </w:r>
          </w:p>
        </w:tc>
      </w:tr>
      <w:tr w:rsidR="00541BE0" w:rsidRPr="006A658A" w:rsidTr="009E1C77">
        <w:tc>
          <w:tcPr>
            <w:tcW w:w="1848"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2024</w:t>
            </w:r>
          </w:p>
        </w:tc>
        <w:tc>
          <w:tcPr>
            <w:tcW w:w="1848"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£2,250,000</w:t>
            </w:r>
          </w:p>
        </w:tc>
        <w:tc>
          <w:tcPr>
            <w:tcW w:w="1848"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£1,125,000</w:t>
            </w:r>
          </w:p>
        </w:tc>
        <w:tc>
          <w:tcPr>
            <w:tcW w:w="1849"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£900,000</w:t>
            </w:r>
          </w:p>
        </w:tc>
        <w:tc>
          <w:tcPr>
            <w:tcW w:w="1849"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£225,000</w:t>
            </w:r>
          </w:p>
        </w:tc>
      </w:tr>
      <w:tr w:rsidR="00541BE0" w:rsidRPr="006A658A" w:rsidTr="009E1C77">
        <w:tc>
          <w:tcPr>
            <w:tcW w:w="1848"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2025</w:t>
            </w:r>
          </w:p>
        </w:tc>
        <w:tc>
          <w:tcPr>
            <w:tcW w:w="1848"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£2,925,000</w:t>
            </w:r>
          </w:p>
        </w:tc>
        <w:tc>
          <w:tcPr>
            <w:tcW w:w="1848"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£1,462,500</w:t>
            </w:r>
          </w:p>
        </w:tc>
        <w:tc>
          <w:tcPr>
            <w:tcW w:w="1849"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£1,170,000</w:t>
            </w:r>
          </w:p>
        </w:tc>
        <w:tc>
          <w:tcPr>
            <w:tcW w:w="1849"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£292,500</w:t>
            </w:r>
          </w:p>
        </w:tc>
      </w:tr>
      <w:tr w:rsidR="00541BE0" w:rsidRPr="006A658A" w:rsidTr="009E1C77">
        <w:tc>
          <w:tcPr>
            <w:tcW w:w="1848"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2026</w:t>
            </w:r>
          </w:p>
        </w:tc>
        <w:tc>
          <w:tcPr>
            <w:tcW w:w="1848"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£3,948,750</w:t>
            </w:r>
          </w:p>
        </w:tc>
        <w:tc>
          <w:tcPr>
            <w:tcW w:w="1848"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£1,974,375</w:t>
            </w:r>
          </w:p>
        </w:tc>
        <w:tc>
          <w:tcPr>
            <w:tcW w:w="1849"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£1,579,500</w:t>
            </w:r>
          </w:p>
        </w:tc>
        <w:tc>
          <w:tcPr>
            <w:tcW w:w="1849" w:type="dxa"/>
            <w:vAlign w:val="center"/>
          </w:tcPr>
          <w:p w:rsidR="00541BE0" w:rsidRPr="006A658A" w:rsidRDefault="00541BE0" w:rsidP="009E1C77">
            <w:pPr>
              <w:spacing w:line="360" w:lineRule="auto"/>
              <w:jc w:val="center"/>
              <w:rPr>
                <w:rFonts w:cstheme="minorHAnsi"/>
                <w:b/>
                <w:color w:val="0D0D0D"/>
                <w:sz w:val="20"/>
                <w:szCs w:val="20"/>
              </w:rPr>
            </w:pPr>
            <w:r w:rsidRPr="006A658A">
              <w:rPr>
                <w:rFonts w:cstheme="minorHAnsi"/>
                <w:b/>
                <w:color w:val="0D0D0D"/>
                <w:sz w:val="20"/>
                <w:szCs w:val="20"/>
              </w:rPr>
              <w:t>£394,875</w:t>
            </w:r>
          </w:p>
        </w:tc>
      </w:tr>
    </w:tbl>
    <w:p w:rsidR="003C5884" w:rsidRDefault="003C5884" w:rsidP="007724C3">
      <w:pPr>
        <w:spacing w:after="0"/>
        <w:rPr>
          <w:rFonts w:ascii="Arial" w:hAnsi="Arial" w:cs="Arial"/>
          <w:sz w:val="24"/>
          <w:szCs w:val="24"/>
        </w:rPr>
      </w:pPr>
    </w:p>
    <w:p w:rsidR="007D565F" w:rsidRPr="007724C3" w:rsidRDefault="00412033" w:rsidP="007724C3">
      <w:pPr>
        <w:spacing w:after="0"/>
        <w:rPr>
          <w:rFonts w:ascii="Arial" w:hAnsi="Arial" w:cs="Arial"/>
          <w:sz w:val="24"/>
          <w:szCs w:val="24"/>
        </w:rPr>
      </w:pPr>
      <w:r w:rsidRPr="007724C3">
        <w:rPr>
          <w:rFonts w:ascii="Arial" w:hAnsi="Arial" w:cs="Arial"/>
          <w:sz w:val="24"/>
          <w:szCs w:val="24"/>
        </w:rPr>
        <w:t xml:space="preserve">Table No.3 - </w:t>
      </w:r>
      <w:r w:rsidR="007D565F" w:rsidRPr="007724C3">
        <w:rPr>
          <w:rFonts w:ascii="Arial" w:hAnsi="Arial" w:cs="Arial"/>
          <w:sz w:val="24"/>
          <w:szCs w:val="24"/>
        </w:rPr>
        <w:t>Summary of Monthly Events and Daily Restaurant Covers</w:t>
      </w:r>
      <w:r w:rsidRPr="007724C3">
        <w:rPr>
          <w:rFonts w:ascii="Arial" w:hAnsi="Arial" w:cs="Arial"/>
          <w:sz w:val="24"/>
          <w:szCs w:val="24"/>
        </w:rPr>
        <w:t>.</w:t>
      </w:r>
    </w:p>
    <w:tbl>
      <w:tblPr>
        <w:tblStyle w:val="TableGrid"/>
        <w:tblW w:w="0" w:type="auto"/>
        <w:tblLook w:val="04A0"/>
      </w:tblPr>
      <w:tblGrid>
        <w:gridCol w:w="1848"/>
        <w:gridCol w:w="1848"/>
        <w:gridCol w:w="1848"/>
        <w:gridCol w:w="1849"/>
        <w:gridCol w:w="1849"/>
      </w:tblGrid>
      <w:tr w:rsidR="007D565F" w:rsidRPr="007724C3" w:rsidTr="009E1C77">
        <w:tc>
          <w:tcPr>
            <w:tcW w:w="1848" w:type="dxa"/>
            <w:vAlign w:val="center"/>
          </w:tcPr>
          <w:p w:rsidR="007D565F" w:rsidRPr="006A658A" w:rsidRDefault="007D565F" w:rsidP="009E1C77">
            <w:pPr>
              <w:spacing w:line="360" w:lineRule="auto"/>
              <w:jc w:val="center"/>
              <w:rPr>
                <w:rFonts w:cstheme="minorHAnsi"/>
                <w:b/>
                <w:bCs/>
                <w:color w:val="0D0D0D"/>
                <w:sz w:val="20"/>
                <w:szCs w:val="20"/>
              </w:rPr>
            </w:pPr>
            <w:r w:rsidRPr="006A658A">
              <w:rPr>
                <w:rFonts w:cstheme="minorHAnsi"/>
                <w:b/>
                <w:bCs/>
                <w:color w:val="0D0D0D"/>
                <w:sz w:val="20"/>
                <w:szCs w:val="20"/>
              </w:rPr>
              <w:t>Year</w:t>
            </w:r>
          </w:p>
        </w:tc>
        <w:tc>
          <w:tcPr>
            <w:tcW w:w="1848" w:type="dxa"/>
            <w:vAlign w:val="center"/>
          </w:tcPr>
          <w:p w:rsidR="007D565F" w:rsidRPr="006A658A" w:rsidRDefault="007D565F" w:rsidP="009E1C77">
            <w:pPr>
              <w:spacing w:line="360" w:lineRule="auto"/>
              <w:jc w:val="center"/>
              <w:rPr>
                <w:rFonts w:cstheme="minorHAnsi"/>
                <w:b/>
                <w:bCs/>
                <w:color w:val="0D0D0D"/>
                <w:sz w:val="20"/>
                <w:szCs w:val="20"/>
              </w:rPr>
            </w:pPr>
            <w:r w:rsidRPr="006A658A">
              <w:rPr>
                <w:rFonts w:cstheme="minorHAnsi"/>
                <w:b/>
                <w:bCs/>
                <w:color w:val="0D0D0D"/>
                <w:sz w:val="20"/>
                <w:szCs w:val="20"/>
              </w:rPr>
              <w:t>Annual Events</w:t>
            </w:r>
          </w:p>
        </w:tc>
        <w:tc>
          <w:tcPr>
            <w:tcW w:w="1848" w:type="dxa"/>
            <w:vAlign w:val="center"/>
          </w:tcPr>
          <w:p w:rsidR="007D565F" w:rsidRPr="006A658A" w:rsidRDefault="007D565F" w:rsidP="009E1C77">
            <w:pPr>
              <w:spacing w:line="360" w:lineRule="auto"/>
              <w:jc w:val="center"/>
              <w:rPr>
                <w:rFonts w:cstheme="minorHAnsi"/>
                <w:b/>
                <w:bCs/>
                <w:color w:val="0D0D0D"/>
                <w:sz w:val="20"/>
                <w:szCs w:val="20"/>
              </w:rPr>
            </w:pPr>
            <w:r w:rsidRPr="006A658A">
              <w:rPr>
                <w:rFonts w:cstheme="minorHAnsi"/>
                <w:b/>
                <w:bCs/>
                <w:color w:val="0D0D0D"/>
                <w:sz w:val="20"/>
                <w:szCs w:val="20"/>
              </w:rPr>
              <w:t>Monthly Events</w:t>
            </w:r>
          </w:p>
        </w:tc>
        <w:tc>
          <w:tcPr>
            <w:tcW w:w="1849" w:type="dxa"/>
            <w:vAlign w:val="center"/>
          </w:tcPr>
          <w:p w:rsidR="007D565F" w:rsidRPr="006A658A" w:rsidRDefault="007D565F" w:rsidP="009E1C77">
            <w:pPr>
              <w:spacing w:line="360" w:lineRule="auto"/>
              <w:jc w:val="center"/>
              <w:rPr>
                <w:rFonts w:cstheme="minorHAnsi"/>
                <w:b/>
                <w:bCs/>
                <w:color w:val="0D0D0D"/>
                <w:sz w:val="20"/>
                <w:szCs w:val="20"/>
              </w:rPr>
            </w:pPr>
            <w:r w:rsidRPr="006A658A">
              <w:rPr>
                <w:rFonts w:cstheme="minorHAnsi"/>
                <w:b/>
                <w:bCs/>
                <w:color w:val="0D0D0D"/>
                <w:sz w:val="20"/>
                <w:szCs w:val="20"/>
              </w:rPr>
              <w:t>Annual Covers</w:t>
            </w:r>
          </w:p>
        </w:tc>
        <w:tc>
          <w:tcPr>
            <w:tcW w:w="1849" w:type="dxa"/>
            <w:vAlign w:val="center"/>
          </w:tcPr>
          <w:p w:rsidR="007D565F" w:rsidRPr="006A658A" w:rsidRDefault="007D565F" w:rsidP="009E1C77">
            <w:pPr>
              <w:spacing w:line="360" w:lineRule="auto"/>
              <w:jc w:val="center"/>
              <w:rPr>
                <w:rFonts w:cstheme="minorHAnsi"/>
                <w:b/>
                <w:bCs/>
                <w:color w:val="0D0D0D"/>
                <w:sz w:val="20"/>
                <w:szCs w:val="20"/>
              </w:rPr>
            </w:pPr>
            <w:r w:rsidRPr="006A658A">
              <w:rPr>
                <w:rFonts w:cstheme="minorHAnsi"/>
                <w:b/>
                <w:bCs/>
                <w:color w:val="0D0D0D"/>
                <w:sz w:val="20"/>
                <w:szCs w:val="20"/>
              </w:rPr>
              <w:t>Daily Covers</w:t>
            </w:r>
          </w:p>
        </w:tc>
      </w:tr>
      <w:tr w:rsidR="007D565F" w:rsidRPr="007724C3" w:rsidTr="009E1C77">
        <w:tc>
          <w:tcPr>
            <w:tcW w:w="1848"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2024</w:t>
            </w:r>
          </w:p>
        </w:tc>
        <w:tc>
          <w:tcPr>
            <w:tcW w:w="1848"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90</w:t>
            </w:r>
          </w:p>
        </w:tc>
        <w:tc>
          <w:tcPr>
            <w:tcW w:w="1848"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8</w:t>
            </w:r>
          </w:p>
        </w:tc>
        <w:tc>
          <w:tcPr>
            <w:tcW w:w="1849"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50,000</w:t>
            </w:r>
          </w:p>
        </w:tc>
        <w:tc>
          <w:tcPr>
            <w:tcW w:w="1849"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137</w:t>
            </w:r>
          </w:p>
        </w:tc>
      </w:tr>
      <w:tr w:rsidR="007D565F" w:rsidRPr="007724C3" w:rsidTr="009E1C77">
        <w:tc>
          <w:tcPr>
            <w:tcW w:w="1848"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2025</w:t>
            </w:r>
          </w:p>
        </w:tc>
        <w:tc>
          <w:tcPr>
            <w:tcW w:w="1848"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117</w:t>
            </w:r>
          </w:p>
        </w:tc>
        <w:tc>
          <w:tcPr>
            <w:tcW w:w="1848"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10</w:t>
            </w:r>
          </w:p>
        </w:tc>
        <w:tc>
          <w:tcPr>
            <w:tcW w:w="1849"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65,000</w:t>
            </w:r>
          </w:p>
        </w:tc>
        <w:tc>
          <w:tcPr>
            <w:tcW w:w="1849"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178</w:t>
            </w:r>
          </w:p>
        </w:tc>
      </w:tr>
      <w:tr w:rsidR="007D565F" w:rsidRPr="007724C3" w:rsidTr="009E1C77">
        <w:tc>
          <w:tcPr>
            <w:tcW w:w="1848"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2026</w:t>
            </w:r>
          </w:p>
        </w:tc>
        <w:tc>
          <w:tcPr>
            <w:tcW w:w="1848"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158</w:t>
            </w:r>
          </w:p>
        </w:tc>
        <w:tc>
          <w:tcPr>
            <w:tcW w:w="1848"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13</w:t>
            </w:r>
          </w:p>
        </w:tc>
        <w:tc>
          <w:tcPr>
            <w:tcW w:w="1849"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87,750</w:t>
            </w:r>
          </w:p>
        </w:tc>
        <w:tc>
          <w:tcPr>
            <w:tcW w:w="1849" w:type="dxa"/>
            <w:vAlign w:val="center"/>
          </w:tcPr>
          <w:p w:rsidR="007D565F" w:rsidRPr="006A658A" w:rsidRDefault="007D565F" w:rsidP="009E1C77">
            <w:pPr>
              <w:spacing w:line="360" w:lineRule="auto"/>
              <w:jc w:val="center"/>
              <w:rPr>
                <w:rFonts w:cstheme="minorHAnsi"/>
                <w:b/>
                <w:color w:val="0D0D0D"/>
                <w:sz w:val="20"/>
                <w:szCs w:val="20"/>
              </w:rPr>
            </w:pPr>
            <w:r w:rsidRPr="006A658A">
              <w:rPr>
                <w:rFonts w:cstheme="minorHAnsi"/>
                <w:b/>
                <w:color w:val="0D0D0D"/>
                <w:sz w:val="20"/>
                <w:szCs w:val="20"/>
              </w:rPr>
              <w:t>240</w:t>
            </w:r>
          </w:p>
        </w:tc>
      </w:tr>
    </w:tbl>
    <w:p w:rsidR="003C5884" w:rsidRDefault="003C5884" w:rsidP="007724C3">
      <w:pPr>
        <w:spacing w:after="0"/>
        <w:rPr>
          <w:rFonts w:ascii="Arial" w:hAnsi="Arial" w:cs="Arial"/>
          <w:sz w:val="24"/>
          <w:szCs w:val="24"/>
        </w:rPr>
      </w:pPr>
    </w:p>
    <w:p w:rsidR="003C5884" w:rsidRDefault="003C5884" w:rsidP="007724C3">
      <w:pPr>
        <w:spacing w:after="0"/>
        <w:rPr>
          <w:rFonts w:ascii="Arial" w:hAnsi="Arial" w:cs="Arial"/>
          <w:sz w:val="24"/>
          <w:szCs w:val="24"/>
        </w:rPr>
      </w:pPr>
    </w:p>
    <w:p w:rsidR="003C5884" w:rsidRDefault="003C5884" w:rsidP="007724C3">
      <w:pPr>
        <w:spacing w:after="0"/>
        <w:rPr>
          <w:rFonts w:ascii="Arial" w:hAnsi="Arial" w:cs="Arial"/>
          <w:sz w:val="24"/>
          <w:szCs w:val="24"/>
        </w:rPr>
      </w:pPr>
    </w:p>
    <w:p w:rsidR="0009735B" w:rsidRPr="007724C3" w:rsidRDefault="00412033" w:rsidP="007724C3">
      <w:pPr>
        <w:spacing w:after="0"/>
        <w:rPr>
          <w:rFonts w:ascii="Arial" w:hAnsi="Arial" w:cs="Arial"/>
          <w:sz w:val="24"/>
          <w:szCs w:val="24"/>
        </w:rPr>
      </w:pPr>
      <w:r w:rsidRPr="007724C3">
        <w:rPr>
          <w:rFonts w:ascii="Arial" w:hAnsi="Arial" w:cs="Arial"/>
          <w:sz w:val="24"/>
          <w:szCs w:val="24"/>
        </w:rPr>
        <w:t xml:space="preserve">Table No.3 - </w:t>
      </w:r>
      <w:r w:rsidR="0009735B" w:rsidRPr="007724C3">
        <w:rPr>
          <w:rFonts w:ascii="Arial" w:hAnsi="Arial" w:cs="Arial"/>
          <w:sz w:val="24"/>
          <w:szCs w:val="24"/>
        </w:rPr>
        <w:t>Debt Repayment Schedule with 10-Year Plan</w:t>
      </w:r>
      <w:r w:rsidRPr="007724C3">
        <w:rPr>
          <w:rFonts w:ascii="Arial" w:hAnsi="Arial" w:cs="Arial"/>
          <w:sz w:val="24"/>
          <w:szCs w:val="24"/>
        </w:rPr>
        <w:t>.</w:t>
      </w:r>
    </w:p>
    <w:tbl>
      <w:tblPr>
        <w:tblStyle w:val="TableGrid"/>
        <w:tblW w:w="0" w:type="auto"/>
        <w:tblLook w:val="04A0"/>
      </w:tblPr>
      <w:tblGrid>
        <w:gridCol w:w="1848"/>
        <w:gridCol w:w="1848"/>
        <w:gridCol w:w="1848"/>
        <w:gridCol w:w="1849"/>
        <w:gridCol w:w="1849"/>
      </w:tblGrid>
      <w:tr w:rsidR="0009735B" w:rsidRPr="007724C3" w:rsidTr="009E1C77">
        <w:tc>
          <w:tcPr>
            <w:tcW w:w="1848" w:type="dxa"/>
            <w:vAlign w:val="center"/>
          </w:tcPr>
          <w:p w:rsidR="0009735B" w:rsidRPr="009E1C77" w:rsidRDefault="0009735B" w:rsidP="009E1C77">
            <w:pPr>
              <w:spacing w:line="360" w:lineRule="auto"/>
              <w:jc w:val="center"/>
              <w:rPr>
                <w:rFonts w:cstheme="minorHAnsi"/>
                <w:b/>
                <w:bCs/>
                <w:color w:val="0D0D0D"/>
                <w:sz w:val="20"/>
                <w:szCs w:val="20"/>
              </w:rPr>
            </w:pPr>
          </w:p>
          <w:p w:rsidR="0009735B" w:rsidRPr="009E1C77" w:rsidRDefault="0009735B" w:rsidP="009E1C77">
            <w:pPr>
              <w:spacing w:line="360" w:lineRule="auto"/>
              <w:jc w:val="center"/>
              <w:rPr>
                <w:rFonts w:cstheme="minorHAnsi"/>
                <w:b/>
                <w:bCs/>
                <w:color w:val="0D0D0D"/>
                <w:sz w:val="20"/>
                <w:szCs w:val="20"/>
              </w:rPr>
            </w:pPr>
          </w:p>
        </w:tc>
        <w:tc>
          <w:tcPr>
            <w:tcW w:w="1848" w:type="dxa"/>
            <w:vAlign w:val="center"/>
          </w:tcPr>
          <w:p w:rsidR="0009735B" w:rsidRPr="009E1C77" w:rsidRDefault="0009735B" w:rsidP="009E1C77">
            <w:pPr>
              <w:spacing w:line="360" w:lineRule="auto"/>
              <w:jc w:val="center"/>
              <w:rPr>
                <w:rFonts w:cstheme="minorHAnsi"/>
                <w:b/>
                <w:bCs/>
                <w:color w:val="0D0D0D"/>
                <w:sz w:val="20"/>
                <w:szCs w:val="20"/>
              </w:rPr>
            </w:pPr>
            <w:r w:rsidRPr="009E1C77">
              <w:rPr>
                <w:rFonts w:cstheme="minorHAnsi"/>
                <w:b/>
                <w:bCs/>
                <w:color w:val="0D0D0D"/>
                <w:sz w:val="20"/>
                <w:szCs w:val="20"/>
              </w:rPr>
              <w:t>Initial Debt</w:t>
            </w:r>
          </w:p>
        </w:tc>
        <w:tc>
          <w:tcPr>
            <w:tcW w:w="1848" w:type="dxa"/>
            <w:vAlign w:val="center"/>
          </w:tcPr>
          <w:p w:rsidR="0009735B" w:rsidRPr="009E1C77" w:rsidRDefault="0009735B" w:rsidP="009E1C77">
            <w:pPr>
              <w:spacing w:line="360" w:lineRule="auto"/>
              <w:jc w:val="center"/>
              <w:rPr>
                <w:rFonts w:cstheme="minorHAnsi"/>
                <w:b/>
                <w:bCs/>
                <w:color w:val="0D0D0D"/>
                <w:sz w:val="20"/>
                <w:szCs w:val="20"/>
              </w:rPr>
            </w:pPr>
            <w:r w:rsidRPr="009E1C77">
              <w:rPr>
                <w:rFonts w:cstheme="minorHAnsi"/>
                <w:b/>
                <w:bCs/>
                <w:color w:val="0D0D0D"/>
                <w:sz w:val="20"/>
                <w:szCs w:val="20"/>
              </w:rPr>
              <w:t>Net Income</w:t>
            </w:r>
          </w:p>
        </w:tc>
        <w:tc>
          <w:tcPr>
            <w:tcW w:w="1849" w:type="dxa"/>
            <w:vAlign w:val="center"/>
          </w:tcPr>
          <w:p w:rsidR="0009735B" w:rsidRPr="009E1C77" w:rsidRDefault="0009735B" w:rsidP="009E1C77">
            <w:pPr>
              <w:spacing w:line="360" w:lineRule="auto"/>
              <w:jc w:val="center"/>
              <w:rPr>
                <w:rFonts w:cstheme="minorHAnsi"/>
                <w:b/>
                <w:bCs/>
                <w:color w:val="0D0D0D"/>
                <w:sz w:val="20"/>
                <w:szCs w:val="20"/>
              </w:rPr>
            </w:pPr>
            <w:r w:rsidRPr="009E1C77">
              <w:rPr>
                <w:rFonts w:cstheme="minorHAnsi"/>
                <w:b/>
                <w:bCs/>
                <w:color w:val="0D0D0D"/>
                <w:sz w:val="20"/>
                <w:szCs w:val="20"/>
              </w:rPr>
              <w:t>Debt Repayment (45.6%)</w:t>
            </w:r>
          </w:p>
        </w:tc>
        <w:tc>
          <w:tcPr>
            <w:tcW w:w="1849" w:type="dxa"/>
            <w:vAlign w:val="center"/>
          </w:tcPr>
          <w:p w:rsidR="0009735B" w:rsidRPr="009E1C77" w:rsidRDefault="0009735B" w:rsidP="009E1C77">
            <w:pPr>
              <w:spacing w:line="360" w:lineRule="auto"/>
              <w:jc w:val="center"/>
              <w:rPr>
                <w:rFonts w:cstheme="minorHAnsi"/>
                <w:b/>
                <w:bCs/>
                <w:color w:val="0D0D0D"/>
                <w:sz w:val="20"/>
                <w:szCs w:val="20"/>
              </w:rPr>
            </w:pPr>
            <w:r w:rsidRPr="009E1C77">
              <w:rPr>
                <w:rFonts w:cstheme="minorHAnsi"/>
                <w:b/>
                <w:bCs/>
                <w:color w:val="0D0D0D"/>
                <w:sz w:val="20"/>
                <w:szCs w:val="20"/>
              </w:rPr>
              <w:t>Remaining Debt</w:t>
            </w:r>
          </w:p>
        </w:tc>
      </w:tr>
      <w:tr w:rsidR="0009735B" w:rsidRPr="007724C3" w:rsidTr="009E1C77">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2024</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£3,140,000</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-£265,000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£3,140,000</w:t>
            </w:r>
          </w:p>
        </w:tc>
      </w:tr>
      <w:tr w:rsidR="0009735B" w:rsidRPr="007724C3" w:rsidTr="009E1C77">
        <w:trPr>
          <w:trHeight w:val="50"/>
        </w:trPr>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2025</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£3,140,000</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£40,250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£18,350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£3,121,650</w:t>
            </w:r>
          </w:p>
        </w:tc>
      </w:tr>
      <w:tr w:rsidR="0009735B" w:rsidRPr="007724C3" w:rsidTr="009E1C77">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2026</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£3,121,650</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£688,787.50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£314,000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£2,807,650</w:t>
            </w:r>
          </w:p>
        </w:tc>
      </w:tr>
      <w:tr w:rsidR="0009735B" w:rsidRPr="007724C3" w:rsidTr="009E1C77">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2027</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£2,807,650</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£688,787.50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£314,000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£2,493,650</w:t>
            </w:r>
          </w:p>
        </w:tc>
      </w:tr>
      <w:tr w:rsidR="0009735B" w:rsidRPr="007724C3" w:rsidTr="009E1C77">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2028</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£2,493,650</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£688,787.50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£314,000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£2,179,650</w:t>
            </w:r>
          </w:p>
        </w:tc>
      </w:tr>
      <w:tr w:rsidR="0009735B" w:rsidRPr="007724C3" w:rsidTr="009E1C77">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2029</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£2,179,650</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£688,787.50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£314,000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£1,865,650</w:t>
            </w:r>
          </w:p>
        </w:tc>
      </w:tr>
      <w:tr w:rsidR="0009735B" w:rsidRPr="007724C3" w:rsidTr="009E1C77">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2030</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£1,865,650</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£688,787.50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£314,000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£1,551,650</w:t>
            </w:r>
          </w:p>
        </w:tc>
      </w:tr>
      <w:tr w:rsidR="0009735B" w:rsidRPr="007724C3" w:rsidTr="009E1C77">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2031</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£1,551,650</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£688,787.50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£314,000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£1,237,650</w:t>
            </w:r>
          </w:p>
        </w:tc>
      </w:tr>
      <w:tr w:rsidR="0009735B" w:rsidRPr="007724C3" w:rsidTr="009E1C77">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2032</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£1,237,650</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£688,787.50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£314,000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£923,650</w:t>
            </w:r>
          </w:p>
        </w:tc>
      </w:tr>
      <w:tr w:rsidR="0009735B" w:rsidRPr="007724C3" w:rsidTr="009E1C77">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2033</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£923,650</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£688,787.50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£314,000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£609,650</w:t>
            </w:r>
          </w:p>
        </w:tc>
      </w:tr>
      <w:tr w:rsidR="0009735B" w:rsidRPr="007724C3" w:rsidTr="009E1C77">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2034</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£609,650</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£688,787.50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£314,000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£295,650</w:t>
            </w:r>
          </w:p>
        </w:tc>
      </w:tr>
      <w:tr w:rsidR="0009735B" w:rsidRPr="007724C3" w:rsidTr="009E1C77">
        <w:trPr>
          <w:trHeight w:val="50"/>
        </w:trPr>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2035</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£295,650</w:t>
            </w:r>
          </w:p>
        </w:tc>
        <w:tc>
          <w:tcPr>
            <w:tcW w:w="1848"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£688,787.50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£295,650</w:t>
            </w:r>
          </w:p>
        </w:tc>
        <w:tc>
          <w:tcPr>
            <w:tcW w:w="1849" w:type="dxa"/>
            <w:vAlign w:val="center"/>
          </w:tcPr>
          <w:p w:rsidR="0009735B" w:rsidRPr="009E1C77" w:rsidRDefault="0009735B" w:rsidP="009E1C77">
            <w:pPr>
              <w:spacing w:line="360" w:lineRule="auto"/>
              <w:jc w:val="center"/>
              <w:rPr>
                <w:rFonts w:cstheme="minorHAnsi"/>
                <w:b/>
                <w:color w:val="0D0D0D"/>
                <w:sz w:val="20"/>
                <w:szCs w:val="20"/>
              </w:rPr>
            </w:pPr>
            <w:r w:rsidRPr="009E1C77">
              <w:rPr>
                <w:rFonts w:cstheme="minorHAnsi"/>
                <w:b/>
                <w:color w:val="0D0D0D"/>
                <w:sz w:val="20"/>
                <w:szCs w:val="20"/>
              </w:rPr>
              <w:t>£0</w:t>
            </w:r>
          </w:p>
        </w:tc>
      </w:tr>
    </w:tbl>
    <w:p w:rsidR="003C5884" w:rsidRDefault="003C5884" w:rsidP="004C273F">
      <w:pPr>
        <w:spacing w:after="0"/>
        <w:rPr>
          <w:rFonts w:ascii="Arial" w:hAnsi="Arial" w:cs="Arial"/>
          <w:sz w:val="24"/>
          <w:szCs w:val="24"/>
        </w:rPr>
      </w:pPr>
    </w:p>
    <w:p w:rsidR="00073174" w:rsidRDefault="00073174" w:rsidP="004C273F">
      <w:pPr>
        <w:spacing w:after="0"/>
        <w:rPr>
          <w:rFonts w:ascii="Arial" w:hAnsi="Arial" w:cs="Arial"/>
          <w:sz w:val="24"/>
          <w:szCs w:val="24"/>
        </w:rPr>
      </w:pPr>
      <w:r w:rsidRPr="002378F7">
        <w:rPr>
          <w:rFonts w:ascii="Arial" w:hAnsi="Arial" w:cs="Arial"/>
          <w:sz w:val="24"/>
          <w:szCs w:val="24"/>
        </w:rPr>
        <w:lastRenderedPageBreak/>
        <w:t>Comprehensive Balance Sheet (2021-2026)</w:t>
      </w:r>
      <w:r w:rsidR="007724C3">
        <w:rPr>
          <w:rFonts w:ascii="Arial" w:hAnsi="Arial" w:cs="Arial"/>
          <w:sz w:val="24"/>
          <w:szCs w:val="24"/>
        </w:rPr>
        <w:t>.</w:t>
      </w:r>
    </w:p>
    <w:tbl>
      <w:tblPr>
        <w:tblStyle w:val="TableGrid"/>
        <w:tblW w:w="9889" w:type="dxa"/>
        <w:tblLook w:val="04A0"/>
      </w:tblPr>
      <w:tblGrid>
        <w:gridCol w:w="1613"/>
        <w:gridCol w:w="1308"/>
        <w:gridCol w:w="1308"/>
        <w:gridCol w:w="1308"/>
        <w:gridCol w:w="1308"/>
        <w:gridCol w:w="1308"/>
        <w:gridCol w:w="1736"/>
      </w:tblGrid>
      <w:tr w:rsidR="006B73CF" w:rsidTr="009E1C77">
        <w:tc>
          <w:tcPr>
            <w:tcW w:w="1613" w:type="dxa"/>
            <w:vAlign w:val="center"/>
          </w:tcPr>
          <w:tbl>
            <w:tblPr>
              <w:tblW w:w="0" w:type="auto"/>
              <w:tblCellSpacing w:w="15" w:type="dxa"/>
              <w:tblCellMar>
                <w:top w:w="15" w:type="dxa"/>
                <w:left w:w="15" w:type="dxa"/>
                <w:bottom w:w="15" w:type="dxa"/>
                <w:right w:w="15" w:type="dxa"/>
              </w:tblCellMar>
              <w:tblLook w:val="04A0"/>
            </w:tblPr>
            <w:tblGrid>
              <w:gridCol w:w="1278"/>
            </w:tblGrid>
            <w:tr w:rsidR="006B73CF" w:rsidRPr="009E1C77" w:rsidTr="0063325A">
              <w:trPr>
                <w:tblCellSpacing w:w="15" w:type="dxa"/>
              </w:trPr>
              <w:tc>
                <w:tcPr>
                  <w:tcW w:w="0" w:type="auto"/>
                  <w:vAlign w:val="center"/>
                  <w:hideMark/>
                </w:tcPr>
                <w:p w:rsidR="006B73CF" w:rsidRPr="009E1C77" w:rsidRDefault="006B73CF" w:rsidP="009E1C77">
                  <w:pPr>
                    <w:spacing w:line="360" w:lineRule="auto"/>
                    <w:jc w:val="center"/>
                    <w:rPr>
                      <w:rFonts w:cstheme="minorHAnsi"/>
                      <w:b/>
                      <w:bCs/>
                      <w:sz w:val="20"/>
                      <w:szCs w:val="20"/>
                    </w:rPr>
                  </w:pPr>
                  <w:r w:rsidRPr="009E1C77">
                    <w:rPr>
                      <w:rFonts w:cstheme="minorHAnsi"/>
                      <w:b/>
                      <w:bCs/>
                      <w:sz w:val="20"/>
                      <w:szCs w:val="20"/>
                    </w:rPr>
                    <w:t>Asset/Liability</w:t>
                  </w:r>
                </w:p>
              </w:tc>
            </w:tr>
          </w:tbl>
          <w:p w:rsidR="006B73CF" w:rsidRPr="009E1C77" w:rsidRDefault="006B73C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496"/>
            </w:tblGrid>
            <w:tr w:rsidR="006B73CF" w:rsidRPr="009E1C77" w:rsidTr="0063325A">
              <w:trPr>
                <w:tblCellSpacing w:w="15" w:type="dxa"/>
              </w:trPr>
              <w:tc>
                <w:tcPr>
                  <w:tcW w:w="0" w:type="auto"/>
                  <w:vAlign w:val="center"/>
                  <w:hideMark/>
                </w:tcPr>
                <w:p w:rsidR="006B73CF" w:rsidRPr="009E1C77" w:rsidRDefault="006B73CF" w:rsidP="009E1C77">
                  <w:pPr>
                    <w:spacing w:line="360" w:lineRule="auto"/>
                    <w:jc w:val="center"/>
                    <w:rPr>
                      <w:rFonts w:cstheme="minorHAnsi"/>
                      <w:b/>
                      <w:bCs/>
                      <w:sz w:val="20"/>
                      <w:szCs w:val="20"/>
                    </w:rPr>
                  </w:pPr>
                  <w:r w:rsidRPr="009E1C77">
                    <w:rPr>
                      <w:rFonts w:cstheme="minorHAnsi"/>
                      <w:b/>
                      <w:bCs/>
                      <w:sz w:val="20"/>
                      <w:szCs w:val="20"/>
                    </w:rPr>
                    <w:t>2021</w:t>
                  </w:r>
                </w:p>
              </w:tc>
            </w:tr>
          </w:tbl>
          <w:p w:rsidR="006B73CF" w:rsidRPr="009E1C77" w:rsidRDefault="006B73C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496"/>
            </w:tblGrid>
            <w:tr w:rsidR="006B73CF" w:rsidRPr="009E1C77" w:rsidTr="0063325A">
              <w:trPr>
                <w:tblCellSpacing w:w="15" w:type="dxa"/>
              </w:trPr>
              <w:tc>
                <w:tcPr>
                  <w:tcW w:w="0" w:type="auto"/>
                  <w:vAlign w:val="center"/>
                  <w:hideMark/>
                </w:tcPr>
                <w:p w:rsidR="006B73CF" w:rsidRPr="009E1C77" w:rsidRDefault="006B73CF" w:rsidP="009E1C77">
                  <w:pPr>
                    <w:spacing w:line="360" w:lineRule="auto"/>
                    <w:jc w:val="center"/>
                    <w:rPr>
                      <w:rFonts w:cstheme="minorHAnsi"/>
                      <w:b/>
                      <w:bCs/>
                      <w:sz w:val="20"/>
                      <w:szCs w:val="20"/>
                    </w:rPr>
                  </w:pPr>
                  <w:r w:rsidRPr="009E1C77">
                    <w:rPr>
                      <w:rFonts w:cstheme="minorHAnsi"/>
                      <w:b/>
                      <w:bCs/>
                      <w:sz w:val="20"/>
                      <w:szCs w:val="20"/>
                    </w:rPr>
                    <w:t>2022</w:t>
                  </w:r>
                </w:p>
              </w:tc>
            </w:tr>
          </w:tbl>
          <w:p w:rsidR="006B73CF" w:rsidRPr="009E1C77" w:rsidRDefault="006B73C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496"/>
            </w:tblGrid>
            <w:tr w:rsidR="006B73CF" w:rsidRPr="009E1C77" w:rsidTr="0063325A">
              <w:trPr>
                <w:tblCellSpacing w:w="15" w:type="dxa"/>
              </w:trPr>
              <w:tc>
                <w:tcPr>
                  <w:tcW w:w="0" w:type="auto"/>
                  <w:vAlign w:val="center"/>
                  <w:hideMark/>
                </w:tcPr>
                <w:p w:rsidR="006B73CF" w:rsidRPr="009E1C77" w:rsidRDefault="006B73CF" w:rsidP="009E1C77">
                  <w:pPr>
                    <w:spacing w:line="360" w:lineRule="auto"/>
                    <w:jc w:val="center"/>
                    <w:rPr>
                      <w:rFonts w:cstheme="minorHAnsi"/>
                      <w:b/>
                      <w:bCs/>
                      <w:sz w:val="20"/>
                      <w:szCs w:val="20"/>
                    </w:rPr>
                  </w:pPr>
                  <w:r w:rsidRPr="009E1C77">
                    <w:rPr>
                      <w:rFonts w:cstheme="minorHAnsi"/>
                      <w:b/>
                      <w:bCs/>
                      <w:sz w:val="20"/>
                      <w:szCs w:val="20"/>
                    </w:rPr>
                    <w:t>2023</w:t>
                  </w:r>
                </w:p>
              </w:tc>
            </w:tr>
          </w:tbl>
          <w:p w:rsidR="006B73CF" w:rsidRPr="009E1C77" w:rsidRDefault="006B73C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496"/>
            </w:tblGrid>
            <w:tr w:rsidR="006B73CF" w:rsidRPr="009E1C77" w:rsidTr="0063325A">
              <w:trPr>
                <w:tblCellSpacing w:w="15" w:type="dxa"/>
              </w:trPr>
              <w:tc>
                <w:tcPr>
                  <w:tcW w:w="0" w:type="auto"/>
                  <w:vAlign w:val="center"/>
                  <w:hideMark/>
                </w:tcPr>
                <w:p w:rsidR="006B73CF" w:rsidRPr="009E1C77" w:rsidRDefault="006B73CF" w:rsidP="009E1C77">
                  <w:pPr>
                    <w:spacing w:line="360" w:lineRule="auto"/>
                    <w:jc w:val="center"/>
                    <w:rPr>
                      <w:rFonts w:cstheme="minorHAnsi"/>
                      <w:b/>
                      <w:bCs/>
                      <w:sz w:val="20"/>
                      <w:szCs w:val="20"/>
                    </w:rPr>
                  </w:pPr>
                  <w:r w:rsidRPr="009E1C77">
                    <w:rPr>
                      <w:rFonts w:cstheme="minorHAnsi"/>
                      <w:b/>
                      <w:bCs/>
                      <w:sz w:val="20"/>
                      <w:szCs w:val="20"/>
                    </w:rPr>
                    <w:t>2024</w:t>
                  </w:r>
                </w:p>
              </w:tc>
            </w:tr>
          </w:tbl>
          <w:p w:rsidR="006B73CF" w:rsidRPr="009E1C77" w:rsidRDefault="006B73C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496"/>
            </w:tblGrid>
            <w:tr w:rsidR="006B73CF" w:rsidRPr="009E1C77" w:rsidTr="0063325A">
              <w:trPr>
                <w:tblCellSpacing w:w="15" w:type="dxa"/>
              </w:trPr>
              <w:tc>
                <w:tcPr>
                  <w:tcW w:w="0" w:type="auto"/>
                  <w:vAlign w:val="center"/>
                  <w:hideMark/>
                </w:tcPr>
                <w:p w:rsidR="006B73CF" w:rsidRPr="009E1C77" w:rsidRDefault="006B73CF" w:rsidP="009E1C77">
                  <w:pPr>
                    <w:spacing w:line="360" w:lineRule="auto"/>
                    <w:jc w:val="center"/>
                    <w:rPr>
                      <w:rFonts w:cstheme="minorHAnsi"/>
                      <w:b/>
                      <w:bCs/>
                      <w:sz w:val="20"/>
                      <w:szCs w:val="20"/>
                    </w:rPr>
                  </w:pPr>
                  <w:r w:rsidRPr="009E1C77">
                    <w:rPr>
                      <w:rFonts w:cstheme="minorHAnsi"/>
                      <w:b/>
                      <w:bCs/>
                      <w:sz w:val="20"/>
                      <w:szCs w:val="20"/>
                    </w:rPr>
                    <w:t>2025</w:t>
                  </w:r>
                </w:p>
              </w:tc>
            </w:tr>
          </w:tbl>
          <w:p w:rsidR="006B73CF" w:rsidRPr="009E1C77" w:rsidRDefault="006B73CF" w:rsidP="009E1C77">
            <w:pPr>
              <w:spacing w:line="360" w:lineRule="auto"/>
              <w:jc w:val="center"/>
              <w:rPr>
                <w:rFonts w:cstheme="minorHAnsi"/>
                <w:b/>
                <w:vanish/>
                <w:sz w:val="20"/>
                <w:szCs w:val="20"/>
              </w:rPr>
            </w:pPr>
          </w:p>
        </w:tc>
        <w:tc>
          <w:tcPr>
            <w:tcW w:w="1736" w:type="dxa"/>
            <w:vAlign w:val="center"/>
          </w:tcPr>
          <w:tbl>
            <w:tblPr>
              <w:tblW w:w="0" w:type="auto"/>
              <w:tblCellSpacing w:w="15" w:type="dxa"/>
              <w:tblCellMar>
                <w:top w:w="15" w:type="dxa"/>
                <w:left w:w="15" w:type="dxa"/>
                <w:bottom w:w="15" w:type="dxa"/>
                <w:right w:w="15" w:type="dxa"/>
              </w:tblCellMar>
              <w:tblLook w:val="04A0"/>
            </w:tblPr>
            <w:tblGrid>
              <w:gridCol w:w="496"/>
            </w:tblGrid>
            <w:tr w:rsidR="006B73CF" w:rsidRPr="009E1C77" w:rsidTr="0063325A">
              <w:trPr>
                <w:tblCellSpacing w:w="15" w:type="dxa"/>
              </w:trPr>
              <w:tc>
                <w:tcPr>
                  <w:tcW w:w="0" w:type="auto"/>
                  <w:vAlign w:val="center"/>
                  <w:hideMark/>
                </w:tcPr>
                <w:p w:rsidR="006B73CF" w:rsidRPr="009E1C77" w:rsidRDefault="006B73CF" w:rsidP="009E1C77">
                  <w:pPr>
                    <w:spacing w:line="360" w:lineRule="auto"/>
                    <w:jc w:val="center"/>
                    <w:rPr>
                      <w:rFonts w:cstheme="minorHAnsi"/>
                      <w:b/>
                      <w:bCs/>
                      <w:sz w:val="20"/>
                      <w:szCs w:val="20"/>
                    </w:rPr>
                  </w:pPr>
                  <w:r w:rsidRPr="009E1C77">
                    <w:rPr>
                      <w:rFonts w:cstheme="minorHAnsi"/>
                      <w:b/>
                      <w:bCs/>
                      <w:sz w:val="20"/>
                      <w:szCs w:val="20"/>
                    </w:rPr>
                    <w:t>2026</w:t>
                  </w:r>
                </w:p>
              </w:tc>
            </w:tr>
          </w:tbl>
          <w:p w:rsidR="006B73CF" w:rsidRPr="009E1C77" w:rsidRDefault="006B73CF" w:rsidP="009E1C77">
            <w:pPr>
              <w:spacing w:line="360" w:lineRule="auto"/>
              <w:jc w:val="center"/>
              <w:rPr>
                <w:rFonts w:cstheme="minorHAnsi"/>
                <w:b/>
                <w:sz w:val="20"/>
                <w:szCs w:val="20"/>
              </w:rPr>
            </w:pPr>
          </w:p>
        </w:tc>
      </w:tr>
      <w:tr w:rsidR="004C273F" w:rsidTr="009E1C77">
        <w:tc>
          <w:tcPr>
            <w:tcW w:w="1613" w:type="dxa"/>
            <w:vAlign w:val="center"/>
          </w:tcPr>
          <w:tbl>
            <w:tblPr>
              <w:tblW w:w="0" w:type="auto"/>
              <w:tblCellSpacing w:w="15" w:type="dxa"/>
              <w:tblCellMar>
                <w:top w:w="15" w:type="dxa"/>
                <w:left w:w="15" w:type="dxa"/>
                <w:bottom w:w="15" w:type="dxa"/>
                <w:right w:w="15" w:type="dxa"/>
              </w:tblCellMar>
              <w:tblLook w:val="04A0"/>
            </w:tblPr>
            <w:tblGrid>
              <w:gridCol w:w="1397"/>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Style w:val="Strong"/>
                      <w:rFonts w:cstheme="minorHAnsi"/>
                      <w:sz w:val="20"/>
                      <w:szCs w:val="20"/>
                    </w:rPr>
                    <w:t>Cash and Equivalents</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852"/>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852"/>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£200,000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852"/>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£100,000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811"/>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-£40,000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750"/>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£21,910</w:t>
                  </w:r>
                </w:p>
              </w:tc>
            </w:tr>
          </w:tbl>
          <w:p w:rsidR="004C273F" w:rsidRPr="009E1C77" w:rsidRDefault="004C273F" w:rsidP="009E1C77">
            <w:pPr>
              <w:spacing w:line="360" w:lineRule="auto"/>
              <w:jc w:val="center"/>
              <w:rPr>
                <w:rFonts w:cstheme="minorHAnsi"/>
                <w:b/>
                <w:vanish/>
                <w:sz w:val="20"/>
                <w:szCs w:val="20"/>
              </w:rPr>
            </w:pPr>
          </w:p>
        </w:tc>
        <w:tc>
          <w:tcPr>
            <w:tcW w:w="1736" w:type="dxa"/>
            <w:vAlign w:val="center"/>
          </w:tcPr>
          <w:tbl>
            <w:tblPr>
              <w:tblW w:w="0" w:type="auto"/>
              <w:tblCellSpacing w:w="15" w:type="dxa"/>
              <w:tblCellMar>
                <w:top w:w="15" w:type="dxa"/>
                <w:left w:w="15" w:type="dxa"/>
                <w:bottom w:w="15" w:type="dxa"/>
                <w:right w:w="15" w:type="dxa"/>
              </w:tblCellMar>
              <w:tblLook w:val="04A0"/>
            </w:tblPr>
            <w:tblGrid>
              <w:gridCol w:w="1108"/>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£365,037.50</w:t>
                  </w:r>
                </w:p>
              </w:tc>
            </w:tr>
          </w:tbl>
          <w:p w:rsidR="004C273F" w:rsidRPr="009E1C77" w:rsidRDefault="004C273F" w:rsidP="009E1C77">
            <w:pPr>
              <w:spacing w:line="360" w:lineRule="auto"/>
              <w:jc w:val="center"/>
              <w:rPr>
                <w:rFonts w:cstheme="minorHAnsi"/>
                <w:b/>
                <w:sz w:val="20"/>
                <w:szCs w:val="20"/>
              </w:rPr>
            </w:pPr>
          </w:p>
        </w:tc>
      </w:tr>
      <w:tr w:rsidR="004C273F" w:rsidTr="009E1C77">
        <w:tc>
          <w:tcPr>
            <w:tcW w:w="1613" w:type="dxa"/>
            <w:vAlign w:val="center"/>
          </w:tcPr>
          <w:tbl>
            <w:tblPr>
              <w:tblW w:w="0" w:type="auto"/>
              <w:tblCellSpacing w:w="15" w:type="dxa"/>
              <w:tblCellMar>
                <w:top w:w="15" w:type="dxa"/>
                <w:left w:w="15" w:type="dxa"/>
                <w:bottom w:w="15" w:type="dxa"/>
                <w:right w:w="15" w:type="dxa"/>
              </w:tblCellMar>
              <w:tblLook w:val="04A0"/>
            </w:tblPr>
            <w:tblGrid>
              <w:gridCol w:w="1397"/>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Style w:val="Strong"/>
                      <w:rFonts w:cstheme="minorHAnsi"/>
                      <w:sz w:val="20"/>
                      <w:szCs w:val="20"/>
                    </w:rPr>
                    <w:t>Accounts Receivable</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852"/>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£150,000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852"/>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£100,000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750"/>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£80,000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750"/>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£45,000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750"/>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£10,000</w:t>
                  </w:r>
                </w:p>
              </w:tc>
            </w:tr>
          </w:tbl>
          <w:p w:rsidR="004C273F" w:rsidRPr="009E1C77" w:rsidRDefault="004C273F" w:rsidP="009E1C77">
            <w:pPr>
              <w:spacing w:line="360" w:lineRule="auto"/>
              <w:jc w:val="center"/>
              <w:rPr>
                <w:rFonts w:cstheme="minorHAnsi"/>
                <w:b/>
                <w:vanish/>
                <w:sz w:val="20"/>
                <w:szCs w:val="20"/>
              </w:rPr>
            </w:pPr>
          </w:p>
        </w:tc>
        <w:tc>
          <w:tcPr>
            <w:tcW w:w="1736" w:type="dxa"/>
            <w:vAlign w:val="center"/>
          </w:tcPr>
          <w:tbl>
            <w:tblPr>
              <w:tblW w:w="0" w:type="auto"/>
              <w:tblCellSpacing w:w="15" w:type="dxa"/>
              <w:tblCellMar>
                <w:top w:w="15" w:type="dxa"/>
                <w:left w:w="15" w:type="dxa"/>
                <w:bottom w:w="15" w:type="dxa"/>
                <w:right w:w="15" w:type="dxa"/>
              </w:tblCellMar>
              <w:tblLook w:val="04A0"/>
            </w:tblPr>
            <w:tblGrid>
              <w:gridCol w:w="750"/>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£10,000</w:t>
                  </w:r>
                </w:p>
              </w:tc>
            </w:tr>
          </w:tbl>
          <w:p w:rsidR="004C273F" w:rsidRPr="009E1C77" w:rsidRDefault="004C273F" w:rsidP="009E1C77">
            <w:pPr>
              <w:spacing w:line="360" w:lineRule="auto"/>
              <w:jc w:val="center"/>
              <w:rPr>
                <w:rFonts w:cstheme="minorHAnsi"/>
                <w:b/>
                <w:sz w:val="20"/>
                <w:szCs w:val="20"/>
              </w:rPr>
            </w:pPr>
          </w:p>
        </w:tc>
      </w:tr>
      <w:tr w:rsidR="004C273F" w:rsidTr="009E1C77">
        <w:tc>
          <w:tcPr>
            <w:tcW w:w="1613" w:type="dxa"/>
            <w:vAlign w:val="center"/>
          </w:tcPr>
          <w:tbl>
            <w:tblPr>
              <w:tblW w:w="0" w:type="auto"/>
              <w:tblCellSpacing w:w="15" w:type="dxa"/>
              <w:tblCellMar>
                <w:top w:w="15" w:type="dxa"/>
                <w:left w:w="15" w:type="dxa"/>
                <w:bottom w:w="15" w:type="dxa"/>
                <w:right w:w="15" w:type="dxa"/>
              </w:tblCellMar>
              <w:tblLook w:val="04A0"/>
            </w:tblPr>
            <w:tblGrid>
              <w:gridCol w:w="1397"/>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Style w:val="Strong"/>
                      <w:rFonts w:cstheme="minorHAnsi"/>
                      <w:sz w:val="20"/>
                      <w:szCs w:val="20"/>
                    </w:rPr>
                    <w:t>Property and Equipment</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£5,000,000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£4,800,000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£4,500,000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£4,600,000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£4,550,000</w:t>
                  </w:r>
                </w:p>
              </w:tc>
            </w:tr>
          </w:tbl>
          <w:p w:rsidR="004C273F" w:rsidRPr="009E1C77" w:rsidRDefault="004C273F" w:rsidP="009E1C77">
            <w:pPr>
              <w:spacing w:line="360" w:lineRule="auto"/>
              <w:jc w:val="center"/>
              <w:rPr>
                <w:rFonts w:cstheme="minorHAnsi"/>
                <w:b/>
                <w:vanish/>
                <w:sz w:val="20"/>
                <w:szCs w:val="20"/>
              </w:rPr>
            </w:pPr>
          </w:p>
        </w:tc>
        <w:tc>
          <w:tcPr>
            <w:tcW w:w="1736"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£4,500,000</w:t>
                  </w:r>
                </w:p>
              </w:tc>
            </w:tr>
          </w:tbl>
          <w:p w:rsidR="004C273F" w:rsidRPr="009E1C77" w:rsidRDefault="004C273F" w:rsidP="009E1C77">
            <w:pPr>
              <w:spacing w:line="360" w:lineRule="auto"/>
              <w:jc w:val="center"/>
              <w:rPr>
                <w:rFonts w:cstheme="minorHAnsi"/>
                <w:b/>
                <w:sz w:val="20"/>
                <w:szCs w:val="20"/>
              </w:rPr>
            </w:pPr>
          </w:p>
        </w:tc>
      </w:tr>
      <w:tr w:rsidR="004C273F" w:rsidTr="009E1C77">
        <w:tc>
          <w:tcPr>
            <w:tcW w:w="1613" w:type="dxa"/>
            <w:vAlign w:val="center"/>
          </w:tcPr>
          <w:tbl>
            <w:tblPr>
              <w:tblW w:w="0" w:type="auto"/>
              <w:tblCellSpacing w:w="15" w:type="dxa"/>
              <w:tblCellMar>
                <w:top w:w="15" w:type="dxa"/>
                <w:left w:w="15" w:type="dxa"/>
                <w:bottom w:w="15" w:type="dxa"/>
                <w:right w:w="15" w:type="dxa"/>
              </w:tblCellMar>
              <w:tblLook w:val="04A0"/>
            </w:tblPr>
            <w:tblGrid>
              <w:gridCol w:w="1090"/>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Style w:val="Strong"/>
                      <w:rFonts w:cstheme="minorHAnsi"/>
                      <w:sz w:val="20"/>
                      <w:szCs w:val="20"/>
                    </w:rPr>
                    <w:t>Total Assets</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£5,450,000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£5,100,000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£4,680,000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£4,605,000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£4,581,910</w:t>
                  </w:r>
                </w:p>
              </w:tc>
            </w:tr>
          </w:tbl>
          <w:p w:rsidR="004C273F" w:rsidRPr="009E1C77" w:rsidRDefault="004C273F" w:rsidP="009E1C77">
            <w:pPr>
              <w:spacing w:line="360" w:lineRule="auto"/>
              <w:jc w:val="center"/>
              <w:rPr>
                <w:rFonts w:cstheme="minorHAnsi"/>
                <w:b/>
                <w:vanish/>
                <w:sz w:val="20"/>
                <w:szCs w:val="20"/>
              </w:rPr>
            </w:pPr>
          </w:p>
        </w:tc>
        <w:tc>
          <w:tcPr>
            <w:tcW w:w="1736" w:type="dxa"/>
            <w:vAlign w:val="center"/>
          </w:tcPr>
          <w:tbl>
            <w:tblPr>
              <w:tblW w:w="0" w:type="auto"/>
              <w:tblCellSpacing w:w="15" w:type="dxa"/>
              <w:tblCellMar>
                <w:top w:w="15" w:type="dxa"/>
                <w:left w:w="15" w:type="dxa"/>
                <w:bottom w:w="15" w:type="dxa"/>
                <w:right w:w="15" w:type="dxa"/>
              </w:tblCellMar>
              <w:tblLook w:val="04A0"/>
            </w:tblPr>
            <w:tblGrid>
              <w:gridCol w:w="1261"/>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£4,875,037.50</w:t>
                  </w:r>
                </w:p>
              </w:tc>
            </w:tr>
          </w:tbl>
          <w:p w:rsidR="004C273F" w:rsidRPr="009E1C77" w:rsidRDefault="004C273F" w:rsidP="009E1C77">
            <w:pPr>
              <w:spacing w:line="360" w:lineRule="auto"/>
              <w:jc w:val="center"/>
              <w:rPr>
                <w:rFonts w:cstheme="minorHAnsi"/>
                <w:b/>
                <w:sz w:val="20"/>
                <w:szCs w:val="20"/>
              </w:rPr>
            </w:pPr>
          </w:p>
        </w:tc>
      </w:tr>
      <w:tr w:rsidR="004C273F" w:rsidTr="009E1C77">
        <w:tc>
          <w:tcPr>
            <w:tcW w:w="1613" w:type="dxa"/>
            <w:vAlign w:val="center"/>
          </w:tcPr>
          <w:tbl>
            <w:tblPr>
              <w:tblW w:w="0" w:type="auto"/>
              <w:tblCellSpacing w:w="15" w:type="dxa"/>
              <w:tblCellMar>
                <w:top w:w="15" w:type="dxa"/>
                <w:left w:w="15" w:type="dxa"/>
                <w:bottom w:w="15" w:type="dxa"/>
                <w:right w:w="15" w:type="dxa"/>
              </w:tblCellMar>
              <w:tblLook w:val="04A0"/>
            </w:tblPr>
            <w:tblGrid>
              <w:gridCol w:w="1397"/>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Style w:val="Strong"/>
                      <w:rFonts w:cstheme="minorHAnsi"/>
                      <w:sz w:val="20"/>
                      <w:szCs w:val="20"/>
                    </w:rPr>
                    <w:t>Accounts Payable</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852"/>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£250,000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852"/>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£270,000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852"/>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852"/>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£325,000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852"/>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£350,000</w:t>
                  </w:r>
                </w:p>
              </w:tc>
            </w:tr>
          </w:tbl>
          <w:p w:rsidR="004C273F" w:rsidRPr="009E1C77" w:rsidRDefault="004C273F" w:rsidP="009E1C77">
            <w:pPr>
              <w:spacing w:line="360" w:lineRule="auto"/>
              <w:jc w:val="center"/>
              <w:rPr>
                <w:rFonts w:cstheme="minorHAnsi"/>
                <w:b/>
                <w:vanish/>
                <w:sz w:val="20"/>
                <w:szCs w:val="20"/>
              </w:rPr>
            </w:pPr>
          </w:p>
        </w:tc>
        <w:tc>
          <w:tcPr>
            <w:tcW w:w="1736" w:type="dxa"/>
            <w:vAlign w:val="center"/>
          </w:tcPr>
          <w:tbl>
            <w:tblPr>
              <w:tblW w:w="0" w:type="auto"/>
              <w:tblCellSpacing w:w="15" w:type="dxa"/>
              <w:tblCellMar>
                <w:top w:w="15" w:type="dxa"/>
                <w:left w:w="15" w:type="dxa"/>
                <w:bottom w:w="15" w:type="dxa"/>
                <w:right w:w="15" w:type="dxa"/>
              </w:tblCellMar>
              <w:tblLook w:val="04A0"/>
            </w:tblPr>
            <w:tblGrid>
              <w:gridCol w:w="852"/>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£375,000</w:t>
                  </w:r>
                </w:p>
              </w:tc>
            </w:tr>
          </w:tbl>
          <w:p w:rsidR="004C273F" w:rsidRPr="009E1C77" w:rsidRDefault="004C273F" w:rsidP="009E1C77">
            <w:pPr>
              <w:spacing w:line="360" w:lineRule="auto"/>
              <w:jc w:val="center"/>
              <w:rPr>
                <w:rFonts w:cstheme="minorHAnsi"/>
                <w:b/>
                <w:sz w:val="20"/>
                <w:szCs w:val="20"/>
              </w:rPr>
            </w:pPr>
          </w:p>
        </w:tc>
      </w:tr>
      <w:tr w:rsidR="004C273F" w:rsidTr="009E1C77">
        <w:tc>
          <w:tcPr>
            <w:tcW w:w="1613" w:type="dxa"/>
            <w:vAlign w:val="center"/>
          </w:tcPr>
          <w:tbl>
            <w:tblPr>
              <w:tblW w:w="0" w:type="auto"/>
              <w:tblCellSpacing w:w="15" w:type="dxa"/>
              <w:tblCellMar>
                <w:top w:w="15" w:type="dxa"/>
                <w:left w:w="15" w:type="dxa"/>
                <w:bottom w:w="15" w:type="dxa"/>
                <w:right w:w="15" w:type="dxa"/>
              </w:tblCellMar>
              <w:tblLook w:val="04A0"/>
            </w:tblPr>
            <w:tblGrid>
              <w:gridCol w:w="1397"/>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Style w:val="Strong"/>
                      <w:rFonts w:cstheme="minorHAnsi"/>
                      <w:sz w:val="20"/>
                      <w:szCs w:val="20"/>
                    </w:rPr>
                    <w:t>Long-term Debt</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£3,000,000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£3,000,000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£3,000,000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£3,140,000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£3,121,650</w:t>
                  </w:r>
                </w:p>
              </w:tc>
            </w:tr>
          </w:tbl>
          <w:p w:rsidR="004C273F" w:rsidRPr="009E1C77" w:rsidRDefault="004C273F" w:rsidP="009E1C77">
            <w:pPr>
              <w:spacing w:line="360" w:lineRule="auto"/>
              <w:jc w:val="center"/>
              <w:rPr>
                <w:rFonts w:cstheme="minorHAnsi"/>
                <w:b/>
                <w:vanish/>
                <w:sz w:val="20"/>
                <w:szCs w:val="20"/>
              </w:rPr>
            </w:pPr>
          </w:p>
        </w:tc>
        <w:tc>
          <w:tcPr>
            <w:tcW w:w="1736"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£2,807,650</w:t>
                  </w:r>
                </w:p>
              </w:tc>
            </w:tr>
          </w:tbl>
          <w:p w:rsidR="004C273F" w:rsidRPr="009E1C77" w:rsidRDefault="004C273F" w:rsidP="009E1C77">
            <w:pPr>
              <w:spacing w:line="360" w:lineRule="auto"/>
              <w:jc w:val="center"/>
              <w:rPr>
                <w:rFonts w:cstheme="minorHAnsi"/>
                <w:b/>
                <w:sz w:val="20"/>
                <w:szCs w:val="20"/>
              </w:rPr>
            </w:pPr>
          </w:p>
        </w:tc>
      </w:tr>
      <w:tr w:rsidR="004C273F" w:rsidTr="009E1C77">
        <w:tc>
          <w:tcPr>
            <w:tcW w:w="1613" w:type="dxa"/>
            <w:vAlign w:val="center"/>
          </w:tcPr>
          <w:tbl>
            <w:tblPr>
              <w:tblW w:w="0" w:type="auto"/>
              <w:tblCellSpacing w:w="15" w:type="dxa"/>
              <w:tblCellMar>
                <w:top w:w="15" w:type="dxa"/>
                <w:left w:w="15" w:type="dxa"/>
                <w:bottom w:w="15" w:type="dxa"/>
                <w:right w:w="15" w:type="dxa"/>
              </w:tblCellMar>
              <w:tblLook w:val="04A0"/>
            </w:tblPr>
            <w:tblGrid>
              <w:gridCol w:w="134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Style w:val="Strong"/>
                      <w:rFonts w:cstheme="minorHAnsi"/>
                      <w:sz w:val="20"/>
                      <w:szCs w:val="20"/>
                    </w:rPr>
                    <w:t>Total Liabilities</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£3,250,000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£3,270,000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£3,300,000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£3,465,000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£3,471,650</w:t>
                  </w:r>
                </w:p>
              </w:tc>
            </w:tr>
          </w:tbl>
          <w:p w:rsidR="004C273F" w:rsidRPr="009E1C77" w:rsidRDefault="004C273F" w:rsidP="009E1C77">
            <w:pPr>
              <w:spacing w:line="360" w:lineRule="auto"/>
              <w:jc w:val="center"/>
              <w:rPr>
                <w:rFonts w:cstheme="minorHAnsi"/>
                <w:b/>
                <w:vanish/>
                <w:sz w:val="20"/>
                <w:szCs w:val="20"/>
              </w:rPr>
            </w:pPr>
          </w:p>
        </w:tc>
        <w:tc>
          <w:tcPr>
            <w:tcW w:w="1736"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£3,182,650</w:t>
                  </w:r>
                </w:p>
              </w:tc>
            </w:tr>
          </w:tbl>
          <w:p w:rsidR="004C273F" w:rsidRPr="009E1C77" w:rsidRDefault="004C273F" w:rsidP="009E1C77">
            <w:pPr>
              <w:spacing w:line="360" w:lineRule="auto"/>
              <w:jc w:val="center"/>
              <w:rPr>
                <w:rFonts w:cstheme="minorHAnsi"/>
                <w:b/>
                <w:sz w:val="20"/>
                <w:szCs w:val="20"/>
              </w:rPr>
            </w:pPr>
          </w:p>
        </w:tc>
      </w:tr>
      <w:tr w:rsidR="004C273F" w:rsidTr="009E1C77">
        <w:tc>
          <w:tcPr>
            <w:tcW w:w="1613" w:type="dxa"/>
            <w:vAlign w:val="center"/>
          </w:tcPr>
          <w:tbl>
            <w:tblPr>
              <w:tblW w:w="0" w:type="auto"/>
              <w:tblCellSpacing w:w="15" w:type="dxa"/>
              <w:tblCellMar>
                <w:top w:w="15" w:type="dxa"/>
                <w:left w:w="15" w:type="dxa"/>
                <w:bottom w:w="15" w:type="dxa"/>
                <w:right w:w="15" w:type="dxa"/>
              </w:tblCellMar>
              <w:tblLook w:val="04A0"/>
            </w:tblPr>
            <w:tblGrid>
              <w:gridCol w:w="616"/>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Style w:val="Strong"/>
                      <w:rFonts w:cstheme="minorHAnsi"/>
                      <w:sz w:val="20"/>
                      <w:szCs w:val="20"/>
                    </w:rPr>
                    <w:t>Equity</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£2,200,000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£1,830,000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£1,380,000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£1,140,000</w:t>
                  </w:r>
                </w:p>
              </w:tc>
            </w:tr>
          </w:tbl>
          <w:p w:rsidR="004C273F" w:rsidRPr="009E1C77" w:rsidRDefault="004C273F" w:rsidP="009E1C77">
            <w:pPr>
              <w:spacing w:line="360" w:lineRule="auto"/>
              <w:jc w:val="center"/>
              <w:rPr>
                <w:rFonts w:cstheme="minorHAnsi"/>
                <w:b/>
                <w:vanish/>
                <w:sz w:val="20"/>
                <w:szCs w:val="20"/>
              </w:rPr>
            </w:pPr>
          </w:p>
        </w:tc>
        <w:tc>
          <w:tcPr>
            <w:tcW w:w="1308" w:type="dxa"/>
            <w:vAlign w:val="center"/>
          </w:tcPr>
          <w:tbl>
            <w:tblPr>
              <w:tblW w:w="0" w:type="auto"/>
              <w:tblCellSpacing w:w="15" w:type="dxa"/>
              <w:tblCellMar>
                <w:top w:w="15" w:type="dxa"/>
                <w:left w:w="15" w:type="dxa"/>
                <w:bottom w:w="15" w:type="dxa"/>
                <w:right w:w="15" w:type="dxa"/>
              </w:tblCellMar>
              <w:tblLook w:val="04A0"/>
            </w:tblPr>
            <w:tblGrid>
              <w:gridCol w:w="1005"/>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£1,110,260</w:t>
                  </w:r>
                </w:p>
              </w:tc>
            </w:tr>
          </w:tbl>
          <w:p w:rsidR="004C273F" w:rsidRPr="009E1C77" w:rsidRDefault="004C273F" w:rsidP="009E1C77">
            <w:pPr>
              <w:spacing w:line="360" w:lineRule="auto"/>
              <w:jc w:val="center"/>
              <w:rPr>
                <w:rFonts w:cstheme="minorHAnsi"/>
                <w:b/>
                <w:vanish/>
                <w:sz w:val="20"/>
                <w:szCs w:val="20"/>
              </w:rPr>
            </w:pPr>
          </w:p>
        </w:tc>
        <w:tc>
          <w:tcPr>
            <w:tcW w:w="1736" w:type="dxa"/>
            <w:vAlign w:val="center"/>
          </w:tcPr>
          <w:tbl>
            <w:tblPr>
              <w:tblW w:w="0" w:type="auto"/>
              <w:tblCellSpacing w:w="15" w:type="dxa"/>
              <w:tblCellMar>
                <w:top w:w="15" w:type="dxa"/>
                <w:left w:w="15" w:type="dxa"/>
                <w:bottom w:w="15" w:type="dxa"/>
                <w:right w:w="15" w:type="dxa"/>
              </w:tblCellMar>
              <w:tblLook w:val="04A0"/>
            </w:tblPr>
            <w:tblGrid>
              <w:gridCol w:w="1261"/>
            </w:tblGrid>
            <w:tr w:rsidR="004C273F" w:rsidRPr="009E1C77" w:rsidTr="0063325A">
              <w:trPr>
                <w:tblCellSpacing w:w="15" w:type="dxa"/>
              </w:trPr>
              <w:tc>
                <w:tcPr>
                  <w:tcW w:w="0" w:type="auto"/>
                  <w:vAlign w:val="center"/>
                  <w:hideMark/>
                </w:tcPr>
                <w:p w:rsidR="004C273F" w:rsidRPr="009E1C77" w:rsidRDefault="004C273F" w:rsidP="009E1C77">
                  <w:pPr>
                    <w:spacing w:line="360" w:lineRule="auto"/>
                    <w:jc w:val="center"/>
                    <w:rPr>
                      <w:rFonts w:cstheme="minorHAnsi"/>
                      <w:b/>
                      <w:sz w:val="20"/>
                      <w:szCs w:val="20"/>
                    </w:rPr>
                  </w:pPr>
                  <w:r w:rsidRPr="009E1C77">
                    <w:rPr>
                      <w:rFonts w:cstheme="minorHAnsi"/>
                      <w:b/>
                      <w:sz w:val="20"/>
                      <w:szCs w:val="20"/>
                    </w:rPr>
                    <w:t>£1,692,387.50</w:t>
                  </w:r>
                </w:p>
              </w:tc>
            </w:tr>
          </w:tbl>
          <w:p w:rsidR="004C273F" w:rsidRPr="009E1C77" w:rsidRDefault="004C273F" w:rsidP="009E1C77">
            <w:pPr>
              <w:spacing w:line="360" w:lineRule="auto"/>
              <w:jc w:val="center"/>
              <w:rPr>
                <w:rFonts w:cstheme="minorHAnsi"/>
                <w:b/>
                <w:sz w:val="20"/>
                <w:szCs w:val="20"/>
              </w:rPr>
            </w:pPr>
          </w:p>
        </w:tc>
      </w:tr>
    </w:tbl>
    <w:p w:rsidR="003C5884" w:rsidRDefault="003C5884" w:rsidP="000B11B7">
      <w:pPr>
        <w:pStyle w:val="Heading4"/>
        <w:spacing w:before="0" w:line="360" w:lineRule="auto"/>
        <w:rPr>
          <w:rFonts w:ascii="Arial" w:hAnsi="Arial" w:cs="Arial"/>
          <w:b w:val="0"/>
          <w:i w:val="0"/>
          <w:color w:val="auto"/>
          <w:sz w:val="24"/>
          <w:szCs w:val="24"/>
        </w:rPr>
      </w:pPr>
    </w:p>
    <w:p w:rsidR="000B11B7" w:rsidRPr="000B11B7" w:rsidRDefault="000E1024" w:rsidP="000B11B7">
      <w:pPr>
        <w:pStyle w:val="Heading4"/>
        <w:spacing w:before="0" w:line="360" w:lineRule="auto"/>
        <w:rPr>
          <w:rFonts w:ascii="Arial" w:hAnsi="Arial" w:cs="Arial"/>
          <w:b w:val="0"/>
          <w:i w:val="0"/>
          <w:color w:val="auto"/>
          <w:sz w:val="24"/>
          <w:szCs w:val="24"/>
        </w:rPr>
      </w:pPr>
      <w:r w:rsidRPr="000B11B7">
        <w:rPr>
          <w:rFonts w:ascii="Arial" w:hAnsi="Arial" w:cs="Arial"/>
          <w:b w:val="0"/>
          <w:i w:val="0"/>
          <w:color w:val="auto"/>
          <w:sz w:val="24"/>
          <w:szCs w:val="24"/>
        </w:rPr>
        <w:t>Assets</w:t>
      </w:r>
      <w:r w:rsidR="000B11B7" w:rsidRPr="000B11B7">
        <w:rPr>
          <w:rFonts w:ascii="Arial" w:hAnsi="Arial" w:cs="Arial"/>
          <w:b w:val="0"/>
          <w:i w:val="0"/>
          <w:color w:val="auto"/>
          <w:sz w:val="24"/>
          <w:szCs w:val="24"/>
        </w:rPr>
        <w:t>.</w:t>
      </w:r>
    </w:p>
    <w:p w:rsidR="000E1024" w:rsidRDefault="000E1024" w:rsidP="000B11B7">
      <w:pPr>
        <w:pStyle w:val="Heading4"/>
        <w:spacing w:before="0" w:line="360" w:lineRule="auto"/>
        <w:rPr>
          <w:rFonts w:ascii="Arial" w:hAnsi="Arial" w:cs="Arial"/>
          <w:b w:val="0"/>
          <w:i w:val="0"/>
          <w:color w:val="auto"/>
          <w:sz w:val="24"/>
          <w:szCs w:val="24"/>
        </w:rPr>
      </w:pPr>
      <w:r w:rsidRPr="000B11B7">
        <w:rPr>
          <w:rStyle w:val="Strong"/>
          <w:rFonts w:ascii="Arial" w:hAnsi="Arial" w:cs="Arial"/>
          <w:i w:val="0"/>
          <w:color w:val="auto"/>
          <w:sz w:val="24"/>
          <w:szCs w:val="24"/>
        </w:rPr>
        <w:t>Cash and Equivalents</w:t>
      </w:r>
      <w:r w:rsidR="000B11B7" w:rsidRPr="000B11B7">
        <w:rPr>
          <w:rFonts w:ascii="Arial" w:hAnsi="Arial" w:cs="Arial"/>
          <w:b w:val="0"/>
          <w:i w:val="0"/>
          <w:color w:val="auto"/>
          <w:sz w:val="24"/>
          <w:szCs w:val="24"/>
        </w:rPr>
        <w:t>:</w:t>
      </w:r>
    </w:p>
    <w:p w:rsidR="004B4A98" w:rsidRPr="000B11B7" w:rsidRDefault="004B4A98" w:rsidP="0070060F">
      <w:pPr>
        <w:pStyle w:val="ListParagraph"/>
        <w:numPr>
          <w:ilvl w:val="0"/>
          <w:numId w:val="36"/>
        </w:numPr>
        <w:spacing w:after="0" w:line="360" w:lineRule="auto"/>
        <w:rPr>
          <w:rFonts w:ascii="Arial" w:hAnsi="Arial" w:cs="Arial"/>
          <w:sz w:val="24"/>
          <w:szCs w:val="24"/>
        </w:rPr>
      </w:pPr>
      <w:r w:rsidRPr="000B11B7">
        <w:rPr>
          <w:rStyle w:val="Strong"/>
          <w:rFonts w:ascii="Arial" w:hAnsi="Arial" w:cs="Arial"/>
          <w:b w:val="0"/>
          <w:sz w:val="24"/>
          <w:szCs w:val="24"/>
        </w:rPr>
        <w:t>2024</w:t>
      </w:r>
      <w:r w:rsidRPr="000B11B7">
        <w:rPr>
          <w:rFonts w:ascii="Arial" w:hAnsi="Arial" w:cs="Arial"/>
          <w:sz w:val="24"/>
          <w:szCs w:val="24"/>
        </w:rPr>
        <w:t>: Turned negative due to significant investments in modernisation, renovation, marketing, and training. While not ideal, this reflects a strategic decision to invest in long-term improvements.  £20,000 for each program, totalling £40,000 deducted from Cash and Equivalents and treated as separate expenses, not affecting OER.</w:t>
      </w:r>
    </w:p>
    <w:p w:rsidR="004B4A98" w:rsidRPr="000B11B7" w:rsidRDefault="004B4A98" w:rsidP="0070060F">
      <w:pPr>
        <w:pStyle w:val="ListParagraph"/>
        <w:numPr>
          <w:ilvl w:val="0"/>
          <w:numId w:val="36"/>
        </w:numPr>
        <w:spacing w:before="100" w:beforeAutospacing="1" w:after="100" w:afterAutospacing="1" w:line="360" w:lineRule="auto"/>
        <w:rPr>
          <w:rFonts w:ascii="Arial" w:hAnsi="Arial" w:cs="Arial"/>
          <w:sz w:val="24"/>
          <w:szCs w:val="24"/>
        </w:rPr>
      </w:pPr>
      <w:r w:rsidRPr="00D30883">
        <w:rPr>
          <w:rStyle w:val="Strong"/>
          <w:rFonts w:ascii="Arial" w:hAnsi="Arial" w:cs="Arial"/>
          <w:b w:val="0"/>
          <w:sz w:val="24"/>
          <w:szCs w:val="24"/>
        </w:rPr>
        <w:t>2025</w:t>
      </w:r>
      <w:r w:rsidRPr="000B11B7">
        <w:rPr>
          <w:rFonts w:ascii="Arial" w:hAnsi="Arial" w:cs="Arial"/>
          <w:sz w:val="24"/>
          <w:szCs w:val="24"/>
        </w:rPr>
        <w:t>: Turned positive due to net income and better cash flow management, reflects debt repayments</w:t>
      </w:r>
    </w:p>
    <w:p w:rsidR="003C5884" w:rsidRPr="003C5884" w:rsidRDefault="004B4A98" w:rsidP="0070060F">
      <w:pPr>
        <w:pStyle w:val="ListParagraph"/>
        <w:numPr>
          <w:ilvl w:val="0"/>
          <w:numId w:val="36"/>
        </w:numPr>
        <w:spacing w:before="100" w:beforeAutospacing="1" w:after="0" w:line="360" w:lineRule="auto"/>
        <w:rPr>
          <w:rFonts w:ascii="Arial" w:hAnsi="Arial" w:cs="Arial"/>
          <w:sz w:val="24"/>
          <w:szCs w:val="24"/>
        </w:rPr>
      </w:pPr>
      <w:r w:rsidRPr="00D30883">
        <w:rPr>
          <w:rStyle w:val="Strong"/>
          <w:rFonts w:ascii="Arial" w:hAnsi="Arial" w:cs="Arial"/>
          <w:b w:val="0"/>
          <w:sz w:val="24"/>
          <w:szCs w:val="24"/>
        </w:rPr>
        <w:t>2026</w:t>
      </w:r>
      <w:r w:rsidRPr="000B11B7">
        <w:rPr>
          <w:rFonts w:ascii="Arial" w:hAnsi="Arial" w:cs="Arial"/>
          <w:sz w:val="24"/>
          <w:szCs w:val="24"/>
        </w:rPr>
        <w:t>: Reflects net income and debt repayments.</w:t>
      </w:r>
    </w:p>
    <w:p w:rsidR="002378F7" w:rsidRPr="003C5884" w:rsidRDefault="00073174" w:rsidP="003C5884">
      <w:pPr>
        <w:spacing w:after="0" w:line="360" w:lineRule="auto"/>
        <w:rPr>
          <w:rFonts w:ascii="Arial" w:hAnsi="Arial" w:cs="Arial"/>
          <w:sz w:val="24"/>
          <w:szCs w:val="24"/>
        </w:rPr>
      </w:pPr>
      <w:r w:rsidRPr="003C5884">
        <w:rPr>
          <w:rFonts w:ascii="Arial" w:hAnsi="Arial" w:cs="Arial"/>
          <w:sz w:val="24"/>
          <w:szCs w:val="24"/>
        </w:rPr>
        <w:t>Accounts Receivable</w:t>
      </w:r>
      <w:r w:rsidR="000B11B7" w:rsidRPr="003C5884">
        <w:rPr>
          <w:rFonts w:ascii="Arial" w:hAnsi="Arial" w:cs="Arial"/>
          <w:sz w:val="24"/>
          <w:szCs w:val="24"/>
        </w:rPr>
        <w:t>:</w:t>
      </w:r>
    </w:p>
    <w:p w:rsidR="00F15173" w:rsidRPr="000B11B7" w:rsidRDefault="003E2E40" w:rsidP="0070060F">
      <w:pPr>
        <w:pStyle w:val="ListParagraph"/>
        <w:numPr>
          <w:ilvl w:val="0"/>
          <w:numId w:val="25"/>
        </w:numPr>
        <w:spacing w:after="0" w:line="360" w:lineRule="auto"/>
        <w:rPr>
          <w:rFonts w:ascii="Arial" w:hAnsi="Arial" w:cs="Arial"/>
          <w:sz w:val="24"/>
          <w:szCs w:val="24"/>
        </w:rPr>
      </w:pPr>
      <w:r w:rsidRPr="000B11B7">
        <w:rPr>
          <w:rFonts w:ascii="Arial" w:hAnsi="Arial" w:cs="Arial"/>
          <w:color w:val="0D0D0D"/>
          <w:sz w:val="24"/>
          <w:szCs w:val="24"/>
          <w:shd w:val="clear" w:color="auto" w:fill="FFFFFF"/>
        </w:rPr>
        <w:lastRenderedPageBreak/>
        <w:t xml:space="preserve">The sharp reduction in 2024 and stabilisation in 2025 and 2026 reflect the hotel's efforts to enhance cash flow and reduce credit risk by implementing stricter payment terms and better collection practices. </w:t>
      </w:r>
    </w:p>
    <w:p w:rsidR="00F15173" w:rsidRPr="000B11B7" w:rsidRDefault="00073174" w:rsidP="000B11B7">
      <w:pPr>
        <w:spacing w:after="0" w:line="360" w:lineRule="auto"/>
        <w:rPr>
          <w:rFonts w:ascii="Arial" w:hAnsi="Arial" w:cs="Arial"/>
          <w:sz w:val="24"/>
          <w:szCs w:val="24"/>
        </w:rPr>
      </w:pPr>
      <w:r w:rsidRPr="000B11B7">
        <w:rPr>
          <w:rFonts w:ascii="Arial" w:hAnsi="Arial" w:cs="Arial"/>
          <w:sz w:val="24"/>
          <w:szCs w:val="24"/>
        </w:rPr>
        <w:t>Property and Equipment</w:t>
      </w:r>
      <w:r w:rsidR="000B11B7">
        <w:rPr>
          <w:rFonts w:ascii="Arial" w:hAnsi="Arial" w:cs="Arial"/>
          <w:sz w:val="24"/>
          <w:szCs w:val="24"/>
        </w:rPr>
        <w:t>:</w:t>
      </w:r>
      <w:r w:rsidRPr="000B11B7">
        <w:rPr>
          <w:rFonts w:ascii="Arial" w:hAnsi="Arial" w:cs="Arial"/>
          <w:sz w:val="24"/>
          <w:szCs w:val="24"/>
        </w:rPr>
        <w:t xml:space="preserve"> </w:t>
      </w:r>
    </w:p>
    <w:p w:rsidR="00073174" w:rsidRPr="000B11B7" w:rsidRDefault="002378F7" w:rsidP="0070060F">
      <w:pPr>
        <w:pStyle w:val="ListParagraph"/>
        <w:numPr>
          <w:ilvl w:val="0"/>
          <w:numId w:val="25"/>
        </w:numPr>
        <w:spacing w:after="0" w:line="360" w:lineRule="auto"/>
        <w:rPr>
          <w:rFonts w:ascii="Arial" w:hAnsi="Arial" w:cs="Arial"/>
          <w:sz w:val="24"/>
          <w:szCs w:val="24"/>
        </w:rPr>
      </w:pPr>
      <w:r w:rsidRPr="000B11B7">
        <w:rPr>
          <w:rFonts w:ascii="Arial" w:hAnsi="Arial" w:cs="Arial"/>
          <w:sz w:val="24"/>
          <w:szCs w:val="24"/>
        </w:rPr>
        <w:t>Decreased due to depreciation but increased slightly in 202</w:t>
      </w:r>
      <w:r w:rsidR="00F15173" w:rsidRPr="000B11B7">
        <w:rPr>
          <w:rFonts w:ascii="Arial" w:hAnsi="Arial" w:cs="Arial"/>
          <w:sz w:val="24"/>
          <w:szCs w:val="24"/>
        </w:rPr>
        <w:t>4 due to investments in modernis</w:t>
      </w:r>
      <w:r w:rsidRPr="000B11B7">
        <w:rPr>
          <w:rFonts w:ascii="Arial" w:hAnsi="Arial" w:cs="Arial"/>
          <w:sz w:val="24"/>
          <w:szCs w:val="24"/>
        </w:rPr>
        <w:t>ation and renovation.</w:t>
      </w:r>
    </w:p>
    <w:p w:rsidR="000B11B7" w:rsidRDefault="002378F7" w:rsidP="000B11B7">
      <w:pPr>
        <w:spacing w:after="0" w:line="360" w:lineRule="auto"/>
        <w:rPr>
          <w:rFonts w:ascii="Arial" w:hAnsi="Arial" w:cs="Arial"/>
          <w:sz w:val="24"/>
          <w:szCs w:val="24"/>
        </w:rPr>
      </w:pPr>
      <w:r w:rsidRPr="000B11B7">
        <w:rPr>
          <w:rFonts w:ascii="Arial" w:hAnsi="Arial" w:cs="Arial"/>
          <w:sz w:val="24"/>
          <w:szCs w:val="24"/>
        </w:rPr>
        <w:t>Liabilities</w:t>
      </w:r>
      <w:r w:rsidR="000B11B7">
        <w:rPr>
          <w:rFonts w:ascii="Arial" w:hAnsi="Arial" w:cs="Arial"/>
          <w:sz w:val="24"/>
          <w:szCs w:val="24"/>
        </w:rPr>
        <w:t>.</w:t>
      </w:r>
    </w:p>
    <w:p w:rsidR="002378F7" w:rsidRPr="000B11B7" w:rsidRDefault="002378F7" w:rsidP="000B11B7">
      <w:pPr>
        <w:spacing w:after="0" w:line="360" w:lineRule="auto"/>
        <w:rPr>
          <w:rFonts w:ascii="Arial" w:hAnsi="Arial" w:cs="Arial"/>
          <w:sz w:val="24"/>
          <w:szCs w:val="24"/>
        </w:rPr>
      </w:pPr>
      <w:r w:rsidRPr="000B11B7">
        <w:rPr>
          <w:rFonts w:ascii="Arial" w:eastAsia="Times New Roman" w:hAnsi="Arial" w:cs="Arial"/>
          <w:bCs/>
          <w:sz w:val="24"/>
          <w:szCs w:val="24"/>
        </w:rPr>
        <w:t>Accounts Payable</w:t>
      </w:r>
      <w:r w:rsidR="000B11B7">
        <w:rPr>
          <w:rFonts w:ascii="Arial" w:eastAsia="Times New Roman" w:hAnsi="Arial" w:cs="Arial"/>
          <w:sz w:val="24"/>
          <w:szCs w:val="24"/>
        </w:rPr>
        <w:t>:</w:t>
      </w:r>
    </w:p>
    <w:p w:rsidR="002378F7" w:rsidRPr="000B11B7" w:rsidRDefault="002378F7" w:rsidP="0070060F">
      <w:pPr>
        <w:numPr>
          <w:ilvl w:val="0"/>
          <w:numId w:val="26"/>
        </w:numPr>
        <w:spacing w:after="0" w:line="360" w:lineRule="auto"/>
        <w:rPr>
          <w:rFonts w:ascii="Arial" w:eastAsia="Times New Roman" w:hAnsi="Arial" w:cs="Arial"/>
          <w:sz w:val="24"/>
          <w:szCs w:val="24"/>
        </w:rPr>
      </w:pPr>
      <w:r w:rsidRPr="000B11B7">
        <w:rPr>
          <w:rFonts w:ascii="Arial" w:eastAsia="Times New Roman" w:hAnsi="Arial" w:cs="Arial"/>
          <w:sz w:val="24"/>
          <w:szCs w:val="24"/>
        </w:rPr>
        <w:t>Increased from 2021 to 2026, indicating growing obligations, possibly due to higher operational activities and improved supplier terms.</w:t>
      </w:r>
    </w:p>
    <w:p w:rsidR="000B11B7" w:rsidRPr="000B11B7" w:rsidRDefault="002378F7" w:rsidP="000B11B7">
      <w:pPr>
        <w:spacing w:after="0" w:line="360" w:lineRule="auto"/>
        <w:rPr>
          <w:rFonts w:ascii="Arial" w:eastAsia="Times New Roman" w:hAnsi="Arial" w:cs="Arial"/>
          <w:sz w:val="24"/>
          <w:szCs w:val="24"/>
        </w:rPr>
      </w:pPr>
      <w:r w:rsidRPr="000B11B7">
        <w:rPr>
          <w:rFonts w:ascii="Arial" w:eastAsia="Times New Roman" w:hAnsi="Arial" w:cs="Arial"/>
          <w:bCs/>
          <w:sz w:val="24"/>
          <w:szCs w:val="24"/>
        </w:rPr>
        <w:t>Long-term Debt</w:t>
      </w:r>
      <w:r w:rsidR="000B11B7">
        <w:rPr>
          <w:rFonts w:ascii="Arial" w:eastAsia="Times New Roman" w:hAnsi="Arial" w:cs="Arial"/>
          <w:sz w:val="24"/>
          <w:szCs w:val="24"/>
        </w:rPr>
        <w:t>:</w:t>
      </w:r>
    </w:p>
    <w:p w:rsidR="002378F7" w:rsidRPr="000B11B7" w:rsidRDefault="002378F7" w:rsidP="0070060F">
      <w:pPr>
        <w:pStyle w:val="ListParagraph"/>
        <w:numPr>
          <w:ilvl w:val="0"/>
          <w:numId w:val="25"/>
        </w:numPr>
        <w:spacing w:after="0" w:line="360" w:lineRule="auto"/>
        <w:rPr>
          <w:rFonts w:ascii="Arial" w:eastAsia="Times New Roman" w:hAnsi="Arial" w:cs="Arial"/>
          <w:sz w:val="24"/>
          <w:szCs w:val="24"/>
        </w:rPr>
      </w:pPr>
      <w:r w:rsidRPr="000B11B7">
        <w:rPr>
          <w:rFonts w:ascii="Arial" w:eastAsia="Times New Roman" w:hAnsi="Arial" w:cs="Arial"/>
          <w:sz w:val="24"/>
          <w:szCs w:val="24"/>
        </w:rPr>
        <w:t>Increased in 2024 due to additional borrowing for investments.</w:t>
      </w:r>
    </w:p>
    <w:p w:rsidR="002378F7" w:rsidRPr="000B11B7" w:rsidRDefault="002378F7" w:rsidP="0070060F">
      <w:pPr>
        <w:numPr>
          <w:ilvl w:val="0"/>
          <w:numId w:val="27"/>
        </w:numPr>
        <w:spacing w:after="0" w:line="360" w:lineRule="auto"/>
        <w:rPr>
          <w:rFonts w:ascii="Arial" w:eastAsia="Times New Roman" w:hAnsi="Arial" w:cs="Arial"/>
          <w:sz w:val="24"/>
          <w:szCs w:val="24"/>
        </w:rPr>
      </w:pPr>
      <w:r w:rsidRPr="000B11B7">
        <w:rPr>
          <w:rFonts w:ascii="Arial" w:eastAsia="Times New Roman" w:hAnsi="Arial" w:cs="Arial"/>
          <w:sz w:val="24"/>
          <w:szCs w:val="24"/>
        </w:rPr>
        <w:t>Decreased in 2025 and 2026 due to scheduled debt repayments.</w:t>
      </w:r>
    </w:p>
    <w:p w:rsidR="000B11B7" w:rsidRPr="000B11B7" w:rsidRDefault="002378F7" w:rsidP="008F17C5">
      <w:pPr>
        <w:pStyle w:val="Heading4"/>
        <w:spacing w:before="0" w:line="360" w:lineRule="auto"/>
        <w:rPr>
          <w:rFonts w:ascii="Arial" w:hAnsi="Arial" w:cs="Arial"/>
          <w:b w:val="0"/>
          <w:color w:val="auto"/>
          <w:sz w:val="24"/>
          <w:szCs w:val="24"/>
        </w:rPr>
      </w:pPr>
      <w:r w:rsidRPr="000B11B7">
        <w:rPr>
          <w:rFonts w:ascii="Arial" w:hAnsi="Arial" w:cs="Arial"/>
          <w:b w:val="0"/>
          <w:color w:val="auto"/>
          <w:sz w:val="24"/>
          <w:szCs w:val="24"/>
        </w:rPr>
        <w:t>Equity</w:t>
      </w:r>
      <w:r w:rsidR="000B11B7">
        <w:rPr>
          <w:rFonts w:ascii="Arial" w:hAnsi="Arial" w:cs="Arial"/>
          <w:b w:val="0"/>
          <w:color w:val="auto"/>
          <w:sz w:val="24"/>
          <w:szCs w:val="24"/>
        </w:rPr>
        <w:t>:</w:t>
      </w:r>
    </w:p>
    <w:p w:rsidR="000B11B7" w:rsidRPr="008F17C5" w:rsidRDefault="002378F7" w:rsidP="0070060F">
      <w:pPr>
        <w:pStyle w:val="Heading4"/>
        <w:numPr>
          <w:ilvl w:val="0"/>
          <w:numId w:val="25"/>
        </w:numPr>
        <w:spacing w:before="0" w:line="360" w:lineRule="auto"/>
        <w:rPr>
          <w:rFonts w:ascii="Arial" w:hAnsi="Arial" w:cs="Arial"/>
          <w:b w:val="0"/>
          <w:color w:val="auto"/>
          <w:sz w:val="24"/>
          <w:szCs w:val="24"/>
        </w:rPr>
      </w:pPr>
      <w:r w:rsidRPr="000B11B7">
        <w:rPr>
          <w:rFonts w:ascii="Arial" w:hAnsi="Arial" w:cs="Arial"/>
          <w:b w:val="0"/>
          <w:color w:val="auto"/>
          <w:sz w:val="24"/>
          <w:szCs w:val="24"/>
        </w:rPr>
        <w:t>Increased in 2025 and 2026 due to net income improvements and reduction in debt, reflecting a stronger financial position.</w:t>
      </w:r>
    </w:p>
    <w:p w:rsidR="000B11B7" w:rsidRDefault="000B11B7" w:rsidP="003E2E40">
      <w:pP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FC616F">
      <w:pPr>
        <w:spacing w:after="0"/>
        <w:jc w:val="center"/>
        <w:rPr>
          <w:rFonts w:ascii="Arial" w:hAnsi="Arial" w:cs="Arial"/>
          <w:sz w:val="24"/>
          <w:szCs w:val="24"/>
        </w:rPr>
      </w:pPr>
    </w:p>
    <w:p w:rsidR="003C5884" w:rsidRDefault="003C5884" w:rsidP="003C5884">
      <w:pPr>
        <w:spacing w:after="0"/>
        <w:rPr>
          <w:rFonts w:ascii="Arial" w:hAnsi="Arial" w:cs="Arial"/>
          <w:sz w:val="24"/>
          <w:szCs w:val="24"/>
        </w:rPr>
      </w:pPr>
    </w:p>
    <w:p w:rsidR="0015017A" w:rsidRDefault="003E2E40" w:rsidP="003C5884">
      <w:pPr>
        <w:spacing w:after="0"/>
        <w:rPr>
          <w:rFonts w:ascii="Arial" w:hAnsi="Arial" w:cs="Arial"/>
          <w:sz w:val="24"/>
          <w:szCs w:val="24"/>
        </w:rPr>
      </w:pPr>
      <w:r w:rsidRPr="003E2E40">
        <w:rPr>
          <w:rFonts w:ascii="Arial" w:hAnsi="Arial" w:cs="Arial"/>
          <w:sz w:val="24"/>
          <w:szCs w:val="24"/>
        </w:rPr>
        <w:lastRenderedPageBreak/>
        <w:t xml:space="preserve">Key Financial Ratios </w:t>
      </w:r>
      <w:r w:rsidR="0083474E" w:rsidRPr="003E2E40">
        <w:rPr>
          <w:rFonts w:ascii="Arial" w:hAnsi="Arial" w:cs="Arial"/>
          <w:sz w:val="24"/>
          <w:szCs w:val="24"/>
        </w:rPr>
        <w:t>after</w:t>
      </w:r>
      <w:r w:rsidRPr="003E2E40">
        <w:rPr>
          <w:rFonts w:ascii="Arial" w:hAnsi="Arial" w:cs="Arial"/>
          <w:sz w:val="24"/>
          <w:szCs w:val="24"/>
        </w:rPr>
        <w:t xml:space="preserve"> Turnaround Strategy</w:t>
      </w:r>
      <w:r w:rsidR="000B11B7">
        <w:rPr>
          <w:rFonts w:ascii="Arial" w:hAnsi="Arial" w:cs="Arial"/>
          <w:sz w:val="24"/>
          <w:szCs w:val="24"/>
        </w:rPr>
        <w:t>.</w:t>
      </w:r>
    </w:p>
    <w:tbl>
      <w:tblPr>
        <w:tblStyle w:val="TableGrid"/>
        <w:tblW w:w="5000" w:type="pct"/>
        <w:tblLook w:val="04A0"/>
      </w:tblPr>
      <w:tblGrid>
        <w:gridCol w:w="1581"/>
        <w:gridCol w:w="1728"/>
        <w:gridCol w:w="1730"/>
        <w:gridCol w:w="1867"/>
        <w:gridCol w:w="2336"/>
      </w:tblGrid>
      <w:tr w:rsidR="004B4A98" w:rsidRPr="009E1C77" w:rsidTr="009E1C77">
        <w:tc>
          <w:tcPr>
            <w:tcW w:w="855" w:type="pct"/>
            <w:vAlign w:val="center"/>
          </w:tcPr>
          <w:tbl>
            <w:tblPr>
              <w:tblW w:w="0" w:type="auto"/>
              <w:tblCellSpacing w:w="15" w:type="dxa"/>
              <w:tblCellMar>
                <w:top w:w="15" w:type="dxa"/>
                <w:left w:w="15" w:type="dxa"/>
                <w:bottom w:w="15" w:type="dxa"/>
                <w:right w:w="15" w:type="dxa"/>
              </w:tblCellMar>
              <w:tblLook w:val="04A0"/>
            </w:tblPr>
            <w:tblGrid>
              <w:gridCol w:w="528"/>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bCs/>
                      <w:sz w:val="20"/>
                      <w:szCs w:val="20"/>
                    </w:rPr>
                  </w:pPr>
                  <w:r w:rsidRPr="009E1C77">
                    <w:rPr>
                      <w:rFonts w:cstheme="minorHAnsi"/>
                      <w:b/>
                      <w:bCs/>
                      <w:sz w:val="20"/>
                      <w:szCs w:val="20"/>
                    </w:rPr>
                    <w:t>Ratio</w:t>
                  </w:r>
                </w:p>
              </w:tc>
            </w:tr>
          </w:tbl>
          <w:p w:rsidR="004B4A98" w:rsidRPr="009E1C77" w:rsidRDefault="004B4A98" w:rsidP="009E1C77">
            <w:pPr>
              <w:spacing w:line="360" w:lineRule="auto"/>
              <w:jc w:val="center"/>
              <w:rPr>
                <w:rFonts w:cstheme="minorHAnsi"/>
                <w:b/>
                <w:vanish/>
                <w:sz w:val="20"/>
                <w:szCs w:val="20"/>
              </w:rPr>
            </w:pPr>
          </w:p>
        </w:tc>
        <w:tc>
          <w:tcPr>
            <w:tcW w:w="935" w:type="pct"/>
            <w:vAlign w:val="center"/>
          </w:tcPr>
          <w:tbl>
            <w:tblPr>
              <w:tblW w:w="0" w:type="auto"/>
              <w:tblCellSpacing w:w="15" w:type="dxa"/>
              <w:tblCellMar>
                <w:top w:w="15" w:type="dxa"/>
                <w:left w:w="15" w:type="dxa"/>
                <w:bottom w:w="15" w:type="dxa"/>
                <w:right w:w="15" w:type="dxa"/>
              </w:tblCellMar>
              <w:tblLook w:val="04A0"/>
            </w:tblPr>
            <w:tblGrid>
              <w:gridCol w:w="496"/>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bCs/>
                      <w:sz w:val="20"/>
                      <w:szCs w:val="20"/>
                    </w:rPr>
                  </w:pPr>
                  <w:r w:rsidRPr="009E1C77">
                    <w:rPr>
                      <w:rFonts w:cstheme="minorHAnsi"/>
                      <w:b/>
                      <w:bCs/>
                      <w:sz w:val="20"/>
                      <w:szCs w:val="20"/>
                    </w:rPr>
                    <w:t>2024</w:t>
                  </w:r>
                </w:p>
              </w:tc>
            </w:tr>
          </w:tbl>
          <w:p w:rsidR="004B4A98" w:rsidRPr="009E1C77" w:rsidRDefault="004B4A98" w:rsidP="009E1C77">
            <w:pPr>
              <w:spacing w:line="360" w:lineRule="auto"/>
              <w:jc w:val="center"/>
              <w:rPr>
                <w:rFonts w:cstheme="minorHAnsi"/>
                <w:b/>
                <w:vanish/>
                <w:sz w:val="20"/>
                <w:szCs w:val="20"/>
              </w:rPr>
            </w:pPr>
          </w:p>
        </w:tc>
        <w:tc>
          <w:tcPr>
            <w:tcW w:w="936" w:type="pct"/>
            <w:vAlign w:val="center"/>
          </w:tcPr>
          <w:tbl>
            <w:tblPr>
              <w:tblW w:w="0" w:type="auto"/>
              <w:tblCellSpacing w:w="15" w:type="dxa"/>
              <w:tblCellMar>
                <w:top w:w="15" w:type="dxa"/>
                <w:left w:w="15" w:type="dxa"/>
                <w:bottom w:w="15" w:type="dxa"/>
                <w:right w:w="15" w:type="dxa"/>
              </w:tblCellMar>
              <w:tblLook w:val="04A0"/>
            </w:tblPr>
            <w:tblGrid>
              <w:gridCol w:w="496"/>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bCs/>
                      <w:sz w:val="20"/>
                      <w:szCs w:val="20"/>
                    </w:rPr>
                  </w:pPr>
                  <w:r w:rsidRPr="009E1C77">
                    <w:rPr>
                      <w:rFonts w:cstheme="minorHAnsi"/>
                      <w:b/>
                      <w:bCs/>
                      <w:sz w:val="20"/>
                      <w:szCs w:val="20"/>
                    </w:rPr>
                    <w:t>2025</w:t>
                  </w:r>
                </w:p>
              </w:tc>
            </w:tr>
          </w:tbl>
          <w:p w:rsidR="004B4A98" w:rsidRPr="009E1C77" w:rsidRDefault="004B4A98" w:rsidP="009E1C77">
            <w:pPr>
              <w:spacing w:line="360" w:lineRule="auto"/>
              <w:jc w:val="center"/>
              <w:rPr>
                <w:rFonts w:cstheme="minorHAnsi"/>
                <w:b/>
                <w:vanish/>
                <w:sz w:val="20"/>
                <w:szCs w:val="20"/>
              </w:rPr>
            </w:pPr>
          </w:p>
        </w:tc>
        <w:tc>
          <w:tcPr>
            <w:tcW w:w="1010" w:type="pct"/>
            <w:vAlign w:val="center"/>
          </w:tcPr>
          <w:tbl>
            <w:tblPr>
              <w:tblW w:w="0" w:type="auto"/>
              <w:tblCellSpacing w:w="15" w:type="dxa"/>
              <w:tblCellMar>
                <w:top w:w="15" w:type="dxa"/>
                <w:left w:w="15" w:type="dxa"/>
                <w:bottom w:w="15" w:type="dxa"/>
                <w:right w:w="15" w:type="dxa"/>
              </w:tblCellMar>
              <w:tblLook w:val="04A0"/>
            </w:tblPr>
            <w:tblGrid>
              <w:gridCol w:w="496"/>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bCs/>
                      <w:sz w:val="20"/>
                      <w:szCs w:val="20"/>
                    </w:rPr>
                  </w:pPr>
                  <w:r w:rsidRPr="009E1C77">
                    <w:rPr>
                      <w:rFonts w:cstheme="minorHAnsi"/>
                      <w:b/>
                      <w:bCs/>
                      <w:sz w:val="20"/>
                      <w:szCs w:val="20"/>
                    </w:rPr>
                    <w:t>2026</w:t>
                  </w:r>
                </w:p>
              </w:tc>
            </w:tr>
          </w:tbl>
          <w:p w:rsidR="004B4A98" w:rsidRPr="009E1C77" w:rsidRDefault="004B4A98" w:rsidP="009E1C77">
            <w:pPr>
              <w:spacing w:line="360" w:lineRule="auto"/>
              <w:jc w:val="center"/>
              <w:rPr>
                <w:rFonts w:cstheme="minorHAnsi"/>
                <w:b/>
                <w:sz w:val="20"/>
                <w:szCs w:val="20"/>
              </w:rPr>
            </w:pPr>
          </w:p>
        </w:tc>
        <w:tc>
          <w:tcPr>
            <w:tcW w:w="1264" w:type="pct"/>
            <w:vAlign w:val="center"/>
          </w:tcPr>
          <w:p w:rsidR="004B4A98" w:rsidRPr="009E1C77" w:rsidRDefault="00FC616F" w:rsidP="009E1C77">
            <w:pPr>
              <w:spacing w:line="360" w:lineRule="auto"/>
              <w:jc w:val="center"/>
              <w:rPr>
                <w:rFonts w:cstheme="minorHAnsi"/>
                <w:b/>
                <w:bCs/>
                <w:sz w:val="20"/>
                <w:szCs w:val="20"/>
              </w:rPr>
            </w:pPr>
            <w:r w:rsidRPr="009E1C77">
              <w:rPr>
                <w:rFonts w:cstheme="minorHAnsi"/>
                <w:b/>
                <w:bCs/>
                <w:sz w:val="20"/>
                <w:szCs w:val="20"/>
              </w:rPr>
              <w:t>Analysis</w:t>
            </w:r>
          </w:p>
        </w:tc>
      </w:tr>
      <w:tr w:rsidR="004B4A98" w:rsidRPr="009E1C77" w:rsidTr="009E1C77">
        <w:tc>
          <w:tcPr>
            <w:tcW w:w="855" w:type="pct"/>
            <w:vAlign w:val="center"/>
          </w:tcPr>
          <w:tbl>
            <w:tblPr>
              <w:tblW w:w="0" w:type="auto"/>
              <w:tblCellSpacing w:w="15" w:type="dxa"/>
              <w:tblCellMar>
                <w:top w:w="15" w:type="dxa"/>
                <w:left w:w="15" w:type="dxa"/>
                <w:bottom w:w="15" w:type="dxa"/>
                <w:right w:w="15" w:type="dxa"/>
              </w:tblCellMar>
              <w:tblLook w:val="04A0"/>
            </w:tblPr>
            <w:tblGrid>
              <w:gridCol w:w="1365"/>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Style w:val="Strong"/>
                      <w:rFonts w:cstheme="minorHAnsi"/>
                      <w:sz w:val="20"/>
                      <w:szCs w:val="20"/>
                    </w:rPr>
                    <w:t>Gross Profit Margin</w:t>
                  </w:r>
                </w:p>
              </w:tc>
            </w:tr>
          </w:tbl>
          <w:p w:rsidR="004B4A98" w:rsidRPr="009E1C77" w:rsidRDefault="004B4A98" w:rsidP="009E1C77">
            <w:pPr>
              <w:spacing w:line="360" w:lineRule="auto"/>
              <w:jc w:val="center"/>
              <w:rPr>
                <w:rFonts w:cstheme="minorHAnsi"/>
                <w:b/>
                <w:vanish/>
                <w:sz w:val="20"/>
                <w:szCs w:val="20"/>
              </w:rPr>
            </w:pPr>
          </w:p>
        </w:tc>
        <w:tc>
          <w:tcPr>
            <w:tcW w:w="935" w:type="pct"/>
            <w:vAlign w:val="center"/>
          </w:tcPr>
          <w:tbl>
            <w:tblPr>
              <w:tblW w:w="0" w:type="auto"/>
              <w:tblCellSpacing w:w="15" w:type="dxa"/>
              <w:tblCellMar>
                <w:top w:w="15" w:type="dxa"/>
                <w:left w:w="15" w:type="dxa"/>
                <w:bottom w:w="15" w:type="dxa"/>
                <w:right w:w="15" w:type="dxa"/>
              </w:tblCellMar>
              <w:tblLook w:val="04A0"/>
            </w:tblPr>
            <w:tblGrid>
              <w:gridCol w:w="1512"/>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(2,250,000 - 2,465,000) / 2,250,000 = -9.56%</w:t>
                  </w:r>
                </w:p>
              </w:tc>
            </w:tr>
          </w:tbl>
          <w:p w:rsidR="004B4A98" w:rsidRPr="009E1C77" w:rsidRDefault="004B4A98" w:rsidP="009E1C77">
            <w:pPr>
              <w:spacing w:line="360" w:lineRule="auto"/>
              <w:jc w:val="center"/>
              <w:rPr>
                <w:rFonts w:cstheme="minorHAnsi"/>
                <w:b/>
                <w:vanish/>
                <w:sz w:val="20"/>
                <w:szCs w:val="20"/>
              </w:rPr>
            </w:pPr>
          </w:p>
        </w:tc>
        <w:tc>
          <w:tcPr>
            <w:tcW w:w="936" w:type="pct"/>
            <w:vAlign w:val="center"/>
          </w:tcPr>
          <w:tbl>
            <w:tblPr>
              <w:tblW w:w="0" w:type="auto"/>
              <w:tblCellSpacing w:w="15" w:type="dxa"/>
              <w:tblCellMar>
                <w:top w:w="15" w:type="dxa"/>
                <w:left w:w="15" w:type="dxa"/>
                <w:bottom w:w="15" w:type="dxa"/>
                <w:right w:w="15" w:type="dxa"/>
              </w:tblCellMar>
              <w:tblLook w:val="04A0"/>
            </w:tblPr>
            <w:tblGrid>
              <w:gridCol w:w="1514"/>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(2,925,000 - 2,884,750) / 2,925,000 = 1.38%</w:t>
                  </w:r>
                </w:p>
              </w:tc>
            </w:tr>
          </w:tbl>
          <w:p w:rsidR="004B4A98" w:rsidRPr="009E1C77" w:rsidRDefault="004B4A98" w:rsidP="009E1C77">
            <w:pPr>
              <w:spacing w:line="360" w:lineRule="auto"/>
              <w:jc w:val="center"/>
              <w:rPr>
                <w:rFonts w:cstheme="minorHAnsi"/>
                <w:b/>
                <w:vanish/>
                <w:sz w:val="20"/>
                <w:szCs w:val="20"/>
              </w:rPr>
            </w:pPr>
          </w:p>
        </w:tc>
        <w:tc>
          <w:tcPr>
            <w:tcW w:w="1010" w:type="pct"/>
            <w:vAlign w:val="center"/>
          </w:tcPr>
          <w:tbl>
            <w:tblPr>
              <w:tblW w:w="0" w:type="auto"/>
              <w:tblCellSpacing w:w="15" w:type="dxa"/>
              <w:tblCellMar>
                <w:top w:w="15" w:type="dxa"/>
                <w:left w:w="15" w:type="dxa"/>
                <w:bottom w:w="15" w:type="dxa"/>
                <w:right w:w="15" w:type="dxa"/>
              </w:tblCellMar>
              <w:tblLook w:val="04A0"/>
            </w:tblPr>
            <w:tblGrid>
              <w:gridCol w:w="1651"/>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(3,948,750 - 3,309,962.50) / 3,948,750 = 16.20%</w:t>
                  </w:r>
                </w:p>
              </w:tc>
            </w:tr>
          </w:tbl>
          <w:p w:rsidR="004B4A98" w:rsidRPr="009E1C77" w:rsidRDefault="004B4A98" w:rsidP="009E1C77">
            <w:pPr>
              <w:spacing w:line="360" w:lineRule="auto"/>
              <w:jc w:val="center"/>
              <w:rPr>
                <w:rFonts w:cstheme="minorHAnsi"/>
                <w:b/>
                <w:sz w:val="20"/>
                <w:szCs w:val="20"/>
              </w:rPr>
            </w:pPr>
          </w:p>
        </w:tc>
        <w:tc>
          <w:tcPr>
            <w:tcW w:w="1264" w:type="pct"/>
            <w:vAlign w:val="center"/>
          </w:tcPr>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Improves from -9.56% to 16.20%, reflecting better cost management and increased revenue through the turnaround strategy.</w:t>
            </w:r>
          </w:p>
        </w:tc>
      </w:tr>
      <w:tr w:rsidR="004B4A98" w:rsidRPr="009E1C77" w:rsidTr="009E1C77">
        <w:tc>
          <w:tcPr>
            <w:tcW w:w="855" w:type="pct"/>
            <w:vAlign w:val="center"/>
          </w:tcPr>
          <w:tbl>
            <w:tblPr>
              <w:tblW w:w="0" w:type="auto"/>
              <w:tblCellSpacing w:w="15" w:type="dxa"/>
              <w:tblCellMar>
                <w:top w:w="15" w:type="dxa"/>
                <w:left w:w="15" w:type="dxa"/>
                <w:bottom w:w="15" w:type="dxa"/>
                <w:right w:w="15" w:type="dxa"/>
              </w:tblCellMar>
              <w:tblLook w:val="04A0"/>
            </w:tblPr>
            <w:tblGrid>
              <w:gridCol w:w="1365"/>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Style w:val="Strong"/>
                      <w:rFonts w:cstheme="minorHAnsi"/>
                      <w:sz w:val="20"/>
                      <w:szCs w:val="20"/>
                    </w:rPr>
                    <w:t>Net Profit Margin</w:t>
                  </w:r>
                </w:p>
              </w:tc>
            </w:tr>
          </w:tbl>
          <w:p w:rsidR="004B4A98" w:rsidRPr="009E1C77" w:rsidRDefault="004B4A98" w:rsidP="009E1C77">
            <w:pPr>
              <w:spacing w:line="360" w:lineRule="auto"/>
              <w:jc w:val="center"/>
              <w:rPr>
                <w:rFonts w:cstheme="minorHAnsi"/>
                <w:b/>
                <w:vanish/>
                <w:sz w:val="20"/>
                <w:szCs w:val="20"/>
              </w:rPr>
            </w:pPr>
          </w:p>
        </w:tc>
        <w:tc>
          <w:tcPr>
            <w:tcW w:w="935" w:type="pct"/>
            <w:vAlign w:val="center"/>
          </w:tcPr>
          <w:tbl>
            <w:tblPr>
              <w:tblW w:w="0" w:type="auto"/>
              <w:tblCellSpacing w:w="15" w:type="dxa"/>
              <w:tblCellMar>
                <w:top w:w="15" w:type="dxa"/>
                <w:left w:w="15" w:type="dxa"/>
                <w:bottom w:w="15" w:type="dxa"/>
                <w:right w:w="15" w:type="dxa"/>
              </w:tblCellMar>
              <w:tblLook w:val="04A0"/>
            </w:tblPr>
            <w:tblGrid>
              <w:gridCol w:w="1512"/>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-£215,000 / £2,250,000 =</w:t>
                  </w:r>
                </w:p>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-9.56%</w:t>
                  </w:r>
                </w:p>
              </w:tc>
            </w:tr>
          </w:tbl>
          <w:p w:rsidR="004B4A98" w:rsidRPr="009E1C77" w:rsidRDefault="004B4A98" w:rsidP="009E1C77">
            <w:pPr>
              <w:spacing w:line="360" w:lineRule="auto"/>
              <w:jc w:val="center"/>
              <w:rPr>
                <w:rFonts w:cstheme="minorHAnsi"/>
                <w:b/>
                <w:vanish/>
                <w:sz w:val="20"/>
                <w:szCs w:val="20"/>
              </w:rPr>
            </w:pPr>
          </w:p>
        </w:tc>
        <w:tc>
          <w:tcPr>
            <w:tcW w:w="936" w:type="pct"/>
            <w:vAlign w:val="center"/>
          </w:tcPr>
          <w:tbl>
            <w:tblPr>
              <w:tblW w:w="0" w:type="auto"/>
              <w:tblCellSpacing w:w="15" w:type="dxa"/>
              <w:tblCellMar>
                <w:top w:w="15" w:type="dxa"/>
                <w:left w:w="15" w:type="dxa"/>
                <w:bottom w:w="15" w:type="dxa"/>
                <w:right w:w="15" w:type="dxa"/>
              </w:tblCellMar>
              <w:tblLook w:val="04A0"/>
            </w:tblPr>
            <w:tblGrid>
              <w:gridCol w:w="1514"/>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£40,250 / £2,925,000 = 1.38%</w:t>
                  </w:r>
                </w:p>
              </w:tc>
            </w:tr>
          </w:tbl>
          <w:p w:rsidR="004B4A98" w:rsidRPr="009E1C77" w:rsidRDefault="004B4A98" w:rsidP="009E1C77">
            <w:pPr>
              <w:spacing w:line="360" w:lineRule="auto"/>
              <w:jc w:val="center"/>
              <w:rPr>
                <w:rFonts w:cstheme="minorHAnsi"/>
                <w:b/>
                <w:vanish/>
                <w:sz w:val="20"/>
                <w:szCs w:val="20"/>
              </w:rPr>
            </w:pPr>
          </w:p>
        </w:tc>
        <w:tc>
          <w:tcPr>
            <w:tcW w:w="1010" w:type="pct"/>
            <w:vAlign w:val="center"/>
          </w:tcPr>
          <w:tbl>
            <w:tblPr>
              <w:tblW w:w="0" w:type="auto"/>
              <w:tblCellSpacing w:w="15" w:type="dxa"/>
              <w:tblCellMar>
                <w:top w:w="15" w:type="dxa"/>
                <w:left w:w="15" w:type="dxa"/>
                <w:bottom w:w="15" w:type="dxa"/>
                <w:right w:w="15" w:type="dxa"/>
              </w:tblCellMar>
              <w:tblLook w:val="04A0"/>
            </w:tblPr>
            <w:tblGrid>
              <w:gridCol w:w="1651"/>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£638,787.50 / £3,948,750 = 16.20%</w:t>
                  </w:r>
                </w:p>
              </w:tc>
            </w:tr>
          </w:tbl>
          <w:p w:rsidR="004B4A98" w:rsidRPr="009E1C77" w:rsidRDefault="004B4A98" w:rsidP="009E1C77">
            <w:pPr>
              <w:spacing w:line="360" w:lineRule="auto"/>
              <w:jc w:val="center"/>
              <w:rPr>
                <w:rFonts w:cstheme="minorHAnsi"/>
                <w:b/>
                <w:sz w:val="20"/>
                <w:szCs w:val="20"/>
              </w:rPr>
            </w:pPr>
          </w:p>
        </w:tc>
        <w:tc>
          <w:tcPr>
            <w:tcW w:w="1264" w:type="pct"/>
            <w:vAlign w:val="center"/>
          </w:tcPr>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Improves significantly from -9.56% to 16.20%, showing recovery and profitability through effective strategy implementation.</w:t>
            </w:r>
          </w:p>
        </w:tc>
      </w:tr>
      <w:tr w:rsidR="004B4A98" w:rsidRPr="009E1C77" w:rsidTr="009E1C77">
        <w:tc>
          <w:tcPr>
            <w:tcW w:w="855" w:type="pct"/>
            <w:vAlign w:val="center"/>
          </w:tcPr>
          <w:tbl>
            <w:tblPr>
              <w:tblW w:w="0" w:type="auto"/>
              <w:tblCellSpacing w:w="15" w:type="dxa"/>
              <w:tblCellMar>
                <w:top w:w="15" w:type="dxa"/>
                <w:left w:w="15" w:type="dxa"/>
                <w:bottom w:w="15" w:type="dxa"/>
                <w:right w:w="15" w:type="dxa"/>
              </w:tblCellMar>
              <w:tblLook w:val="04A0"/>
            </w:tblPr>
            <w:tblGrid>
              <w:gridCol w:w="1206"/>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Style w:val="Strong"/>
                      <w:rFonts w:cstheme="minorHAnsi"/>
                      <w:sz w:val="20"/>
                      <w:szCs w:val="20"/>
                    </w:rPr>
                    <w:t>Current Ratio</w:t>
                  </w:r>
                </w:p>
              </w:tc>
            </w:tr>
          </w:tbl>
          <w:p w:rsidR="004B4A98" w:rsidRPr="009E1C77" w:rsidRDefault="004B4A98" w:rsidP="009E1C77">
            <w:pPr>
              <w:spacing w:line="360" w:lineRule="auto"/>
              <w:jc w:val="center"/>
              <w:rPr>
                <w:rFonts w:cstheme="minorHAnsi"/>
                <w:b/>
                <w:vanish/>
                <w:sz w:val="20"/>
                <w:szCs w:val="20"/>
              </w:rPr>
            </w:pPr>
          </w:p>
        </w:tc>
        <w:tc>
          <w:tcPr>
            <w:tcW w:w="935" w:type="pct"/>
            <w:vAlign w:val="center"/>
          </w:tcPr>
          <w:tbl>
            <w:tblPr>
              <w:tblW w:w="0" w:type="auto"/>
              <w:tblCellSpacing w:w="15" w:type="dxa"/>
              <w:tblCellMar>
                <w:top w:w="15" w:type="dxa"/>
                <w:left w:w="15" w:type="dxa"/>
                <w:bottom w:w="15" w:type="dxa"/>
                <w:right w:w="15" w:type="dxa"/>
              </w:tblCellMar>
              <w:tblLook w:val="04A0"/>
            </w:tblPr>
            <w:tblGrid>
              <w:gridCol w:w="1512"/>
            </w:tblGrid>
            <w:tr w:rsidR="004B4A98" w:rsidRPr="009E1C77" w:rsidTr="00DD1ACF">
              <w:trPr>
                <w:tblCellSpacing w:w="15" w:type="dxa"/>
              </w:trPr>
              <w:tc>
                <w:tcPr>
                  <w:tcW w:w="0" w:type="auto"/>
                  <w:vAlign w:val="center"/>
                  <w:hideMark/>
                </w:tcPr>
                <w:p w:rsidR="004B4A98" w:rsidRPr="009E1C77" w:rsidRDefault="004B4A98" w:rsidP="009E1C77">
                  <w:pPr>
                    <w:spacing w:before="240" w:line="360" w:lineRule="auto"/>
                    <w:jc w:val="center"/>
                    <w:rPr>
                      <w:rFonts w:cstheme="minorHAnsi"/>
                      <w:b/>
                      <w:sz w:val="20"/>
                      <w:szCs w:val="20"/>
                    </w:rPr>
                  </w:pPr>
                  <w:r w:rsidRPr="009E1C77">
                    <w:rPr>
                      <w:rFonts w:cstheme="minorHAnsi"/>
                      <w:b/>
                      <w:sz w:val="20"/>
                      <w:szCs w:val="20"/>
                    </w:rPr>
                    <w:t>(-£40,000 + £45,000) / £325,000 = 0.02</w:t>
                  </w:r>
                </w:p>
              </w:tc>
            </w:tr>
          </w:tbl>
          <w:p w:rsidR="004B4A98" w:rsidRPr="009E1C77" w:rsidRDefault="004B4A98" w:rsidP="009E1C77">
            <w:pPr>
              <w:spacing w:line="360" w:lineRule="auto"/>
              <w:jc w:val="center"/>
              <w:rPr>
                <w:rFonts w:cstheme="minorHAnsi"/>
                <w:b/>
                <w:vanish/>
                <w:sz w:val="20"/>
                <w:szCs w:val="20"/>
              </w:rPr>
            </w:pPr>
          </w:p>
        </w:tc>
        <w:tc>
          <w:tcPr>
            <w:tcW w:w="936" w:type="pct"/>
            <w:vAlign w:val="center"/>
          </w:tcPr>
          <w:tbl>
            <w:tblPr>
              <w:tblW w:w="0" w:type="auto"/>
              <w:tblCellSpacing w:w="15" w:type="dxa"/>
              <w:tblCellMar>
                <w:top w:w="15" w:type="dxa"/>
                <w:left w:w="15" w:type="dxa"/>
                <w:bottom w:w="15" w:type="dxa"/>
                <w:right w:w="15" w:type="dxa"/>
              </w:tblCellMar>
              <w:tblLook w:val="04A0"/>
            </w:tblPr>
            <w:tblGrid>
              <w:gridCol w:w="1514"/>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(£21,910 + £10,000) / £350,000 = 0.09</w:t>
                  </w:r>
                </w:p>
              </w:tc>
            </w:tr>
          </w:tbl>
          <w:p w:rsidR="004B4A98" w:rsidRPr="009E1C77" w:rsidRDefault="004B4A98" w:rsidP="009E1C77">
            <w:pPr>
              <w:spacing w:line="360" w:lineRule="auto"/>
              <w:jc w:val="center"/>
              <w:rPr>
                <w:rFonts w:cstheme="minorHAnsi"/>
                <w:b/>
                <w:vanish/>
                <w:sz w:val="20"/>
                <w:szCs w:val="20"/>
              </w:rPr>
            </w:pPr>
          </w:p>
        </w:tc>
        <w:tc>
          <w:tcPr>
            <w:tcW w:w="1010" w:type="pct"/>
            <w:vAlign w:val="center"/>
          </w:tcPr>
          <w:tbl>
            <w:tblPr>
              <w:tblW w:w="0" w:type="auto"/>
              <w:tblCellSpacing w:w="15" w:type="dxa"/>
              <w:tblCellMar>
                <w:top w:w="15" w:type="dxa"/>
                <w:left w:w="15" w:type="dxa"/>
                <w:bottom w:w="15" w:type="dxa"/>
                <w:right w:w="15" w:type="dxa"/>
              </w:tblCellMar>
              <w:tblLook w:val="04A0"/>
            </w:tblPr>
            <w:tblGrid>
              <w:gridCol w:w="1651"/>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(£365,037.50 + £10,000) / £375,000 = 1.0</w:t>
                  </w:r>
                </w:p>
              </w:tc>
            </w:tr>
          </w:tbl>
          <w:p w:rsidR="004B4A98" w:rsidRPr="009E1C77" w:rsidRDefault="004B4A98" w:rsidP="009E1C77">
            <w:pPr>
              <w:spacing w:line="360" w:lineRule="auto"/>
              <w:jc w:val="center"/>
              <w:rPr>
                <w:rFonts w:cstheme="minorHAnsi"/>
                <w:b/>
                <w:sz w:val="20"/>
                <w:szCs w:val="20"/>
              </w:rPr>
            </w:pPr>
          </w:p>
        </w:tc>
        <w:tc>
          <w:tcPr>
            <w:tcW w:w="1264" w:type="pct"/>
            <w:vAlign w:val="center"/>
          </w:tcPr>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Gradually improves from 0.02 to 1.0, indicating better liquidity management and an improved ability to cover short-term liabilities.</w:t>
            </w:r>
          </w:p>
          <w:p w:rsidR="004B4A98" w:rsidRPr="009E1C77" w:rsidRDefault="004B4A98" w:rsidP="009E1C77">
            <w:pPr>
              <w:spacing w:line="360" w:lineRule="auto"/>
              <w:jc w:val="center"/>
              <w:rPr>
                <w:rFonts w:cstheme="minorHAnsi"/>
                <w:b/>
                <w:sz w:val="20"/>
                <w:szCs w:val="20"/>
              </w:rPr>
            </w:pPr>
          </w:p>
        </w:tc>
      </w:tr>
      <w:tr w:rsidR="004B4A98" w:rsidRPr="009E1C77" w:rsidTr="009E1C77">
        <w:tc>
          <w:tcPr>
            <w:tcW w:w="855" w:type="pct"/>
            <w:vAlign w:val="center"/>
          </w:tcPr>
          <w:tbl>
            <w:tblPr>
              <w:tblW w:w="0" w:type="auto"/>
              <w:tblCellSpacing w:w="15" w:type="dxa"/>
              <w:tblCellMar>
                <w:top w:w="15" w:type="dxa"/>
                <w:left w:w="15" w:type="dxa"/>
                <w:bottom w:w="15" w:type="dxa"/>
                <w:right w:w="15" w:type="dxa"/>
              </w:tblCellMar>
              <w:tblLook w:val="04A0"/>
            </w:tblPr>
            <w:tblGrid>
              <w:gridCol w:w="1365"/>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Style w:val="Strong"/>
                      <w:rFonts w:cstheme="minorHAnsi"/>
                      <w:sz w:val="20"/>
                      <w:szCs w:val="20"/>
                    </w:rPr>
                    <w:t>Debt to Equity Ratio</w:t>
                  </w:r>
                </w:p>
              </w:tc>
            </w:tr>
          </w:tbl>
          <w:p w:rsidR="004B4A98" w:rsidRPr="009E1C77" w:rsidRDefault="004B4A98" w:rsidP="009E1C77">
            <w:pPr>
              <w:spacing w:line="360" w:lineRule="auto"/>
              <w:jc w:val="center"/>
              <w:rPr>
                <w:rFonts w:cstheme="minorHAnsi"/>
                <w:b/>
                <w:vanish/>
                <w:sz w:val="20"/>
                <w:szCs w:val="20"/>
              </w:rPr>
            </w:pPr>
          </w:p>
        </w:tc>
        <w:tc>
          <w:tcPr>
            <w:tcW w:w="935" w:type="pct"/>
            <w:vAlign w:val="center"/>
          </w:tcPr>
          <w:tbl>
            <w:tblPr>
              <w:tblW w:w="0" w:type="auto"/>
              <w:tblCellSpacing w:w="15" w:type="dxa"/>
              <w:tblCellMar>
                <w:top w:w="15" w:type="dxa"/>
                <w:left w:w="15" w:type="dxa"/>
                <w:bottom w:w="15" w:type="dxa"/>
                <w:right w:w="15" w:type="dxa"/>
              </w:tblCellMar>
              <w:tblLook w:val="04A0"/>
            </w:tblPr>
            <w:tblGrid>
              <w:gridCol w:w="1512"/>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£3,465,000 / £1,140,000 = 3.04</w:t>
                  </w:r>
                </w:p>
              </w:tc>
            </w:tr>
          </w:tbl>
          <w:p w:rsidR="004B4A98" w:rsidRPr="009E1C77" w:rsidRDefault="004B4A98" w:rsidP="009E1C77">
            <w:pPr>
              <w:spacing w:line="360" w:lineRule="auto"/>
              <w:jc w:val="center"/>
              <w:rPr>
                <w:rFonts w:cstheme="minorHAnsi"/>
                <w:b/>
                <w:vanish/>
                <w:sz w:val="20"/>
                <w:szCs w:val="20"/>
              </w:rPr>
            </w:pPr>
          </w:p>
        </w:tc>
        <w:tc>
          <w:tcPr>
            <w:tcW w:w="936" w:type="pct"/>
            <w:vAlign w:val="center"/>
          </w:tcPr>
          <w:tbl>
            <w:tblPr>
              <w:tblW w:w="0" w:type="auto"/>
              <w:tblCellSpacing w:w="15" w:type="dxa"/>
              <w:tblCellMar>
                <w:top w:w="15" w:type="dxa"/>
                <w:left w:w="15" w:type="dxa"/>
                <w:bottom w:w="15" w:type="dxa"/>
                <w:right w:w="15" w:type="dxa"/>
              </w:tblCellMar>
              <w:tblLook w:val="04A0"/>
            </w:tblPr>
            <w:tblGrid>
              <w:gridCol w:w="1514"/>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£3,176,000 / £1,424,250 = 2.23</w:t>
                  </w:r>
                </w:p>
              </w:tc>
            </w:tr>
          </w:tbl>
          <w:p w:rsidR="004B4A98" w:rsidRPr="009E1C77" w:rsidRDefault="004B4A98" w:rsidP="009E1C77">
            <w:pPr>
              <w:spacing w:line="360" w:lineRule="auto"/>
              <w:jc w:val="center"/>
              <w:rPr>
                <w:rFonts w:cstheme="minorHAnsi"/>
                <w:b/>
                <w:vanish/>
                <w:sz w:val="20"/>
                <w:szCs w:val="20"/>
              </w:rPr>
            </w:pPr>
          </w:p>
        </w:tc>
        <w:tc>
          <w:tcPr>
            <w:tcW w:w="1010" w:type="pct"/>
            <w:vAlign w:val="center"/>
          </w:tcPr>
          <w:tbl>
            <w:tblPr>
              <w:tblW w:w="0" w:type="auto"/>
              <w:tblCellSpacing w:w="15" w:type="dxa"/>
              <w:tblCellMar>
                <w:top w:w="15" w:type="dxa"/>
                <w:left w:w="15" w:type="dxa"/>
                <w:bottom w:w="15" w:type="dxa"/>
                <w:right w:w="15" w:type="dxa"/>
              </w:tblCellMar>
              <w:tblLook w:val="04A0"/>
            </w:tblPr>
            <w:tblGrid>
              <w:gridCol w:w="1651"/>
            </w:tblGrid>
            <w:tr w:rsidR="004B4A98" w:rsidRPr="009E1C77" w:rsidTr="00DD1ACF">
              <w:trPr>
                <w:tblCellSpacing w:w="15" w:type="dxa"/>
              </w:trPr>
              <w:tc>
                <w:tcPr>
                  <w:tcW w:w="0" w:type="auto"/>
                  <w:vAlign w:val="center"/>
                  <w:hideMark/>
                </w:tcPr>
                <w:p w:rsidR="004B4A98" w:rsidRPr="009E1C77" w:rsidRDefault="004B4A98" w:rsidP="009E1C77">
                  <w:pPr>
                    <w:spacing w:line="360" w:lineRule="auto"/>
                    <w:jc w:val="center"/>
                    <w:rPr>
                      <w:rFonts w:cstheme="minorHAnsi"/>
                      <w:b/>
                      <w:sz w:val="20"/>
                      <w:szCs w:val="20"/>
                    </w:rPr>
                  </w:pPr>
                  <w:r w:rsidRPr="009E1C77">
                    <w:rPr>
                      <w:rFonts w:cstheme="minorHAnsi"/>
                      <w:b/>
                      <w:sz w:val="20"/>
                      <w:szCs w:val="20"/>
                    </w:rPr>
                    <w:t>£2,887,000 / £2,161,787.50 = 1.34</w:t>
                  </w:r>
                </w:p>
              </w:tc>
            </w:tr>
          </w:tbl>
          <w:p w:rsidR="004B4A98" w:rsidRPr="009E1C77" w:rsidRDefault="004B4A98" w:rsidP="009E1C77">
            <w:pPr>
              <w:spacing w:line="360" w:lineRule="auto"/>
              <w:jc w:val="center"/>
              <w:rPr>
                <w:rFonts w:cstheme="minorHAnsi"/>
                <w:b/>
                <w:sz w:val="20"/>
                <w:szCs w:val="20"/>
              </w:rPr>
            </w:pPr>
          </w:p>
        </w:tc>
        <w:tc>
          <w:tcPr>
            <w:tcW w:w="1264" w:type="pct"/>
            <w:vAlign w:val="center"/>
          </w:tcPr>
          <w:p w:rsidR="004B4A98" w:rsidRPr="009E1C77" w:rsidRDefault="00FC616F" w:rsidP="009E1C77">
            <w:pPr>
              <w:spacing w:line="360" w:lineRule="auto"/>
              <w:jc w:val="center"/>
              <w:rPr>
                <w:rFonts w:cstheme="minorHAnsi"/>
                <w:b/>
                <w:sz w:val="20"/>
                <w:szCs w:val="20"/>
              </w:rPr>
            </w:pPr>
            <w:r w:rsidRPr="009E1C77">
              <w:rPr>
                <w:rFonts w:cstheme="minorHAnsi"/>
                <w:b/>
                <w:sz w:val="20"/>
                <w:szCs w:val="20"/>
              </w:rPr>
              <w:t>Decreases from 3.04 to 1.34, reflecting debt repayments and improved equity position through the turnaround strategy.</w:t>
            </w:r>
          </w:p>
        </w:tc>
      </w:tr>
    </w:tbl>
    <w:p w:rsidR="00FC616F" w:rsidRPr="009E1C77" w:rsidRDefault="00FC616F" w:rsidP="009E1C77">
      <w:pPr>
        <w:spacing w:after="100" w:afterAutospacing="1" w:line="360" w:lineRule="auto"/>
        <w:rPr>
          <w:rFonts w:cstheme="minorHAnsi"/>
          <w:sz w:val="20"/>
          <w:szCs w:val="20"/>
        </w:rPr>
      </w:pPr>
    </w:p>
    <w:p w:rsidR="003C5884" w:rsidRDefault="003C5884" w:rsidP="002D0C34">
      <w:pPr>
        <w:tabs>
          <w:tab w:val="left" w:pos="709"/>
        </w:tabs>
        <w:spacing w:before="100" w:beforeAutospacing="1" w:after="100" w:afterAutospacing="1" w:line="360" w:lineRule="auto"/>
        <w:jc w:val="center"/>
        <w:rPr>
          <w:rFonts w:ascii="Arial" w:hAnsi="Arial" w:cs="Arial"/>
          <w:sz w:val="24"/>
          <w:szCs w:val="24"/>
        </w:rPr>
      </w:pPr>
    </w:p>
    <w:p w:rsidR="003C5884" w:rsidRDefault="003C5884" w:rsidP="002D0C34">
      <w:pPr>
        <w:tabs>
          <w:tab w:val="left" w:pos="709"/>
        </w:tabs>
        <w:spacing w:before="100" w:beforeAutospacing="1" w:after="100" w:afterAutospacing="1" w:line="360" w:lineRule="auto"/>
        <w:jc w:val="center"/>
        <w:rPr>
          <w:rFonts w:ascii="Arial" w:hAnsi="Arial" w:cs="Arial"/>
          <w:sz w:val="24"/>
          <w:szCs w:val="24"/>
        </w:rPr>
      </w:pPr>
    </w:p>
    <w:p w:rsidR="00DE1AC2" w:rsidRDefault="00DE1AC2" w:rsidP="003C5884">
      <w:pPr>
        <w:tabs>
          <w:tab w:val="left" w:pos="709"/>
        </w:tabs>
        <w:spacing w:before="100" w:beforeAutospacing="1" w:after="100" w:afterAutospacing="1" w:line="360" w:lineRule="auto"/>
        <w:jc w:val="center"/>
        <w:rPr>
          <w:rFonts w:ascii="Arial" w:hAnsi="Arial" w:cs="Arial"/>
          <w:sz w:val="24"/>
          <w:szCs w:val="24"/>
        </w:rPr>
      </w:pPr>
    </w:p>
    <w:p w:rsidR="00DE1AC2" w:rsidRDefault="00DE1AC2" w:rsidP="003C5884">
      <w:pPr>
        <w:tabs>
          <w:tab w:val="left" w:pos="709"/>
        </w:tabs>
        <w:spacing w:before="100" w:beforeAutospacing="1" w:after="100" w:afterAutospacing="1" w:line="360" w:lineRule="auto"/>
        <w:jc w:val="center"/>
        <w:rPr>
          <w:rFonts w:ascii="Arial" w:hAnsi="Arial" w:cs="Arial"/>
          <w:sz w:val="24"/>
          <w:szCs w:val="24"/>
        </w:rPr>
      </w:pPr>
    </w:p>
    <w:p w:rsidR="00DE1AC2" w:rsidRDefault="00DE1AC2" w:rsidP="003C5884">
      <w:pPr>
        <w:tabs>
          <w:tab w:val="left" w:pos="709"/>
        </w:tabs>
        <w:spacing w:before="100" w:beforeAutospacing="1" w:after="100" w:afterAutospacing="1" w:line="360" w:lineRule="auto"/>
        <w:jc w:val="center"/>
        <w:rPr>
          <w:rFonts w:ascii="Arial" w:hAnsi="Arial" w:cs="Arial"/>
          <w:sz w:val="24"/>
          <w:szCs w:val="24"/>
        </w:rPr>
      </w:pPr>
    </w:p>
    <w:p w:rsidR="002D0C34" w:rsidRPr="008F17C5" w:rsidRDefault="002D0C34" w:rsidP="003C5884">
      <w:pPr>
        <w:tabs>
          <w:tab w:val="left" w:pos="709"/>
        </w:tabs>
        <w:spacing w:before="100" w:beforeAutospacing="1" w:after="100" w:afterAutospacing="1" w:line="360" w:lineRule="auto"/>
        <w:jc w:val="center"/>
        <w:rPr>
          <w:rFonts w:ascii="Arial" w:hAnsi="Arial" w:cs="Arial"/>
          <w:sz w:val="24"/>
          <w:szCs w:val="24"/>
        </w:rPr>
      </w:pPr>
      <w:r w:rsidRPr="008F17C5">
        <w:rPr>
          <w:rFonts w:ascii="Arial" w:hAnsi="Arial" w:cs="Arial"/>
          <w:sz w:val="24"/>
          <w:szCs w:val="24"/>
        </w:rPr>
        <w:lastRenderedPageBreak/>
        <w:t>Risk Management Strategy</w:t>
      </w:r>
      <w:r>
        <w:rPr>
          <w:rFonts w:ascii="Arial" w:hAnsi="Arial" w:cs="Arial"/>
          <w:sz w:val="24"/>
          <w:szCs w:val="24"/>
        </w:rPr>
        <w:t>.</w:t>
      </w:r>
    </w:p>
    <w:p w:rsidR="00C60EC6" w:rsidRPr="003C5884" w:rsidRDefault="00C60EC6" w:rsidP="0070060F">
      <w:pPr>
        <w:pStyle w:val="ListParagraph"/>
        <w:numPr>
          <w:ilvl w:val="0"/>
          <w:numId w:val="25"/>
        </w:numPr>
        <w:tabs>
          <w:tab w:val="left" w:pos="709"/>
        </w:tabs>
        <w:spacing w:after="0" w:line="360" w:lineRule="auto"/>
        <w:rPr>
          <w:rFonts w:ascii="Arial" w:hAnsi="Arial" w:cs="Arial"/>
          <w:sz w:val="24"/>
          <w:szCs w:val="24"/>
          <w:u w:val="single"/>
        </w:rPr>
      </w:pPr>
      <w:r w:rsidRPr="003C5884">
        <w:rPr>
          <w:rStyle w:val="Strong"/>
          <w:rFonts w:ascii="Arial" w:hAnsi="Arial" w:cs="Arial"/>
          <w:b w:val="0"/>
          <w:bCs w:val="0"/>
          <w:sz w:val="24"/>
          <w:szCs w:val="24"/>
          <w:u w:val="single"/>
        </w:rPr>
        <w:t>High Energy Costs</w:t>
      </w:r>
      <w:r w:rsidR="00FC616F" w:rsidRPr="003C5884">
        <w:rPr>
          <w:rFonts w:ascii="Arial" w:hAnsi="Arial" w:cs="Arial"/>
          <w:sz w:val="24"/>
          <w:szCs w:val="24"/>
          <w:u w:val="single"/>
        </w:rPr>
        <w:t>:</w:t>
      </w:r>
    </w:p>
    <w:p w:rsidR="00FC616F" w:rsidRPr="00FC616F" w:rsidRDefault="00FC616F" w:rsidP="0070060F">
      <w:pPr>
        <w:pStyle w:val="ListParagraph"/>
        <w:numPr>
          <w:ilvl w:val="0"/>
          <w:numId w:val="37"/>
        </w:numPr>
        <w:tabs>
          <w:tab w:val="left" w:pos="709"/>
        </w:tabs>
        <w:spacing w:before="100" w:beforeAutospacing="1" w:after="0" w:afterAutospacing="1" w:line="360" w:lineRule="auto"/>
        <w:rPr>
          <w:rFonts w:ascii="Arial" w:hAnsi="Arial" w:cs="Arial"/>
          <w:sz w:val="24"/>
          <w:szCs w:val="24"/>
        </w:rPr>
      </w:pPr>
      <w:r w:rsidRPr="00FC616F">
        <w:rPr>
          <w:rFonts w:ascii="Arial" w:hAnsi="Arial" w:cs="Arial"/>
          <w:sz w:val="24"/>
          <w:szCs w:val="24"/>
        </w:rPr>
        <w:t xml:space="preserve">Identify and eliminate energy-intensive operations that are not essential to the hotel's core functions. </w:t>
      </w:r>
    </w:p>
    <w:p w:rsidR="00FC616F" w:rsidRPr="00FC616F" w:rsidRDefault="00FC616F" w:rsidP="0070060F">
      <w:pPr>
        <w:pStyle w:val="ListParagraph"/>
        <w:numPr>
          <w:ilvl w:val="0"/>
          <w:numId w:val="37"/>
        </w:numPr>
        <w:tabs>
          <w:tab w:val="left" w:pos="709"/>
        </w:tabs>
        <w:spacing w:before="100" w:beforeAutospacing="1" w:after="0" w:afterAutospacing="1" w:line="360" w:lineRule="auto"/>
        <w:rPr>
          <w:rFonts w:ascii="Arial" w:hAnsi="Arial" w:cs="Arial"/>
          <w:sz w:val="24"/>
          <w:szCs w:val="24"/>
        </w:rPr>
      </w:pPr>
      <w:r w:rsidRPr="00FC616F">
        <w:rPr>
          <w:rFonts w:ascii="Arial" w:hAnsi="Arial" w:cs="Arial"/>
          <w:sz w:val="24"/>
          <w:szCs w:val="24"/>
        </w:rPr>
        <w:t xml:space="preserve">Invest in energy-saving technologies such as LED lighting, energy-efficient HVAC systems, and renewable energy sources like solar panels. </w:t>
      </w:r>
    </w:p>
    <w:p w:rsidR="00FC616F" w:rsidRPr="002D0C34" w:rsidRDefault="00FC616F" w:rsidP="0070060F">
      <w:pPr>
        <w:pStyle w:val="ListParagraph"/>
        <w:numPr>
          <w:ilvl w:val="0"/>
          <w:numId w:val="37"/>
        </w:numPr>
        <w:tabs>
          <w:tab w:val="left" w:pos="709"/>
        </w:tabs>
        <w:spacing w:after="0" w:line="360" w:lineRule="auto"/>
        <w:rPr>
          <w:rFonts w:ascii="Arial" w:hAnsi="Arial" w:cs="Arial"/>
          <w:sz w:val="24"/>
          <w:szCs w:val="24"/>
        </w:rPr>
      </w:pPr>
      <w:r w:rsidRPr="00FC616F">
        <w:rPr>
          <w:rFonts w:ascii="Arial" w:hAnsi="Arial" w:cs="Arial"/>
          <w:sz w:val="24"/>
          <w:szCs w:val="24"/>
        </w:rPr>
        <w:t xml:space="preserve">Enter into fixed-rate contracts with energy suppliers to protect the hotel from fluctuations in energy prices. </w:t>
      </w:r>
    </w:p>
    <w:p w:rsidR="00C60EC6" w:rsidRPr="003C5884" w:rsidRDefault="00C60EC6" w:rsidP="0070060F">
      <w:pPr>
        <w:pStyle w:val="Heading4"/>
        <w:numPr>
          <w:ilvl w:val="0"/>
          <w:numId w:val="23"/>
        </w:numPr>
        <w:tabs>
          <w:tab w:val="left" w:pos="709"/>
        </w:tabs>
        <w:spacing w:before="0" w:line="360" w:lineRule="auto"/>
        <w:rPr>
          <w:rFonts w:ascii="Arial" w:hAnsi="Arial" w:cs="Arial"/>
          <w:b w:val="0"/>
          <w:i w:val="0"/>
          <w:color w:val="auto"/>
          <w:sz w:val="24"/>
          <w:szCs w:val="24"/>
          <w:u w:val="single"/>
        </w:rPr>
      </w:pPr>
      <w:r w:rsidRPr="003C5884">
        <w:rPr>
          <w:rStyle w:val="Strong"/>
          <w:rFonts w:ascii="Arial" w:hAnsi="Arial" w:cs="Arial"/>
          <w:bCs/>
          <w:i w:val="0"/>
          <w:color w:val="auto"/>
          <w:sz w:val="24"/>
          <w:szCs w:val="24"/>
          <w:u w:val="single"/>
        </w:rPr>
        <w:t>Regulatory Challenges</w:t>
      </w:r>
      <w:r w:rsidR="00FC616F" w:rsidRPr="003C5884">
        <w:rPr>
          <w:rFonts w:ascii="Arial" w:hAnsi="Arial" w:cs="Arial"/>
          <w:b w:val="0"/>
          <w:i w:val="0"/>
          <w:color w:val="auto"/>
          <w:sz w:val="24"/>
          <w:szCs w:val="24"/>
          <w:u w:val="single"/>
        </w:rPr>
        <w:t>:</w:t>
      </w:r>
    </w:p>
    <w:p w:rsidR="00FC616F" w:rsidRPr="00FC616F" w:rsidRDefault="00FC616F" w:rsidP="0070060F">
      <w:pPr>
        <w:pStyle w:val="ListParagraph"/>
        <w:numPr>
          <w:ilvl w:val="0"/>
          <w:numId w:val="38"/>
        </w:numPr>
        <w:tabs>
          <w:tab w:val="left" w:pos="709"/>
        </w:tabs>
        <w:spacing w:after="100" w:afterAutospacing="1" w:line="360" w:lineRule="auto"/>
        <w:rPr>
          <w:rFonts w:ascii="Arial" w:hAnsi="Arial" w:cs="Arial"/>
          <w:sz w:val="24"/>
          <w:szCs w:val="24"/>
        </w:rPr>
      </w:pPr>
      <w:r w:rsidRPr="00FC616F">
        <w:rPr>
          <w:rFonts w:ascii="Arial" w:hAnsi="Arial" w:cs="Arial"/>
          <w:sz w:val="24"/>
          <w:szCs w:val="24"/>
        </w:rPr>
        <w:t xml:space="preserve">Maintain proactive compliance by regularly reviewing and updating policies to align with evolving local and national regulations. </w:t>
      </w:r>
    </w:p>
    <w:p w:rsidR="00FC616F" w:rsidRPr="00FC616F" w:rsidRDefault="00FC616F" w:rsidP="0070060F">
      <w:pPr>
        <w:pStyle w:val="ListParagraph"/>
        <w:numPr>
          <w:ilvl w:val="0"/>
          <w:numId w:val="38"/>
        </w:numPr>
        <w:tabs>
          <w:tab w:val="left" w:pos="709"/>
        </w:tabs>
        <w:spacing w:before="100" w:beforeAutospacing="1" w:after="100" w:afterAutospacing="1" w:line="360" w:lineRule="auto"/>
        <w:rPr>
          <w:rFonts w:ascii="Arial" w:hAnsi="Arial" w:cs="Arial"/>
          <w:sz w:val="24"/>
          <w:szCs w:val="24"/>
        </w:rPr>
      </w:pPr>
      <w:r w:rsidRPr="00FC616F">
        <w:rPr>
          <w:rFonts w:ascii="Arial" w:hAnsi="Arial" w:cs="Arial"/>
          <w:sz w:val="24"/>
          <w:szCs w:val="24"/>
        </w:rPr>
        <w:t>Establish a dedicated compliance team to monitor regulatory changes and ensure timely implementation of necessary measures. Invest in regular staff training on compliance requirements and best practices.</w:t>
      </w:r>
    </w:p>
    <w:p w:rsidR="00FC616F" w:rsidRPr="002D0C34" w:rsidRDefault="00FC616F" w:rsidP="0070060F">
      <w:pPr>
        <w:pStyle w:val="ListParagraph"/>
        <w:numPr>
          <w:ilvl w:val="0"/>
          <w:numId w:val="38"/>
        </w:numPr>
        <w:tabs>
          <w:tab w:val="left" w:pos="709"/>
        </w:tabs>
        <w:spacing w:before="100" w:beforeAutospacing="1" w:after="0" w:line="360" w:lineRule="auto"/>
        <w:rPr>
          <w:rFonts w:ascii="Arial" w:hAnsi="Arial" w:cs="Arial"/>
          <w:sz w:val="24"/>
          <w:szCs w:val="24"/>
        </w:rPr>
      </w:pPr>
      <w:r w:rsidRPr="00FC616F">
        <w:rPr>
          <w:rFonts w:ascii="Arial" w:hAnsi="Arial" w:cs="Arial"/>
          <w:sz w:val="24"/>
          <w:szCs w:val="24"/>
        </w:rPr>
        <w:t>Purchase comprehensive liability insurance to cover potential fines and penalties for regulatory non-compliance. Engage legal advisors to ensure all contracts and practices adhere to current regulations.</w:t>
      </w:r>
    </w:p>
    <w:p w:rsidR="00D93741" w:rsidRPr="003C5884" w:rsidRDefault="00C60EC6" w:rsidP="0070060F">
      <w:pPr>
        <w:pStyle w:val="Heading4"/>
        <w:numPr>
          <w:ilvl w:val="0"/>
          <w:numId w:val="23"/>
        </w:numPr>
        <w:tabs>
          <w:tab w:val="left" w:pos="709"/>
        </w:tabs>
        <w:spacing w:before="0" w:line="360" w:lineRule="auto"/>
        <w:rPr>
          <w:rFonts w:ascii="Arial" w:hAnsi="Arial" w:cs="Arial"/>
          <w:b w:val="0"/>
          <w:i w:val="0"/>
          <w:color w:val="auto"/>
          <w:sz w:val="24"/>
          <w:szCs w:val="24"/>
          <w:u w:val="single"/>
        </w:rPr>
      </w:pPr>
      <w:r w:rsidRPr="003C5884">
        <w:rPr>
          <w:rStyle w:val="Strong"/>
          <w:rFonts w:ascii="Arial" w:hAnsi="Arial" w:cs="Arial"/>
          <w:bCs/>
          <w:i w:val="0"/>
          <w:color w:val="auto"/>
          <w:sz w:val="24"/>
          <w:szCs w:val="24"/>
          <w:u w:val="single"/>
        </w:rPr>
        <w:t>Supply Chain Disruptions</w:t>
      </w:r>
      <w:r w:rsidR="00CD7E06" w:rsidRPr="003C5884">
        <w:rPr>
          <w:rFonts w:ascii="Arial" w:hAnsi="Arial" w:cs="Arial"/>
          <w:b w:val="0"/>
          <w:i w:val="0"/>
          <w:color w:val="auto"/>
          <w:sz w:val="24"/>
          <w:szCs w:val="24"/>
          <w:u w:val="single"/>
        </w:rPr>
        <w:t>:</w:t>
      </w:r>
    </w:p>
    <w:p w:rsidR="00CD7E06" w:rsidRPr="00CD7E06" w:rsidRDefault="00CD7E06" w:rsidP="0070060F">
      <w:pPr>
        <w:pStyle w:val="NormalWeb"/>
        <w:numPr>
          <w:ilvl w:val="0"/>
          <w:numId w:val="39"/>
        </w:numPr>
        <w:tabs>
          <w:tab w:val="left" w:pos="709"/>
        </w:tabs>
        <w:spacing w:before="0" w:beforeAutospacing="0" w:line="360" w:lineRule="auto"/>
        <w:rPr>
          <w:rFonts w:ascii="Arial" w:hAnsi="Arial" w:cs="Arial"/>
        </w:rPr>
      </w:pPr>
      <w:r w:rsidRPr="00CD7E06">
        <w:rPr>
          <w:rFonts w:ascii="Arial" w:hAnsi="Arial" w:cs="Arial"/>
        </w:rPr>
        <w:t>Reduce dependency on single suppliers by establishing relationships with multiple vendors. Prioritise sourcing from local suppliers where possible to minimise the impact of global disruptions.</w:t>
      </w:r>
    </w:p>
    <w:p w:rsidR="00CD7E06" w:rsidRPr="00CD7E06" w:rsidRDefault="00CD7E06" w:rsidP="0070060F">
      <w:pPr>
        <w:pStyle w:val="NormalWeb"/>
        <w:numPr>
          <w:ilvl w:val="0"/>
          <w:numId w:val="39"/>
        </w:numPr>
        <w:tabs>
          <w:tab w:val="left" w:pos="709"/>
        </w:tabs>
        <w:spacing w:line="360" w:lineRule="auto"/>
        <w:rPr>
          <w:rFonts w:ascii="Arial" w:hAnsi="Arial" w:cs="Arial"/>
        </w:rPr>
      </w:pPr>
      <w:r w:rsidRPr="00CD7E06">
        <w:rPr>
          <w:rFonts w:ascii="Arial" w:hAnsi="Arial" w:cs="Arial"/>
        </w:rPr>
        <w:t>Maintain a buffer stock of essential items to mitigate short-term supply issues. Implement inventory managem</w:t>
      </w:r>
      <w:r w:rsidR="00893F63">
        <w:rPr>
          <w:rFonts w:ascii="Arial" w:hAnsi="Arial" w:cs="Arial"/>
        </w:rPr>
        <w:t>ent systems to track and optimis</w:t>
      </w:r>
      <w:r w:rsidRPr="00CD7E06">
        <w:rPr>
          <w:rFonts w:ascii="Arial" w:hAnsi="Arial" w:cs="Arial"/>
        </w:rPr>
        <w:t>e stock levels and reorder points.</w:t>
      </w:r>
    </w:p>
    <w:p w:rsidR="00CD7E06" w:rsidRPr="009D620C" w:rsidRDefault="00CD7E06" w:rsidP="0070060F">
      <w:pPr>
        <w:pStyle w:val="NormalWeb"/>
        <w:numPr>
          <w:ilvl w:val="0"/>
          <w:numId w:val="39"/>
        </w:numPr>
        <w:tabs>
          <w:tab w:val="left" w:pos="709"/>
        </w:tabs>
        <w:spacing w:after="0" w:afterAutospacing="0" w:line="360" w:lineRule="auto"/>
        <w:rPr>
          <w:rFonts w:ascii="Arial" w:hAnsi="Arial" w:cs="Arial"/>
        </w:rPr>
      </w:pPr>
      <w:r w:rsidRPr="00CD7E06">
        <w:rPr>
          <w:rFonts w:ascii="Arial" w:hAnsi="Arial" w:cs="Arial"/>
        </w:rPr>
        <w:t xml:space="preserve">Utilise third-party logistics providers to handle supply chain management, transferring some of the risks associated with supply chain disruptions. </w:t>
      </w:r>
      <w:r w:rsidRPr="009D620C">
        <w:rPr>
          <w:rFonts w:ascii="Arial" w:hAnsi="Arial" w:cs="Arial"/>
        </w:rPr>
        <w:t>Consider contractual agreements that include penalties for late or incomplete deliveries.</w:t>
      </w:r>
    </w:p>
    <w:p w:rsidR="00936AED" w:rsidRPr="003C5884" w:rsidRDefault="00C60EC6" w:rsidP="0070060F">
      <w:pPr>
        <w:pStyle w:val="Heading4"/>
        <w:numPr>
          <w:ilvl w:val="0"/>
          <w:numId w:val="23"/>
        </w:numPr>
        <w:tabs>
          <w:tab w:val="left" w:pos="709"/>
        </w:tabs>
        <w:spacing w:before="0" w:line="360" w:lineRule="auto"/>
        <w:rPr>
          <w:rFonts w:ascii="Arial" w:hAnsi="Arial" w:cs="Arial"/>
          <w:b w:val="0"/>
          <w:i w:val="0"/>
          <w:color w:val="auto"/>
          <w:sz w:val="24"/>
          <w:szCs w:val="24"/>
          <w:u w:val="single"/>
        </w:rPr>
      </w:pPr>
      <w:r w:rsidRPr="003C5884">
        <w:rPr>
          <w:rStyle w:val="Strong"/>
          <w:rFonts w:ascii="Arial" w:hAnsi="Arial" w:cs="Arial"/>
          <w:bCs/>
          <w:i w:val="0"/>
          <w:color w:val="auto"/>
          <w:sz w:val="24"/>
          <w:szCs w:val="24"/>
          <w:u w:val="single"/>
        </w:rPr>
        <w:t>Employee Recruitment and Retention</w:t>
      </w:r>
      <w:r w:rsidR="00CD7E06" w:rsidRPr="003C5884">
        <w:rPr>
          <w:rFonts w:ascii="Arial" w:hAnsi="Arial" w:cs="Arial"/>
          <w:b w:val="0"/>
          <w:i w:val="0"/>
          <w:color w:val="auto"/>
          <w:sz w:val="24"/>
          <w:szCs w:val="24"/>
          <w:u w:val="single"/>
        </w:rPr>
        <w:t>:</w:t>
      </w:r>
    </w:p>
    <w:p w:rsidR="00CD7E06" w:rsidRPr="009D620C" w:rsidRDefault="00CD7E06" w:rsidP="0070060F">
      <w:pPr>
        <w:pStyle w:val="NormalWeb"/>
        <w:numPr>
          <w:ilvl w:val="0"/>
          <w:numId w:val="40"/>
        </w:numPr>
        <w:tabs>
          <w:tab w:val="left" w:pos="709"/>
        </w:tabs>
        <w:spacing w:before="0" w:beforeAutospacing="0" w:line="360" w:lineRule="auto"/>
        <w:rPr>
          <w:rFonts w:ascii="Arial" w:hAnsi="Arial" w:cs="Arial"/>
        </w:rPr>
      </w:pPr>
      <w:r w:rsidRPr="009D620C">
        <w:rPr>
          <w:rFonts w:ascii="Arial" w:hAnsi="Arial" w:cs="Arial"/>
        </w:rPr>
        <w:t>Develop a robust internal pipeline for talent by offering internships and apprenticeships. Avoid over-reliance on temporary staff by building a more stable, permanent workforce</w:t>
      </w:r>
    </w:p>
    <w:p w:rsidR="00CD7E06" w:rsidRPr="009D620C" w:rsidRDefault="00CD7E06" w:rsidP="0070060F">
      <w:pPr>
        <w:pStyle w:val="NormalWeb"/>
        <w:numPr>
          <w:ilvl w:val="0"/>
          <w:numId w:val="40"/>
        </w:numPr>
        <w:tabs>
          <w:tab w:val="left" w:pos="709"/>
        </w:tabs>
        <w:spacing w:line="360" w:lineRule="auto"/>
        <w:rPr>
          <w:rFonts w:ascii="Arial" w:hAnsi="Arial" w:cs="Arial"/>
        </w:rPr>
      </w:pPr>
      <w:r w:rsidRPr="009D620C">
        <w:rPr>
          <w:rFonts w:ascii="Arial" w:hAnsi="Arial" w:cs="Arial"/>
        </w:rPr>
        <w:lastRenderedPageBreak/>
        <w:t>Enhance the work environment by offering competitive wages, benefits, and career development opportunities. Implement employee wellness programs and flexible working arrangements to improve job satisfaction and reduce turnover.</w:t>
      </w:r>
    </w:p>
    <w:p w:rsidR="00CD7E06" w:rsidRPr="009D620C" w:rsidRDefault="00CD7E06" w:rsidP="0070060F">
      <w:pPr>
        <w:pStyle w:val="NormalWeb"/>
        <w:numPr>
          <w:ilvl w:val="0"/>
          <w:numId w:val="40"/>
        </w:numPr>
        <w:tabs>
          <w:tab w:val="left" w:pos="709"/>
        </w:tabs>
        <w:spacing w:before="0" w:beforeAutospacing="0" w:after="0" w:afterAutospacing="0" w:line="360" w:lineRule="auto"/>
        <w:rPr>
          <w:rFonts w:ascii="Arial" w:hAnsi="Arial" w:cs="Arial"/>
        </w:rPr>
      </w:pPr>
      <w:r w:rsidRPr="009D620C">
        <w:rPr>
          <w:rFonts w:ascii="Arial" w:hAnsi="Arial" w:cs="Arial"/>
        </w:rPr>
        <w:t>Partner with staffing agencies to handle recruitment processes, transferring some of the risks of recruitment inefficiencies. Consider contractual arrangements that provide guarantees on the quality and retention of supplied staff.</w:t>
      </w:r>
    </w:p>
    <w:p w:rsidR="00CD7E06" w:rsidRPr="009D620C" w:rsidRDefault="00936AED" w:rsidP="0070060F">
      <w:pPr>
        <w:pStyle w:val="Heading4"/>
        <w:numPr>
          <w:ilvl w:val="0"/>
          <w:numId w:val="23"/>
        </w:numPr>
        <w:tabs>
          <w:tab w:val="left" w:pos="709"/>
        </w:tabs>
        <w:spacing w:before="0" w:line="360" w:lineRule="auto"/>
        <w:rPr>
          <w:rFonts w:ascii="Arial" w:hAnsi="Arial" w:cs="Arial"/>
          <w:b w:val="0"/>
          <w:i w:val="0"/>
          <w:color w:val="auto"/>
          <w:sz w:val="24"/>
          <w:szCs w:val="24"/>
        </w:rPr>
      </w:pPr>
      <w:r w:rsidRPr="003C5884">
        <w:rPr>
          <w:rStyle w:val="Strong"/>
          <w:rFonts w:ascii="Arial" w:hAnsi="Arial" w:cs="Arial"/>
          <w:bCs/>
          <w:i w:val="0"/>
          <w:color w:val="auto"/>
          <w:sz w:val="24"/>
          <w:szCs w:val="24"/>
          <w:u w:val="single"/>
        </w:rPr>
        <w:t>Consumer Confidence and Spending</w:t>
      </w:r>
      <w:r w:rsidR="00232C46" w:rsidRPr="009D620C">
        <w:rPr>
          <w:rFonts w:ascii="Arial" w:hAnsi="Arial" w:cs="Arial"/>
          <w:b w:val="0"/>
          <w:i w:val="0"/>
          <w:color w:val="auto"/>
          <w:sz w:val="24"/>
          <w:szCs w:val="24"/>
        </w:rPr>
        <w:t>.</w:t>
      </w:r>
      <w:r w:rsidR="00D93741" w:rsidRPr="009D620C">
        <w:rPr>
          <w:rFonts w:ascii="Arial" w:hAnsi="Arial" w:cs="Arial"/>
          <w:b w:val="0"/>
          <w:i w:val="0"/>
          <w:color w:val="auto"/>
          <w:sz w:val="24"/>
          <w:szCs w:val="24"/>
        </w:rPr>
        <w:t xml:space="preserve"> </w:t>
      </w:r>
      <w:r w:rsidRPr="009D620C">
        <w:rPr>
          <w:rFonts w:ascii="Arial" w:hAnsi="Arial" w:cs="Arial"/>
          <w:b w:val="0"/>
          <w:i w:val="0"/>
          <w:color w:val="auto"/>
          <w:sz w:val="24"/>
          <w:szCs w:val="24"/>
        </w:rPr>
        <w:t>Cost of living crisis affecting consumer behaviour and spending habits</w:t>
      </w:r>
      <w:r w:rsidR="00CD7E06" w:rsidRPr="009D620C">
        <w:rPr>
          <w:rFonts w:ascii="Arial" w:hAnsi="Arial" w:cs="Arial"/>
          <w:b w:val="0"/>
          <w:i w:val="0"/>
          <w:color w:val="auto"/>
          <w:sz w:val="24"/>
          <w:szCs w:val="24"/>
        </w:rPr>
        <w:t>:</w:t>
      </w:r>
    </w:p>
    <w:p w:rsidR="00CD7E06" w:rsidRPr="009D620C" w:rsidRDefault="002D0C34" w:rsidP="0070060F">
      <w:pPr>
        <w:pStyle w:val="ListParagraph"/>
        <w:numPr>
          <w:ilvl w:val="0"/>
          <w:numId w:val="41"/>
        </w:numPr>
        <w:tabs>
          <w:tab w:val="left" w:pos="709"/>
        </w:tabs>
        <w:spacing w:line="360" w:lineRule="auto"/>
        <w:rPr>
          <w:rFonts w:ascii="Arial" w:hAnsi="Arial" w:cs="Arial"/>
          <w:sz w:val="24"/>
          <w:szCs w:val="24"/>
        </w:rPr>
      </w:pPr>
      <w:r w:rsidRPr="009D620C">
        <w:rPr>
          <w:rFonts w:ascii="Arial" w:hAnsi="Arial" w:cs="Arial"/>
          <w:sz w:val="24"/>
          <w:szCs w:val="24"/>
        </w:rPr>
        <w:t>Avoid pricing strategies that could alienate budget-conscious customers. Instead, offer value-driven promotions and packages that appeal to a wide range of consumer budgets.</w:t>
      </w:r>
    </w:p>
    <w:p w:rsidR="002D0C34" w:rsidRPr="009D620C" w:rsidRDefault="002D0C34" w:rsidP="0070060F">
      <w:pPr>
        <w:pStyle w:val="ListParagraph"/>
        <w:numPr>
          <w:ilvl w:val="0"/>
          <w:numId w:val="41"/>
        </w:numPr>
        <w:tabs>
          <w:tab w:val="left" w:pos="709"/>
        </w:tabs>
        <w:spacing w:line="360" w:lineRule="auto"/>
        <w:rPr>
          <w:rFonts w:ascii="Arial" w:hAnsi="Arial" w:cs="Arial"/>
          <w:sz w:val="24"/>
          <w:szCs w:val="24"/>
        </w:rPr>
      </w:pPr>
      <w:r w:rsidRPr="009D620C">
        <w:rPr>
          <w:rFonts w:ascii="Arial" w:hAnsi="Arial" w:cs="Arial"/>
          <w:sz w:val="24"/>
          <w:szCs w:val="24"/>
        </w:rPr>
        <w:t xml:space="preserve">Implement dynamic pricing models that adjust based on demand, seasonality, </w:t>
      </w:r>
      <w:r w:rsidR="00893F63">
        <w:rPr>
          <w:rFonts w:ascii="Arial" w:hAnsi="Arial" w:cs="Arial"/>
          <w:sz w:val="24"/>
          <w:szCs w:val="24"/>
        </w:rPr>
        <w:t>and market conditions to maximis</w:t>
      </w:r>
      <w:r w:rsidRPr="009D620C">
        <w:rPr>
          <w:rFonts w:ascii="Arial" w:hAnsi="Arial" w:cs="Arial"/>
          <w:sz w:val="24"/>
          <w:szCs w:val="24"/>
        </w:rPr>
        <w:t>e occupancy rates and revenue. Enhance customer engagement through personalised offers, loyalty programs, and exceptional service</w:t>
      </w:r>
    </w:p>
    <w:p w:rsidR="00CD7E06" w:rsidRPr="009D620C" w:rsidRDefault="002D0C34" w:rsidP="0070060F">
      <w:pPr>
        <w:pStyle w:val="ListParagraph"/>
        <w:numPr>
          <w:ilvl w:val="0"/>
          <w:numId w:val="41"/>
        </w:numPr>
        <w:tabs>
          <w:tab w:val="left" w:pos="709"/>
        </w:tabs>
        <w:spacing w:after="0" w:line="360" w:lineRule="auto"/>
        <w:rPr>
          <w:rFonts w:ascii="Arial" w:hAnsi="Arial" w:cs="Arial"/>
          <w:sz w:val="24"/>
          <w:szCs w:val="24"/>
        </w:rPr>
      </w:pPr>
      <w:r w:rsidRPr="009D620C">
        <w:rPr>
          <w:rFonts w:ascii="Arial" w:hAnsi="Arial" w:cs="Arial"/>
          <w:sz w:val="24"/>
          <w:szCs w:val="24"/>
        </w:rPr>
        <w:t>Use marketing partnerships and co-branding opportunities to share the costs and benefits of promotional activities. Consider financial hedging instruments to protect against significant revenue fluctuations</w:t>
      </w:r>
      <w:r w:rsidR="009D620C" w:rsidRPr="009D620C">
        <w:rPr>
          <w:rFonts w:ascii="Arial" w:hAnsi="Arial" w:cs="Arial"/>
          <w:sz w:val="24"/>
          <w:szCs w:val="24"/>
        </w:rPr>
        <w:t>.</w:t>
      </w:r>
    </w:p>
    <w:p w:rsidR="00936AED" w:rsidRPr="009D620C" w:rsidRDefault="00936AED" w:rsidP="0070060F">
      <w:pPr>
        <w:pStyle w:val="Heading4"/>
        <w:numPr>
          <w:ilvl w:val="0"/>
          <w:numId w:val="28"/>
        </w:numPr>
        <w:tabs>
          <w:tab w:val="left" w:pos="709"/>
        </w:tabs>
        <w:spacing w:before="0" w:line="360" w:lineRule="auto"/>
        <w:rPr>
          <w:rFonts w:ascii="Arial" w:hAnsi="Arial" w:cs="Arial"/>
          <w:b w:val="0"/>
          <w:i w:val="0"/>
          <w:color w:val="auto"/>
          <w:sz w:val="24"/>
          <w:szCs w:val="24"/>
        </w:rPr>
      </w:pPr>
      <w:r w:rsidRPr="003C5884">
        <w:rPr>
          <w:rStyle w:val="Strong"/>
          <w:rFonts w:ascii="Arial" w:hAnsi="Arial" w:cs="Arial"/>
          <w:bCs/>
          <w:i w:val="0"/>
          <w:color w:val="auto"/>
          <w:sz w:val="24"/>
          <w:szCs w:val="24"/>
          <w:u w:val="single"/>
        </w:rPr>
        <w:t>Sustainability Pressures</w:t>
      </w:r>
      <w:r w:rsidRPr="003C5884">
        <w:rPr>
          <w:rFonts w:ascii="Arial" w:hAnsi="Arial" w:cs="Arial"/>
          <w:b w:val="0"/>
          <w:i w:val="0"/>
          <w:color w:val="auto"/>
          <w:sz w:val="24"/>
          <w:szCs w:val="24"/>
          <w:u w:val="single"/>
        </w:rPr>
        <w:t>:</w:t>
      </w:r>
      <w:r w:rsidRPr="009D620C">
        <w:rPr>
          <w:rFonts w:ascii="Arial" w:hAnsi="Arial" w:cs="Arial"/>
          <w:b w:val="0"/>
          <w:i w:val="0"/>
          <w:color w:val="auto"/>
          <w:sz w:val="24"/>
          <w:szCs w:val="24"/>
        </w:rPr>
        <w:t xml:space="preserve"> Need for significant investment in sustainable practices to meet regulatory requirements and consumer expectations.</w:t>
      </w:r>
    </w:p>
    <w:p w:rsidR="002D0C34" w:rsidRPr="009D620C" w:rsidRDefault="002D0C34" w:rsidP="0070060F">
      <w:pPr>
        <w:pStyle w:val="ListParagraph"/>
        <w:numPr>
          <w:ilvl w:val="0"/>
          <w:numId w:val="43"/>
        </w:numPr>
        <w:tabs>
          <w:tab w:val="left" w:pos="709"/>
        </w:tabs>
        <w:spacing w:after="0" w:line="360" w:lineRule="auto"/>
        <w:rPr>
          <w:rFonts w:ascii="Arial" w:hAnsi="Arial" w:cs="Arial"/>
          <w:sz w:val="24"/>
          <w:szCs w:val="24"/>
        </w:rPr>
      </w:pPr>
      <w:r w:rsidRPr="009D620C">
        <w:rPr>
          <w:rFonts w:ascii="Arial" w:hAnsi="Arial" w:cs="Arial"/>
          <w:sz w:val="24"/>
          <w:szCs w:val="24"/>
        </w:rPr>
        <w:t>Avoid environmentally</w:t>
      </w:r>
      <w:r w:rsidR="009D620C" w:rsidRPr="009D620C">
        <w:rPr>
          <w:rFonts w:ascii="Arial" w:hAnsi="Arial" w:cs="Arial"/>
          <w:sz w:val="24"/>
          <w:szCs w:val="24"/>
        </w:rPr>
        <w:t xml:space="preserve"> harmful practices and prioritis</w:t>
      </w:r>
      <w:r w:rsidRPr="009D620C">
        <w:rPr>
          <w:rFonts w:ascii="Arial" w:hAnsi="Arial" w:cs="Arial"/>
          <w:sz w:val="24"/>
          <w:szCs w:val="24"/>
        </w:rPr>
        <w:t>e sustainability in all operations. Implement strict waste management protocols and reduce reliance on non-renewable resources</w:t>
      </w:r>
      <w:r w:rsidR="009D620C" w:rsidRPr="009D620C">
        <w:rPr>
          <w:rFonts w:ascii="Arial" w:hAnsi="Arial" w:cs="Arial"/>
          <w:sz w:val="24"/>
          <w:szCs w:val="24"/>
        </w:rPr>
        <w:t>.</w:t>
      </w:r>
    </w:p>
    <w:p w:rsidR="002D0C34" w:rsidRPr="009D620C" w:rsidRDefault="002D0C34" w:rsidP="0070060F">
      <w:pPr>
        <w:pStyle w:val="NormalWeb"/>
        <w:numPr>
          <w:ilvl w:val="0"/>
          <w:numId w:val="43"/>
        </w:numPr>
        <w:tabs>
          <w:tab w:val="left" w:pos="709"/>
        </w:tabs>
        <w:spacing w:before="0" w:beforeAutospacing="0" w:line="360" w:lineRule="auto"/>
        <w:rPr>
          <w:rFonts w:ascii="Arial" w:hAnsi="Arial" w:cs="Arial"/>
        </w:rPr>
      </w:pPr>
      <w:r w:rsidRPr="009D620C">
        <w:rPr>
          <w:rFonts w:ascii="Arial" w:hAnsi="Arial" w:cs="Arial"/>
        </w:rPr>
        <w:t>Invest in sustainable technologies such as energy-efficient appliances, water conservation systems, and renewable energy sources like solar panels. Promote sustainability initiatives to guests and staff to foster a culture of environmental responsibility.</w:t>
      </w:r>
    </w:p>
    <w:p w:rsidR="002D0C34" w:rsidRPr="009D620C" w:rsidRDefault="002D0C34" w:rsidP="0070060F">
      <w:pPr>
        <w:pStyle w:val="NormalWeb"/>
        <w:numPr>
          <w:ilvl w:val="0"/>
          <w:numId w:val="43"/>
        </w:numPr>
        <w:tabs>
          <w:tab w:val="left" w:pos="709"/>
        </w:tabs>
        <w:spacing w:after="0" w:afterAutospacing="0" w:line="360" w:lineRule="auto"/>
        <w:rPr>
          <w:rFonts w:ascii="Arial" w:hAnsi="Arial" w:cs="Arial"/>
        </w:rPr>
      </w:pPr>
      <w:r w:rsidRPr="009D620C">
        <w:rPr>
          <w:rFonts w:ascii="Arial" w:hAnsi="Arial" w:cs="Arial"/>
        </w:rPr>
        <w:t>Engage in green certifications and partnerships with environmental organisations to enhance the hotel's sustainability credentials. Utilise green bonds or sustainability-linked loans to finance sustainability projects, transferring some of the financial risks to lenders.</w:t>
      </w:r>
    </w:p>
    <w:p w:rsidR="00936AED" w:rsidRPr="003C5884" w:rsidRDefault="00936AED" w:rsidP="0070060F">
      <w:pPr>
        <w:pStyle w:val="ListParagraph"/>
        <w:numPr>
          <w:ilvl w:val="0"/>
          <w:numId w:val="28"/>
        </w:numPr>
        <w:tabs>
          <w:tab w:val="left" w:pos="709"/>
        </w:tabs>
        <w:spacing w:after="100" w:afterAutospacing="1" w:line="360" w:lineRule="auto"/>
        <w:rPr>
          <w:rFonts w:ascii="Arial" w:hAnsi="Arial" w:cs="Arial"/>
          <w:sz w:val="24"/>
          <w:szCs w:val="24"/>
          <w:u w:val="single"/>
        </w:rPr>
      </w:pPr>
      <w:r w:rsidRPr="003C5884">
        <w:rPr>
          <w:rFonts w:ascii="Arial" w:hAnsi="Arial" w:cs="Arial"/>
          <w:sz w:val="24"/>
          <w:szCs w:val="24"/>
          <w:u w:val="single"/>
        </w:rPr>
        <w:lastRenderedPageBreak/>
        <w:t>Market Competition</w:t>
      </w:r>
      <w:r w:rsidR="002D0C34" w:rsidRPr="003C5884">
        <w:rPr>
          <w:rFonts w:ascii="Arial" w:hAnsi="Arial" w:cs="Arial"/>
          <w:sz w:val="24"/>
          <w:szCs w:val="24"/>
          <w:u w:val="single"/>
        </w:rPr>
        <w:t>:</w:t>
      </w:r>
    </w:p>
    <w:p w:rsidR="002D0C34" w:rsidRPr="009D620C" w:rsidRDefault="002D0C34" w:rsidP="0070060F">
      <w:pPr>
        <w:pStyle w:val="ListParagraph"/>
        <w:numPr>
          <w:ilvl w:val="0"/>
          <w:numId w:val="42"/>
        </w:numPr>
        <w:tabs>
          <w:tab w:val="left" w:pos="709"/>
        </w:tabs>
        <w:spacing w:before="100" w:beforeAutospacing="1" w:after="100" w:afterAutospacing="1" w:line="360" w:lineRule="auto"/>
        <w:rPr>
          <w:rFonts w:ascii="Arial" w:hAnsi="Arial" w:cs="Arial"/>
          <w:sz w:val="24"/>
          <w:szCs w:val="24"/>
        </w:rPr>
      </w:pPr>
      <w:r w:rsidRPr="009D620C">
        <w:rPr>
          <w:rFonts w:ascii="Arial" w:hAnsi="Arial" w:cs="Arial"/>
          <w:sz w:val="24"/>
          <w:szCs w:val="24"/>
        </w:rPr>
        <w:t>Avoid competing solely on price with alternative lodging options like Airbnb. Instead, focus on differentiating the hotel's offerings through unique experiences, superior service, and exclusive amenities.</w:t>
      </w:r>
    </w:p>
    <w:p w:rsidR="002D0C34" w:rsidRPr="009D620C" w:rsidRDefault="002D0C34" w:rsidP="0070060F">
      <w:pPr>
        <w:pStyle w:val="NormalWeb"/>
        <w:numPr>
          <w:ilvl w:val="0"/>
          <w:numId w:val="42"/>
        </w:numPr>
        <w:tabs>
          <w:tab w:val="left" w:pos="709"/>
        </w:tabs>
        <w:spacing w:line="360" w:lineRule="auto"/>
        <w:rPr>
          <w:rFonts w:ascii="Arial" w:hAnsi="Arial" w:cs="Arial"/>
        </w:rPr>
      </w:pPr>
      <w:r w:rsidRPr="009D620C">
        <w:rPr>
          <w:rFonts w:ascii="Arial" w:hAnsi="Arial" w:cs="Arial"/>
        </w:rPr>
        <w:t>Invest in technology to enhance the guest experience, such as personalised service through CRM systems and seamless booking processes. Strengthen the hotel's brand through targeted marketing campaigns and partnerships with local attractions and businesses.</w:t>
      </w:r>
    </w:p>
    <w:p w:rsidR="001B4811" w:rsidRPr="009D620C" w:rsidRDefault="002D0C34" w:rsidP="00DE1AC2">
      <w:pPr>
        <w:pStyle w:val="NormalWeb"/>
        <w:numPr>
          <w:ilvl w:val="0"/>
          <w:numId w:val="42"/>
        </w:numPr>
        <w:tabs>
          <w:tab w:val="left" w:pos="709"/>
        </w:tabs>
        <w:spacing w:before="0" w:beforeAutospacing="0" w:line="360" w:lineRule="auto"/>
        <w:rPr>
          <w:rFonts w:ascii="Arial" w:hAnsi="Arial" w:cs="Arial"/>
        </w:rPr>
      </w:pPr>
      <w:r w:rsidRPr="009D620C">
        <w:rPr>
          <w:rFonts w:ascii="Arial" w:hAnsi="Arial" w:cs="Arial"/>
        </w:rPr>
        <w:t>Leverage strategic alliances and partnerships to expand market reach and share marketing costs. Consider franchising or management agreements to share the operational risks and benefits with other hospitality operators.</w:t>
      </w:r>
    </w:p>
    <w:p w:rsidR="001B4811" w:rsidRPr="009D620C" w:rsidRDefault="001B4811" w:rsidP="009D620C">
      <w:pPr>
        <w:pStyle w:val="NormalWeb"/>
        <w:tabs>
          <w:tab w:val="left" w:pos="709"/>
        </w:tabs>
        <w:spacing w:before="0" w:beforeAutospacing="0" w:after="0" w:afterAutospacing="0" w:line="360" w:lineRule="auto"/>
        <w:rPr>
          <w:rFonts w:ascii="Arial" w:hAnsi="Arial" w:cs="Arial"/>
        </w:rPr>
      </w:pPr>
      <w:r w:rsidRPr="009D620C">
        <w:rPr>
          <w:rFonts w:ascii="Arial" w:hAnsi="Arial" w:cs="Arial"/>
        </w:rPr>
        <w:t>Implementation and Monitoring</w:t>
      </w:r>
      <w:r w:rsidR="009D620C">
        <w:rPr>
          <w:rFonts w:ascii="Arial" w:hAnsi="Arial" w:cs="Arial"/>
        </w:rPr>
        <w:t>:</w:t>
      </w:r>
    </w:p>
    <w:p w:rsidR="001B4811" w:rsidRPr="009D620C" w:rsidRDefault="001B4811" w:rsidP="0070060F">
      <w:pPr>
        <w:pStyle w:val="NormalWeb"/>
        <w:numPr>
          <w:ilvl w:val="0"/>
          <w:numId w:val="30"/>
        </w:numPr>
        <w:tabs>
          <w:tab w:val="left" w:pos="709"/>
        </w:tabs>
        <w:spacing w:before="0" w:beforeAutospacing="0" w:line="360" w:lineRule="auto"/>
        <w:rPr>
          <w:rFonts w:ascii="Arial" w:hAnsi="Arial" w:cs="Arial"/>
        </w:rPr>
      </w:pPr>
      <w:r w:rsidRPr="009D620C">
        <w:rPr>
          <w:rFonts w:ascii="Arial" w:hAnsi="Arial" w:cs="Arial"/>
        </w:rPr>
        <w:t>Regular Audits</w:t>
      </w:r>
      <w:r w:rsidR="009D620C">
        <w:rPr>
          <w:rFonts w:ascii="Arial" w:hAnsi="Arial" w:cs="Arial"/>
        </w:rPr>
        <w:t>.</w:t>
      </w:r>
    </w:p>
    <w:p w:rsidR="001B4811" w:rsidRPr="009D620C" w:rsidRDefault="001B4811" w:rsidP="0070060F">
      <w:pPr>
        <w:pStyle w:val="NormalWeb"/>
        <w:numPr>
          <w:ilvl w:val="0"/>
          <w:numId w:val="30"/>
        </w:numPr>
        <w:tabs>
          <w:tab w:val="left" w:pos="709"/>
        </w:tabs>
        <w:spacing w:line="360" w:lineRule="auto"/>
        <w:rPr>
          <w:rFonts w:ascii="Arial" w:hAnsi="Arial" w:cs="Arial"/>
        </w:rPr>
      </w:pPr>
      <w:r w:rsidRPr="009D620C">
        <w:rPr>
          <w:rFonts w:ascii="Arial" w:hAnsi="Arial" w:cs="Arial"/>
        </w:rPr>
        <w:t>Employee Training</w:t>
      </w:r>
      <w:r w:rsidR="009D620C">
        <w:rPr>
          <w:rFonts w:ascii="Arial" w:hAnsi="Arial" w:cs="Arial"/>
        </w:rPr>
        <w:t>.</w:t>
      </w:r>
    </w:p>
    <w:p w:rsidR="003C5884" w:rsidRDefault="001B4811" w:rsidP="0070060F">
      <w:pPr>
        <w:pStyle w:val="NormalWeb"/>
        <w:numPr>
          <w:ilvl w:val="0"/>
          <w:numId w:val="30"/>
        </w:numPr>
        <w:tabs>
          <w:tab w:val="left" w:pos="709"/>
        </w:tabs>
        <w:spacing w:line="360" w:lineRule="auto"/>
        <w:rPr>
          <w:rFonts w:ascii="Arial" w:hAnsi="Arial" w:cs="Arial"/>
        </w:rPr>
      </w:pPr>
      <w:r w:rsidRPr="009D620C">
        <w:rPr>
          <w:rFonts w:ascii="Arial" w:hAnsi="Arial" w:cs="Arial"/>
        </w:rPr>
        <w:t>Performance Metrics</w:t>
      </w:r>
      <w:r w:rsidR="009D620C">
        <w:rPr>
          <w:rFonts w:ascii="Arial" w:hAnsi="Arial" w:cs="Arial"/>
        </w:rPr>
        <w:t>.</w:t>
      </w:r>
    </w:p>
    <w:p w:rsidR="00232C46" w:rsidRPr="003C5884" w:rsidRDefault="00232C46" w:rsidP="003C5884">
      <w:pPr>
        <w:pStyle w:val="NormalWeb"/>
        <w:tabs>
          <w:tab w:val="left" w:pos="709"/>
        </w:tabs>
        <w:spacing w:line="360" w:lineRule="auto"/>
        <w:ind w:left="360"/>
        <w:rPr>
          <w:rFonts w:ascii="Arial" w:hAnsi="Arial" w:cs="Arial"/>
        </w:rPr>
      </w:pPr>
      <w:r w:rsidRPr="003C5884">
        <w:rPr>
          <w:rFonts w:ascii="Arial" w:hAnsi="Arial" w:cs="Arial"/>
        </w:rPr>
        <w:t>A comprehensive turnaround strategy focusing on revenue enhancement, cost reduction, and improved customer experience is crucial for the hotel's recovery. Implementing dynamic pricing, improving marketing efforts, enhancing service quality, and investing in modernisation are vital steps. Additionally, managing risks related to high energy costs, regulatory challenges, supply chain disruptions, employee recruitment, consumer confidence, and sustainability pressures are essential for long-term stability.</w:t>
      </w:r>
      <w:r w:rsidR="003C5884">
        <w:rPr>
          <w:rFonts w:ascii="Arial" w:hAnsi="Arial" w:cs="Arial"/>
        </w:rPr>
        <w:t xml:space="preserve"> </w:t>
      </w:r>
      <w:r w:rsidRPr="003C5884">
        <w:rPr>
          <w:rFonts w:ascii="Arial" w:hAnsi="Arial" w:cs="Arial"/>
        </w:rPr>
        <w:t xml:space="preserve">Financial projections indicate that with these strategic measures, the hotel can achieve positive net income by 2025, reduce its operating expense ratio, and manage its long-term debt effectively. </w:t>
      </w:r>
    </w:p>
    <w:p w:rsidR="00232C46" w:rsidRPr="009D620C" w:rsidRDefault="00232C46" w:rsidP="009D620C">
      <w:pPr>
        <w:pStyle w:val="NormalWeb"/>
        <w:spacing w:line="360" w:lineRule="auto"/>
        <w:rPr>
          <w:rFonts w:ascii="Arial" w:hAnsi="Arial" w:cs="Arial"/>
        </w:rPr>
      </w:pPr>
    </w:p>
    <w:p w:rsidR="00D93741" w:rsidRPr="009D620C" w:rsidRDefault="00D93741" w:rsidP="009D620C">
      <w:pPr>
        <w:spacing w:before="100" w:beforeAutospacing="1" w:after="100" w:afterAutospacing="1" w:line="360" w:lineRule="auto"/>
        <w:rPr>
          <w:rFonts w:ascii="Arial" w:hAnsi="Arial" w:cs="Arial"/>
          <w:sz w:val="24"/>
          <w:szCs w:val="24"/>
        </w:rPr>
      </w:pPr>
    </w:p>
    <w:p w:rsidR="00C60EC6" w:rsidRPr="00D93741" w:rsidRDefault="00C60EC6" w:rsidP="00D93741">
      <w:pPr>
        <w:spacing w:before="100" w:beforeAutospacing="1" w:after="100" w:afterAutospacing="1" w:line="360" w:lineRule="auto"/>
        <w:rPr>
          <w:rFonts w:ascii="Arial" w:hAnsi="Arial" w:cs="Arial"/>
          <w:sz w:val="24"/>
          <w:szCs w:val="24"/>
        </w:rPr>
      </w:pPr>
    </w:p>
    <w:p w:rsidR="00541BE0" w:rsidRPr="00D93741" w:rsidRDefault="00541BE0" w:rsidP="00D93741">
      <w:pPr>
        <w:spacing w:line="360" w:lineRule="auto"/>
        <w:rPr>
          <w:rFonts w:ascii="Arial" w:hAnsi="Arial" w:cs="Arial"/>
          <w:sz w:val="24"/>
          <w:szCs w:val="24"/>
        </w:rPr>
      </w:pPr>
      <w:r w:rsidRPr="00D93741">
        <w:rPr>
          <w:rFonts w:ascii="Arial" w:hAnsi="Arial" w:cs="Arial"/>
          <w:sz w:val="24"/>
          <w:szCs w:val="24"/>
        </w:rPr>
        <w:br w:type="page"/>
      </w:r>
    </w:p>
    <w:p w:rsidR="00632DCC" w:rsidRDefault="00632DCC" w:rsidP="00632DCC">
      <w:pPr>
        <w:pStyle w:val="Heading3"/>
      </w:pPr>
      <w:r>
        <w:lastRenderedPageBreak/>
        <w:t>References</w:t>
      </w:r>
      <w:r w:rsidR="005A347D">
        <w:t>:</w:t>
      </w:r>
    </w:p>
    <w:p w:rsidR="003440B9" w:rsidRPr="008F2DE0" w:rsidRDefault="003440B9" w:rsidP="00441F5B">
      <w:pPr>
        <w:pStyle w:val="ListParagraph"/>
        <w:numPr>
          <w:ilvl w:val="0"/>
          <w:numId w:val="45"/>
        </w:numPr>
        <w:spacing w:after="0" w:line="360" w:lineRule="auto"/>
        <w:rPr>
          <w:rFonts w:ascii="Arial" w:eastAsia="Times New Roman" w:hAnsi="Arial" w:cs="Arial"/>
          <w:sz w:val="24"/>
          <w:szCs w:val="24"/>
        </w:rPr>
      </w:pPr>
      <w:r w:rsidRPr="008F2DE0">
        <w:rPr>
          <w:rFonts w:ascii="Arial" w:eastAsia="Times New Roman" w:hAnsi="Arial" w:cs="Arial"/>
          <w:sz w:val="24"/>
          <w:szCs w:val="24"/>
        </w:rPr>
        <w:t xml:space="preserve">Alrawadieh, Z., Alrawadieh, Z., &amp; Cetin, G. (2021). Digital transformation and revenue management: Evidence from the hotel industry. </w:t>
      </w:r>
      <w:r w:rsidRPr="008F2DE0">
        <w:rPr>
          <w:rFonts w:ascii="Arial" w:eastAsia="Times New Roman" w:hAnsi="Arial" w:cs="Arial"/>
          <w:i/>
          <w:iCs/>
          <w:sz w:val="24"/>
          <w:szCs w:val="24"/>
        </w:rPr>
        <w:t>Tourism Economics : The Business and Finance of Tourism and Recreation</w:t>
      </w:r>
      <w:r w:rsidRPr="008F2DE0">
        <w:rPr>
          <w:rFonts w:ascii="Arial" w:eastAsia="Times New Roman" w:hAnsi="Arial" w:cs="Arial"/>
          <w:sz w:val="24"/>
          <w:szCs w:val="24"/>
        </w:rPr>
        <w:t xml:space="preserve">, </w:t>
      </w:r>
      <w:r w:rsidRPr="008F2DE0">
        <w:rPr>
          <w:rFonts w:ascii="Arial" w:eastAsia="Times New Roman" w:hAnsi="Arial" w:cs="Arial"/>
          <w:i/>
          <w:iCs/>
          <w:sz w:val="24"/>
          <w:szCs w:val="24"/>
        </w:rPr>
        <w:t>27</w:t>
      </w:r>
      <w:r w:rsidRPr="008F2DE0">
        <w:rPr>
          <w:rFonts w:ascii="Arial" w:eastAsia="Times New Roman" w:hAnsi="Arial" w:cs="Arial"/>
          <w:sz w:val="24"/>
          <w:szCs w:val="24"/>
        </w:rPr>
        <w:t xml:space="preserve">(2), 328–345. </w:t>
      </w:r>
      <w:hyperlink r:id="rId8" w:history="1">
        <w:r w:rsidRPr="008F2DE0">
          <w:rPr>
            <w:rStyle w:val="Hyperlink"/>
            <w:rFonts w:ascii="Arial" w:eastAsia="Times New Roman" w:hAnsi="Arial" w:cs="Arial"/>
            <w:sz w:val="24"/>
            <w:szCs w:val="24"/>
          </w:rPr>
          <w:t>https://doi.org/10.1177/1354816620901928</w:t>
        </w:r>
      </w:hyperlink>
    </w:p>
    <w:p w:rsidR="003440B9" w:rsidRPr="008F2DE0" w:rsidRDefault="003440B9" w:rsidP="00441F5B">
      <w:pPr>
        <w:pStyle w:val="ListParagraph"/>
        <w:numPr>
          <w:ilvl w:val="0"/>
          <w:numId w:val="45"/>
        </w:numPr>
        <w:spacing w:line="360" w:lineRule="auto"/>
        <w:rPr>
          <w:rFonts w:ascii="Arial" w:hAnsi="Arial" w:cs="Arial"/>
          <w:sz w:val="24"/>
          <w:szCs w:val="24"/>
        </w:rPr>
      </w:pPr>
      <w:r w:rsidRPr="008F2DE0">
        <w:rPr>
          <w:rFonts w:ascii="Arial" w:hAnsi="Arial" w:cs="Arial"/>
          <w:sz w:val="24"/>
          <w:szCs w:val="24"/>
        </w:rPr>
        <w:t xml:space="preserve">Brown, D. R. (2007). </w:t>
      </w:r>
      <w:r w:rsidRPr="008F2DE0">
        <w:rPr>
          <w:rFonts w:ascii="Arial" w:hAnsi="Arial" w:cs="Arial"/>
          <w:i/>
          <w:iCs/>
          <w:sz w:val="24"/>
          <w:szCs w:val="24"/>
        </w:rPr>
        <w:t>The restaurant manager’s handbook : how to set up, operate, and manage a financially successful food service operation</w:t>
      </w:r>
      <w:r w:rsidRPr="008F2DE0">
        <w:rPr>
          <w:rFonts w:ascii="Arial" w:hAnsi="Arial" w:cs="Arial"/>
          <w:sz w:val="24"/>
          <w:szCs w:val="24"/>
        </w:rPr>
        <w:t xml:space="preserve"> (Revised fourth edition.). Atlantic Publishing Group, Inc.</w:t>
      </w:r>
    </w:p>
    <w:p w:rsidR="00D048B2" w:rsidRPr="008F2DE0" w:rsidRDefault="003440B9" w:rsidP="00441F5B">
      <w:pPr>
        <w:pStyle w:val="ListParagraph"/>
        <w:numPr>
          <w:ilvl w:val="0"/>
          <w:numId w:val="45"/>
        </w:numPr>
        <w:spacing w:after="0" w:line="360" w:lineRule="auto"/>
        <w:rPr>
          <w:rFonts w:ascii="Arial" w:eastAsia="Times New Roman" w:hAnsi="Arial" w:cs="Arial"/>
          <w:sz w:val="24"/>
          <w:szCs w:val="24"/>
        </w:rPr>
      </w:pPr>
      <w:r w:rsidRPr="008F2DE0">
        <w:rPr>
          <w:rFonts w:ascii="Arial" w:eastAsia="Times New Roman" w:hAnsi="Arial" w:cs="Arial"/>
          <w:sz w:val="24"/>
          <w:szCs w:val="24"/>
        </w:rPr>
        <w:t xml:space="preserve">Chaffey, D., &amp; Ellis-Chadwick, F. (2012). </w:t>
      </w:r>
      <w:r w:rsidRPr="008F2DE0">
        <w:rPr>
          <w:rFonts w:ascii="Arial" w:eastAsia="Times New Roman" w:hAnsi="Arial" w:cs="Arial"/>
          <w:i/>
          <w:iCs/>
          <w:sz w:val="24"/>
          <w:szCs w:val="24"/>
        </w:rPr>
        <w:t>Digital marketing strategy, implementation and practice</w:t>
      </w:r>
      <w:r w:rsidRPr="008F2DE0">
        <w:rPr>
          <w:rFonts w:ascii="Arial" w:eastAsia="Times New Roman" w:hAnsi="Arial" w:cs="Arial"/>
          <w:sz w:val="24"/>
          <w:szCs w:val="24"/>
        </w:rPr>
        <w:t xml:space="preserve"> (5th ed.). Pearson.</w:t>
      </w:r>
    </w:p>
    <w:p w:rsidR="00D048B2" w:rsidRPr="008F2DE0" w:rsidRDefault="008F2DE0" w:rsidP="00441F5B">
      <w:pPr>
        <w:pStyle w:val="NormalWeb"/>
        <w:numPr>
          <w:ilvl w:val="0"/>
          <w:numId w:val="45"/>
        </w:numPr>
        <w:spacing w:line="360" w:lineRule="auto"/>
        <w:rPr>
          <w:rFonts w:ascii="Arial" w:hAnsi="Arial" w:cs="Arial"/>
        </w:rPr>
      </w:pPr>
      <w:r w:rsidRPr="008F2DE0">
        <w:rPr>
          <w:rFonts w:ascii="Arial" w:hAnsi="Arial" w:cs="Arial"/>
        </w:rPr>
        <w:t xml:space="preserve">Coleman, A. (2023).  From Covid to cost hikes: how UK hospitality entrepreneurs are surviving. [online] Available at: </w:t>
      </w:r>
      <w:hyperlink r:id="rId9" w:tgtFrame="_new" w:history="1">
        <w:r w:rsidRPr="008F2DE0">
          <w:rPr>
            <w:rStyle w:val="Hyperlink"/>
            <w:rFonts w:ascii="Arial" w:hAnsi="Arial" w:cs="Arial"/>
          </w:rPr>
          <w:t>https://www.forbes.com/sites/alisoncoleman/2023/03/09/from-covid-to-cost-hikes-how-uk-hospitality-entrepreneurs-are-surviving/</w:t>
        </w:r>
      </w:hyperlink>
      <w:r w:rsidRPr="008F2DE0">
        <w:rPr>
          <w:rFonts w:ascii="Arial" w:hAnsi="Arial" w:cs="Arial"/>
        </w:rPr>
        <w:t>. (Accessed: 02 June 2024).</w:t>
      </w:r>
    </w:p>
    <w:p w:rsidR="00632DCC" w:rsidRPr="008F2DE0" w:rsidRDefault="00632DCC" w:rsidP="00441F5B">
      <w:pPr>
        <w:pStyle w:val="ListParagraph"/>
        <w:numPr>
          <w:ilvl w:val="0"/>
          <w:numId w:val="45"/>
        </w:numPr>
        <w:spacing w:after="0" w:line="360" w:lineRule="auto"/>
        <w:rPr>
          <w:rFonts w:ascii="Arial" w:hAnsi="Arial" w:cs="Arial"/>
          <w:sz w:val="24"/>
          <w:szCs w:val="24"/>
        </w:rPr>
      </w:pPr>
      <w:r w:rsidRPr="008F2DE0">
        <w:rPr>
          <w:rFonts w:ascii="Arial" w:hAnsi="Arial" w:cs="Arial"/>
          <w:sz w:val="24"/>
          <w:szCs w:val="24"/>
        </w:rPr>
        <w:t>Corporate Finance Institute</w:t>
      </w:r>
      <w:r w:rsidR="003440B9" w:rsidRPr="008F2DE0">
        <w:rPr>
          <w:rFonts w:ascii="Arial" w:hAnsi="Arial" w:cs="Arial"/>
          <w:sz w:val="24"/>
          <w:szCs w:val="24"/>
        </w:rPr>
        <w:t>. (</w:t>
      </w:r>
      <w:r w:rsidRPr="008F2DE0">
        <w:rPr>
          <w:rFonts w:ascii="Arial" w:hAnsi="Arial" w:cs="Arial"/>
          <w:sz w:val="24"/>
          <w:szCs w:val="24"/>
        </w:rPr>
        <w:t xml:space="preserve"> 202</w:t>
      </w:r>
      <w:r w:rsidR="003440B9" w:rsidRPr="008F2DE0">
        <w:rPr>
          <w:rFonts w:ascii="Arial" w:hAnsi="Arial" w:cs="Arial"/>
          <w:sz w:val="24"/>
          <w:szCs w:val="24"/>
        </w:rPr>
        <w:t>4)</w:t>
      </w:r>
      <w:r w:rsidRPr="008F2DE0">
        <w:rPr>
          <w:rFonts w:ascii="Arial" w:hAnsi="Arial" w:cs="Arial"/>
          <w:sz w:val="24"/>
          <w:szCs w:val="24"/>
        </w:rPr>
        <w:t xml:space="preserve">. Financial risk management process. Available at: </w:t>
      </w:r>
      <w:hyperlink r:id="rId10" w:tgtFrame="_new" w:history="1">
        <w:r w:rsidRPr="008F2DE0">
          <w:rPr>
            <w:rStyle w:val="Hyperlink"/>
            <w:rFonts w:ascii="Arial" w:hAnsi="Arial" w:cs="Arial"/>
            <w:sz w:val="24"/>
            <w:szCs w:val="24"/>
          </w:rPr>
          <w:t>https://corporatefinanceinstitute.com/resources/career-map/sell-side/risk-management/financial-risk-management-process/</w:t>
        </w:r>
      </w:hyperlink>
      <w:r w:rsidRPr="008F2DE0">
        <w:rPr>
          <w:rFonts w:ascii="Arial" w:hAnsi="Arial" w:cs="Arial"/>
          <w:sz w:val="24"/>
          <w:szCs w:val="24"/>
        </w:rPr>
        <w:t>.</w:t>
      </w:r>
      <w:r w:rsidR="00D048B2" w:rsidRPr="008F2DE0">
        <w:rPr>
          <w:rFonts w:ascii="Arial" w:hAnsi="Arial" w:cs="Arial"/>
          <w:sz w:val="24"/>
          <w:szCs w:val="24"/>
        </w:rPr>
        <w:t xml:space="preserve"> (Accessed: 02 June 2024).</w:t>
      </w:r>
    </w:p>
    <w:p w:rsidR="00D048B2" w:rsidRPr="008F2DE0" w:rsidRDefault="00D048B2" w:rsidP="00441F5B">
      <w:pPr>
        <w:pStyle w:val="NormalWeb"/>
        <w:numPr>
          <w:ilvl w:val="0"/>
          <w:numId w:val="45"/>
        </w:numPr>
        <w:spacing w:line="360" w:lineRule="auto"/>
        <w:rPr>
          <w:rFonts w:ascii="Arial" w:hAnsi="Arial" w:cs="Arial"/>
        </w:rPr>
      </w:pPr>
      <w:r w:rsidRPr="008F2DE0">
        <w:rPr>
          <w:rFonts w:ascii="Arial" w:hAnsi="Arial" w:cs="Arial"/>
        </w:rPr>
        <w:t xml:space="preserve">Corporate Finance Institute. ( 2024). </w:t>
      </w:r>
      <w:r w:rsidR="00632DCC" w:rsidRPr="008F2DE0">
        <w:rPr>
          <w:rFonts w:ascii="Arial" w:hAnsi="Arial" w:cs="Arial"/>
        </w:rPr>
        <w:t xml:space="preserve">Risk management. Available at: </w:t>
      </w:r>
      <w:hyperlink r:id="rId11" w:tgtFrame="_new" w:history="1">
        <w:r w:rsidR="00632DCC" w:rsidRPr="008F2DE0">
          <w:rPr>
            <w:rStyle w:val="Hyperlink"/>
            <w:rFonts w:ascii="Arial" w:hAnsi="Arial" w:cs="Arial"/>
          </w:rPr>
          <w:t>https://corporatefinanceinstitute.com/resources/career-map/sell-side/risk-management/risk-management/</w:t>
        </w:r>
      </w:hyperlink>
      <w:r w:rsidR="00632DCC" w:rsidRPr="008F2DE0">
        <w:rPr>
          <w:rFonts w:ascii="Arial" w:hAnsi="Arial" w:cs="Arial"/>
        </w:rPr>
        <w:t>.</w:t>
      </w:r>
      <w:r w:rsidRPr="008F2DE0">
        <w:rPr>
          <w:rFonts w:ascii="Arial" w:hAnsi="Arial" w:cs="Arial"/>
        </w:rPr>
        <w:t xml:space="preserve"> (Accessed: 02 June 2024).</w:t>
      </w:r>
    </w:p>
    <w:p w:rsidR="00632DCC" w:rsidRPr="008F2DE0" w:rsidRDefault="00D048B2" w:rsidP="00441F5B">
      <w:pPr>
        <w:pStyle w:val="NormalWeb"/>
        <w:numPr>
          <w:ilvl w:val="0"/>
          <w:numId w:val="45"/>
        </w:numPr>
        <w:spacing w:line="360" w:lineRule="auto"/>
        <w:rPr>
          <w:rFonts w:ascii="Arial" w:hAnsi="Arial" w:cs="Arial"/>
        </w:rPr>
      </w:pPr>
      <w:r w:rsidRPr="008F2DE0">
        <w:rPr>
          <w:rFonts w:ascii="Arial" w:hAnsi="Arial" w:cs="Arial"/>
        </w:rPr>
        <w:t xml:space="preserve">Corporate Finance Institute. ( 2024). </w:t>
      </w:r>
      <w:r w:rsidR="00632DCC" w:rsidRPr="008F2DE0">
        <w:rPr>
          <w:rFonts w:ascii="Arial" w:hAnsi="Arial" w:cs="Arial"/>
        </w:rPr>
        <w:t xml:space="preserve">Financial ratios. Available at: </w:t>
      </w:r>
      <w:hyperlink r:id="rId12" w:tgtFrame="_new" w:history="1">
        <w:r w:rsidR="00632DCC" w:rsidRPr="008F2DE0">
          <w:rPr>
            <w:rStyle w:val="Hyperlink"/>
            <w:rFonts w:ascii="Arial" w:hAnsi="Arial" w:cs="Arial"/>
          </w:rPr>
          <w:t>https://corporatefinanceinstitute.com/resources/accounting/financial-ratios/</w:t>
        </w:r>
      </w:hyperlink>
      <w:r w:rsidR="00632DCC" w:rsidRPr="008F2DE0">
        <w:rPr>
          <w:rFonts w:ascii="Arial" w:hAnsi="Arial" w:cs="Arial"/>
        </w:rPr>
        <w:t>.</w:t>
      </w:r>
    </w:p>
    <w:p w:rsidR="00632DCC" w:rsidRPr="008F2DE0" w:rsidRDefault="00D048B2" w:rsidP="00441F5B">
      <w:pPr>
        <w:pStyle w:val="NormalWeb"/>
        <w:numPr>
          <w:ilvl w:val="0"/>
          <w:numId w:val="45"/>
        </w:numPr>
        <w:spacing w:line="360" w:lineRule="auto"/>
        <w:rPr>
          <w:rFonts w:ascii="Arial" w:hAnsi="Arial" w:cs="Arial"/>
        </w:rPr>
      </w:pPr>
      <w:r w:rsidRPr="008F2DE0">
        <w:rPr>
          <w:rFonts w:ascii="Arial" w:hAnsi="Arial" w:cs="Arial"/>
        </w:rPr>
        <w:t xml:space="preserve">Corporate Finance Institute. ( 2024). </w:t>
      </w:r>
      <w:r w:rsidR="00632DCC" w:rsidRPr="008F2DE0">
        <w:rPr>
          <w:rFonts w:ascii="Arial" w:hAnsi="Arial" w:cs="Arial"/>
        </w:rPr>
        <w:t xml:space="preserve">Income statement. Available at: </w:t>
      </w:r>
      <w:hyperlink r:id="rId13" w:tgtFrame="_new" w:history="1">
        <w:r w:rsidR="00632DCC" w:rsidRPr="008F2DE0">
          <w:rPr>
            <w:rStyle w:val="Hyperlink"/>
            <w:rFonts w:ascii="Arial" w:hAnsi="Arial" w:cs="Arial"/>
          </w:rPr>
          <w:t>https://corporatefinanceinstitute.com/resources/accounting/income-statement/</w:t>
        </w:r>
      </w:hyperlink>
      <w:r w:rsidR="00632DCC" w:rsidRPr="008F2DE0">
        <w:rPr>
          <w:rFonts w:ascii="Arial" w:hAnsi="Arial" w:cs="Arial"/>
        </w:rPr>
        <w:t>.</w:t>
      </w:r>
      <w:r w:rsidRPr="008F2DE0">
        <w:rPr>
          <w:rFonts w:ascii="Arial" w:hAnsi="Arial" w:cs="Arial"/>
        </w:rPr>
        <w:t xml:space="preserve"> (Accessed: 02 June 2024).</w:t>
      </w:r>
    </w:p>
    <w:p w:rsidR="00632DCC" w:rsidRPr="008F2DE0" w:rsidRDefault="00D048B2" w:rsidP="00441F5B">
      <w:pPr>
        <w:pStyle w:val="NormalWeb"/>
        <w:numPr>
          <w:ilvl w:val="0"/>
          <w:numId w:val="45"/>
        </w:numPr>
        <w:spacing w:line="360" w:lineRule="auto"/>
        <w:rPr>
          <w:rFonts w:ascii="Arial" w:hAnsi="Arial" w:cs="Arial"/>
        </w:rPr>
      </w:pPr>
      <w:r w:rsidRPr="008F2DE0">
        <w:rPr>
          <w:rFonts w:ascii="Arial" w:hAnsi="Arial" w:cs="Arial"/>
        </w:rPr>
        <w:t xml:space="preserve">Corporate Finance Institute. ( 2024). </w:t>
      </w:r>
      <w:r w:rsidR="00632DCC" w:rsidRPr="008F2DE0">
        <w:rPr>
          <w:rFonts w:ascii="Arial" w:hAnsi="Arial" w:cs="Arial"/>
        </w:rPr>
        <w:t xml:space="preserve">Balance sheet. Available at: </w:t>
      </w:r>
      <w:hyperlink r:id="rId14" w:tgtFrame="_new" w:history="1">
        <w:r w:rsidR="00632DCC" w:rsidRPr="008F2DE0">
          <w:rPr>
            <w:rStyle w:val="Hyperlink"/>
            <w:rFonts w:ascii="Arial" w:hAnsi="Arial" w:cs="Arial"/>
          </w:rPr>
          <w:t>https://corporatefinanceinstitute.com/resources/accounting/balance-sheet/</w:t>
        </w:r>
      </w:hyperlink>
      <w:r w:rsidR="00632DCC" w:rsidRPr="008F2DE0">
        <w:rPr>
          <w:rFonts w:ascii="Arial" w:hAnsi="Arial" w:cs="Arial"/>
        </w:rPr>
        <w:t>.</w:t>
      </w:r>
      <w:r w:rsidRPr="008F2DE0">
        <w:rPr>
          <w:rFonts w:ascii="Arial" w:hAnsi="Arial" w:cs="Arial"/>
        </w:rPr>
        <w:t xml:space="preserve"> (Accessed: 02 June 2024).</w:t>
      </w:r>
    </w:p>
    <w:p w:rsidR="00D048B2" w:rsidRPr="008F2DE0" w:rsidRDefault="00D048B2" w:rsidP="00441F5B">
      <w:pPr>
        <w:pStyle w:val="ListParagraph"/>
        <w:numPr>
          <w:ilvl w:val="0"/>
          <w:numId w:val="45"/>
        </w:numPr>
        <w:spacing w:after="0" w:line="360" w:lineRule="auto"/>
        <w:rPr>
          <w:rFonts w:ascii="Arial" w:eastAsia="Times New Roman" w:hAnsi="Arial" w:cs="Arial"/>
          <w:sz w:val="24"/>
          <w:szCs w:val="24"/>
        </w:rPr>
      </w:pPr>
      <w:r w:rsidRPr="008F2DE0">
        <w:rPr>
          <w:rFonts w:ascii="Arial" w:eastAsia="Times New Roman" w:hAnsi="Arial" w:cs="Arial"/>
          <w:i/>
          <w:iCs/>
          <w:sz w:val="24"/>
          <w:szCs w:val="24"/>
        </w:rPr>
        <w:t>Destination management and marketing : breakthroughs in research and practice</w:t>
      </w:r>
      <w:r w:rsidRPr="008F2DE0">
        <w:rPr>
          <w:rFonts w:ascii="Arial" w:eastAsia="Times New Roman" w:hAnsi="Arial" w:cs="Arial"/>
          <w:sz w:val="24"/>
          <w:szCs w:val="24"/>
        </w:rPr>
        <w:t>. (2020). IGI Global. https://doi.org/10.4018/978-1-7998-2469-5</w:t>
      </w:r>
    </w:p>
    <w:p w:rsidR="00632DCC" w:rsidRPr="008F2DE0" w:rsidRDefault="00632DCC" w:rsidP="00441F5B">
      <w:pPr>
        <w:pStyle w:val="NormalWeb"/>
        <w:numPr>
          <w:ilvl w:val="0"/>
          <w:numId w:val="45"/>
        </w:numPr>
        <w:spacing w:line="360" w:lineRule="auto"/>
        <w:rPr>
          <w:rFonts w:ascii="Arial" w:hAnsi="Arial" w:cs="Arial"/>
        </w:rPr>
      </w:pPr>
      <w:r w:rsidRPr="008F2DE0">
        <w:rPr>
          <w:rFonts w:ascii="Arial" w:hAnsi="Arial" w:cs="Arial"/>
        </w:rPr>
        <w:lastRenderedPageBreak/>
        <w:t>FasterCapital</w:t>
      </w:r>
      <w:r w:rsidR="00D048B2" w:rsidRPr="008F2DE0">
        <w:rPr>
          <w:rFonts w:ascii="Arial" w:hAnsi="Arial" w:cs="Arial"/>
        </w:rPr>
        <w:t>.</w:t>
      </w:r>
      <w:r w:rsidRPr="008F2DE0">
        <w:rPr>
          <w:rFonts w:ascii="Arial" w:hAnsi="Arial" w:cs="Arial"/>
        </w:rPr>
        <w:t xml:space="preserve"> </w:t>
      </w:r>
      <w:r w:rsidR="00D048B2" w:rsidRPr="008F2DE0">
        <w:rPr>
          <w:rFonts w:ascii="Arial" w:hAnsi="Arial" w:cs="Arial"/>
        </w:rPr>
        <w:t>(</w:t>
      </w:r>
      <w:r w:rsidRPr="008F2DE0">
        <w:rPr>
          <w:rFonts w:ascii="Arial" w:hAnsi="Arial" w:cs="Arial"/>
        </w:rPr>
        <w:t>202</w:t>
      </w:r>
      <w:r w:rsidR="00D048B2" w:rsidRPr="008F2DE0">
        <w:rPr>
          <w:rFonts w:ascii="Arial" w:hAnsi="Arial" w:cs="Arial"/>
        </w:rPr>
        <w:t>4)</w:t>
      </w:r>
      <w:r w:rsidRPr="008F2DE0">
        <w:rPr>
          <w:rFonts w:ascii="Arial" w:hAnsi="Arial" w:cs="Arial"/>
        </w:rPr>
        <w:t xml:space="preserve">. Operating expense ratio vs. gross margin: finding the balance. Available at: </w:t>
      </w:r>
      <w:hyperlink r:id="rId15" w:tgtFrame="_new" w:history="1">
        <w:r w:rsidRPr="008F2DE0">
          <w:rPr>
            <w:rStyle w:val="Hyperlink"/>
            <w:rFonts w:ascii="Arial" w:hAnsi="Arial" w:cs="Arial"/>
          </w:rPr>
          <w:t>https://fastercapital.com/content/Operating-Expense-Ratio-vs--Gross-Margin--Finding-the-Balance-update.html</w:t>
        </w:r>
      </w:hyperlink>
      <w:r w:rsidRPr="008F2DE0">
        <w:rPr>
          <w:rFonts w:ascii="Arial" w:hAnsi="Arial" w:cs="Arial"/>
        </w:rPr>
        <w:t>.</w:t>
      </w:r>
      <w:r w:rsidR="00D048B2" w:rsidRPr="008F2DE0">
        <w:rPr>
          <w:rFonts w:ascii="Arial" w:hAnsi="Arial" w:cs="Arial"/>
        </w:rPr>
        <w:t xml:space="preserve"> (Accessed: 02 June 2024).</w:t>
      </w:r>
    </w:p>
    <w:p w:rsidR="008F2DE0" w:rsidRPr="008F2DE0" w:rsidRDefault="008F2DE0" w:rsidP="00441F5B">
      <w:pPr>
        <w:pStyle w:val="NormalWeb"/>
        <w:numPr>
          <w:ilvl w:val="0"/>
          <w:numId w:val="45"/>
        </w:numPr>
        <w:spacing w:line="360" w:lineRule="auto"/>
        <w:rPr>
          <w:rFonts w:ascii="Arial" w:hAnsi="Arial" w:cs="Arial"/>
        </w:rPr>
      </w:pPr>
      <w:r w:rsidRPr="008F2DE0">
        <w:rPr>
          <w:rFonts w:ascii="Arial" w:hAnsi="Arial" w:cs="Arial"/>
        </w:rPr>
        <w:t xml:space="preserve">Ferrie, A. (2023). UK hospitality industry faces mounting challenges. [online] Available at: </w:t>
      </w:r>
      <w:hyperlink r:id="rId16" w:tgtFrame="_new" w:history="1">
        <w:r w:rsidRPr="008F2DE0">
          <w:rPr>
            <w:rStyle w:val="Hyperlink"/>
            <w:rFonts w:ascii="Arial" w:hAnsi="Arial" w:cs="Arial"/>
          </w:rPr>
          <w:t>https://www.pinsentmasons.com/out-law/analysis/uk-hospitality-industry-faces-mounting-challenges</w:t>
        </w:r>
      </w:hyperlink>
      <w:r w:rsidRPr="008F2DE0">
        <w:rPr>
          <w:rFonts w:ascii="Arial" w:hAnsi="Arial" w:cs="Arial"/>
        </w:rPr>
        <w:t>. (Accessed: 02 June 2024).</w:t>
      </w:r>
    </w:p>
    <w:p w:rsidR="008F2DE0" w:rsidRPr="008F2DE0" w:rsidRDefault="008F2DE0" w:rsidP="00441F5B">
      <w:pPr>
        <w:pStyle w:val="NormalWeb"/>
        <w:numPr>
          <w:ilvl w:val="0"/>
          <w:numId w:val="45"/>
        </w:numPr>
        <w:spacing w:line="360" w:lineRule="auto"/>
        <w:rPr>
          <w:rFonts w:ascii="Arial" w:hAnsi="Arial" w:cs="Arial"/>
        </w:rPr>
      </w:pPr>
      <w:r w:rsidRPr="008F2DE0">
        <w:rPr>
          <w:rFonts w:ascii="Arial" w:hAnsi="Arial" w:cs="Arial"/>
        </w:rPr>
        <w:t xml:space="preserve">Galvan, A. (2024). How Airbnb disrupts the hotel industry. [online] Available at: </w:t>
      </w:r>
      <w:hyperlink r:id="rId17" w:tgtFrame="_new" w:history="1">
        <w:r w:rsidRPr="008F2DE0">
          <w:rPr>
            <w:rStyle w:val="Hyperlink"/>
            <w:rFonts w:ascii="Arial" w:hAnsi="Arial" w:cs="Arial"/>
          </w:rPr>
          <w:t>https://globaledge.msu.edu/blog/post/57383/how-airbnb-disrupts-the-hotel-industry</w:t>
        </w:r>
      </w:hyperlink>
    </w:p>
    <w:p w:rsidR="00632DCC" w:rsidRPr="008F2DE0" w:rsidRDefault="008F2DE0" w:rsidP="00441F5B">
      <w:pPr>
        <w:pStyle w:val="ListParagraph"/>
        <w:numPr>
          <w:ilvl w:val="0"/>
          <w:numId w:val="45"/>
        </w:numPr>
        <w:spacing w:after="0" w:line="360" w:lineRule="auto"/>
        <w:rPr>
          <w:rFonts w:ascii="Arial" w:eastAsia="Times New Roman" w:hAnsi="Arial" w:cs="Arial"/>
          <w:sz w:val="24"/>
          <w:szCs w:val="24"/>
        </w:rPr>
      </w:pPr>
      <w:r w:rsidRPr="008F2DE0">
        <w:rPr>
          <w:rFonts w:ascii="Arial" w:eastAsia="Times New Roman" w:hAnsi="Arial" w:cs="Arial"/>
          <w:sz w:val="24"/>
          <w:szCs w:val="24"/>
        </w:rPr>
        <w:t xml:space="preserve">Guilding, C. (2014). </w:t>
      </w:r>
      <w:r w:rsidRPr="008F2DE0">
        <w:rPr>
          <w:rFonts w:ascii="Arial" w:eastAsia="Times New Roman" w:hAnsi="Arial" w:cs="Arial"/>
          <w:i/>
          <w:iCs/>
          <w:sz w:val="24"/>
          <w:szCs w:val="24"/>
        </w:rPr>
        <w:t>Accounting essentials for hospitality managers</w:t>
      </w:r>
      <w:r w:rsidRPr="008F2DE0">
        <w:rPr>
          <w:rFonts w:ascii="Arial" w:eastAsia="Times New Roman" w:hAnsi="Arial" w:cs="Arial"/>
          <w:sz w:val="24"/>
          <w:szCs w:val="24"/>
        </w:rPr>
        <w:t xml:space="preserve"> (3rd ed.). Routledge. https://doi.org/10.4324/9780203766668</w:t>
      </w:r>
    </w:p>
    <w:p w:rsidR="00632DCC" w:rsidRPr="008F2DE0" w:rsidRDefault="008F2DE0" w:rsidP="00441F5B">
      <w:pPr>
        <w:pStyle w:val="NormalWeb"/>
        <w:numPr>
          <w:ilvl w:val="0"/>
          <w:numId w:val="45"/>
        </w:numPr>
        <w:spacing w:line="360" w:lineRule="auto"/>
        <w:rPr>
          <w:rFonts w:ascii="Arial" w:hAnsi="Arial" w:cs="Arial"/>
        </w:rPr>
      </w:pPr>
      <w:r w:rsidRPr="008F2DE0">
        <w:rPr>
          <w:rFonts w:ascii="Arial" w:hAnsi="Arial" w:cs="Arial"/>
        </w:rPr>
        <w:t xml:space="preserve">Lin, G., Chen, J. L., Li, G., &amp; Song, H. (2023). Substitution between sharing accommodation and hotels: A behavioral economic demand curve analysis. ScienceDirect. Retrieved from </w:t>
      </w:r>
      <w:hyperlink r:id="rId18" w:tgtFrame="_new" w:history="1">
        <w:r w:rsidRPr="008F2DE0">
          <w:rPr>
            <w:rStyle w:val="Hyperlink"/>
            <w:rFonts w:ascii="Arial" w:hAnsi="Arial" w:cs="Arial"/>
          </w:rPr>
          <w:t>https://www.sciencedirect.com/science/article/pii/S0160738323001895</w:t>
        </w:r>
      </w:hyperlink>
      <w:r w:rsidRPr="008F2DE0">
        <w:rPr>
          <w:rFonts w:ascii="Arial" w:hAnsi="Arial" w:cs="Arial"/>
        </w:rPr>
        <w:t xml:space="preserve"> (Accessed: 02 June 2024).</w:t>
      </w:r>
    </w:p>
    <w:p w:rsidR="00394090" w:rsidRPr="008F2DE0" w:rsidRDefault="00394090" w:rsidP="00441F5B">
      <w:pPr>
        <w:pStyle w:val="ListParagraph"/>
        <w:numPr>
          <w:ilvl w:val="0"/>
          <w:numId w:val="45"/>
        </w:numPr>
        <w:spacing w:after="0" w:line="360" w:lineRule="auto"/>
        <w:rPr>
          <w:rFonts w:ascii="Arial" w:eastAsia="Times New Roman" w:hAnsi="Arial" w:cs="Arial"/>
          <w:sz w:val="24"/>
          <w:szCs w:val="24"/>
        </w:rPr>
      </w:pPr>
      <w:r w:rsidRPr="008F2DE0">
        <w:rPr>
          <w:rFonts w:ascii="Arial" w:eastAsia="Times New Roman" w:hAnsi="Arial" w:cs="Arial"/>
          <w:sz w:val="24"/>
          <w:szCs w:val="24"/>
        </w:rPr>
        <w:t xml:space="preserve">Maynard, M., Susskind, A. M., Maynard, M., &amp; Susskind, A. M. (2019). </w:t>
      </w:r>
      <w:r w:rsidRPr="008F2DE0">
        <w:rPr>
          <w:rFonts w:ascii="Arial" w:eastAsia="Times New Roman" w:hAnsi="Arial" w:cs="Arial"/>
          <w:i/>
          <w:iCs/>
          <w:sz w:val="24"/>
          <w:szCs w:val="24"/>
        </w:rPr>
        <w:t>The Next Frontier of Restaurant Management : Harnessing Data to Improve Guest Service and Enhance the Employee Experience</w:t>
      </w:r>
      <w:r w:rsidRPr="008F2DE0">
        <w:rPr>
          <w:rFonts w:ascii="Arial" w:eastAsia="Times New Roman" w:hAnsi="Arial" w:cs="Arial"/>
          <w:sz w:val="24"/>
          <w:szCs w:val="24"/>
        </w:rPr>
        <w:t xml:space="preserve"> (M. Maynard &amp; A. M. Susskind, Eds.; 1st edition.). Cornell University Press,. </w:t>
      </w:r>
      <w:hyperlink r:id="rId19" w:history="1">
        <w:r w:rsidRPr="008F2DE0">
          <w:rPr>
            <w:rStyle w:val="Hyperlink"/>
            <w:rFonts w:ascii="Arial" w:eastAsia="Times New Roman" w:hAnsi="Arial" w:cs="Arial"/>
            <w:sz w:val="24"/>
            <w:szCs w:val="24"/>
          </w:rPr>
          <w:t>https://doi.org/10.7591/9781501736520</w:t>
        </w:r>
      </w:hyperlink>
    </w:p>
    <w:p w:rsidR="00632DCC" w:rsidRPr="008F2DE0" w:rsidRDefault="008F2DE0" w:rsidP="00441F5B">
      <w:pPr>
        <w:pStyle w:val="NormalWeb"/>
        <w:numPr>
          <w:ilvl w:val="0"/>
          <w:numId w:val="45"/>
        </w:numPr>
        <w:spacing w:line="360" w:lineRule="auto"/>
        <w:rPr>
          <w:rFonts w:ascii="Arial" w:hAnsi="Arial" w:cs="Arial"/>
        </w:rPr>
      </w:pPr>
      <w:r w:rsidRPr="008F2DE0">
        <w:rPr>
          <w:rFonts w:ascii="Arial" w:hAnsi="Arial" w:cs="Arial"/>
        </w:rPr>
        <w:t xml:space="preserve">Miranda, B. (2024). Elevating Hospitality Management: The SaucedIt Revolution. LinkedIn. Retrieved from </w:t>
      </w:r>
      <w:hyperlink r:id="rId20" w:tgtFrame="_new" w:history="1">
        <w:r w:rsidRPr="008F2DE0">
          <w:rPr>
            <w:rStyle w:val="Hyperlink"/>
            <w:rFonts w:ascii="Arial" w:hAnsi="Arial" w:cs="Arial"/>
          </w:rPr>
          <w:t>https://www.linkedin.com/pulse/elevating-hospitality-management-saucedit-revolution-ben-miranda-gmv6c/</w:t>
        </w:r>
      </w:hyperlink>
      <w:r w:rsidRPr="008F2DE0">
        <w:rPr>
          <w:rFonts w:ascii="Arial" w:hAnsi="Arial" w:cs="Arial"/>
        </w:rPr>
        <w:t>. (Accessed: 02 June 2024).</w:t>
      </w:r>
    </w:p>
    <w:p w:rsidR="00632DCC" w:rsidRPr="00567015" w:rsidRDefault="00632DCC" w:rsidP="00441F5B">
      <w:pPr>
        <w:pStyle w:val="NormalWeb"/>
        <w:numPr>
          <w:ilvl w:val="0"/>
          <w:numId w:val="45"/>
        </w:numPr>
        <w:spacing w:line="360" w:lineRule="auto"/>
        <w:rPr>
          <w:rFonts w:ascii="Arial" w:hAnsi="Arial" w:cs="Arial"/>
        </w:rPr>
      </w:pPr>
      <w:r w:rsidRPr="008F2DE0">
        <w:rPr>
          <w:rFonts w:ascii="Arial" w:hAnsi="Arial" w:cs="Arial"/>
        </w:rPr>
        <w:t>Office for National Statistics</w:t>
      </w:r>
      <w:r w:rsidR="00394090" w:rsidRPr="008F2DE0">
        <w:rPr>
          <w:rFonts w:ascii="Arial" w:hAnsi="Arial" w:cs="Arial"/>
        </w:rPr>
        <w:t>. (</w:t>
      </w:r>
      <w:r w:rsidRPr="008F2DE0">
        <w:rPr>
          <w:rFonts w:ascii="Arial" w:hAnsi="Arial" w:cs="Arial"/>
        </w:rPr>
        <w:t>2024</w:t>
      </w:r>
      <w:r w:rsidR="00394090" w:rsidRPr="008F2DE0">
        <w:rPr>
          <w:rFonts w:ascii="Arial" w:hAnsi="Arial" w:cs="Arial"/>
        </w:rPr>
        <w:t>)</w:t>
      </w:r>
      <w:r w:rsidRPr="008F2DE0">
        <w:rPr>
          <w:rFonts w:ascii="Arial" w:hAnsi="Arial" w:cs="Arial"/>
        </w:rPr>
        <w:t xml:space="preserve">. Business Insights and Impact on the UK Economy. [online] Available at: </w:t>
      </w:r>
      <w:hyperlink r:id="rId21" w:history="1">
        <w:r w:rsidR="00394090" w:rsidRPr="008F2DE0">
          <w:rPr>
            <w:rStyle w:val="Hyperlink"/>
            <w:rFonts w:ascii="Arial" w:hAnsi="Arial" w:cs="Arial"/>
          </w:rPr>
          <w:t>https://www.ons.gov.uk/businessindustryandtrade/business/businessservices/bulletins/businessinsightsandimpactontheukeconomy/23may2024</w:t>
        </w:r>
      </w:hyperlink>
      <w:r w:rsidR="00394090" w:rsidRPr="008F2DE0">
        <w:rPr>
          <w:rFonts w:ascii="Arial" w:hAnsi="Arial" w:cs="Arial"/>
        </w:rPr>
        <w:t xml:space="preserve"> (Accessed: 02 June 2024).</w:t>
      </w:r>
    </w:p>
    <w:p w:rsidR="00394090" w:rsidRPr="00567015" w:rsidRDefault="00394090" w:rsidP="00441F5B">
      <w:pPr>
        <w:pStyle w:val="ListParagraph"/>
        <w:numPr>
          <w:ilvl w:val="0"/>
          <w:numId w:val="45"/>
        </w:numPr>
        <w:spacing w:after="0" w:line="360" w:lineRule="auto"/>
        <w:rPr>
          <w:rFonts w:ascii="Arial" w:eastAsia="Times New Roman" w:hAnsi="Arial" w:cs="Arial"/>
          <w:sz w:val="24"/>
          <w:szCs w:val="24"/>
        </w:rPr>
      </w:pPr>
      <w:r w:rsidRPr="008F2DE0">
        <w:rPr>
          <w:rFonts w:ascii="Arial" w:eastAsia="Times New Roman" w:hAnsi="Arial" w:cs="Arial"/>
          <w:sz w:val="24"/>
          <w:szCs w:val="24"/>
        </w:rPr>
        <w:t xml:space="preserve">Prasad, K., Wirtz, P. W., &amp; Yu, L. (2014). Measuring Hotel Guest Satisfaction by Using an Online Quality Management System. </w:t>
      </w:r>
      <w:r w:rsidRPr="008F2DE0">
        <w:rPr>
          <w:rFonts w:ascii="Arial" w:eastAsia="Times New Roman" w:hAnsi="Arial" w:cs="Arial"/>
          <w:i/>
          <w:iCs/>
          <w:sz w:val="24"/>
          <w:szCs w:val="24"/>
        </w:rPr>
        <w:t xml:space="preserve">Journal of Hospitality </w:t>
      </w:r>
      <w:r w:rsidRPr="008F2DE0">
        <w:rPr>
          <w:rFonts w:ascii="Arial" w:eastAsia="Times New Roman" w:hAnsi="Arial" w:cs="Arial"/>
          <w:i/>
          <w:iCs/>
          <w:sz w:val="24"/>
          <w:szCs w:val="24"/>
        </w:rPr>
        <w:lastRenderedPageBreak/>
        <w:t>Marketing &amp; Management</w:t>
      </w:r>
      <w:r w:rsidRPr="008F2DE0">
        <w:rPr>
          <w:rFonts w:ascii="Arial" w:eastAsia="Times New Roman" w:hAnsi="Arial" w:cs="Arial"/>
          <w:sz w:val="24"/>
          <w:szCs w:val="24"/>
        </w:rPr>
        <w:t xml:space="preserve">, </w:t>
      </w:r>
      <w:r w:rsidRPr="008F2DE0">
        <w:rPr>
          <w:rFonts w:ascii="Arial" w:eastAsia="Times New Roman" w:hAnsi="Arial" w:cs="Arial"/>
          <w:i/>
          <w:iCs/>
          <w:sz w:val="24"/>
          <w:szCs w:val="24"/>
        </w:rPr>
        <w:t>23</w:t>
      </w:r>
      <w:r w:rsidRPr="008F2DE0">
        <w:rPr>
          <w:rFonts w:ascii="Arial" w:eastAsia="Times New Roman" w:hAnsi="Arial" w:cs="Arial"/>
          <w:sz w:val="24"/>
          <w:szCs w:val="24"/>
        </w:rPr>
        <w:t xml:space="preserve">(4), 445–463. </w:t>
      </w:r>
      <w:hyperlink r:id="rId22" w:history="1">
        <w:r w:rsidRPr="008F2DE0">
          <w:rPr>
            <w:rStyle w:val="Hyperlink"/>
            <w:rFonts w:ascii="Arial" w:eastAsia="Times New Roman" w:hAnsi="Arial" w:cs="Arial"/>
            <w:sz w:val="24"/>
            <w:szCs w:val="24"/>
          </w:rPr>
          <w:t>https://doi.org/10.1080/19368623.2013.805313</w:t>
        </w:r>
      </w:hyperlink>
    </w:p>
    <w:p w:rsidR="008F2DE0" w:rsidRPr="00567015" w:rsidRDefault="00632DCC" w:rsidP="00441F5B">
      <w:pPr>
        <w:pStyle w:val="NormalWeb"/>
        <w:numPr>
          <w:ilvl w:val="0"/>
          <w:numId w:val="45"/>
        </w:numPr>
        <w:spacing w:line="360" w:lineRule="auto"/>
        <w:rPr>
          <w:rFonts w:ascii="Arial" w:hAnsi="Arial" w:cs="Arial"/>
        </w:rPr>
      </w:pPr>
      <w:r w:rsidRPr="008F2DE0">
        <w:rPr>
          <w:rFonts w:ascii="Arial" w:hAnsi="Arial" w:cs="Arial"/>
        </w:rPr>
        <w:t>Rauch, E., Damian</w:t>
      </w:r>
      <w:r w:rsidR="00394090" w:rsidRPr="008F2DE0">
        <w:rPr>
          <w:rFonts w:ascii="Arial" w:hAnsi="Arial" w:cs="Arial"/>
        </w:rPr>
        <w:t>, A., Holzner, P. &amp; Matt, D.T. (</w:t>
      </w:r>
      <w:r w:rsidRPr="008F2DE0">
        <w:rPr>
          <w:rFonts w:ascii="Arial" w:hAnsi="Arial" w:cs="Arial"/>
        </w:rPr>
        <w:t>2016</w:t>
      </w:r>
      <w:r w:rsidR="00394090" w:rsidRPr="008F2DE0">
        <w:rPr>
          <w:rFonts w:ascii="Arial" w:hAnsi="Arial" w:cs="Arial"/>
        </w:rPr>
        <w:t>)</w:t>
      </w:r>
      <w:r w:rsidRPr="008F2DE0">
        <w:rPr>
          <w:rFonts w:ascii="Arial" w:hAnsi="Arial" w:cs="Arial"/>
        </w:rPr>
        <w:t xml:space="preserve">. Lean Hospitality - Application of Lean Management Methods in the Hotel Sector. Procedia CIRP, 41, pp.614–619. </w:t>
      </w:r>
      <w:hyperlink r:id="rId23" w:tgtFrame="_new" w:history="1">
        <w:r w:rsidRPr="008F2DE0">
          <w:rPr>
            <w:rStyle w:val="Hyperlink"/>
            <w:rFonts w:ascii="Arial" w:hAnsi="Arial" w:cs="Arial"/>
          </w:rPr>
          <w:t>https://doi.org/10.1016/j.procir.2016.01.019</w:t>
        </w:r>
      </w:hyperlink>
      <w:r w:rsidRPr="008F2DE0">
        <w:rPr>
          <w:rFonts w:ascii="Arial" w:hAnsi="Arial" w:cs="Arial"/>
        </w:rPr>
        <w:t>.</w:t>
      </w:r>
    </w:p>
    <w:p w:rsidR="00632DCC" w:rsidRPr="008F2DE0" w:rsidRDefault="00394090" w:rsidP="00441F5B">
      <w:pPr>
        <w:pStyle w:val="NormalWeb"/>
        <w:numPr>
          <w:ilvl w:val="0"/>
          <w:numId w:val="45"/>
        </w:numPr>
        <w:spacing w:line="360" w:lineRule="auto"/>
        <w:rPr>
          <w:rFonts w:ascii="Arial" w:hAnsi="Arial" w:cs="Arial"/>
        </w:rPr>
      </w:pPr>
      <w:r w:rsidRPr="008F2DE0">
        <w:rPr>
          <w:rFonts w:ascii="Arial" w:hAnsi="Arial" w:cs="Arial"/>
        </w:rPr>
        <w:t>Salem, I.E.-B. &amp; Abdien, M.K.</w:t>
      </w:r>
      <w:r w:rsidR="00632DCC" w:rsidRPr="008F2DE0">
        <w:rPr>
          <w:rFonts w:ascii="Arial" w:hAnsi="Arial" w:cs="Arial"/>
        </w:rPr>
        <w:t xml:space="preserve"> </w:t>
      </w:r>
      <w:r w:rsidRPr="008F2DE0">
        <w:rPr>
          <w:rFonts w:ascii="Arial" w:hAnsi="Arial" w:cs="Arial"/>
        </w:rPr>
        <w:t>(</w:t>
      </w:r>
      <w:r w:rsidR="00632DCC" w:rsidRPr="008F2DE0">
        <w:rPr>
          <w:rFonts w:ascii="Arial" w:hAnsi="Arial" w:cs="Arial"/>
        </w:rPr>
        <w:t>2017</w:t>
      </w:r>
      <w:r w:rsidRPr="008F2DE0">
        <w:rPr>
          <w:rFonts w:ascii="Arial" w:hAnsi="Arial" w:cs="Arial"/>
        </w:rPr>
        <w:t>)</w:t>
      </w:r>
      <w:r w:rsidR="00632DCC" w:rsidRPr="008F2DE0">
        <w:rPr>
          <w:rFonts w:ascii="Arial" w:hAnsi="Arial" w:cs="Arial"/>
        </w:rPr>
        <w:t xml:space="preserve">. Implementation of employee cross-training during perilous conditions in hotels. Tourism Management Perspectives, 23, pp.68–74. </w:t>
      </w:r>
      <w:hyperlink r:id="rId24" w:tgtFrame="_new" w:history="1">
        <w:r w:rsidR="00632DCC" w:rsidRPr="008F2DE0">
          <w:rPr>
            <w:rStyle w:val="Hyperlink"/>
            <w:rFonts w:ascii="Arial" w:hAnsi="Arial" w:cs="Arial"/>
          </w:rPr>
          <w:t>https://doi.org/10.1016/j.tmp.2017.05.005</w:t>
        </w:r>
      </w:hyperlink>
      <w:r w:rsidR="00632DCC" w:rsidRPr="008F2DE0">
        <w:rPr>
          <w:rFonts w:ascii="Arial" w:hAnsi="Arial" w:cs="Arial"/>
        </w:rPr>
        <w:t>.</w:t>
      </w:r>
    </w:p>
    <w:p w:rsidR="008F2DE0" w:rsidRPr="00567015" w:rsidRDefault="008F2DE0" w:rsidP="00441F5B">
      <w:pPr>
        <w:pStyle w:val="NormalWeb"/>
        <w:numPr>
          <w:ilvl w:val="0"/>
          <w:numId w:val="45"/>
        </w:numPr>
        <w:spacing w:line="360" w:lineRule="auto"/>
        <w:rPr>
          <w:rFonts w:ascii="Arial" w:hAnsi="Arial" w:cs="Arial"/>
        </w:rPr>
      </w:pPr>
      <w:r w:rsidRPr="008F2DE0">
        <w:rPr>
          <w:rFonts w:ascii="Arial" w:hAnsi="Arial" w:cs="Arial"/>
        </w:rPr>
        <w:t>Sartor, M. &amp; Orzes, G. (2019). Quality management: tools, methods, and standards. Emerald Publishing.</w:t>
      </w:r>
    </w:p>
    <w:p w:rsidR="004520FF" w:rsidRPr="00567015" w:rsidRDefault="008F2DE0" w:rsidP="00441F5B">
      <w:pPr>
        <w:pStyle w:val="NormalWeb"/>
        <w:numPr>
          <w:ilvl w:val="0"/>
          <w:numId w:val="45"/>
        </w:numPr>
        <w:spacing w:line="360" w:lineRule="auto"/>
        <w:rPr>
          <w:rFonts w:ascii="Arial" w:hAnsi="Arial" w:cs="Arial"/>
        </w:rPr>
      </w:pPr>
      <w:r w:rsidRPr="008F2DE0">
        <w:rPr>
          <w:rFonts w:ascii="Arial" w:hAnsi="Arial" w:cs="Arial"/>
        </w:rPr>
        <w:t xml:space="preserve">Satuvision. (2023). The impact of Airbnb on hotel and hospitality industry. [online] Available at: </w:t>
      </w:r>
      <w:hyperlink r:id="rId25" w:tgtFrame="_new" w:history="1">
        <w:r w:rsidRPr="008F2DE0">
          <w:rPr>
            <w:rStyle w:val="Hyperlink"/>
            <w:rFonts w:ascii="Arial" w:hAnsi="Arial" w:cs="Arial"/>
          </w:rPr>
          <w:t>https://www.satuvision.com/the-impact-of-airbnb-on-hotel-and-hospitality-industry/</w:t>
        </w:r>
      </w:hyperlink>
      <w:r w:rsidRPr="008F2DE0">
        <w:rPr>
          <w:rFonts w:ascii="Arial" w:hAnsi="Arial" w:cs="Arial"/>
        </w:rPr>
        <w:t>. (Accessed: 02 June 2024).</w:t>
      </w:r>
    </w:p>
    <w:p w:rsidR="00632DCC" w:rsidRPr="008F2DE0" w:rsidRDefault="00632DCC" w:rsidP="00441F5B">
      <w:pPr>
        <w:pStyle w:val="NormalWeb"/>
        <w:numPr>
          <w:ilvl w:val="0"/>
          <w:numId w:val="45"/>
        </w:numPr>
        <w:spacing w:line="360" w:lineRule="auto"/>
        <w:rPr>
          <w:rFonts w:ascii="Arial" w:hAnsi="Arial" w:cs="Arial"/>
        </w:rPr>
      </w:pPr>
      <w:r w:rsidRPr="008F2DE0">
        <w:rPr>
          <w:rFonts w:ascii="Arial" w:hAnsi="Arial" w:cs="Arial"/>
        </w:rPr>
        <w:t>Smith, P.R. &amp; Zook, Z.</w:t>
      </w:r>
      <w:r w:rsidR="004520FF" w:rsidRPr="008F2DE0">
        <w:rPr>
          <w:rFonts w:ascii="Arial" w:hAnsi="Arial" w:cs="Arial"/>
        </w:rPr>
        <w:t xml:space="preserve"> (</w:t>
      </w:r>
      <w:r w:rsidRPr="008F2DE0">
        <w:rPr>
          <w:rFonts w:ascii="Arial" w:hAnsi="Arial" w:cs="Arial"/>
        </w:rPr>
        <w:t xml:space="preserve"> 2011</w:t>
      </w:r>
      <w:r w:rsidR="004520FF" w:rsidRPr="008F2DE0">
        <w:rPr>
          <w:rFonts w:ascii="Arial" w:hAnsi="Arial" w:cs="Arial"/>
        </w:rPr>
        <w:t>)</w:t>
      </w:r>
      <w:r w:rsidRPr="008F2DE0">
        <w:rPr>
          <w:rFonts w:ascii="Arial" w:hAnsi="Arial" w:cs="Arial"/>
        </w:rPr>
        <w:t>. Marketing communications integrating offline and online with social media. 5th ed. Kogan Page.</w:t>
      </w:r>
    </w:p>
    <w:p w:rsidR="00632DCC" w:rsidRPr="00567015" w:rsidRDefault="00632DCC" w:rsidP="00441F5B">
      <w:pPr>
        <w:pStyle w:val="NormalWeb"/>
        <w:numPr>
          <w:ilvl w:val="0"/>
          <w:numId w:val="45"/>
        </w:numPr>
        <w:spacing w:line="360" w:lineRule="auto"/>
        <w:rPr>
          <w:rFonts w:ascii="Arial" w:hAnsi="Arial" w:cs="Arial"/>
        </w:rPr>
      </w:pPr>
      <w:r w:rsidRPr="008F2DE0">
        <w:rPr>
          <w:rFonts w:ascii="Arial" w:hAnsi="Arial" w:cs="Arial"/>
        </w:rPr>
        <w:t>Talluri, S., Vickery, S.K. &amp; Narayanan, S.</w:t>
      </w:r>
      <w:r w:rsidR="004520FF" w:rsidRPr="008F2DE0">
        <w:rPr>
          <w:rFonts w:ascii="Arial" w:hAnsi="Arial" w:cs="Arial"/>
        </w:rPr>
        <w:t xml:space="preserve"> (</w:t>
      </w:r>
      <w:r w:rsidRPr="008F2DE0">
        <w:rPr>
          <w:rFonts w:ascii="Arial" w:hAnsi="Arial" w:cs="Arial"/>
        </w:rPr>
        <w:t>2008</w:t>
      </w:r>
      <w:r w:rsidR="004520FF" w:rsidRPr="008F2DE0">
        <w:rPr>
          <w:rFonts w:ascii="Arial" w:hAnsi="Arial" w:cs="Arial"/>
        </w:rPr>
        <w:t>)</w:t>
      </w:r>
      <w:r w:rsidRPr="008F2DE0">
        <w:rPr>
          <w:rFonts w:ascii="Arial" w:hAnsi="Arial" w:cs="Arial"/>
        </w:rPr>
        <w:t xml:space="preserve">. Optimization models for buyer-supplier negotiations. International Journal of Physical Distribution &amp; Logistics Management, 38(7), pp.551–561. </w:t>
      </w:r>
      <w:hyperlink r:id="rId26" w:tgtFrame="_new" w:history="1">
        <w:r w:rsidRPr="008F2DE0">
          <w:rPr>
            <w:rStyle w:val="Hyperlink"/>
            <w:rFonts w:ascii="Arial" w:hAnsi="Arial" w:cs="Arial"/>
          </w:rPr>
          <w:t>https://doi.org/10.1108/09600030810900950</w:t>
        </w:r>
      </w:hyperlink>
      <w:r w:rsidRPr="008F2DE0">
        <w:rPr>
          <w:rFonts w:ascii="Arial" w:hAnsi="Arial" w:cs="Arial"/>
        </w:rPr>
        <w:t>.</w:t>
      </w:r>
    </w:p>
    <w:p w:rsidR="00632DCC" w:rsidRPr="008F2DE0" w:rsidRDefault="008F2DE0" w:rsidP="00441F5B">
      <w:pPr>
        <w:pStyle w:val="NormalWeb"/>
        <w:numPr>
          <w:ilvl w:val="0"/>
          <w:numId w:val="45"/>
        </w:numPr>
        <w:spacing w:line="360" w:lineRule="auto"/>
        <w:rPr>
          <w:rFonts w:ascii="Arial" w:hAnsi="Arial" w:cs="Arial"/>
        </w:rPr>
      </w:pPr>
      <w:r w:rsidRPr="008F2DE0">
        <w:rPr>
          <w:rFonts w:ascii="Arial" w:hAnsi="Arial" w:cs="Arial"/>
        </w:rPr>
        <w:t>UKHospitality. (</w:t>
      </w:r>
      <w:r w:rsidR="00632DCC" w:rsidRPr="008F2DE0">
        <w:rPr>
          <w:rFonts w:ascii="Arial" w:hAnsi="Arial" w:cs="Arial"/>
        </w:rPr>
        <w:t>202</w:t>
      </w:r>
      <w:r w:rsidRPr="008F2DE0">
        <w:rPr>
          <w:rFonts w:ascii="Arial" w:hAnsi="Arial" w:cs="Arial"/>
        </w:rPr>
        <w:t>4)</w:t>
      </w:r>
      <w:r w:rsidR="00632DCC" w:rsidRPr="008F2DE0">
        <w:rPr>
          <w:rFonts w:ascii="Arial" w:hAnsi="Arial" w:cs="Arial"/>
        </w:rPr>
        <w:t xml:space="preserve">. Rising costs and inflation. [online] Available at: </w:t>
      </w:r>
      <w:hyperlink r:id="rId27" w:tgtFrame="_new" w:history="1">
        <w:r w:rsidR="00632DCC" w:rsidRPr="008F2DE0">
          <w:rPr>
            <w:rStyle w:val="Hyperlink"/>
            <w:rFonts w:ascii="Arial" w:hAnsi="Arial" w:cs="Arial"/>
          </w:rPr>
          <w:t>https://www.ukhospitality.org.uk/campaign/rising-costs-and-inflation/</w:t>
        </w:r>
      </w:hyperlink>
      <w:r w:rsidR="00632DCC" w:rsidRPr="008F2DE0">
        <w:rPr>
          <w:rFonts w:ascii="Arial" w:hAnsi="Arial" w:cs="Arial"/>
        </w:rPr>
        <w:t>.</w:t>
      </w:r>
      <w:r w:rsidRPr="008F2DE0">
        <w:rPr>
          <w:rFonts w:ascii="Arial" w:hAnsi="Arial" w:cs="Arial"/>
        </w:rPr>
        <w:t xml:space="preserve"> (Accessed: 02 June 2024).</w:t>
      </w:r>
    </w:p>
    <w:p w:rsidR="00632DCC" w:rsidRDefault="00632DCC" w:rsidP="00632DCC"/>
    <w:p w:rsidR="004C6F3E" w:rsidRDefault="004C6F3E" w:rsidP="00735261">
      <w:pPr>
        <w:spacing w:line="360" w:lineRule="auto"/>
        <w:rPr>
          <w:rFonts w:ascii="Arial" w:hAnsi="Arial" w:cs="Arial"/>
          <w:sz w:val="24"/>
          <w:szCs w:val="24"/>
        </w:rPr>
      </w:pPr>
    </w:p>
    <w:p w:rsidR="004C6F3E" w:rsidRPr="00735261" w:rsidRDefault="004C6F3E" w:rsidP="00735261">
      <w:pPr>
        <w:spacing w:line="360" w:lineRule="auto"/>
        <w:rPr>
          <w:rFonts w:ascii="Arial" w:hAnsi="Arial" w:cs="Arial"/>
          <w:sz w:val="24"/>
          <w:szCs w:val="24"/>
        </w:rPr>
      </w:pPr>
    </w:p>
    <w:p w:rsidR="00735261" w:rsidRPr="00735261" w:rsidRDefault="00735261" w:rsidP="00735261">
      <w:pPr>
        <w:spacing w:line="360" w:lineRule="auto"/>
        <w:rPr>
          <w:rFonts w:ascii="Arial" w:hAnsi="Arial" w:cs="Arial"/>
          <w:sz w:val="24"/>
          <w:szCs w:val="24"/>
        </w:rPr>
      </w:pPr>
    </w:p>
    <w:p w:rsidR="00735261" w:rsidRPr="00735261" w:rsidRDefault="00735261" w:rsidP="00735261">
      <w:pPr>
        <w:spacing w:line="360" w:lineRule="auto"/>
        <w:rPr>
          <w:rFonts w:ascii="Arial" w:hAnsi="Arial" w:cs="Arial"/>
          <w:sz w:val="24"/>
          <w:szCs w:val="24"/>
        </w:rPr>
      </w:pPr>
    </w:p>
    <w:p w:rsidR="00735261" w:rsidRPr="00735261" w:rsidRDefault="00735261" w:rsidP="00735261">
      <w:pPr>
        <w:spacing w:line="360" w:lineRule="auto"/>
        <w:rPr>
          <w:rFonts w:ascii="Arial" w:hAnsi="Arial" w:cs="Arial"/>
          <w:sz w:val="24"/>
          <w:szCs w:val="24"/>
        </w:rPr>
      </w:pPr>
    </w:p>
    <w:p w:rsidR="00735261" w:rsidRPr="00735261" w:rsidRDefault="00735261" w:rsidP="00735261">
      <w:pPr>
        <w:spacing w:line="360" w:lineRule="auto"/>
        <w:rPr>
          <w:rFonts w:ascii="Arial" w:hAnsi="Arial" w:cs="Arial"/>
          <w:sz w:val="24"/>
          <w:szCs w:val="24"/>
        </w:rPr>
      </w:pPr>
    </w:p>
    <w:p w:rsidR="00735261" w:rsidRPr="00735261" w:rsidRDefault="00735261" w:rsidP="00735261">
      <w:pPr>
        <w:spacing w:line="360" w:lineRule="auto"/>
        <w:rPr>
          <w:rFonts w:ascii="Arial" w:hAnsi="Arial" w:cs="Arial"/>
          <w:sz w:val="24"/>
          <w:szCs w:val="24"/>
        </w:rPr>
      </w:pPr>
    </w:p>
    <w:p w:rsidR="00735261" w:rsidRPr="00456A6A" w:rsidRDefault="00735261" w:rsidP="00735261">
      <w:pPr>
        <w:spacing w:line="360" w:lineRule="auto"/>
        <w:rPr>
          <w:rFonts w:ascii="Arial" w:hAnsi="Arial" w:cs="Arial"/>
          <w:sz w:val="24"/>
          <w:szCs w:val="24"/>
        </w:rPr>
      </w:pPr>
    </w:p>
    <w:p w:rsidR="00456A6A" w:rsidRPr="00456A6A" w:rsidRDefault="00456A6A" w:rsidP="00456A6A">
      <w:pPr>
        <w:spacing w:line="360" w:lineRule="auto"/>
        <w:rPr>
          <w:rFonts w:ascii="Arial" w:hAnsi="Arial" w:cs="Arial"/>
          <w:sz w:val="24"/>
          <w:szCs w:val="24"/>
        </w:rPr>
      </w:pPr>
    </w:p>
    <w:p w:rsidR="00456A6A" w:rsidRPr="00456A6A" w:rsidRDefault="00456A6A" w:rsidP="00456A6A">
      <w:pPr>
        <w:spacing w:line="360" w:lineRule="auto"/>
        <w:rPr>
          <w:rFonts w:ascii="Arial" w:hAnsi="Arial" w:cs="Arial"/>
          <w:sz w:val="24"/>
          <w:szCs w:val="24"/>
        </w:rPr>
      </w:pPr>
    </w:p>
    <w:p w:rsidR="00456A6A" w:rsidRPr="00E77B3D" w:rsidRDefault="00456A6A" w:rsidP="00E77B3D">
      <w:pPr>
        <w:spacing w:line="360" w:lineRule="auto"/>
        <w:rPr>
          <w:rFonts w:ascii="Arial" w:hAnsi="Arial" w:cs="Arial"/>
          <w:sz w:val="24"/>
          <w:szCs w:val="24"/>
        </w:rPr>
      </w:pPr>
    </w:p>
    <w:sectPr w:rsidR="00456A6A" w:rsidRPr="00E77B3D" w:rsidSect="005961BC">
      <w:footerReference w:type="default" r:id="rId2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6293C" w:rsidRDefault="00D6293C" w:rsidP="00C159EE">
      <w:pPr>
        <w:spacing w:after="0" w:line="240" w:lineRule="auto"/>
      </w:pPr>
      <w:r>
        <w:separator/>
      </w:r>
    </w:p>
  </w:endnote>
  <w:endnote w:type="continuationSeparator" w:id="1">
    <w:p w:rsidR="00D6293C" w:rsidRDefault="00D6293C" w:rsidP="00C159E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22224922"/>
      <w:docPartObj>
        <w:docPartGallery w:val="Page Numbers (Bottom of Page)"/>
        <w:docPartUnique/>
      </w:docPartObj>
    </w:sdtPr>
    <w:sdtEndPr>
      <w:rPr>
        <w:color w:val="7F7F7F" w:themeColor="background1" w:themeShade="7F"/>
        <w:spacing w:val="60"/>
      </w:rPr>
    </w:sdtEndPr>
    <w:sdtContent>
      <w:p w:rsidR="000272AF" w:rsidRDefault="000272AF">
        <w:pPr>
          <w:pStyle w:val="Footer"/>
          <w:pBdr>
            <w:top w:val="single" w:sz="4" w:space="1" w:color="D9D9D9" w:themeColor="background1" w:themeShade="D9"/>
          </w:pBdr>
          <w:rPr>
            <w:b/>
          </w:rPr>
        </w:pPr>
        <w:fldSimple w:instr=" PAGE   \* MERGEFORMAT ">
          <w:r w:rsidR="00893F63" w:rsidRPr="00893F63">
            <w:rPr>
              <w:b/>
              <w:noProof/>
            </w:rPr>
            <w:t>19</w:t>
          </w:r>
        </w:fldSimple>
        <w:r>
          <w:rPr>
            <w:b/>
          </w:rPr>
          <w:t xml:space="preserve"> | </w:t>
        </w:r>
        <w:r>
          <w:rPr>
            <w:color w:val="7F7F7F" w:themeColor="background1" w:themeShade="7F"/>
            <w:spacing w:val="60"/>
          </w:rPr>
          <w:t>Page</w:t>
        </w:r>
      </w:p>
    </w:sdtContent>
  </w:sdt>
  <w:p w:rsidR="000272AF" w:rsidRDefault="000272A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6293C" w:rsidRDefault="00D6293C" w:rsidP="00C159EE">
      <w:pPr>
        <w:spacing w:after="0" w:line="240" w:lineRule="auto"/>
      </w:pPr>
      <w:r>
        <w:separator/>
      </w:r>
    </w:p>
  </w:footnote>
  <w:footnote w:type="continuationSeparator" w:id="1">
    <w:p w:rsidR="00D6293C" w:rsidRDefault="00D6293C" w:rsidP="00C159E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EE61F1"/>
    <w:multiLevelType w:val="hybridMultilevel"/>
    <w:tmpl w:val="FD24E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341202"/>
    <w:multiLevelType w:val="hybridMultilevel"/>
    <w:tmpl w:val="28F0D2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7590CC0"/>
    <w:multiLevelType w:val="hybridMultilevel"/>
    <w:tmpl w:val="3DDEE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7D40DCE"/>
    <w:multiLevelType w:val="hybridMultilevel"/>
    <w:tmpl w:val="5DFC0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CA827EA"/>
    <w:multiLevelType w:val="hybridMultilevel"/>
    <w:tmpl w:val="B8D8BA9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10414DD8"/>
    <w:multiLevelType w:val="hybridMultilevel"/>
    <w:tmpl w:val="3CCA5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AFC6A76"/>
    <w:multiLevelType w:val="hybridMultilevel"/>
    <w:tmpl w:val="03AAF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C284F51"/>
    <w:multiLevelType w:val="hybridMultilevel"/>
    <w:tmpl w:val="FF529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4407249"/>
    <w:multiLevelType w:val="hybridMultilevel"/>
    <w:tmpl w:val="3F921764"/>
    <w:lvl w:ilvl="0" w:tplc="0809000F">
      <w:start w:val="1"/>
      <w:numFmt w:val="decimal"/>
      <w:lvlText w:val="%1."/>
      <w:lvlJc w:val="left"/>
      <w:pPr>
        <w:ind w:left="1250" w:hanging="360"/>
      </w:pPr>
    </w:lvl>
    <w:lvl w:ilvl="1" w:tplc="08090019" w:tentative="1">
      <w:start w:val="1"/>
      <w:numFmt w:val="lowerLetter"/>
      <w:lvlText w:val="%2."/>
      <w:lvlJc w:val="left"/>
      <w:pPr>
        <w:ind w:left="1970" w:hanging="360"/>
      </w:pPr>
    </w:lvl>
    <w:lvl w:ilvl="2" w:tplc="0809001B" w:tentative="1">
      <w:start w:val="1"/>
      <w:numFmt w:val="lowerRoman"/>
      <w:lvlText w:val="%3."/>
      <w:lvlJc w:val="right"/>
      <w:pPr>
        <w:ind w:left="2690" w:hanging="180"/>
      </w:pPr>
    </w:lvl>
    <w:lvl w:ilvl="3" w:tplc="0809000F" w:tentative="1">
      <w:start w:val="1"/>
      <w:numFmt w:val="decimal"/>
      <w:lvlText w:val="%4."/>
      <w:lvlJc w:val="left"/>
      <w:pPr>
        <w:ind w:left="3410" w:hanging="360"/>
      </w:pPr>
    </w:lvl>
    <w:lvl w:ilvl="4" w:tplc="08090019" w:tentative="1">
      <w:start w:val="1"/>
      <w:numFmt w:val="lowerLetter"/>
      <w:lvlText w:val="%5."/>
      <w:lvlJc w:val="left"/>
      <w:pPr>
        <w:ind w:left="4130" w:hanging="360"/>
      </w:pPr>
    </w:lvl>
    <w:lvl w:ilvl="5" w:tplc="0809001B" w:tentative="1">
      <w:start w:val="1"/>
      <w:numFmt w:val="lowerRoman"/>
      <w:lvlText w:val="%6."/>
      <w:lvlJc w:val="right"/>
      <w:pPr>
        <w:ind w:left="4850" w:hanging="180"/>
      </w:pPr>
    </w:lvl>
    <w:lvl w:ilvl="6" w:tplc="0809000F" w:tentative="1">
      <w:start w:val="1"/>
      <w:numFmt w:val="decimal"/>
      <w:lvlText w:val="%7."/>
      <w:lvlJc w:val="left"/>
      <w:pPr>
        <w:ind w:left="5570" w:hanging="360"/>
      </w:pPr>
    </w:lvl>
    <w:lvl w:ilvl="7" w:tplc="08090019" w:tentative="1">
      <w:start w:val="1"/>
      <w:numFmt w:val="lowerLetter"/>
      <w:lvlText w:val="%8."/>
      <w:lvlJc w:val="left"/>
      <w:pPr>
        <w:ind w:left="6290" w:hanging="360"/>
      </w:pPr>
    </w:lvl>
    <w:lvl w:ilvl="8" w:tplc="0809001B" w:tentative="1">
      <w:start w:val="1"/>
      <w:numFmt w:val="lowerRoman"/>
      <w:lvlText w:val="%9."/>
      <w:lvlJc w:val="right"/>
      <w:pPr>
        <w:ind w:left="7010" w:hanging="180"/>
      </w:pPr>
    </w:lvl>
  </w:abstractNum>
  <w:abstractNum w:abstractNumId="9">
    <w:nsid w:val="27FC2FC3"/>
    <w:multiLevelType w:val="hybridMultilevel"/>
    <w:tmpl w:val="DE7A7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7FD3E69"/>
    <w:multiLevelType w:val="hybridMultilevel"/>
    <w:tmpl w:val="E112251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29BC417B"/>
    <w:multiLevelType w:val="hybridMultilevel"/>
    <w:tmpl w:val="762A8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ABF0DC9"/>
    <w:multiLevelType w:val="hybridMultilevel"/>
    <w:tmpl w:val="45681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C903B27"/>
    <w:multiLevelType w:val="hybridMultilevel"/>
    <w:tmpl w:val="333623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2ECA2DC8"/>
    <w:multiLevelType w:val="hybridMultilevel"/>
    <w:tmpl w:val="60C6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05B507C"/>
    <w:multiLevelType w:val="hybridMultilevel"/>
    <w:tmpl w:val="D388B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41F5643"/>
    <w:multiLevelType w:val="hybridMultilevel"/>
    <w:tmpl w:val="3BEAD6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860090C"/>
    <w:multiLevelType w:val="hybridMultilevel"/>
    <w:tmpl w:val="1E807C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96D386E"/>
    <w:multiLevelType w:val="hybridMultilevel"/>
    <w:tmpl w:val="57F274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397D39B1"/>
    <w:multiLevelType w:val="hybridMultilevel"/>
    <w:tmpl w:val="334A2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B1550B1"/>
    <w:multiLevelType w:val="hybridMultilevel"/>
    <w:tmpl w:val="BD725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B864808"/>
    <w:multiLevelType w:val="hybridMultilevel"/>
    <w:tmpl w:val="EA323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3485B54"/>
    <w:multiLevelType w:val="hybridMultilevel"/>
    <w:tmpl w:val="C90C5D0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nsid w:val="4E0D01B5"/>
    <w:multiLevelType w:val="hybridMultilevel"/>
    <w:tmpl w:val="F5CC2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2FA1A85"/>
    <w:multiLevelType w:val="hybridMultilevel"/>
    <w:tmpl w:val="20B06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3C60C7F"/>
    <w:multiLevelType w:val="hybridMultilevel"/>
    <w:tmpl w:val="B4DE4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52F34BD"/>
    <w:multiLevelType w:val="hybridMultilevel"/>
    <w:tmpl w:val="B818E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6B6430E"/>
    <w:multiLevelType w:val="hybridMultilevel"/>
    <w:tmpl w:val="A3D4A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9D632CD"/>
    <w:multiLevelType w:val="hybridMultilevel"/>
    <w:tmpl w:val="8AC8B2E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5A5F49D0"/>
    <w:multiLevelType w:val="hybridMultilevel"/>
    <w:tmpl w:val="CB5E5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CAD2032"/>
    <w:multiLevelType w:val="hybridMultilevel"/>
    <w:tmpl w:val="62A03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F406B6C"/>
    <w:multiLevelType w:val="hybridMultilevel"/>
    <w:tmpl w:val="A086D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0FE2A69"/>
    <w:multiLevelType w:val="multilevel"/>
    <w:tmpl w:val="62387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41124A8"/>
    <w:multiLevelType w:val="hybridMultilevel"/>
    <w:tmpl w:val="FAB20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A0E5689"/>
    <w:multiLevelType w:val="hybridMultilevel"/>
    <w:tmpl w:val="AFF6E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D157F98"/>
    <w:multiLevelType w:val="hybridMultilevel"/>
    <w:tmpl w:val="97261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E1E3CF1"/>
    <w:multiLevelType w:val="multilevel"/>
    <w:tmpl w:val="48126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E7554E5"/>
    <w:multiLevelType w:val="hybridMultilevel"/>
    <w:tmpl w:val="27A2E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10516B6"/>
    <w:multiLevelType w:val="hybridMultilevel"/>
    <w:tmpl w:val="0B30833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nsid w:val="74C57D59"/>
    <w:multiLevelType w:val="hybridMultilevel"/>
    <w:tmpl w:val="0C7EA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556484B"/>
    <w:multiLevelType w:val="hybridMultilevel"/>
    <w:tmpl w:val="638453F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nsid w:val="7769408A"/>
    <w:multiLevelType w:val="hybridMultilevel"/>
    <w:tmpl w:val="7B8E5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C4D73FD"/>
    <w:multiLevelType w:val="hybridMultilevel"/>
    <w:tmpl w:val="F3964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C8835C3"/>
    <w:multiLevelType w:val="hybridMultilevel"/>
    <w:tmpl w:val="E5DA6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7F7F0CB3"/>
    <w:multiLevelType w:val="hybridMultilevel"/>
    <w:tmpl w:val="BEAEA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28"/>
  </w:num>
  <w:num w:numId="3">
    <w:abstractNumId w:val="18"/>
  </w:num>
  <w:num w:numId="4">
    <w:abstractNumId w:val="44"/>
  </w:num>
  <w:num w:numId="5">
    <w:abstractNumId w:val="17"/>
  </w:num>
  <w:num w:numId="6">
    <w:abstractNumId w:val="23"/>
  </w:num>
  <w:num w:numId="7">
    <w:abstractNumId w:val="27"/>
  </w:num>
  <w:num w:numId="8">
    <w:abstractNumId w:val="2"/>
  </w:num>
  <w:num w:numId="9">
    <w:abstractNumId w:val="26"/>
  </w:num>
  <w:num w:numId="10">
    <w:abstractNumId w:val="7"/>
  </w:num>
  <w:num w:numId="11">
    <w:abstractNumId w:val="25"/>
  </w:num>
  <w:num w:numId="12">
    <w:abstractNumId w:val="3"/>
  </w:num>
  <w:num w:numId="13">
    <w:abstractNumId w:val="19"/>
  </w:num>
  <w:num w:numId="14">
    <w:abstractNumId w:val="9"/>
  </w:num>
  <w:num w:numId="15">
    <w:abstractNumId w:val="14"/>
  </w:num>
  <w:num w:numId="16">
    <w:abstractNumId w:val="12"/>
  </w:num>
  <w:num w:numId="17">
    <w:abstractNumId w:val="20"/>
  </w:num>
  <w:num w:numId="18">
    <w:abstractNumId w:val="31"/>
  </w:num>
  <w:num w:numId="19">
    <w:abstractNumId w:val="21"/>
  </w:num>
  <w:num w:numId="20">
    <w:abstractNumId w:val="0"/>
  </w:num>
  <w:num w:numId="21">
    <w:abstractNumId w:val="34"/>
  </w:num>
  <w:num w:numId="22">
    <w:abstractNumId w:val="30"/>
  </w:num>
  <w:num w:numId="23">
    <w:abstractNumId w:val="11"/>
  </w:num>
  <w:num w:numId="24">
    <w:abstractNumId w:val="37"/>
  </w:num>
  <w:num w:numId="25">
    <w:abstractNumId w:val="39"/>
  </w:num>
  <w:num w:numId="26">
    <w:abstractNumId w:val="36"/>
  </w:num>
  <w:num w:numId="27">
    <w:abstractNumId w:val="32"/>
  </w:num>
  <w:num w:numId="28">
    <w:abstractNumId w:val="42"/>
  </w:num>
  <w:num w:numId="29">
    <w:abstractNumId w:val="41"/>
  </w:num>
  <w:num w:numId="30">
    <w:abstractNumId w:val="33"/>
  </w:num>
  <w:num w:numId="31">
    <w:abstractNumId w:val="16"/>
  </w:num>
  <w:num w:numId="32">
    <w:abstractNumId w:val="15"/>
  </w:num>
  <w:num w:numId="33">
    <w:abstractNumId w:val="29"/>
  </w:num>
  <w:num w:numId="34">
    <w:abstractNumId w:val="43"/>
  </w:num>
  <w:num w:numId="35">
    <w:abstractNumId w:val="1"/>
  </w:num>
  <w:num w:numId="36">
    <w:abstractNumId w:val="35"/>
  </w:num>
  <w:num w:numId="37">
    <w:abstractNumId w:val="13"/>
  </w:num>
  <w:num w:numId="38">
    <w:abstractNumId w:val="38"/>
  </w:num>
  <w:num w:numId="39">
    <w:abstractNumId w:val="10"/>
  </w:num>
  <w:num w:numId="40">
    <w:abstractNumId w:val="22"/>
  </w:num>
  <w:num w:numId="41">
    <w:abstractNumId w:val="8"/>
  </w:num>
  <w:num w:numId="42">
    <w:abstractNumId w:val="40"/>
  </w:num>
  <w:num w:numId="43">
    <w:abstractNumId w:val="4"/>
  </w:num>
  <w:num w:numId="44">
    <w:abstractNumId w:val="5"/>
  </w:num>
  <w:num w:numId="45">
    <w:abstractNumId w:val="6"/>
  </w:num>
  <w:numIdMacAtCleanup w:val="45"/>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934A42"/>
    <w:rsid w:val="000272AF"/>
    <w:rsid w:val="00063C90"/>
    <w:rsid w:val="00073174"/>
    <w:rsid w:val="0009735B"/>
    <w:rsid w:val="000B11B7"/>
    <w:rsid w:val="000C6492"/>
    <w:rsid w:val="000C72E9"/>
    <w:rsid w:val="000D71BC"/>
    <w:rsid w:val="000E1024"/>
    <w:rsid w:val="0015017A"/>
    <w:rsid w:val="00196C80"/>
    <w:rsid w:val="001A3E00"/>
    <w:rsid w:val="001B4811"/>
    <w:rsid w:val="001F6D08"/>
    <w:rsid w:val="00217C81"/>
    <w:rsid w:val="00232C46"/>
    <w:rsid w:val="002378F7"/>
    <w:rsid w:val="0028713C"/>
    <w:rsid w:val="002D0C34"/>
    <w:rsid w:val="002F5BA3"/>
    <w:rsid w:val="003306D8"/>
    <w:rsid w:val="003440B9"/>
    <w:rsid w:val="00345560"/>
    <w:rsid w:val="00394090"/>
    <w:rsid w:val="003A5505"/>
    <w:rsid w:val="003C5884"/>
    <w:rsid w:val="003E2E40"/>
    <w:rsid w:val="003E30E4"/>
    <w:rsid w:val="00412033"/>
    <w:rsid w:val="004160B3"/>
    <w:rsid w:val="00416629"/>
    <w:rsid w:val="00441F5B"/>
    <w:rsid w:val="004520FF"/>
    <w:rsid w:val="00456A6A"/>
    <w:rsid w:val="004B4A98"/>
    <w:rsid w:val="004C273F"/>
    <w:rsid w:val="004C4D93"/>
    <w:rsid w:val="004C6F3E"/>
    <w:rsid w:val="004F6368"/>
    <w:rsid w:val="00541BE0"/>
    <w:rsid w:val="00567015"/>
    <w:rsid w:val="005712BD"/>
    <w:rsid w:val="00581DA1"/>
    <w:rsid w:val="005961BC"/>
    <w:rsid w:val="005A347D"/>
    <w:rsid w:val="005D22CF"/>
    <w:rsid w:val="005F0DF2"/>
    <w:rsid w:val="005F2FC9"/>
    <w:rsid w:val="00632DCC"/>
    <w:rsid w:val="0063325A"/>
    <w:rsid w:val="00665AFF"/>
    <w:rsid w:val="006A5E40"/>
    <w:rsid w:val="006A658A"/>
    <w:rsid w:val="006B55A3"/>
    <w:rsid w:val="006B73CF"/>
    <w:rsid w:val="0070060F"/>
    <w:rsid w:val="007118A8"/>
    <w:rsid w:val="00732096"/>
    <w:rsid w:val="00735261"/>
    <w:rsid w:val="00751950"/>
    <w:rsid w:val="007724C3"/>
    <w:rsid w:val="00780DF9"/>
    <w:rsid w:val="007B6989"/>
    <w:rsid w:val="007D565F"/>
    <w:rsid w:val="00826AC9"/>
    <w:rsid w:val="0083474E"/>
    <w:rsid w:val="00837576"/>
    <w:rsid w:val="008452A3"/>
    <w:rsid w:val="008527F8"/>
    <w:rsid w:val="008773F8"/>
    <w:rsid w:val="00883F85"/>
    <w:rsid w:val="00891E62"/>
    <w:rsid w:val="00893F63"/>
    <w:rsid w:val="008B5AA1"/>
    <w:rsid w:val="008C1953"/>
    <w:rsid w:val="008C1C69"/>
    <w:rsid w:val="008D7307"/>
    <w:rsid w:val="008F17C5"/>
    <w:rsid w:val="008F2DE0"/>
    <w:rsid w:val="008F740C"/>
    <w:rsid w:val="00911AFC"/>
    <w:rsid w:val="00927605"/>
    <w:rsid w:val="00934A42"/>
    <w:rsid w:val="00936AED"/>
    <w:rsid w:val="00972A67"/>
    <w:rsid w:val="009807FD"/>
    <w:rsid w:val="009C271D"/>
    <w:rsid w:val="009D620C"/>
    <w:rsid w:val="009E1C77"/>
    <w:rsid w:val="00A033DC"/>
    <w:rsid w:val="00A04677"/>
    <w:rsid w:val="00A72D10"/>
    <w:rsid w:val="00A741E4"/>
    <w:rsid w:val="00A809A2"/>
    <w:rsid w:val="00A82609"/>
    <w:rsid w:val="00AA5962"/>
    <w:rsid w:val="00AB2C4C"/>
    <w:rsid w:val="00AF266C"/>
    <w:rsid w:val="00B20AE7"/>
    <w:rsid w:val="00B26F91"/>
    <w:rsid w:val="00B542BE"/>
    <w:rsid w:val="00B874C4"/>
    <w:rsid w:val="00C102BA"/>
    <w:rsid w:val="00C159EE"/>
    <w:rsid w:val="00C53264"/>
    <w:rsid w:val="00C60EC6"/>
    <w:rsid w:val="00C6262E"/>
    <w:rsid w:val="00C63486"/>
    <w:rsid w:val="00C740B1"/>
    <w:rsid w:val="00C94F55"/>
    <w:rsid w:val="00CC2044"/>
    <w:rsid w:val="00CD7E06"/>
    <w:rsid w:val="00CE3D8D"/>
    <w:rsid w:val="00D048B2"/>
    <w:rsid w:val="00D04A7E"/>
    <w:rsid w:val="00D30883"/>
    <w:rsid w:val="00D34CAF"/>
    <w:rsid w:val="00D6293C"/>
    <w:rsid w:val="00D67DF8"/>
    <w:rsid w:val="00D76D9B"/>
    <w:rsid w:val="00D93741"/>
    <w:rsid w:val="00DA2A18"/>
    <w:rsid w:val="00DA2F6B"/>
    <w:rsid w:val="00DA79F7"/>
    <w:rsid w:val="00DD1ACF"/>
    <w:rsid w:val="00DE1AC2"/>
    <w:rsid w:val="00E22388"/>
    <w:rsid w:val="00E22BE0"/>
    <w:rsid w:val="00E65662"/>
    <w:rsid w:val="00E77B3D"/>
    <w:rsid w:val="00EF22D2"/>
    <w:rsid w:val="00F15173"/>
    <w:rsid w:val="00F24FA7"/>
    <w:rsid w:val="00FC3DA3"/>
    <w:rsid w:val="00FC616F"/>
    <w:rsid w:val="00FE0A1C"/>
    <w:rsid w:val="00FE795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5AFF"/>
  </w:style>
  <w:style w:type="paragraph" w:styleId="Heading2">
    <w:name w:val="heading 2"/>
    <w:basedOn w:val="Normal"/>
    <w:next w:val="Normal"/>
    <w:link w:val="Heading2Char"/>
    <w:uiPriority w:val="9"/>
    <w:unhideWhenUsed/>
    <w:qFormat/>
    <w:rsid w:val="00D9374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C6262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0E102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4A42"/>
    <w:pPr>
      <w:ind w:left="720"/>
      <w:contextualSpacing/>
    </w:pPr>
  </w:style>
  <w:style w:type="paragraph" w:customStyle="1" w:styleId="Default">
    <w:name w:val="Default"/>
    <w:rsid w:val="00456A6A"/>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59"/>
    <w:rsid w:val="00456A6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4C6F3E"/>
    <w:rPr>
      <w:color w:val="0000FF" w:themeColor="hyperlink"/>
      <w:u w:val="single"/>
    </w:rPr>
  </w:style>
  <w:style w:type="character" w:customStyle="1" w:styleId="mord">
    <w:name w:val="mord"/>
    <w:basedOn w:val="DefaultParagraphFont"/>
    <w:rsid w:val="008B5AA1"/>
  </w:style>
  <w:style w:type="character" w:customStyle="1" w:styleId="mpunct">
    <w:name w:val="mpunct"/>
    <w:basedOn w:val="DefaultParagraphFont"/>
    <w:rsid w:val="008B5AA1"/>
  </w:style>
  <w:style w:type="character" w:customStyle="1" w:styleId="Heading3Char">
    <w:name w:val="Heading 3 Char"/>
    <w:basedOn w:val="DefaultParagraphFont"/>
    <w:link w:val="Heading3"/>
    <w:uiPriority w:val="9"/>
    <w:rsid w:val="00C6262E"/>
    <w:rPr>
      <w:rFonts w:ascii="Times New Roman" w:eastAsia="Times New Roman" w:hAnsi="Times New Roman" w:cs="Times New Roman"/>
      <w:b/>
      <w:bCs/>
      <w:sz w:val="27"/>
      <w:szCs w:val="27"/>
    </w:rPr>
  </w:style>
  <w:style w:type="paragraph" w:styleId="NormalWeb">
    <w:name w:val="Normal (Web)"/>
    <w:basedOn w:val="Normal"/>
    <w:uiPriority w:val="99"/>
    <w:unhideWhenUsed/>
    <w:rsid w:val="00C6262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6262E"/>
    <w:rPr>
      <w:b/>
      <w:bCs/>
    </w:rPr>
  </w:style>
  <w:style w:type="paragraph" w:styleId="Header">
    <w:name w:val="header"/>
    <w:basedOn w:val="Normal"/>
    <w:link w:val="HeaderChar"/>
    <w:uiPriority w:val="99"/>
    <w:semiHidden/>
    <w:unhideWhenUsed/>
    <w:rsid w:val="00C159E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159EE"/>
  </w:style>
  <w:style w:type="paragraph" w:styleId="Footer">
    <w:name w:val="footer"/>
    <w:basedOn w:val="Normal"/>
    <w:link w:val="FooterChar"/>
    <w:uiPriority w:val="99"/>
    <w:unhideWhenUsed/>
    <w:rsid w:val="00C159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9EE"/>
  </w:style>
  <w:style w:type="character" w:customStyle="1" w:styleId="Heading4Char">
    <w:name w:val="Heading 4 Char"/>
    <w:basedOn w:val="DefaultParagraphFont"/>
    <w:link w:val="Heading4"/>
    <w:uiPriority w:val="9"/>
    <w:rsid w:val="000E1024"/>
    <w:rPr>
      <w:rFonts w:asciiTheme="majorHAnsi" w:eastAsiaTheme="majorEastAsia" w:hAnsiTheme="majorHAnsi" w:cstheme="majorBidi"/>
      <w:b/>
      <w:bCs/>
      <w:i/>
      <w:iCs/>
      <w:color w:val="4F81BD" w:themeColor="accent1"/>
    </w:rPr>
  </w:style>
  <w:style w:type="character" w:customStyle="1" w:styleId="Heading2Char">
    <w:name w:val="Heading 2 Char"/>
    <w:basedOn w:val="DefaultParagraphFont"/>
    <w:link w:val="Heading2"/>
    <w:uiPriority w:val="9"/>
    <w:rsid w:val="00D93741"/>
    <w:rPr>
      <w:rFonts w:asciiTheme="majorHAnsi" w:eastAsiaTheme="majorEastAsia" w:hAnsiTheme="majorHAnsi" w:cstheme="majorBidi"/>
      <w:b/>
      <w:bCs/>
      <w:color w:val="4F81BD" w:themeColor="accent1"/>
      <w:sz w:val="26"/>
      <w:szCs w:val="26"/>
    </w:rPr>
  </w:style>
  <w:style w:type="character" w:customStyle="1" w:styleId="line-clamp-1">
    <w:name w:val="line-clamp-1"/>
    <w:basedOn w:val="DefaultParagraphFont"/>
    <w:rsid w:val="00632DCC"/>
  </w:style>
</w:styles>
</file>

<file path=word/webSettings.xml><?xml version="1.0" encoding="utf-8"?>
<w:webSettings xmlns:r="http://schemas.openxmlformats.org/officeDocument/2006/relationships" xmlns:w="http://schemas.openxmlformats.org/wordprocessingml/2006/main">
  <w:divs>
    <w:div w:id="15470282">
      <w:bodyDiv w:val="1"/>
      <w:marLeft w:val="0"/>
      <w:marRight w:val="0"/>
      <w:marTop w:val="0"/>
      <w:marBottom w:val="0"/>
      <w:divBdr>
        <w:top w:val="none" w:sz="0" w:space="0" w:color="auto"/>
        <w:left w:val="none" w:sz="0" w:space="0" w:color="auto"/>
        <w:bottom w:val="none" w:sz="0" w:space="0" w:color="auto"/>
        <w:right w:val="none" w:sz="0" w:space="0" w:color="auto"/>
      </w:divBdr>
    </w:div>
    <w:div w:id="32003730">
      <w:bodyDiv w:val="1"/>
      <w:marLeft w:val="0"/>
      <w:marRight w:val="0"/>
      <w:marTop w:val="0"/>
      <w:marBottom w:val="0"/>
      <w:divBdr>
        <w:top w:val="none" w:sz="0" w:space="0" w:color="auto"/>
        <w:left w:val="none" w:sz="0" w:space="0" w:color="auto"/>
        <w:bottom w:val="none" w:sz="0" w:space="0" w:color="auto"/>
        <w:right w:val="none" w:sz="0" w:space="0" w:color="auto"/>
      </w:divBdr>
      <w:divsChild>
        <w:div w:id="1086922594">
          <w:marLeft w:val="0"/>
          <w:marRight w:val="0"/>
          <w:marTop w:val="0"/>
          <w:marBottom w:val="0"/>
          <w:divBdr>
            <w:top w:val="none" w:sz="0" w:space="0" w:color="auto"/>
            <w:left w:val="none" w:sz="0" w:space="0" w:color="auto"/>
            <w:bottom w:val="none" w:sz="0" w:space="0" w:color="auto"/>
            <w:right w:val="none" w:sz="0" w:space="0" w:color="auto"/>
          </w:divBdr>
          <w:divsChild>
            <w:div w:id="22376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84313">
      <w:bodyDiv w:val="1"/>
      <w:marLeft w:val="0"/>
      <w:marRight w:val="0"/>
      <w:marTop w:val="0"/>
      <w:marBottom w:val="0"/>
      <w:divBdr>
        <w:top w:val="none" w:sz="0" w:space="0" w:color="auto"/>
        <w:left w:val="none" w:sz="0" w:space="0" w:color="auto"/>
        <w:bottom w:val="none" w:sz="0" w:space="0" w:color="auto"/>
        <w:right w:val="none" w:sz="0" w:space="0" w:color="auto"/>
      </w:divBdr>
      <w:divsChild>
        <w:div w:id="2066879066">
          <w:marLeft w:val="0"/>
          <w:marRight w:val="0"/>
          <w:marTop w:val="0"/>
          <w:marBottom w:val="0"/>
          <w:divBdr>
            <w:top w:val="single" w:sz="2" w:space="0" w:color="E3E3E3"/>
            <w:left w:val="single" w:sz="2" w:space="0" w:color="E3E3E3"/>
            <w:bottom w:val="single" w:sz="2" w:space="0" w:color="E3E3E3"/>
            <w:right w:val="single" w:sz="2" w:space="0" w:color="E3E3E3"/>
          </w:divBdr>
          <w:divsChild>
            <w:div w:id="1691102611">
              <w:marLeft w:val="0"/>
              <w:marRight w:val="0"/>
              <w:marTop w:val="0"/>
              <w:marBottom w:val="0"/>
              <w:divBdr>
                <w:top w:val="single" w:sz="2" w:space="0" w:color="E3E3E3"/>
                <w:left w:val="single" w:sz="2" w:space="0" w:color="E3E3E3"/>
                <w:bottom w:val="single" w:sz="2" w:space="0" w:color="E3E3E3"/>
                <w:right w:val="single" w:sz="2" w:space="0" w:color="E3E3E3"/>
              </w:divBdr>
              <w:divsChild>
                <w:div w:id="355279897">
                  <w:marLeft w:val="0"/>
                  <w:marRight w:val="0"/>
                  <w:marTop w:val="0"/>
                  <w:marBottom w:val="0"/>
                  <w:divBdr>
                    <w:top w:val="single" w:sz="2" w:space="2" w:color="E3E3E3"/>
                    <w:left w:val="single" w:sz="2" w:space="0" w:color="E3E3E3"/>
                    <w:bottom w:val="single" w:sz="2" w:space="0" w:color="E3E3E3"/>
                    <w:right w:val="single" w:sz="2" w:space="0" w:color="E3E3E3"/>
                  </w:divBdr>
                  <w:divsChild>
                    <w:div w:id="1760178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3111334">
      <w:bodyDiv w:val="1"/>
      <w:marLeft w:val="0"/>
      <w:marRight w:val="0"/>
      <w:marTop w:val="0"/>
      <w:marBottom w:val="0"/>
      <w:divBdr>
        <w:top w:val="none" w:sz="0" w:space="0" w:color="auto"/>
        <w:left w:val="none" w:sz="0" w:space="0" w:color="auto"/>
        <w:bottom w:val="none" w:sz="0" w:space="0" w:color="auto"/>
        <w:right w:val="none" w:sz="0" w:space="0" w:color="auto"/>
      </w:divBdr>
    </w:div>
    <w:div w:id="71313517">
      <w:bodyDiv w:val="1"/>
      <w:marLeft w:val="0"/>
      <w:marRight w:val="0"/>
      <w:marTop w:val="0"/>
      <w:marBottom w:val="0"/>
      <w:divBdr>
        <w:top w:val="none" w:sz="0" w:space="0" w:color="auto"/>
        <w:left w:val="none" w:sz="0" w:space="0" w:color="auto"/>
        <w:bottom w:val="none" w:sz="0" w:space="0" w:color="auto"/>
        <w:right w:val="none" w:sz="0" w:space="0" w:color="auto"/>
      </w:divBdr>
    </w:div>
    <w:div w:id="86658772">
      <w:bodyDiv w:val="1"/>
      <w:marLeft w:val="0"/>
      <w:marRight w:val="0"/>
      <w:marTop w:val="0"/>
      <w:marBottom w:val="0"/>
      <w:divBdr>
        <w:top w:val="none" w:sz="0" w:space="0" w:color="auto"/>
        <w:left w:val="none" w:sz="0" w:space="0" w:color="auto"/>
        <w:bottom w:val="none" w:sz="0" w:space="0" w:color="auto"/>
        <w:right w:val="none" w:sz="0" w:space="0" w:color="auto"/>
      </w:divBdr>
    </w:div>
    <w:div w:id="98912982">
      <w:bodyDiv w:val="1"/>
      <w:marLeft w:val="0"/>
      <w:marRight w:val="0"/>
      <w:marTop w:val="0"/>
      <w:marBottom w:val="0"/>
      <w:divBdr>
        <w:top w:val="none" w:sz="0" w:space="0" w:color="auto"/>
        <w:left w:val="none" w:sz="0" w:space="0" w:color="auto"/>
        <w:bottom w:val="none" w:sz="0" w:space="0" w:color="auto"/>
        <w:right w:val="none" w:sz="0" w:space="0" w:color="auto"/>
      </w:divBdr>
    </w:div>
    <w:div w:id="129907138">
      <w:bodyDiv w:val="1"/>
      <w:marLeft w:val="0"/>
      <w:marRight w:val="0"/>
      <w:marTop w:val="0"/>
      <w:marBottom w:val="0"/>
      <w:divBdr>
        <w:top w:val="none" w:sz="0" w:space="0" w:color="auto"/>
        <w:left w:val="none" w:sz="0" w:space="0" w:color="auto"/>
        <w:bottom w:val="none" w:sz="0" w:space="0" w:color="auto"/>
        <w:right w:val="none" w:sz="0" w:space="0" w:color="auto"/>
      </w:divBdr>
    </w:div>
    <w:div w:id="165098450">
      <w:bodyDiv w:val="1"/>
      <w:marLeft w:val="0"/>
      <w:marRight w:val="0"/>
      <w:marTop w:val="0"/>
      <w:marBottom w:val="0"/>
      <w:divBdr>
        <w:top w:val="none" w:sz="0" w:space="0" w:color="auto"/>
        <w:left w:val="none" w:sz="0" w:space="0" w:color="auto"/>
        <w:bottom w:val="none" w:sz="0" w:space="0" w:color="auto"/>
        <w:right w:val="none" w:sz="0" w:space="0" w:color="auto"/>
      </w:divBdr>
      <w:divsChild>
        <w:div w:id="42600241">
          <w:marLeft w:val="0"/>
          <w:marRight w:val="0"/>
          <w:marTop w:val="0"/>
          <w:marBottom w:val="0"/>
          <w:divBdr>
            <w:top w:val="none" w:sz="0" w:space="0" w:color="auto"/>
            <w:left w:val="none" w:sz="0" w:space="0" w:color="auto"/>
            <w:bottom w:val="none" w:sz="0" w:space="0" w:color="auto"/>
            <w:right w:val="none" w:sz="0" w:space="0" w:color="auto"/>
          </w:divBdr>
          <w:divsChild>
            <w:div w:id="1485388297">
              <w:marLeft w:val="0"/>
              <w:marRight w:val="0"/>
              <w:marTop w:val="0"/>
              <w:marBottom w:val="0"/>
              <w:divBdr>
                <w:top w:val="none" w:sz="0" w:space="0" w:color="auto"/>
                <w:left w:val="none" w:sz="0" w:space="0" w:color="auto"/>
                <w:bottom w:val="none" w:sz="0" w:space="0" w:color="auto"/>
                <w:right w:val="none" w:sz="0" w:space="0" w:color="auto"/>
              </w:divBdr>
              <w:divsChild>
                <w:div w:id="646130540">
                  <w:marLeft w:val="0"/>
                  <w:marRight w:val="0"/>
                  <w:marTop w:val="0"/>
                  <w:marBottom w:val="0"/>
                  <w:divBdr>
                    <w:top w:val="none" w:sz="0" w:space="0" w:color="auto"/>
                    <w:left w:val="none" w:sz="0" w:space="0" w:color="auto"/>
                    <w:bottom w:val="none" w:sz="0" w:space="0" w:color="auto"/>
                    <w:right w:val="none" w:sz="0" w:space="0" w:color="auto"/>
                  </w:divBdr>
                  <w:divsChild>
                    <w:div w:id="1204516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865948">
          <w:marLeft w:val="0"/>
          <w:marRight w:val="0"/>
          <w:marTop w:val="0"/>
          <w:marBottom w:val="0"/>
          <w:divBdr>
            <w:top w:val="none" w:sz="0" w:space="0" w:color="auto"/>
            <w:left w:val="none" w:sz="0" w:space="0" w:color="auto"/>
            <w:bottom w:val="none" w:sz="0" w:space="0" w:color="auto"/>
            <w:right w:val="none" w:sz="0" w:space="0" w:color="auto"/>
          </w:divBdr>
          <w:divsChild>
            <w:div w:id="1787852096">
              <w:marLeft w:val="0"/>
              <w:marRight w:val="0"/>
              <w:marTop w:val="0"/>
              <w:marBottom w:val="0"/>
              <w:divBdr>
                <w:top w:val="none" w:sz="0" w:space="0" w:color="auto"/>
                <w:left w:val="none" w:sz="0" w:space="0" w:color="auto"/>
                <w:bottom w:val="none" w:sz="0" w:space="0" w:color="auto"/>
                <w:right w:val="none" w:sz="0" w:space="0" w:color="auto"/>
              </w:divBdr>
              <w:divsChild>
                <w:div w:id="200814">
                  <w:marLeft w:val="0"/>
                  <w:marRight w:val="0"/>
                  <w:marTop w:val="0"/>
                  <w:marBottom w:val="0"/>
                  <w:divBdr>
                    <w:top w:val="none" w:sz="0" w:space="0" w:color="auto"/>
                    <w:left w:val="none" w:sz="0" w:space="0" w:color="auto"/>
                    <w:bottom w:val="none" w:sz="0" w:space="0" w:color="auto"/>
                    <w:right w:val="none" w:sz="0" w:space="0" w:color="auto"/>
                  </w:divBdr>
                  <w:divsChild>
                    <w:div w:id="183536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659610">
      <w:bodyDiv w:val="1"/>
      <w:marLeft w:val="0"/>
      <w:marRight w:val="0"/>
      <w:marTop w:val="0"/>
      <w:marBottom w:val="0"/>
      <w:divBdr>
        <w:top w:val="none" w:sz="0" w:space="0" w:color="auto"/>
        <w:left w:val="none" w:sz="0" w:space="0" w:color="auto"/>
        <w:bottom w:val="none" w:sz="0" w:space="0" w:color="auto"/>
        <w:right w:val="none" w:sz="0" w:space="0" w:color="auto"/>
      </w:divBdr>
    </w:div>
    <w:div w:id="181672654">
      <w:bodyDiv w:val="1"/>
      <w:marLeft w:val="0"/>
      <w:marRight w:val="0"/>
      <w:marTop w:val="0"/>
      <w:marBottom w:val="0"/>
      <w:divBdr>
        <w:top w:val="none" w:sz="0" w:space="0" w:color="auto"/>
        <w:left w:val="none" w:sz="0" w:space="0" w:color="auto"/>
        <w:bottom w:val="none" w:sz="0" w:space="0" w:color="auto"/>
        <w:right w:val="none" w:sz="0" w:space="0" w:color="auto"/>
      </w:divBdr>
    </w:div>
    <w:div w:id="190848248">
      <w:bodyDiv w:val="1"/>
      <w:marLeft w:val="0"/>
      <w:marRight w:val="0"/>
      <w:marTop w:val="0"/>
      <w:marBottom w:val="0"/>
      <w:divBdr>
        <w:top w:val="none" w:sz="0" w:space="0" w:color="auto"/>
        <w:left w:val="none" w:sz="0" w:space="0" w:color="auto"/>
        <w:bottom w:val="none" w:sz="0" w:space="0" w:color="auto"/>
        <w:right w:val="none" w:sz="0" w:space="0" w:color="auto"/>
      </w:divBdr>
    </w:div>
    <w:div w:id="214438496">
      <w:bodyDiv w:val="1"/>
      <w:marLeft w:val="0"/>
      <w:marRight w:val="0"/>
      <w:marTop w:val="0"/>
      <w:marBottom w:val="0"/>
      <w:divBdr>
        <w:top w:val="none" w:sz="0" w:space="0" w:color="auto"/>
        <w:left w:val="none" w:sz="0" w:space="0" w:color="auto"/>
        <w:bottom w:val="none" w:sz="0" w:space="0" w:color="auto"/>
        <w:right w:val="none" w:sz="0" w:space="0" w:color="auto"/>
      </w:divBdr>
    </w:div>
    <w:div w:id="237400986">
      <w:bodyDiv w:val="1"/>
      <w:marLeft w:val="0"/>
      <w:marRight w:val="0"/>
      <w:marTop w:val="0"/>
      <w:marBottom w:val="0"/>
      <w:divBdr>
        <w:top w:val="none" w:sz="0" w:space="0" w:color="auto"/>
        <w:left w:val="none" w:sz="0" w:space="0" w:color="auto"/>
        <w:bottom w:val="none" w:sz="0" w:space="0" w:color="auto"/>
        <w:right w:val="none" w:sz="0" w:space="0" w:color="auto"/>
      </w:divBdr>
    </w:div>
    <w:div w:id="255208989">
      <w:bodyDiv w:val="1"/>
      <w:marLeft w:val="0"/>
      <w:marRight w:val="0"/>
      <w:marTop w:val="0"/>
      <w:marBottom w:val="0"/>
      <w:divBdr>
        <w:top w:val="none" w:sz="0" w:space="0" w:color="auto"/>
        <w:left w:val="none" w:sz="0" w:space="0" w:color="auto"/>
        <w:bottom w:val="none" w:sz="0" w:space="0" w:color="auto"/>
        <w:right w:val="none" w:sz="0" w:space="0" w:color="auto"/>
      </w:divBdr>
    </w:div>
    <w:div w:id="265385018">
      <w:bodyDiv w:val="1"/>
      <w:marLeft w:val="0"/>
      <w:marRight w:val="0"/>
      <w:marTop w:val="0"/>
      <w:marBottom w:val="0"/>
      <w:divBdr>
        <w:top w:val="none" w:sz="0" w:space="0" w:color="auto"/>
        <w:left w:val="none" w:sz="0" w:space="0" w:color="auto"/>
        <w:bottom w:val="none" w:sz="0" w:space="0" w:color="auto"/>
        <w:right w:val="none" w:sz="0" w:space="0" w:color="auto"/>
      </w:divBdr>
    </w:div>
    <w:div w:id="282689007">
      <w:bodyDiv w:val="1"/>
      <w:marLeft w:val="0"/>
      <w:marRight w:val="0"/>
      <w:marTop w:val="0"/>
      <w:marBottom w:val="0"/>
      <w:divBdr>
        <w:top w:val="none" w:sz="0" w:space="0" w:color="auto"/>
        <w:left w:val="none" w:sz="0" w:space="0" w:color="auto"/>
        <w:bottom w:val="none" w:sz="0" w:space="0" w:color="auto"/>
        <w:right w:val="none" w:sz="0" w:space="0" w:color="auto"/>
      </w:divBdr>
    </w:div>
    <w:div w:id="290983807">
      <w:bodyDiv w:val="1"/>
      <w:marLeft w:val="0"/>
      <w:marRight w:val="0"/>
      <w:marTop w:val="0"/>
      <w:marBottom w:val="0"/>
      <w:divBdr>
        <w:top w:val="none" w:sz="0" w:space="0" w:color="auto"/>
        <w:left w:val="none" w:sz="0" w:space="0" w:color="auto"/>
        <w:bottom w:val="none" w:sz="0" w:space="0" w:color="auto"/>
        <w:right w:val="none" w:sz="0" w:space="0" w:color="auto"/>
      </w:divBdr>
    </w:div>
    <w:div w:id="319892465">
      <w:bodyDiv w:val="1"/>
      <w:marLeft w:val="0"/>
      <w:marRight w:val="0"/>
      <w:marTop w:val="0"/>
      <w:marBottom w:val="0"/>
      <w:divBdr>
        <w:top w:val="none" w:sz="0" w:space="0" w:color="auto"/>
        <w:left w:val="none" w:sz="0" w:space="0" w:color="auto"/>
        <w:bottom w:val="none" w:sz="0" w:space="0" w:color="auto"/>
        <w:right w:val="none" w:sz="0" w:space="0" w:color="auto"/>
      </w:divBdr>
    </w:div>
    <w:div w:id="324433790">
      <w:bodyDiv w:val="1"/>
      <w:marLeft w:val="0"/>
      <w:marRight w:val="0"/>
      <w:marTop w:val="0"/>
      <w:marBottom w:val="0"/>
      <w:divBdr>
        <w:top w:val="none" w:sz="0" w:space="0" w:color="auto"/>
        <w:left w:val="none" w:sz="0" w:space="0" w:color="auto"/>
        <w:bottom w:val="none" w:sz="0" w:space="0" w:color="auto"/>
        <w:right w:val="none" w:sz="0" w:space="0" w:color="auto"/>
      </w:divBdr>
      <w:divsChild>
        <w:div w:id="2040349394">
          <w:marLeft w:val="0"/>
          <w:marRight w:val="0"/>
          <w:marTop w:val="0"/>
          <w:marBottom w:val="0"/>
          <w:divBdr>
            <w:top w:val="none" w:sz="0" w:space="0" w:color="auto"/>
            <w:left w:val="none" w:sz="0" w:space="0" w:color="auto"/>
            <w:bottom w:val="none" w:sz="0" w:space="0" w:color="auto"/>
            <w:right w:val="none" w:sz="0" w:space="0" w:color="auto"/>
          </w:divBdr>
          <w:divsChild>
            <w:div w:id="3211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803805">
      <w:bodyDiv w:val="1"/>
      <w:marLeft w:val="0"/>
      <w:marRight w:val="0"/>
      <w:marTop w:val="0"/>
      <w:marBottom w:val="0"/>
      <w:divBdr>
        <w:top w:val="none" w:sz="0" w:space="0" w:color="auto"/>
        <w:left w:val="none" w:sz="0" w:space="0" w:color="auto"/>
        <w:bottom w:val="none" w:sz="0" w:space="0" w:color="auto"/>
        <w:right w:val="none" w:sz="0" w:space="0" w:color="auto"/>
      </w:divBdr>
    </w:div>
    <w:div w:id="377900551">
      <w:bodyDiv w:val="1"/>
      <w:marLeft w:val="0"/>
      <w:marRight w:val="0"/>
      <w:marTop w:val="0"/>
      <w:marBottom w:val="0"/>
      <w:divBdr>
        <w:top w:val="none" w:sz="0" w:space="0" w:color="auto"/>
        <w:left w:val="none" w:sz="0" w:space="0" w:color="auto"/>
        <w:bottom w:val="none" w:sz="0" w:space="0" w:color="auto"/>
        <w:right w:val="none" w:sz="0" w:space="0" w:color="auto"/>
      </w:divBdr>
    </w:div>
    <w:div w:id="397022982">
      <w:bodyDiv w:val="1"/>
      <w:marLeft w:val="0"/>
      <w:marRight w:val="0"/>
      <w:marTop w:val="0"/>
      <w:marBottom w:val="0"/>
      <w:divBdr>
        <w:top w:val="none" w:sz="0" w:space="0" w:color="auto"/>
        <w:left w:val="none" w:sz="0" w:space="0" w:color="auto"/>
        <w:bottom w:val="none" w:sz="0" w:space="0" w:color="auto"/>
        <w:right w:val="none" w:sz="0" w:space="0" w:color="auto"/>
      </w:divBdr>
      <w:divsChild>
        <w:div w:id="270866797">
          <w:marLeft w:val="0"/>
          <w:marRight w:val="0"/>
          <w:marTop w:val="0"/>
          <w:marBottom w:val="0"/>
          <w:divBdr>
            <w:top w:val="none" w:sz="0" w:space="0" w:color="auto"/>
            <w:left w:val="none" w:sz="0" w:space="0" w:color="auto"/>
            <w:bottom w:val="none" w:sz="0" w:space="0" w:color="auto"/>
            <w:right w:val="none" w:sz="0" w:space="0" w:color="auto"/>
          </w:divBdr>
          <w:divsChild>
            <w:div w:id="1381713442">
              <w:marLeft w:val="0"/>
              <w:marRight w:val="0"/>
              <w:marTop w:val="0"/>
              <w:marBottom w:val="0"/>
              <w:divBdr>
                <w:top w:val="none" w:sz="0" w:space="0" w:color="auto"/>
                <w:left w:val="none" w:sz="0" w:space="0" w:color="auto"/>
                <w:bottom w:val="none" w:sz="0" w:space="0" w:color="auto"/>
                <w:right w:val="none" w:sz="0" w:space="0" w:color="auto"/>
              </w:divBdr>
              <w:divsChild>
                <w:div w:id="2131242046">
                  <w:marLeft w:val="0"/>
                  <w:marRight w:val="0"/>
                  <w:marTop w:val="0"/>
                  <w:marBottom w:val="0"/>
                  <w:divBdr>
                    <w:top w:val="none" w:sz="0" w:space="0" w:color="auto"/>
                    <w:left w:val="none" w:sz="0" w:space="0" w:color="auto"/>
                    <w:bottom w:val="none" w:sz="0" w:space="0" w:color="auto"/>
                    <w:right w:val="none" w:sz="0" w:space="0" w:color="auto"/>
                  </w:divBdr>
                  <w:divsChild>
                    <w:div w:id="72568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677074">
          <w:marLeft w:val="0"/>
          <w:marRight w:val="0"/>
          <w:marTop w:val="0"/>
          <w:marBottom w:val="0"/>
          <w:divBdr>
            <w:top w:val="none" w:sz="0" w:space="0" w:color="auto"/>
            <w:left w:val="none" w:sz="0" w:space="0" w:color="auto"/>
            <w:bottom w:val="none" w:sz="0" w:space="0" w:color="auto"/>
            <w:right w:val="none" w:sz="0" w:space="0" w:color="auto"/>
          </w:divBdr>
          <w:divsChild>
            <w:div w:id="1328554662">
              <w:marLeft w:val="0"/>
              <w:marRight w:val="0"/>
              <w:marTop w:val="0"/>
              <w:marBottom w:val="0"/>
              <w:divBdr>
                <w:top w:val="none" w:sz="0" w:space="0" w:color="auto"/>
                <w:left w:val="none" w:sz="0" w:space="0" w:color="auto"/>
                <w:bottom w:val="none" w:sz="0" w:space="0" w:color="auto"/>
                <w:right w:val="none" w:sz="0" w:space="0" w:color="auto"/>
              </w:divBdr>
              <w:divsChild>
                <w:div w:id="1534727618">
                  <w:marLeft w:val="0"/>
                  <w:marRight w:val="0"/>
                  <w:marTop w:val="0"/>
                  <w:marBottom w:val="0"/>
                  <w:divBdr>
                    <w:top w:val="none" w:sz="0" w:space="0" w:color="auto"/>
                    <w:left w:val="none" w:sz="0" w:space="0" w:color="auto"/>
                    <w:bottom w:val="none" w:sz="0" w:space="0" w:color="auto"/>
                    <w:right w:val="none" w:sz="0" w:space="0" w:color="auto"/>
                  </w:divBdr>
                  <w:divsChild>
                    <w:div w:id="191300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8646471">
      <w:bodyDiv w:val="1"/>
      <w:marLeft w:val="0"/>
      <w:marRight w:val="0"/>
      <w:marTop w:val="0"/>
      <w:marBottom w:val="0"/>
      <w:divBdr>
        <w:top w:val="none" w:sz="0" w:space="0" w:color="auto"/>
        <w:left w:val="none" w:sz="0" w:space="0" w:color="auto"/>
        <w:bottom w:val="none" w:sz="0" w:space="0" w:color="auto"/>
        <w:right w:val="none" w:sz="0" w:space="0" w:color="auto"/>
      </w:divBdr>
    </w:div>
    <w:div w:id="419789973">
      <w:bodyDiv w:val="1"/>
      <w:marLeft w:val="0"/>
      <w:marRight w:val="0"/>
      <w:marTop w:val="0"/>
      <w:marBottom w:val="0"/>
      <w:divBdr>
        <w:top w:val="none" w:sz="0" w:space="0" w:color="auto"/>
        <w:left w:val="none" w:sz="0" w:space="0" w:color="auto"/>
        <w:bottom w:val="none" w:sz="0" w:space="0" w:color="auto"/>
        <w:right w:val="none" w:sz="0" w:space="0" w:color="auto"/>
      </w:divBdr>
    </w:div>
    <w:div w:id="426116408">
      <w:bodyDiv w:val="1"/>
      <w:marLeft w:val="0"/>
      <w:marRight w:val="0"/>
      <w:marTop w:val="0"/>
      <w:marBottom w:val="0"/>
      <w:divBdr>
        <w:top w:val="none" w:sz="0" w:space="0" w:color="auto"/>
        <w:left w:val="none" w:sz="0" w:space="0" w:color="auto"/>
        <w:bottom w:val="none" w:sz="0" w:space="0" w:color="auto"/>
        <w:right w:val="none" w:sz="0" w:space="0" w:color="auto"/>
      </w:divBdr>
    </w:div>
    <w:div w:id="426390790">
      <w:bodyDiv w:val="1"/>
      <w:marLeft w:val="0"/>
      <w:marRight w:val="0"/>
      <w:marTop w:val="0"/>
      <w:marBottom w:val="0"/>
      <w:divBdr>
        <w:top w:val="none" w:sz="0" w:space="0" w:color="auto"/>
        <w:left w:val="none" w:sz="0" w:space="0" w:color="auto"/>
        <w:bottom w:val="none" w:sz="0" w:space="0" w:color="auto"/>
        <w:right w:val="none" w:sz="0" w:space="0" w:color="auto"/>
      </w:divBdr>
      <w:divsChild>
        <w:div w:id="606621275">
          <w:marLeft w:val="0"/>
          <w:marRight w:val="0"/>
          <w:marTop w:val="0"/>
          <w:marBottom w:val="0"/>
          <w:divBdr>
            <w:top w:val="none" w:sz="0" w:space="0" w:color="auto"/>
            <w:left w:val="none" w:sz="0" w:space="0" w:color="auto"/>
            <w:bottom w:val="none" w:sz="0" w:space="0" w:color="auto"/>
            <w:right w:val="none" w:sz="0" w:space="0" w:color="auto"/>
          </w:divBdr>
          <w:divsChild>
            <w:div w:id="43818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448972">
      <w:bodyDiv w:val="1"/>
      <w:marLeft w:val="0"/>
      <w:marRight w:val="0"/>
      <w:marTop w:val="0"/>
      <w:marBottom w:val="0"/>
      <w:divBdr>
        <w:top w:val="none" w:sz="0" w:space="0" w:color="auto"/>
        <w:left w:val="none" w:sz="0" w:space="0" w:color="auto"/>
        <w:bottom w:val="none" w:sz="0" w:space="0" w:color="auto"/>
        <w:right w:val="none" w:sz="0" w:space="0" w:color="auto"/>
      </w:divBdr>
    </w:div>
    <w:div w:id="435491991">
      <w:bodyDiv w:val="1"/>
      <w:marLeft w:val="0"/>
      <w:marRight w:val="0"/>
      <w:marTop w:val="0"/>
      <w:marBottom w:val="0"/>
      <w:divBdr>
        <w:top w:val="none" w:sz="0" w:space="0" w:color="auto"/>
        <w:left w:val="none" w:sz="0" w:space="0" w:color="auto"/>
        <w:bottom w:val="none" w:sz="0" w:space="0" w:color="auto"/>
        <w:right w:val="none" w:sz="0" w:space="0" w:color="auto"/>
      </w:divBdr>
    </w:div>
    <w:div w:id="435907198">
      <w:bodyDiv w:val="1"/>
      <w:marLeft w:val="0"/>
      <w:marRight w:val="0"/>
      <w:marTop w:val="0"/>
      <w:marBottom w:val="0"/>
      <w:divBdr>
        <w:top w:val="none" w:sz="0" w:space="0" w:color="auto"/>
        <w:left w:val="none" w:sz="0" w:space="0" w:color="auto"/>
        <w:bottom w:val="none" w:sz="0" w:space="0" w:color="auto"/>
        <w:right w:val="none" w:sz="0" w:space="0" w:color="auto"/>
      </w:divBdr>
    </w:div>
    <w:div w:id="437719750">
      <w:bodyDiv w:val="1"/>
      <w:marLeft w:val="0"/>
      <w:marRight w:val="0"/>
      <w:marTop w:val="0"/>
      <w:marBottom w:val="0"/>
      <w:divBdr>
        <w:top w:val="none" w:sz="0" w:space="0" w:color="auto"/>
        <w:left w:val="none" w:sz="0" w:space="0" w:color="auto"/>
        <w:bottom w:val="none" w:sz="0" w:space="0" w:color="auto"/>
        <w:right w:val="none" w:sz="0" w:space="0" w:color="auto"/>
      </w:divBdr>
      <w:divsChild>
        <w:div w:id="1387267056">
          <w:marLeft w:val="0"/>
          <w:marRight w:val="0"/>
          <w:marTop w:val="0"/>
          <w:marBottom w:val="0"/>
          <w:divBdr>
            <w:top w:val="none" w:sz="0" w:space="0" w:color="auto"/>
            <w:left w:val="none" w:sz="0" w:space="0" w:color="auto"/>
            <w:bottom w:val="none" w:sz="0" w:space="0" w:color="auto"/>
            <w:right w:val="none" w:sz="0" w:space="0" w:color="auto"/>
          </w:divBdr>
          <w:divsChild>
            <w:div w:id="64836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279984">
      <w:bodyDiv w:val="1"/>
      <w:marLeft w:val="0"/>
      <w:marRight w:val="0"/>
      <w:marTop w:val="0"/>
      <w:marBottom w:val="0"/>
      <w:divBdr>
        <w:top w:val="none" w:sz="0" w:space="0" w:color="auto"/>
        <w:left w:val="none" w:sz="0" w:space="0" w:color="auto"/>
        <w:bottom w:val="none" w:sz="0" w:space="0" w:color="auto"/>
        <w:right w:val="none" w:sz="0" w:space="0" w:color="auto"/>
      </w:divBdr>
    </w:div>
    <w:div w:id="495456048">
      <w:bodyDiv w:val="1"/>
      <w:marLeft w:val="0"/>
      <w:marRight w:val="0"/>
      <w:marTop w:val="0"/>
      <w:marBottom w:val="0"/>
      <w:divBdr>
        <w:top w:val="none" w:sz="0" w:space="0" w:color="auto"/>
        <w:left w:val="none" w:sz="0" w:space="0" w:color="auto"/>
        <w:bottom w:val="none" w:sz="0" w:space="0" w:color="auto"/>
        <w:right w:val="none" w:sz="0" w:space="0" w:color="auto"/>
      </w:divBdr>
    </w:div>
    <w:div w:id="520779510">
      <w:bodyDiv w:val="1"/>
      <w:marLeft w:val="0"/>
      <w:marRight w:val="0"/>
      <w:marTop w:val="0"/>
      <w:marBottom w:val="0"/>
      <w:divBdr>
        <w:top w:val="none" w:sz="0" w:space="0" w:color="auto"/>
        <w:left w:val="none" w:sz="0" w:space="0" w:color="auto"/>
        <w:bottom w:val="none" w:sz="0" w:space="0" w:color="auto"/>
        <w:right w:val="none" w:sz="0" w:space="0" w:color="auto"/>
      </w:divBdr>
    </w:div>
    <w:div w:id="525870262">
      <w:bodyDiv w:val="1"/>
      <w:marLeft w:val="0"/>
      <w:marRight w:val="0"/>
      <w:marTop w:val="0"/>
      <w:marBottom w:val="0"/>
      <w:divBdr>
        <w:top w:val="none" w:sz="0" w:space="0" w:color="auto"/>
        <w:left w:val="none" w:sz="0" w:space="0" w:color="auto"/>
        <w:bottom w:val="none" w:sz="0" w:space="0" w:color="auto"/>
        <w:right w:val="none" w:sz="0" w:space="0" w:color="auto"/>
      </w:divBdr>
    </w:div>
    <w:div w:id="529033687">
      <w:bodyDiv w:val="1"/>
      <w:marLeft w:val="0"/>
      <w:marRight w:val="0"/>
      <w:marTop w:val="0"/>
      <w:marBottom w:val="0"/>
      <w:divBdr>
        <w:top w:val="none" w:sz="0" w:space="0" w:color="auto"/>
        <w:left w:val="none" w:sz="0" w:space="0" w:color="auto"/>
        <w:bottom w:val="none" w:sz="0" w:space="0" w:color="auto"/>
        <w:right w:val="none" w:sz="0" w:space="0" w:color="auto"/>
      </w:divBdr>
      <w:divsChild>
        <w:div w:id="110439878">
          <w:marLeft w:val="0"/>
          <w:marRight w:val="0"/>
          <w:marTop w:val="0"/>
          <w:marBottom w:val="0"/>
          <w:divBdr>
            <w:top w:val="none" w:sz="0" w:space="0" w:color="auto"/>
            <w:left w:val="none" w:sz="0" w:space="0" w:color="auto"/>
            <w:bottom w:val="none" w:sz="0" w:space="0" w:color="auto"/>
            <w:right w:val="none" w:sz="0" w:space="0" w:color="auto"/>
          </w:divBdr>
          <w:divsChild>
            <w:div w:id="95066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951062">
      <w:bodyDiv w:val="1"/>
      <w:marLeft w:val="0"/>
      <w:marRight w:val="0"/>
      <w:marTop w:val="0"/>
      <w:marBottom w:val="0"/>
      <w:divBdr>
        <w:top w:val="none" w:sz="0" w:space="0" w:color="auto"/>
        <w:left w:val="none" w:sz="0" w:space="0" w:color="auto"/>
        <w:bottom w:val="none" w:sz="0" w:space="0" w:color="auto"/>
        <w:right w:val="none" w:sz="0" w:space="0" w:color="auto"/>
      </w:divBdr>
    </w:div>
    <w:div w:id="561791805">
      <w:bodyDiv w:val="1"/>
      <w:marLeft w:val="0"/>
      <w:marRight w:val="0"/>
      <w:marTop w:val="0"/>
      <w:marBottom w:val="0"/>
      <w:divBdr>
        <w:top w:val="none" w:sz="0" w:space="0" w:color="auto"/>
        <w:left w:val="none" w:sz="0" w:space="0" w:color="auto"/>
        <w:bottom w:val="none" w:sz="0" w:space="0" w:color="auto"/>
        <w:right w:val="none" w:sz="0" w:space="0" w:color="auto"/>
      </w:divBdr>
    </w:div>
    <w:div w:id="575168177">
      <w:bodyDiv w:val="1"/>
      <w:marLeft w:val="0"/>
      <w:marRight w:val="0"/>
      <w:marTop w:val="0"/>
      <w:marBottom w:val="0"/>
      <w:divBdr>
        <w:top w:val="none" w:sz="0" w:space="0" w:color="auto"/>
        <w:left w:val="none" w:sz="0" w:space="0" w:color="auto"/>
        <w:bottom w:val="none" w:sz="0" w:space="0" w:color="auto"/>
        <w:right w:val="none" w:sz="0" w:space="0" w:color="auto"/>
      </w:divBdr>
    </w:div>
    <w:div w:id="586615646">
      <w:bodyDiv w:val="1"/>
      <w:marLeft w:val="0"/>
      <w:marRight w:val="0"/>
      <w:marTop w:val="0"/>
      <w:marBottom w:val="0"/>
      <w:divBdr>
        <w:top w:val="none" w:sz="0" w:space="0" w:color="auto"/>
        <w:left w:val="none" w:sz="0" w:space="0" w:color="auto"/>
        <w:bottom w:val="none" w:sz="0" w:space="0" w:color="auto"/>
        <w:right w:val="none" w:sz="0" w:space="0" w:color="auto"/>
      </w:divBdr>
      <w:divsChild>
        <w:div w:id="1148668781">
          <w:marLeft w:val="0"/>
          <w:marRight w:val="0"/>
          <w:marTop w:val="0"/>
          <w:marBottom w:val="0"/>
          <w:divBdr>
            <w:top w:val="none" w:sz="0" w:space="0" w:color="auto"/>
            <w:left w:val="none" w:sz="0" w:space="0" w:color="auto"/>
            <w:bottom w:val="none" w:sz="0" w:space="0" w:color="auto"/>
            <w:right w:val="none" w:sz="0" w:space="0" w:color="auto"/>
          </w:divBdr>
          <w:divsChild>
            <w:div w:id="1286043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649715">
      <w:bodyDiv w:val="1"/>
      <w:marLeft w:val="0"/>
      <w:marRight w:val="0"/>
      <w:marTop w:val="0"/>
      <w:marBottom w:val="0"/>
      <w:divBdr>
        <w:top w:val="none" w:sz="0" w:space="0" w:color="auto"/>
        <w:left w:val="none" w:sz="0" w:space="0" w:color="auto"/>
        <w:bottom w:val="none" w:sz="0" w:space="0" w:color="auto"/>
        <w:right w:val="none" w:sz="0" w:space="0" w:color="auto"/>
      </w:divBdr>
    </w:div>
    <w:div w:id="636835839">
      <w:bodyDiv w:val="1"/>
      <w:marLeft w:val="0"/>
      <w:marRight w:val="0"/>
      <w:marTop w:val="0"/>
      <w:marBottom w:val="0"/>
      <w:divBdr>
        <w:top w:val="none" w:sz="0" w:space="0" w:color="auto"/>
        <w:left w:val="none" w:sz="0" w:space="0" w:color="auto"/>
        <w:bottom w:val="none" w:sz="0" w:space="0" w:color="auto"/>
        <w:right w:val="none" w:sz="0" w:space="0" w:color="auto"/>
      </w:divBdr>
    </w:div>
    <w:div w:id="700059964">
      <w:bodyDiv w:val="1"/>
      <w:marLeft w:val="0"/>
      <w:marRight w:val="0"/>
      <w:marTop w:val="0"/>
      <w:marBottom w:val="0"/>
      <w:divBdr>
        <w:top w:val="none" w:sz="0" w:space="0" w:color="auto"/>
        <w:left w:val="none" w:sz="0" w:space="0" w:color="auto"/>
        <w:bottom w:val="none" w:sz="0" w:space="0" w:color="auto"/>
        <w:right w:val="none" w:sz="0" w:space="0" w:color="auto"/>
      </w:divBdr>
    </w:div>
    <w:div w:id="723022849">
      <w:bodyDiv w:val="1"/>
      <w:marLeft w:val="0"/>
      <w:marRight w:val="0"/>
      <w:marTop w:val="0"/>
      <w:marBottom w:val="0"/>
      <w:divBdr>
        <w:top w:val="none" w:sz="0" w:space="0" w:color="auto"/>
        <w:left w:val="none" w:sz="0" w:space="0" w:color="auto"/>
        <w:bottom w:val="none" w:sz="0" w:space="0" w:color="auto"/>
        <w:right w:val="none" w:sz="0" w:space="0" w:color="auto"/>
      </w:divBdr>
    </w:div>
    <w:div w:id="738672661">
      <w:bodyDiv w:val="1"/>
      <w:marLeft w:val="0"/>
      <w:marRight w:val="0"/>
      <w:marTop w:val="0"/>
      <w:marBottom w:val="0"/>
      <w:divBdr>
        <w:top w:val="none" w:sz="0" w:space="0" w:color="auto"/>
        <w:left w:val="none" w:sz="0" w:space="0" w:color="auto"/>
        <w:bottom w:val="none" w:sz="0" w:space="0" w:color="auto"/>
        <w:right w:val="none" w:sz="0" w:space="0" w:color="auto"/>
      </w:divBdr>
    </w:div>
    <w:div w:id="758527632">
      <w:bodyDiv w:val="1"/>
      <w:marLeft w:val="0"/>
      <w:marRight w:val="0"/>
      <w:marTop w:val="0"/>
      <w:marBottom w:val="0"/>
      <w:divBdr>
        <w:top w:val="none" w:sz="0" w:space="0" w:color="auto"/>
        <w:left w:val="none" w:sz="0" w:space="0" w:color="auto"/>
        <w:bottom w:val="none" w:sz="0" w:space="0" w:color="auto"/>
        <w:right w:val="none" w:sz="0" w:space="0" w:color="auto"/>
      </w:divBdr>
    </w:div>
    <w:div w:id="837309992">
      <w:bodyDiv w:val="1"/>
      <w:marLeft w:val="0"/>
      <w:marRight w:val="0"/>
      <w:marTop w:val="0"/>
      <w:marBottom w:val="0"/>
      <w:divBdr>
        <w:top w:val="none" w:sz="0" w:space="0" w:color="auto"/>
        <w:left w:val="none" w:sz="0" w:space="0" w:color="auto"/>
        <w:bottom w:val="none" w:sz="0" w:space="0" w:color="auto"/>
        <w:right w:val="none" w:sz="0" w:space="0" w:color="auto"/>
      </w:divBdr>
    </w:div>
    <w:div w:id="840122255">
      <w:bodyDiv w:val="1"/>
      <w:marLeft w:val="0"/>
      <w:marRight w:val="0"/>
      <w:marTop w:val="0"/>
      <w:marBottom w:val="0"/>
      <w:divBdr>
        <w:top w:val="none" w:sz="0" w:space="0" w:color="auto"/>
        <w:left w:val="none" w:sz="0" w:space="0" w:color="auto"/>
        <w:bottom w:val="none" w:sz="0" w:space="0" w:color="auto"/>
        <w:right w:val="none" w:sz="0" w:space="0" w:color="auto"/>
      </w:divBdr>
    </w:div>
    <w:div w:id="879442959">
      <w:bodyDiv w:val="1"/>
      <w:marLeft w:val="0"/>
      <w:marRight w:val="0"/>
      <w:marTop w:val="0"/>
      <w:marBottom w:val="0"/>
      <w:divBdr>
        <w:top w:val="none" w:sz="0" w:space="0" w:color="auto"/>
        <w:left w:val="none" w:sz="0" w:space="0" w:color="auto"/>
        <w:bottom w:val="none" w:sz="0" w:space="0" w:color="auto"/>
        <w:right w:val="none" w:sz="0" w:space="0" w:color="auto"/>
      </w:divBdr>
    </w:div>
    <w:div w:id="901793205">
      <w:bodyDiv w:val="1"/>
      <w:marLeft w:val="0"/>
      <w:marRight w:val="0"/>
      <w:marTop w:val="0"/>
      <w:marBottom w:val="0"/>
      <w:divBdr>
        <w:top w:val="none" w:sz="0" w:space="0" w:color="auto"/>
        <w:left w:val="none" w:sz="0" w:space="0" w:color="auto"/>
        <w:bottom w:val="none" w:sz="0" w:space="0" w:color="auto"/>
        <w:right w:val="none" w:sz="0" w:space="0" w:color="auto"/>
      </w:divBdr>
    </w:div>
    <w:div w:id="944309687">
      <w:bodyDiv w:val="1"/>
      <w:marLeft w:val="0"/>
      <w:marRight w:val="0"/>
      <w:marTop w:val="0"/>
      <w:marBottom w:val="0"/>
      <w:divBdr>
        <w:top w:val="none" w:sz="0" w:space="0" w:color="auto"/>
        <w:left w:val="none" w:sz="0" w:space="0" w:color="auto"/>
        <w:bottom w:val="none" w:sz="0" w:space="0" w:color="auto"/>
        <w:right w:val="none" w:sz="0" w:space="0" w:color="auto"/>
      </w:divBdr>
    </w:div>
    <w:div w:id="961962674">
      <w:bodyDiv w:val="1"/>
      <w:marLeft w:val="0"/>
      <w:marRight w:val="0"/>
      <w:marTop w:val="0"/>
      <w:marBottom w:val="0"/>
      <w:divBdr>
        <w:top w:val="none" w:sz="0" w:space="0" w:color="auto"/>
        <w:left w:val="none" w:sz="0" w:space="0" w:color="auto"/>
        <w:bottom w:val="none" w:sz="0" w:space="0" w:color="auto"/>
        <w:right w:val="none" w:sz="0" w:space="0" w:color="auto"/>
      </w:divBdr>
    </w:div>
    <w:div w:id="974680333">
      <w:bodyDiv w:val="1"/>
      <w:marLeft w:val="0"/>
      <w:marRight w:val="0"/>
      <w:marTop w:val="0"/>
      <w:marBottom w:val="0"/>
      <w:divBdr>
        <w:top w:val="none" w:sz="0" w:space="0" w:color="auto"/>
        <w:left w:val="none" w:sz="0" w:space="0" w:color="auto"/>
        <w:bottom w:val="none" w:sz="0" w:space="0" w:color="auto"/>
        <w:right w:val="none" w:sz="0" w:space="0" w:color="auto"/>
      </w:divBdr>
    </w:div>
    <w:div w:id="984120901">
      <w:bodyDiv w:val="1"/>
      <w:marLeft w:val="0"/>
      <w:marRight w:val="0"/>
      <w:marTop w:val="0"/>
      <w:marBottom w:val="0"/>
      <w:divBdr>
        <w:top w:val="none" w:sz="0" w:space="0" w:color="auto"/>
        <w:left w:val="none" w:sz="0" w:space="0" w:color="auto"/>
        <w:bottom w:val="none" w:sz="0" w:space="0" w:color="auto"/>
        <w:right w:val="none" w:sz="0" w:space="0" w:color="auto"/>
      </w:divBdr>
    </w:div>
    <w:div w:id="984818054">
      <w:bodyDiv w:val="1"/>
      <w:marLeft w:val="0"/>
      <w:marRight w:val="0"/>
      <w:marTop w:val="0"/>
      <w:marBottom w:val="0"/>
      <w:divBdr>
        <w:top w:val="none" w:sz="0" w:space="0" w:color="auto"/>
        <w:left w:val="none" w:sz="0" w:space="0" w:color="auto"/>
        <w:bottom w:val="none" w:sz="0" w:space="0" w:color="auto"/>
        <w:right w:val="none" w:sz="0" w:space="0" w:color="auto"/>
      </w:divBdr>
    </w:div>
    <w:div w:id="1017929005">
      <w:bodyDiv w:val="1"/>
      <w:marLeft w:val="0"/>
      <w:marRight w:val="0"/>
      <w:marTop w:val="0"/>
      <w:marBottom w:val="0"/>
      <w:divBdr>
        <w:top w:val="none" w:sz="0" w:space="0" w:color="auto"/>
        <w:left w:val="none" w:sz="0" w:space="0" w:color="auto"/>
        <w:bottom w:val="none" w:sz="0" w:space="0" w:color="auto"/>
        <w:right w:val="none" w:sz="0" w:space="0" w:color="auto"/>
      </w:divBdr>
      <w:divsChild>
        <w:div w:id="1297876093">
          <w:marLeft w:val="0"/>
          <w:marRight w:val="0"/>
          <w:marTop w:val="0"/>
          <w:marBottom w:val="0"/>
          <w:divBdr>
            <w:top w:val="none" w:sz="0" w:space="0" w:color="auto"/>
            <w:left w:val="none" w:sz="0" w:space="0" w:color="auto"/>
            <w:bottom w:val="none" w:sz="0" w:space="0" w:color="auto"/>
            <w:right w:val="none" w:sz="0" w:space="0" w:color="auto"/>
          </w:divBdr>
          <w:divsChild>
            <w:div w:id="30913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604711">
      <w:bodyDiv w:val="1"/>
      <w:marLeft w:val="0"/>
      <w:marRight w:val="0"/>
      <w:marTop w:val="0"/>
      <w:marBottom w:val="0"/>
      <w:divBdr>
        <w:top w:val="none" w:sz="0" w:space="0" w:color="auto"/>
        <w:left w:val="none" w:sz="0" w:space="0" w:color="auto"/>
        <w:bottom w:val="none" w:sz="0" w:space="0" w:color="auto"/>
        <w:right w:val="none" w:sz="0" w:space="0" w:color="auto"/>
      </w:divBdr>
    </w:div>
    <w:div w:id="1033924412">
      <w:bodyDiv w:val="1"/>
      <w:marLeft w:val="0"/>
      <w:marRight w:val="0"/>
      <w:marTop w:val="0"/>
      <w:marBottom w:val="0"/>
      <w:divBdr>
        <w:top w:val="none" w:sz="0" w:space="0" w:color="auto"/>
        <w:left w:val="none" w:sz="0" w:space="0" w:color="auto"/>
        <w:bottom w:val="none" w:sz="0" w:space="0" w:color="auto"/>
        <w:right w:val="none" w:sz="0" w:space="0" w:color="auto"/>
      </w:divBdr>
      <w:divsChild>
        <w:div w:id="1894850565">
          <w:marLeft w:val="0"/>
          <w:marRight w:val="0"/>
          <w:marTop w:val="0"/>
          <w:marBottom w:val="0"/>
          <w:divBdr>
            <w:top w:val="none" w:sz="0" w:space="0" w:color="auto"/>
            <w:left w:val="none" w:sz="0" w:space="0" w:color="auto"/>
            <w:bottom w:val="none" w:sz="0" w:space="0" w:color="auto"/>
            <w:right w:val="none" w:sz="0" w:space="0" w:color="auto"/>
          </w:divBdr>
          <w:divsChild>
            <w:div w:id="93331848">
              <w:marLeft w:val="0"/>
              <w:marRight w:val="0"/>
              <w:marTop w:val="0"/>
              <w:marBottom w:val="0"/>
              <w:divBdr>
                <w:top w:val="none" w:sz="0" w:space="0" w:color="auto"/>
                <w:left w:val="none" w:sz="0" w:space="0" w:color="auto"/>
                <w:bottom w:val="none" w:sz="0" w:space="0" w:color="auto"/>
                <w:right w:val="none" w:sz="0" w:space="0" w:color="auto"/>
              </w:divBdr>
              <w:divsChild>
                <w:div w:id="1714184546">
                  <w:marLeft w:val="0"/>
                  <w:marRight w:val="0"/>
                  <w:marTop w:val="0"/>
                  <w:marBottom w:val="0"/>
                  <w:divBdr>
                    <w:top w:val="none" w:sz="0" w:space="0" w:color="auto"/>
                    <w:left w:val="none" w:sz="0" w:space="0" w:color="auto"/>
                    <w:bottom w:val="none" w:sz="0" w:space="0" w:color="auto"/>
                    <w:right w:val="none" w:sz="0" w:space="0" w:color="auto"/>
                  </w:divBdr>
                  <w:divsChild>
                    <w:div w:id="67673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043335">
          <w:marLeft w:val="0"/>
          <w:marRight w:val="0"/>
          <w:marTop w:val="0"/>
          <w:marBottom w:val="0"/>
          <w:divBdr>
            <w:top w:val="none" w:sz="0" w:space="0" w:color="auto"/>
            <w:left w:val="none" w:sz="0" w:space="0" w:color="auto"/>
            <w:bottom w:val="none" w:sz="0" w:space="0" w:color="auto"/>
            <w:right w:val="none" w:sz="0" w:space="0" w:color="auto"/>
          </w:divBdr>
          <w:divsChild>
            <w:div w:id="1692872949">
              <w:marLeft w:val="0"/>
              <w:marRight w:val="0"/>
              <w:marTop w:val="0"/>
              <w:marBottom w:val="0"/>
              <w:divBdr>
                <w:top w:val="none" w:sz="0" w:space="0" w:color="auto"/>
                <w:left w:val="none" w:sz="0" w:space="0" w:color="auto"/>
                <w:bottom w:val="none" w:sz="0" w:space="0" w:color="auto"/>
                <w:right w:val="none" w:sz="0" w:space="0" w:color="auto"/>
              </w:divBdr>
              <w:divsChild>
                <w:div w:id="1500316051">
                  <w:marLeft w:val="0"/>
                  <w:marRight w:val="0"/>
                  <w:marTop w:val="0"/>
                  <w:marBottom w:val="0"/>
                  <w:divBdr>
                    <w:top w:val="none" w:sz="0" w:space="0" w:color="auto"/>
                    <w:left w:val="none" w:sz="0" w:space="0" w:color="auto"/>
                    <w:bottom w:val="none" w:sz="0" w:space="0" w:color="auto"/>
                    <w:right w:val="none" w:sz="0" w:space="0" w:color="auto"/>
                  </w:divBdr>
                  <w:divsChild>
                    <w:div w:id="192579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2538851">
      <w:bodyDiv w:val="1"/>
      <w:marLeft w:val="0"/>
      <w:marRight w:val="0"/>
      <w:marTop w:val="0"/>
      <w:marBottom w:val="0"/>
      <w:divBdr>
        <w:top w:val="none" w:sz="0" w:space="0" w:color="auto"/>
        <w:left w:val="none" w:sz="0" w:space="0" w:color="auto"/>
        <w:bottom w:val="none" w:sz="0" w:space="0" w:color="auto"/>
        <w:right w:val="none" w:sz="0" w:space="0" w:color="auto"/>
      </w:divBdr>
    </w:div>
    <w:div w:id="1177771902">
      <w:bodyDiv w:val="1"/>
      <w:marLeft w:val="0"/>
      <w:marRight w:val="0"/>
      <w:marTop w:val="0"/>
      <w:marBottom w:val="0"/>
      <w:divBdr>
        <w:top w:val="none" w:sz="0" w:space="0" w:color="auto"/>
        <w:left w:val="none" w:sz="0" w:space="0" w:color="auto"/>
        <w:bottom w:val="none" w:sz="0" w:space="0" w:color="auto"/>
        <w:right w:val="none" w:sz="0" w:space="0" w:color="auto"/>
      </w:divBdr>
    </w:div>
    <w:div w:id="1184127925">
      <w:bodyDiv w:val="1"/>
      <w:marLeft w:val="0"/>
      <w:marRight w:val="0"/>
      <w:marTop w:val="0"/>
      <w:marBottom w:val="0"/>
      <w:divBdr>
        <w:top w:val="none" w:sz="0" w:space="0" w:color="auto"/>
        <w:left w:val="none" w:sz="0" w:space="0" w:color="auto"/>
        <w:bottom w:val="none" w:sz="0" w:space="0" w:color="auto"/>
        <w:right w:val="none" w:sz="0" w:space="0" w:color="auto"/>
      </w:divBdr>
    </w:div>
    <w:div w:id="1185172133">
      <w:bodyDiv w:val="1"/>
      <w:marLeft w:val="0"/>
      <w:marRight w:val="0"/>
      <w:marTop w:val="0"/>
      <w:marBottom w:val="0"/>
      <w:divBdr>
        <w:top w:val="none" w:sz="0" w:space="0" w:color="auto"/>
        <w:left w:val="none" w:sz="0" w:space="0" w:color="auto"/>
        <w:bottom w:val="none" w:sz="0" w:space="0" w:color="auto"/>
        <w:right w:val="none" w:sz="0" w:space="0" w:color="auto"/>
      </w:divBdr>
      <w:divsChild>
        <w:div w:id="2072923700">
          <w:marLeft w:val="0"/>
          <w:marRight w:val="0"/>
          <w:marTop w:val="0"/>
          <w:marBottom w:val="0"/>
          <w:divBdr>
            <w:top w:val="none" w:sz="0" w:space="0" w:color="auto"/>
            <w:left w:val="none" w:sz="0" w:space="0" w:color="auto"/>
            <w:bottom w:val="none" w:sz="0" w:space="0" w:color="auto"/>
            <w:right w:val="none" w:sz="0" w:space="0" w:color="auto"/>
          </w:divBdr>
          <w:divsChild>
            <w:div w:id="96477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154608">
      <w:bodyDiv w:val="1"/>
      <w:marLeft w:val="0"/>
      <w:marRight w:val="0"/>
      <w:marTop w:val="0"/>
      <w:marBottom w:val="0"/>
      <w:divBdr>
        <w:top w:val="none" w:sz="0" w:space="0" w:color="auto"/>
        <w:left w:val="none" w:sz="0" w:space="0" w:color="auto"/>
        <w:bottom w:val="none" w:sz="0" w:space="0" w:color="auto"/>
        <w:right w:val="none" w:sz="0" w:space="0" w:color="auto"/>
      </w:divBdr>
    </w:div>
    <w:div w:id="1220946403">
      <w:bodyDiv w:val="1"/>
      <w:marLeft w:val="0"/>
      <w:marRight w:val="0"/>
      <w:marTop w:val="0"/>
      <w:marBottom w:val="0"/>
      <w:divBdr>
        <w:top w:val="none" w:sz="0" w:space="0" w:color="auto"/>
        <w:left w:val="none" w:sz="0" w:space="0" w:color="auto"/>
        <w:bottom w:val="none" w:sz="0" w:space="0" w:color="auto"/>
        <w:right w:val="none" w:sz="0" w:space="0" w:color="auto"/>
      </w:divBdr>
    </w:div>
    <w:div w:id="1315262367">
      <w:bodyDiv w:val="1"/>
      <w:marLeft w:val="0"/>
      <w:marRight w:val="0"/>
      <w:marTop w:val="0"/>
      <w:marBottom w:val="0"/>
      <w:divBdr>
        <w:top w:val="none" w:sz="0" w:space="0" w:color="auto"/>
        <w:left w:val="none" w:sz="0" w:space="0" w:color="auto"/>
        <w:bottom w:val="none" w:sz="0" w:space="0" w:color="auto"/>
        <w:right w:val="none" w:sz="0" w:space="0" w:color="auto"/>
      </w:divBdr>
      <w:divsChild>
        <w:div w:id="421879016">
          <w:marLeft w:val="0"/>
          <w:marRight w:val="0"/>
          <w:marTop w:val="0"/>
          <w:marBottom w:val="0"/>
          <w:divBdr>
            <w:top w:val="none" w:sz="0" w:space="0" w:color="auto"/>
            <w:left w:val="none" w:sz="0" w:space="0" w:color="auto"/>
            <w:bottom w:val="none" w:sz="0" w:space="0" w:color="auto"/>
            <w:right w:val="none" w:sz="0" w:space="0" w:color="auto"/>
          </w:divBdr>
          <w:divsChild>
            <w:div w:id="8075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415421">
      <w:bodyDiv w:val="1"/>
      <w:marLeft w:val="0"/>
      <w:marRight w:val="0"/>
      <w:marTop w:val="0"/>
      <w:marBottom w:val="0"/>
      <w:divBdr>
        <w:top w:val="none" w:sz="0" w:space="0" w:color="auto"/>
        <w:left w:val="none" w:sz="0" w:space="0" w:color="auto"/>
        <w:bottom w:val="none" w:sz="0" w:space="0" w:color="auto"/>
        <w:right w:val="none" w:sz="0" w:space="0" w:color="auto"/>
      </w:divBdr>
    </w:div>
    <w:div w:id="1321888620">
      <w:bodyDiv w:val="1"/>
      <w:marLeft w:val="0"/>
      <w:marRight w:val="0"/>
      <w:marTop w:val="0"/>
      <w:marBottom w:val="0"/>
      <w:divBdr>
        <w:top w:val="none" w:sz="0" w:space="0" w:color="auto"/>
        <w:left w:val="none" w:sz="0" w:space="0" w:color="auto"/>
        <w:bottom w:val="none" w:sz="0" w:space="0" w:color="auto"/>
        <w:right w:val="none" w:sz="0" w:space="0" w:color="auto"/>
      </w:divBdr>
    </w:div>
    <w:div w:id="1336767641">
      <w:bodyDiv w:val="1"/>
      <w:marLeft w:val="0"/>
      <w:marRight w:val="0"/>
      <w:marTop w:val="0"/>
      <w:marBottom w:val="0"/>
      <w:divBdr>
        <w:top w:val="none" w:sz="0" w:space="0" w:color="auto"/>
        <w:left w:val="none" w:sz="0" w:space="0" w:color="auto"/>
        <w:bottom w:val="none" w:sz="0" w:space="0" w:color="auto"/>
        <w:right w:val="none" w:sz="0" w:space="0" w:color="auto"/>
      </w:divBdr>
    </w:div>
    <w:div w:id="1354838334">
      <w:bodyDiv w:val="1"/>
      <w:marLeft w:val="0"/>
      <w:marRight w:val="0"/>
      <w:marTop w:val="0"/>
      <w:marBottom w:val="0"/>
      <w:divBdr>
        <w:top w:val="none" w:sz="0" w:space="0" w:color="auto"/>
        <w:left w:val="none" w:sz="0" w:space="0" w:color="auto"/>
        <w:bottom w:val="none" w:sz="0" w:space="0" w:color="auto"/>
        <w:right w:val="none" w:sz="0" w:space="0" w:color="auto"/>
      </w:divBdr>
    </w:div>
    <w:div w:id="1357921699">
      <w:bodyDiv w:val="1"/>
      <w:marLeft w:val="0"/>
      <w:marRight w:val="0"/>
      <w:marTop w:val="0"/>
      <w:marBottom w:val="0"/>
      <w:divBdr>
        <w:top w:val="none" w:sz="0" w:space="0" w:color="auto"/>
        <w:left w:val="none" w:sz="0" w:space="0" w:color="auto"/>
        <w:bottom w:val="none" w:sz="0" w:space="0" w:color="auto"/>
        <w:right w:val="none" w:sz="0" w:space="0" w:color="auto"/>
      </w:divBdr>
    </w:div>
    <w:div w:id="1417704105">
      <w:bodyDiv w:val="1"/>
      <w:marLeft w:val="0"/>
      <w:marRight w:val="0"/>
      <w:marTop w:val="0"/>
      <w:marBottom w:val="0"/>
      <w:divBdr>
        <w:top w:val="none" w:sz="0" w:space="0" w:color="auto"/>
        <w:left w:val="none" w:sz="0" w:space="0" w:color="auto"/>
        <w:bottom w:val="none" w:sz="0" w:space="0" w:color="auto"/>
        <w:right w:val="none" w:sz="0" w:space="0" w:color="auto"/>
      </w:divBdr>
    </w:div>
    <w:div w:id="1423642768">
      <w:bodyDiv w:val="1"/>
      <w:marLeft w:val="0"/>
      <w:marRight w:val="0"/>
      <w:marTop w:val="0"/>
      <w:marBottom w:val="0"/>
      <w:divBdr>
        <w:top w:val="none" w:sz="0" w:space="0" w:color="auto"/>
        <w:left w:val="none" w:sz="0" w:space="0" w:color="auto"/>
        <w:bottom w:val="none" w:sz="0" w:space="0" w:color="auto"/>
        <w:right w:val="none" w:sz="0" w:space="0" w:color="auto"/>
      </w:divBdr>
    </w:div>
    <w:div w:id="1429085980">
      <w:bodyDiv w:val="1"/>
      <w:marLeft w:val="0"/>
      <w:marRight w:val="0"/>
      <w:marTop w:val="0"/>
      <w:marBottom w:val="0"/>
      <w:divBdr>
        <w:top w:val="none" w:sz="0" w:space="0" w:color="auto"/>
        <w:left w:val="none" w:sz="0" w:space="0" w:color="auto"/>
        <w:bottom w:val="none" w:sz="0" w:space="0" w:color="auto"/>
        <w:right w:val="none" w:sz="0" w:space="0" w:color="auto"/>
      </w:divBdr>
    </w:div>
    <w:div w:id="1451894326">
      <w:bodyDiv w:val="1"/>
      <w:marLeft w:val="0"/>
      <w:marRight w:val="0"/>
      <w:marTop w:val="0"/>
      <w:marBottom w:val="0"/>
      <w:divBdr>
        <w:top w:val="none" w:sz="0" w:space="0" w:color="auto"/>
        <w:left w:val="none" w:sz="0" w:space="0" w:color="auto"/>
        <w:bottom w:val="none" w:sz="0" w:space="0" w:color="auto"/>
        <w:right w:val="none" w:sz="0" w:space="0" w:color="auto"/>
      </w:divBdr>
    </w:div>
    <w:div w:id="1470129010">
      <w:bodyDiv w:val="1"/>
      <w:marLeft w:val="0"/>
      <w:marRight w:val="0"/>
      <w:marTop w:val="0"/>
      <w:marBottom w:val="0"/>
      <w:divBdr>
        <w:top w:val="none" w:sz="0" w:space="0" w:color="auto"/>
        <w:left w:val="none" w:sz="0" w:space="0" w:color="auto"/>
        <w:bottom w:val="none" w:sz="0" w:space="0" w:color="auto"/>
        <w:right w:val="none" w:sz="0" w:space="0" w:color="auto"/>
      </w:divBdr>
    </w:div>
    <w:div w:id="1476290647">
      <w:bodyDiv w:val="1"/>
      <w:marLeft w:val="0"/>
      <w:marRight w:val="0"/>
      <w:marTop w:val="0"/>
      <w:marBottom w:val="0"/>
      <w:divBdr>
        <w:top w:val="none" w:sz="0" w:space="0" w:color="auto"/>
        <w:left w:val="none" w:sz="0" w:space="0" w:color="auto"/>
        <w:bottom w:val="none" w:sz="0" w:space="0" w:color="auto"/>
        <w:right w:val="none" w:sz="0" w:space="0" w:color="auto"/>
      </w:divBdr>
    </w:div>
    <w:div w:id="1481459703">
      <w:bodyDiv w:val="1"/>
      <w:marLeft w:val="0"/>
      <w:marRight w:val="0"/>
      <w:marTop w:val="0"/>
      <w:marBottom w:val="0"/>
      <w:divBdr>
        <w:top w:val="none" w:sz="0" w:space="0" w:color="auto"/>
        <w:left w:val="none" w:sz="0" w:space="0" w:color="auto"/>
        <w:bottom w:val="none" w:sz="0" w:space="0" w:color="auto"/>
        <w:right w:val="none" w:sz="0" w:space="0" w:color="auto"/>
      </w:divBdr>
    </w:div>
    <w:div w:id="1484813974">
      <w:bodyDiv w:val="1"/>
      <w:marLeft w:val="0"/>
      <w:marRight w:val="0"/>
      <w:marTop w:val="0"/>
      <w:marBottom w:val="0"/>
      <w:divBdr>
        <w:top w:val="none" w:sz="0" w:space="0" w:color="auto"/>
        <w:left w:val="none" w:sz="0" w:space="0" w:color="auto"/>
        <w:bottom w:val="none" w:sz="0" w:space="0" w:color="auto"/>
        <w:right w:val="none" w:sz="0" w:space="0" w:color="auto"/>
      </w:divBdr>
    </w:div>
    <w:div w:id="1489058489">
      <w:bodyDiv w:val="1"/>
      <w:marLeft w:val="0"/>
      <w:marRight w:val="0"/>
      <w:marTop w:val="0"/>
      <w:marBottom w:val="0"/>
      <w:divBdr>
        <w:top w:val="none" w:sz="0" w:space="0" w:color="auto"/>
        <w:left w:val="none" w:sz="0" w:space="0" w:color="auto"/>
        <w:bottom w:val="none" w:sz="0" w:space="0" w:color="auto"/>
        <w:right w:val="none" w:sz="0" w:space="0" w:color="auto"/>
      </w:divBdr>
    </w:div>
    <w:div w:id="1492796053">
      <w:bodyDiv w:val="1"/>
      <w:marLeft w:val="0"/>
      <w:marRight w:val="0"/>
      <w:marTop w:val="0"/>
      <w:marBottom w:val="0"/>
      <w:divBdr>
        <w:top w:val="none" w:sz="0" w:space="0" w:color="auto"/>
        <w:left w:val="none" w:sz="0" w:space="0" w:color="auto"/>
        <w:bottom w:val="none" w:sz="0" w:space="0" w:color="auto"/>
        <w:right w:val="none" w:sz="0" w:space="0" w:color="auto"/>
      </w:divBdr>
    </w:div>
    <w:div w:id="1501888844">
      <w:bodyDiv w:val="1"/>
      <w:marLeft w:val="0"/>
      <w:marRight w:val="0"/>
      <w:marTop w:val="0"/>
      <w:marBottom w:val="0"/>
      <w:divBdr>
        <w:top w:val="none" w:sz="0" w:space="0" w:color="auto"/>
        <w:left w:val="none" w:sz="0" w:space="0" w:color="auto"/>
        <w:bottom w:val="none" w:sz="0" w:space="0" w:color="auto"/>
        <w:right w:val="none" w:sz="0" w:space="0" w:color="auto"/>
      </w:divBdr>
      <w:divsChild>
        <w:div w:id="1406342374">
          <w:marLeft w:val="0"/>
          <w:marRight w:val="0"/>
          <w:marTop w:val="0"/>
          <w:marBottom w:val="0"/>
          <w:divBdr>
            <w:top w:val="single" w:sz="2" w:space="0" w:color="E3E3E3"/>
            <w:left w:val="single" w:sz="2" w:space="0" w:color="E3E3E3"/>
            <w:bottom w:val="single" w:sz="2" w:space="0" w:color="E3E3E3"/>
            <w:right w:val="single" w:sz="2" w:space="0" w:color="E3E3E3"/>
          </w:divBdr>
          <w:divsChild>
            <w:div w:id="2023817235">
              <w:marLeft w:val="0"/>
              <w:marRight w:val="0"/>
              <w:marTop w:val="0"/>
              <w:marBottom w:val="0"/>
              <w:divBdr>
                <w:top w:val="single" w:sz="2" w:space="0" w:color="E3E3E3"/>
                <w:left w:val="single" w:sz="2" w:space="0" w:color="E3E3E3"/>
                <w:bottom w:val="single" w:sz="2" w:space="0" w:color="E3E3E3"/>
                <w:right w:val="single" w:sz="2" w:space="0" w:color="E3E3E3"/>
              </w:divBdr>
              <w:divsChild>
                <w:div w:id="427385639">
                  <w:marLeft w:val="0"/>
                  <w:marRight w:val="0"/>
                  <w:marTop w:val="0"/>
                  <w:marBottom w:val="0"/>
                  <w:divBdr>
                    <w:top w:val="single" w:sz="2" w:space="2" w:color="E3E3E3"/>
                    <w:left w:val="single" w:sz="2" w:space="0" w:color="E3E3E3"/>
                    <w:bottom w:val="single" w:sz="2" w:space="0" w:color="E3E3E3"/>
                    <w:right w:val="single" w:sz="2" w:space="0" w:color="E3E3E3"/>
                  </w:divBdr>
                  <w:divsChild>
                    <w:div w:id="16617316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8404815">
      <w:bodyDiv w:val="1"/>
      <w:marLeft w:val="0"/>
      <w:marRight w:val="0"/>
      <w:marTop w:val="0"/>
      <w:marBottom w:val="0"/>
      <w:divBdr>
        <w:top w:val="none" w:sz="0" w:space="0" w:color="auto"/>
        <w:left w:val="none" w:sz="0" w:space="0" w:color="auto"/>
        <w:bottom w:val="none" w:sz="0" w:space="0" w:color="auto"/>
        <w:right w:val="none" w:sz="0" w:space="0" w:color="auto"/>
      </w:divBdr>
    </w:div>
    <w:div w:id="1512571548">
      <w:bodyDiv w:val="1"/>
      <w:marLeft w:val="0"/>
      <w:marRight w:val="0"/>
      <w:marTop w:val="0"/>
      <w:marBottom w:val="0"/>
      <w:divBdr>
        <w:top w:val="none" w:sz="0" w:space="0" w:color="auto"/>
        <w:left w:val="none" w:sz="0" w:space="0" w:color="auto"/>
        <w:bottom w:val="none" w:sz="0" w:space="0" w:color="auto"/>
        <w:right w:val="none" w:sz="0" w:space="0" w:color="auto"/>
      </w:divBdr>
    </w:div>
    <w:div w:id="1512603214">
      <w:bodyDiv w:val="1"/>
      <w:marLeft w:val="0"/>
      <w:marRight w:val="0"/>
      <w:marTop w:val="0"/>
      <w:marBottom w:val="0"/>
      <w:divBdr>
        <w:top w:val="none" w:sz="0" w:space="0" w:color="auto"/>
        <w:left w:val="none" w:sz="0" w:space="0" w:color="auto"/>
        <w:bottom w:val="none" w:sz="0" w:space="0" w:color="auto"/>
        <w:right w:val="none" w:sz="0" w:space="0" w:color="auto"/>
      </w:divBdr>
    </w:div>
    <w:div w:id="1533885946">
      <w:bodyDiv w:val="1"/>
      <w:marLeft w:val="0"/>
      <w:marRight w:val="0"/>
      <w:marTop w:val="0"/>
      <w:marBottom w:val="0"/>
      <w:divBdr>
        <w:top w:val="none" w:sz="0" w:space="0" w:color="auto"/>
        <w:left w:val="none" w:sz="0" w:space="0" w:color="auto"/>
        <w:bottom w:val="none" w:sz="0" w:space="0" w:color="auto"/>
        <w:right w:val="none" w:sz="0" w:space="0" w:color="auto"/>
      </w:divBdr>
    </w:div>
    <w:div w:id="1558053019">
      <w:bodyDiv w:val="1"/>
      <w:marLeft w:val="0"/>
      <w:marRight w:val="0"/>
      <w:marTop w:val="0"/>
      <w:marBottom w:val="0"/>
      <w:divBdr>
        <w:top w:val="none" w:sz="0" w:space="0" w:color="auto"/>
        <w:left w:val="none" w:sz="0" w:space="0" w:color="auto"/>
        <w:bottom w:val="none" w:sz="0" w:space="0" w:color="auto"/>
        <w:right w:val="none" w:sz="0" w:space="0" w:color="auto"/>
      </w:divBdr>
      <w:divsChild>
        <w:div w:id="1049648150">
          <w:marLeft w:val="0"/>
          <w:marRight w:val="0"/>
          <w:marTop w:val="0"/>
          <w:marBottom w:val="0"/>
          <w:divBdr>
            <w:top w:val="none" w:sz="0" w:space="0" w:color="auto"/>
            <w:left w:val="none" w:sz="0" w:space="0" w:color="auto"/>
            <w:bottom w:val="none" w:sz="0" w:space="0" w:color="auto"/>
            <w:right w:val="none" w:sz="0" w:space="0" w:color="auto"/>
          </w:divBdr>
          <w:divsChild>
            <w:div w:id="63675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512202">
      <w:bodyDiv w:val="1"/>
      <w:marLeft w:val="0"/>
      <w:marRight w:val="0"/>
      <w:marTop w:val="0"/>
      <w:marBottom w:val="0"/>
      <w:divBdr>
        <w:top w:val="none" w:sz="0" w:space="0" w:color="auto"/>
        <w:left w:val="none" w:sz="0" w:space="0" w:color="auto"/>
        <w:bottom w:val="none" w:sz="0" w:space="0" w:color="auto"/>
        <w:right w:val="none" w:sz="0" w:space="0" w:color="auto"/>
      </w:divBdr>
      <w:divsChild>
        <w:div w:id="503865306">
          <w:marLeft w:val="0"/>
          <w:marRight w:val="0"/>
          <w:marTop w:val="0"/>
          <w:marBottom w:val="0"/>
          <w:divBdr>
            <w:top w:val="none" w:sz="0" w:space="0" w:color="auto"/>
            <w:left w:val="none" w:sz="0" w:space="0" w:color="auto"/>
            <w:bottom w:val="none" w:sz="0" w:space="0" w:color="auto"/>
            <w:right w:val="none" w:sz="0" w:space="0" w:color="auto"/>
          </w:divBdr>
          <w:divsChild>
            <w:div w:id="177944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675224">
      <w:bodyDiv w:val="1"/>
      <w:marLeft w:val="0"/>
      <w:marRight w:val="0"/>
      <w:marTop w:val="0"/>
      <w:marBottom w:val="0"/>
      <w:divBdr>
        <w:top w:val="none" w:sz="0" w:space="0" w:color="auto"/>
        <w:left w:val="none" w:sz="0" w:space="0" w:color="auto"/>
        <w:bottom w:val="none" w:sz="0" w:space="0" w:color="auto"/>
        <w:right w:val="none" w:sz="0" w:space="0" w:color="auto"/>
      </w:divBdr>
    </w:div>
    <w:div w:id="1617523928">
      <w:bodyDiv w:val="1"/>
      <w:marLeft w:val="0"/>
      <w:marRight w:val="0"/>
      <w:marTop w:val="0"/>
      <w:marBottom w:val="0"/>
      <w:divBdr>
        <w:top w:val="none" w:sz="0" w:space="0" w:color="auto"/>
        <w:left w:val="none" w:sz="0" w:space="0" w:color="auto"/>
        <w:bottom w:val="none" w:sz="0" w:space="0" w:color="auto"/>
        <w:right w:val="none" w:sz="0" w:space="0" w:color="auto"/>
      </w:divBdr>
    </w:div>
    <w:div w:id="1625384209">
      <w:bodyDiv w:val="1"/>
      <w:marLeft w:val="0"/>
      <w:marRight w:val="0"/>
      <w:marTop w:val="0"/>
      <w:marBottom w:val="0"/>
      <w:divBdr>
        <w:top w:val="none" w:sz="0" w:space="0" w:color="auto"/>
        <w:left w:val="none" w:sz="0" w:space="0" w:color="auto"/>
        <w:bottom w:val="none" w:sz="0" w:space="0" w:color="auto"/>
        <w:right w:val="none" w:sz="0" w:space="0" w:color="auto"/>
      </w:divBdr>
    </w:div>
    <w:div w:id="1637754372">
      <w:bodyDiv w:val="1"/>
      <w:marLeft w:val="0"/>
      <w:marRight w:val="0"/>
      <w:marTop w:val="0"/>
      <w:marBottom w:val="0"/>
      <w:divBdr>
        <w:top w:val="none" w:sz="0" w:space="0" w:color="auto"/>
        <w:left w:val="none" w:sz="0" w:space="0" w:color="auto"/>
        <w:bottom w:val="none" w:sz="0" w:space="0" w:color="auto"/>
        <w:right w:val="none" w:sz="0" w:space="0" w:color="auto"/>
      </w:divBdr>
    </w:div>
    <w:div w:id="1655529749">
      <w:bodyDiv w:val="1"/>
      <w:marLeft w:val="0"/>
      <w:marRight w:val="0"/>
      <w:marTop w:val="0"/>
      <w:marBottom w:val="0"/>
      <w:divBdr>
        <w:top w:val="none" w:sz="0" w:space="0" w:color="auto"/>
        <w:left w:val="none" w:sz="0" w:space="0" w:color="auto"/>
        <w:bottom w:val="none" w:sz="0" w:space="0" w:color="auto"/>
        <w:right w:val="none" w:sz="0" w:space="0" w:color="auto"/>
      </w:divBdr>
    </w:div>
    <w:div w:id="1662929193">
      <w:bodyDiv w:val="1"/>
      <w:marLeft w:val="0"/>
      <w:marRight w:val="0"/>
      <w:marTop w:val="0"/>
      <w:marBottom w:val="0"/>
      <w:divBdr>
        <w:top w:val="none" w:sz="0" w:space="0" w:color="auto"/>
        <w:left w:val="none" w:sz="0" w:space="0" w:color="auto"/>
        <w:bottom w:val="none" w:sz="0" w:space="0" w:color="auto"/>
        <w:right w:val="none" w:sz="0" w:space="0" w:color="auto"/>
      </w:divBdr>
    </w:div>
    <w:div w:id="1670984212">
      <w:bodyDiv w:val="1"/>
      <w:marLeft w:val="0"/>
      <w:marRight w:val="0"/>
      <w:marTop w:val="0"/>
      <w:marBottom w:val="0"/>
      <w:divBdr>
        <w:top w:val="none" w:sz="0" w:space="0" w:color="auto"/>
        <w:left w:val="none" w:sz="0" w:space="0" w:color="auto"/>
        <w:bottom w:val="none" w:sz="0" w:space="0" w:color="auto"/>
        <w:right w:val="none" w:sz="0" w:space="0" w:color="auto"/>
      </w:divBdr>
    </w:div>
    <w:div w:id="1672678478">
      <w:bodyDiv w:val="1"/>
      <w:marLeft w:val="0"/>
      <w:marRight w:val="0"/>
      <w:marTop w:val="0"/>
      <w:marBottom w:val="0"/>
      <w:divBdr>
        <w:top w:val="none" w:sz="0" w:space="0" w:color="auto"/>
        <w:left w:val="none" w:sz="0" w:space="0" w:color="auto"/>
        <w:bottom w:val="none" w:sz="0" w:space="0" w:color="auto"/>
        <w:right w:val="none" w:sz="0" w:space="0" w:color="auto"/>
      </w:divBdr>
    </w:div>
    <w:div w:id="1699311949">
      <w:bodyDiv w:val="1"/>
      <w:marLeft w:val="0"/>
      <w:marRight w:val="0"/>
      <w:marTop w:val="0"/>
      <w:marBottom w:val="0"/>
      <w:divBdr>
        <w:top w:val="none" w:sz="0" w:space="0" w:color="auto"/>
        <w:left w:val="none" w:sz="0" w:space="0" w:color="auto"/>
        <w:bottom w:val="none" w:sz="0" w:space="0" w:color="auto"/>
        <w:right w:val="none" w:sz="0" w:space="0" w:color="auto"/>
      </w:divBdr>
    </w:div>
    <w:div w:id="1704482443">
      <w:bodyDiv w:val="1"/>
      <w:marLeft w:val="0"/>
      <w:marRight w:val="0"/>
      <w:marTop w:val="0"/>
      <w:marBottom w:val="0"/>
      <w:divBdr>
        <w:top w:val="none" w:sz="0" w:space="0" w:color="auto"/>
        <w:left w:val="none" w:sz="0" w:space="0" w:color="auto"/>
        <w:bottom w:val="none" w:sz="0" w:space="0" w:color="auto"/>
        <w:right w:val="none" w:sz="0" w:space="0" w:color="auto"/>
      </w:divBdr>
    </w:div>
    <w:div w:id="1745178435">
      <w:bodyDiv w:val="1"/>
      <w:marLeft w:val="0"/>
      <w:marRight w:val="0"/>
      <w:marTop w:val="0"/>
      <w:marBottom w:val="0"/>
      <w:divBdr>
        <w:top w:val="none" w:sz="0" w:space="0" w:color="auto"/>
        <w:left w:val="none" w:sz="0" w:space="0" w:color="auto"/>
        <w:bottom w:val="none" w:sz="0" w:space="0" w:color="auto"/>
        <w:right w:val="none" w:sz="0" w:space="0" w:color="auto"/>
      </w:divBdr>
    </w:div>
    <w:div w:id="1753891416">
      <w:bodyDiv w:val="1"/>
      <w:marLeft w:val="0"/>
      <w:marRight w:val="0"/>
      <w:marTop w:val="0"/>
      <w:marBottom w:val="0"/>
      <w:divBdr>
        <w:top w:val="none" w:sz="0" w:space="0" w:color="auto"/>
        <w:left w:val="none" w:sz="0" w:space="0" w:color="auto"/>
        <w:bottom w:val="none" w:sz="0" w:space="0" w:color="auto"/>
        <w:right w:val="none" w:sz="0" w:space="0" w:color="auto"/>
      </w:divBdr>
    </w:div>
    <w:div w:id="1757434347">
      <w:bodyDiv w:val="1"/>
      <w:marLeft w:val="0"/>
      <w:marRight w:val="0"/>
      <w:marTop w:val="0"/>
      <w:marBottom w:val="0"/>
      <w:divBdr>
        <w:top w:val="none" w:sz="0" w:space="0" w:color="auto"/>
        <w:left w:val="none" w:sz="0" w:space="0" w:color="auto"/>
        <w:bottom w:val="none" w:sz="0" w:space="0" w:color="auto"/>
        <w:right w:val="none" w:sz="0" w:space="0" w:color="auto"/>
      </w:divBdr>
      <w:divsChild>
        <w:div w:id="2069301764">
          <w:marLeft w:val="0"/>
          <w:marRight w:val="0"/>
          <w:marTop w:val="0"/>
          <w:marBottom w:val="0"/>
          <w:divBdr>
            <w:top w:val="none" w:sz="0" w:space="0" w:color="auto"/>
            <w:left w:val="none" w:sz="0" w:space="0" w:color="auto"/>
            <w:bottom w:val="none" w:sz="0" w:space="0" w:color="auto"/>
            <w:right w:val="none" w:sz="0" w:space="0" w:color="auto"/>
          </w:divBdr>
          <w:divsChild>
            <w:div w:id="693766598">
              <w:marLeft w:val="0"/>
              <w:marRight w:val="0"/>
              <w:marTop w:val="0"/>
              <w:marBottom w:val="0"/>
              <w:divBdr>
                <w:top w:val="none" w:sz="0" w:space="0" w:color="auto"/>
                <w:left w:val="none" w:sz="0" w:space="0" w:color="auto"/>
                <w:bottom w:val="none" w:sz="0" w:space="0" w:color="auto"/>
                <w:right w:val="none" w:sz="0" w:space="0" w:color="auto"/>
              </w:divBdr>
              <w:divsChild>
                <w:div w:id="871264065">
                  <w:marLeft w:val="0"/>
                  <w:marRight w:val="0"/>
                  <w:marTop w:val="0"/>
                  <w:marBottom w:val="0"/>
                  <w:divBdr>
                    <w:top w:val="none" w:sz="0" w:space="0" w:color="auto"/>
                    <w:left w:val="none" w:sz="0" w:space="0" w:color="auto"/>
                    <w:bottom w:val="none" w:sz="0" w:space="0" w:color="auto"/>
                    <w:right w:val="none" w:sz="0" w:space="0" w:color="auto"/>
                  </w:divBdr>
                  <w:divsChild>
                    <w:div w:id="183448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921916">
          <w:marLeft w:val="0"/>
          <w:marRight w:val="0"/>
          <w:marTop w:val="0"/>
          <w:marBottom w:val="0"/>
          <w:divBdr>
            <w:top w:val="none" w:sz="0" w:space="0" w:color="auto"/>
            <w:left w:val="none" w:sz="0" w:space="0" w:color="auto"/>
            <w:bottom w:val="none" w:sz="0" w:space="0" w:color="auto"/>
            <w:right w:val="none" w:sz="0" w:space="0" w:color="auto"/>
          </w:divBdr>
          <w:divsChild>
            <w:div w:id="1106540735">
              <w:marLeft w:val="0"/>
              <w:marRight w:val="0"/>
              <w:marTop w:val="0"/>
              <w:marBottom w:val="0"/>
              <w:divBdr>
                <w:top w:val="none" w:sz="0" w:space="0" w:color="auto"/>
                <w:left w:val="none" w:sz="0" w:space="0" w:color="auto"/>
                <w:bottom w:val="none" w:sz="0" w:space="0" w:color="auto"/>
                <w:right w:val="none" w:sz="0" w:space="0" w:color="auto"/>
              </w:divBdr>
              <w:divsChild>
                <w:div w:id="417678329">
                  <w:marLeft w:val="0"/>
                  <w:marRight w:val="0"/>
                  <w:marTop w:val="0"/>
                  <w:marBottom w:val="0"/>
                  <w:divBdr>
                    <w:top w:val="none" w:sz="0" w:space="0" w:color="auto"/>
                    <w:left w:val="none" w:sz="0" w:space="0" w:color="auto"/>
                    <w:bottom w:val="none" w:sz="0" w:space="0" w:color="auto"/>
                    <w:right w:val="none" w:sz="0" w:space="0" w:color="auto"/>
                  </w:divBdr>
                  <w:divsChild>
                    <w:div w:id="1311132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574123">
      <w:bodyDiv w:val="1"/>
      <w:marLeft w:val="0"/>
      <w:marRight w:val="0"/>
      <w:marTop w:val="0"/>
      <w:marBottom w:val="0"/>
      <w:divBdr>
        <w:top w:val="none" w:sz="0" w:space="0" w:color="auto"/>
        <w:left w:val="none" w:sz="0" w:space="0" w:color="auto"/>
        <w:bottom w:val="none" w:sz="0" w:space="0" w:color="auto"/>
        <w:right w:val="none" w:sz="0" w:space="0" w:color="auto"/>
      </w:divBdr>
      <w:divsChild>
        <w:div w:id="549150022">
          <w:marLeft w:val="0"/>
          <w:marRight w:val="0"/>
          <w:marTop w:val="0"/>
          <w:marBottom w:val="0"/>
          <w:divBdr>
            <w:top w:val="none" w:sz="0" w:space="0" w:color="auto"/>
            <w:left w:val="none" w:sz="0" w:space="0" w:color="auto"/>
            <w:bottom w:val="none" w:sz="0" w:space="0" w:color="auto"/>
            <w:right w:val="none" w:sz="0" w:space="0" w:color="auto"/>
          </w:divBdr>
          <w:divsChild>
            <w:div w:id="169714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381444">
      <w:bodyDiv w:val="1"/>
      <w:marLeft w:val="0"/>
      <w:marRight w:val="0"/>
      <w:marTop w:val="0"/>
      <w:marBottom w:val="0"/>
      <w:divBdr>
        <w:top w:val="none" w:sz="0" w:space="0" w:color="auto"/>
        <w:left w:val="none" w:sz="0" w:space="0" w:color="auto"/>
        <w:bottom w:val="none" w:sz="0" w:space="0" w:color="auto"/>
        <w:right w:val="none" w:sz="0" w:space="0" w:color="auto"/>
      </w:divBdr>
    </w:div>
    <w:div w:id="1850873201">
      <w:bodyDiv w:val="1"/>
      <w:marLeft w:val="0"/>
      <w:marRight w:val="0"/>
      <w:marTop w:val="0"/>
      <w:marBottom w:val="0"/>
      <w:divBdr>
        <w:top w:val="none" w:sz="0" w:space="0" w:color="auto"/>
        <w:left w:val="none" w:sz="0" w:space="0" w:color="auto"/>
        <w:bottom w:val="none" w:sz="0" w:space="0" w:color="auto"/>
        <w:right w:val="none" w:sz="0" w:space="0" w:color="auto"/>
      </w:divBdr>
    </w:div>
    <w:div w:id="1852794673">
      <w:bodyDiv w:val="1"/>
      <w:marLeft w:val="0"/>
      <w:marRight w:val="0"/>
      <w:marTop w:val="0"/>
      <w:marBottom w:val="0"/>
      <w:divBdr>
        <w:top w:val="none" w:sz="0" w:space="0" w:color="auto"/>
        <w:left w:val="none" w:sz="0" w:space="0" w:color="auto"/>
        <w:bottom w:val="none" w:sz="0" w:space="0" w:color="auto"/>
        <w:right w:val="none" w:sz="0" w:space="0" w:color="auto"/>
      </w:divBdr>
      <w:divsChild>
        <w:div w:id="167912730">
          <w:marLeft w:val="0"/>
          <w:marRight w:val="0"/>
          <w:marTop w:val="0"/>
          <w:marBottom w:val="0"/>
          <w:divBdr>
            <w:top w:val="none" w:sz="0" w:space="0" w:color="auto"/>
            <w:left w:val="none" w:sz="0" w:space="0" w:color="auto"/>
            <w:bottom w:val="none" w:sz="0" w:space="0" w:color="auto"/>
            <w:right w:val="none" w:sz="0" w:space="0" w:color="auto"/>
          </w:divBdr>
          <w:divsChild>
            <w:div w:id="409349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545329">
      <w:bodyDiv w:val="1"/>
      <w:marLeft w:val="0"/>
      <w:marRight w:val="0"/>
      <w:marTop w:val="0"/>
      <w:marBottom w:val="0"/>
      <w:divBdr>
        <w:top w:val="none" w:sz="0" w:space="0" w:color="auto"/>
        <w:left w:val="none" w:sz="0" w:space="0" w:color="auto"/>
        <w:bottom w:val="none" w:sz="0" w:space="0" w:color="auto"/>
        <w:right w:val="none" w:sz="0" w:space="0" w:color="auto"/>
      </w:divBdr>
    </w:div>
    <w:div w:id="1877765808">
      <w:bodyDiv w:val="1"/>
      <w:marLeft w:val="0"/>
      <w:marRight w:val="0"/>
      <w:marTop w:val="0"/>
      <w:marBottom w:val="0"/>
      <w:divBdr>
        <w:top w:val="none" w:sz="0" w:space="0" w:color="auto"/>
        <w:left w:val="none" w:sz="0" w:space="0" w:color="auto"/>
        <w:bottom w:val="none" w:sz="0" w:space="0" w:color="auto"/>
        <w:right w:val="none" w:sz="0" w:space="0" w:color="auto"/>
      </w:divBdr>
    </w:div>
    <w:div w:id="1881237134">
      <w:bodyDiv w:val="1"/>
      <w:marLeft w:val="0"/>
      <w:marRight w:val="0"/>
      <w:marTop w:val="0"/>
      <w:marBottom w:val="0"/>
      <w:divBdr>
        <w:top w:val="none" w:sz="0" w:space="0" w:color="auto"/>
        <w:left w:val="none" w:sz="0" w:space="0" w:color="auto"/>
        <w:bottom w:val="none" w:sz="0" w:space="0" w:color="auto"/>
        <w:right w:val="none" w:sz="0" w:space="0" w:color="auto"/>
      </w:divBdr>
      <w:divsChild>
        <w:div w:id="830298098">
          <w:marLeft w:val="0"/>
          <w:marRight w:val="0"/>
          <w:marTop w:val="0"/>
          <w:marBottom w:val="0"/>
          <w:divBdr>
            <w:top w:val="none" w:sz="0" w:space="0" w:color="auto"/>
            <w:left w:val="none" w:sz="0" w:space="0" w:color="auto"/>
            <w:bottom w:val="none" w:sz="0" w:space="0" w:color="auto"/>
            <w:right w:val="none" w:sz="0" w:space="0" w:color="auto"/>
          </w:divBdr>
          <w:divsChild>
            <w:div w:id="6167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312277">
      <w:bodyDiv w:val="1"/>
      <w:marLeft w:val="0"/>
      <w:marRight w:val="0"/>
      <w:marTop w:val="0"/>
      <w:marBottom w:val="0"/>
      <w:divBdr>
        <w:top w:val="none" w:sz="0" w:space="0" w:color="auto"/>
        <w:left w:val="none" w:sz="0" w:space="0" w:color="auto"/>
        <w:bottom w:val="none" w:sz="0" w:space="0" w:color="auto"/>
        <w:right w:val="none" w:sz="0" w:space="0" w:color="auto"/>
      </w:divBdr>
    </w:div>
    <w:div w:id="1983382681">
      <w:bodyDiv w:val="1"/>
      <w:marLeft w:val="0"/>
      <w:marRight w:val="0"/>
      <w:marTop w:val="0"/>
      <w:marBottom w:val="0"/>
      <w:divBdr>
        <w:top w:val="none" w:sz="0" w:space="0" w:color="auto"/>
        <w:left w:val="none" w:sz="0" w:space="0" w:color="auto"/>
        <w:bottom w:val="none" w:sz="0" w:space="0" w:color="auto"/>
        <w:right w:val="none" w:sz="0" w:space="0" w:color="auto"/>
      </w:divBdr>
    </w:div>
    <w:div w:id="1999570768">
      <w:bodyDiv w:val="1"/>
      <w:marLeft w:val="0"/>
      <w:marRight w:val="0"/>
      <w:marTop w:val="0"/>
      <w:marBottom w:val="0"/>
      <w:divBdr>
        <w:top w:val="none" w:sz="0" w:space="0" w:color="auto"/>
        <w:left w:val="none" w:sz="0" w:space="0" w:color="auto"/>
        <w:bottom w:val="none" w:sz="0" w:space="0" w:color="auto"/>
        <w:right w:val="none" w:sz="0" w:space="0" w:color="auto"/>
      </w:divBdr>
    </w:div>
    <w:div w:id="2000647506">
      <w:bodyDiv w:val="1"/>
      <w:marLeft w:val="0"/>
      <w:marRight w:val="0"/>
      <w:marTop w:val="0"/>
      <w:marBottom w:val="0"/>
      <w:divBdr>
        <w:top w:val="none" w:sz="0" w:space="0" w:color="auto"/>
        <w:left w:val="none" w:sz="0" w:space="0" w:color="auto"/>
        <w:bottom w:val="none" w:sz="0" w:space="0" w:color="auto"/>
        <w:right w:val="none" w:sz="0" w:space="0" w:color="auto"/>
      </w:divBdr>
    </w:div>
    <w:div w:id="2002535760">
      <w:bodyDiv w:val="1"/>
      <w:marLeft w:val="0"/>
      <w:marRight w:val="0"/>
      <w:marTop w:val="0"/>
      <w:marBottom w:val="0"/>
      <w:divBdr>
        <w:top w:val="none" w:sz="0" w:space="0" w:color="auto"/>
        <w:left w:val="none" w:sz="0" w:space="0" w:color="auto"/>
        <w:bottom w:val="none" w:sz="0" w:space="0" w:color="auto"/>
        <w:right w:val="none" w:sz="0" w:space="0" w:color="auto"/>
      </w:divBdr>
    </w:div>
    <w:div w:id="2013870560">
      <w:bodyDiv w:val="1"/>
      <w:marLeft w:val="0"/>
      <w:marRight w:val="0"/>
      <w:marTop w:val="0"/>
      <w:marBottom w:val="0"/>
      <w:divBdr>
        <w:top w:val="none" w:sz="0" w:space="0" w:color="auto"/>
        <w:left w:val="none" w:sz="0" w:space="0" w:color="auto"/>
        <w:bottom w:val="none" w:sz="0" w:space="0" w:color="auto"/>
        <w:right w:val="none" w:sz="0" w:space="0" w:color="auto"/>
      </w:divBdr>
    </w:div>
    <w:div w:id="2016034905">
      <w:bodyDiv w:val="1"/>
      <w:marLeft w:val="0"/>
      <w:marRight w:val="0"/>
      <w:marTop w:val="0"/>
      <w:marBottom w:val="0"/>
      <w:divBdr>
        <w:top w:val="none" w:sz="0" w:space="0" w:color="auto"/>
        <w:left w:val="none" w:sz="0" w:space="0" w:color="auto"/>
        <w:bottom w:val="none" w:sz="0" w:space="0" w:color="auto"/>
        <w:right w:val="none" w:sz="0" w:space="0" w:color="auto"/>
      </w:divBdr>
    </w:div>
    <w:div w:id="2030140020">
      <w:bodyDiv w:val="1"/>
      <w:marLeft w:val="0"/>
      <w:marRight w:val="0"/>
      <w:marTop w:val="0"/>
      <w:marBottom w:val="0"/>
      <w:divBdr>
        <w:top w:val="none" w:sz="0" w:space="0" w:color="auto"/>
        <w:left w:val="none" w:sz="0" w:space="0" w:color="auto"/>
        <w:bottom w:val="none" w:sz="0" w:space="0" w:color="auto"/>
        <w:right w:val="none" w:sz="0" w:space="0" w:color="auto"/>
      </w:divBdr>
    </w:div>
    <w:div w:id="2051563772">
      <w:bodyDiv w:val="1"/>
      <w:marLeft w:val="0"/>
      <w:marRight w:val="0"/>
      <w:marTop w:val="0"/>
      <w:marBottom w:val="0"/>
      <w:divBdr>
        <w:top w:val="none" w:sz="0" w:space="0" w:color="auto"/>
        <w:left w:val="none" w:sz="0" w:space="0" w:color="auto"/>
        <w:bottom w:val="none" w:sz="0" w:space="0" w:color="auto"/>
        <w:right w:val="none" w:sz="0" w:space="0" w:color="auto"/>
      </w:divBdr>
    </w:div>
    <w:div w:id="2058436137">
      <w:bodyDiv w:val="1"/>
      <w:marLeft w:val="0"/>
      <w:marRight w:val="0"/>
      <w:marTop w:val="0"/>
      <w:marBottom w:val="0"/>
      <w:divBdr>
        <w:top w:val="none" w:sz="0" w:space="0" w:color="auto"/>
        <w:left w:val="none" w:sz="0" w:space="0" w:color="auto"/>
        <w:bottom w:val="none" w:sz="0" w:space="0" w:color="auto"/>
        <w:right w:val="none" w:sz="0" w:space="0" w:color="auto"/>
      </w:divBdr>
    </w:div>
    <w:div w:id="2059670830">
      <w:bodyDiv w:val="1"/>
      <w:marLeft w:val="0"/>
      <w:marRight w:val="0"/>
      <w:marTop w:val="0"/>
      <w:marBottom w:val="0"/>
      <w:divBdr>
        <w:top w:val="none" w:sz="0" w:space="0" w:color="auto"/>
        <w:left w:val="none" w:sz="0" w:space="0" w:color="auto"/>
        <w:bottom w:val="none" w:sz="0" w:space="0" w:color="auto"/>
        <w:right w:val="none" w:sz="0" w:space="0" w:color="auto"/>
      </w:divBdr>
    </w:div>
    <w:div w:id="2082407694">
      <w:bodyDiv w:val="1"/>
      <w:marLeft w:val="0"/>
      <w:marRight w:val="0"/>
      <w:marTop w:val="0"/>
      <w:marBottom w:val="0"/>
      <w:divBdr>
        <w:top w:val="none" w:sz="0" w:space="0" w:color="auto"/>
        <w:left w:val="none" w:sz="0" w:space="0" w:color="auto"/>
        <w:bottom w:val="none" w:sz="0" w:space="0" w:color="auto"/>
        <w:right w:val="none" w:sz="0" w:space="0" w:color="auto"/>
      </w:divBdr>
    </w:div>
    <w:div w:id="2094692300">
      <w:bodyDiv w:val="1"/>
      <w:marLeft w:val="0"/>
      <w:marRight w:val="0"/>
      <w:marTop w:val="0"/>
      <w:marBottom w:val="0"/>
      <w:divBdr>
        <w:top w:val="none" w:sz="0" w:space="0" w:color="auto"/>
        <w:left w:val="none" w:sz="0" w:space="0" w:color="auto"/>
        <w:bottom w:val="none" w:sz="0" w:space="0" w:color="auto"/>
        <w:right w:val="none" w:sz="0" w:space="0" w:color="auto"/>
      </w:divBdr>
    </w:div>
    <w:div w:id="2098476270">
      <w:bodyDiv w:val="1"/>
      <w:marLeft w:val="0"/>
      <w:marRight w:val="0"/>
      <w:marTop w:val="0"/>
      <w:marBottom w:val="0"/>
      <w:divBdr>
        <w:top w:val="none" w:sz="0" w:space="0" w:color="auto"/>
        <w:left w:val="none" w:sz="0" w:space="0" w:color="auto"/>
        <w:bottom w:val="none" w:sz="0" w:space="0" w:color="auto"/>
        <w:right w:val="none" w:sz="0" w:space="0" w:color="auto"/>
      </w:divBdr>
    </w:div>
    <w:div w:id="2103647945">
      <w:bodyDiv w:val="1"/>
      <w:marLeft w:val="0"/>
      <w:marRight w:val="0"/>
      <w:marTop w:val="0"/>
      <w:marBottom w:val="0"/>
      <w:divBdr>
        <w:top w:val="none" w:sz="0" w:space="0" w:color="auto"/>
        <w:left w:val="none" w:sz="0" w:space="0" w:color="auto"/>
        <w:bottom w:val="none" w:sz="0" w:space="0" w:color="auto"/>
        <w:right w:val="none" w:sz="0" w:space="0" w:color="auto"/>
      </w:divBdr>
      <w:divsChild>
        <w:div w:id="189221710">
          <w:marLeft w:val="0"/>
          <w:marRight w:val="0"/>
          <w:marTop w:val="0"/>
          <w:marBottom w:val="0"/>
          <w:divBdr>
            <w:top w:val="none" w:sz="0" w:space="0" w:color="auto"/>
            <w:left w:val="none" w:sz="0" w:space="0" w:color="auto"/>
            <w:bottom w:val="none" w:sz="0" w:space="0" w:color="auto"/>
            <w:right w:val="none" w:sz="0" w:space="0" w:color="auto"/>
          </w:divBdr>
          <w:divsChild>
            <w:div w:id="24033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112797">
      <w:bodyDiv w:val="1"/>
      <w:marLeft w:val="0"/>
      <w:marRight w:val="0"/>
      <w:marTop w:val="0"/>
      <w:marBottom w:val="0"/>
      <w:divBdr>
        <w:top w:val="none" w:sz="0" w:space="0" w:color="auto"/>
        <w:left w:val="none" w:sz="0" w:space="0" w:color="auto"/>
        <w:bottom w:val="none" w:sz="0" w:space="0" w:color="auto"/>
        <w:right w:val="none" w:sz="0" w:space="0" w:color="auto"/>
      </w:divBdr>
      <w:divsChild>
        <w:div w:id="1698123218">
          <w:marLeft w:val="0"/>
          <w:marRight w:val="0"/>
          <w:marTop w:val="0"/>
          <w:marBottom w:val="0"/>
          <w:divBdr>
            <w:top w:val="none" w:sz="0" w:space="0" w:color="auto"/>
            <w:left w:val="none" w:sz="0" w:space="0" w:color="auto"/>
            <w:bottom w:val="none" w:sz="0" w:space="0" w:color="auto"/>
            <w:right w:val="none" w:sz="0" w:space="0" w:color="auto"/>
          </w:divBdr>
          <w:divsChild>
            <w:div w:id="124807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750791">
      <w:bodyDiv w:val="1"/>
      <w:marLeft w:val="0"/>
      <w:marRight w:val="0"/>
      <w:marTop w:val="0"/>
      <w:marBottom w:val="0"/>
      <w:divBdr>
        <w:top w:val="none" w:sz="0" w:space="0" w:color="auto"/>
        <w:left w:val="none" w:sz="0" w:space="0" w:color="auto"/>
        <w:bottom w:val="none" w:sz="0" w:space="0" w:color="auto"/>
        <w:right w:val="none" w:sz="0" w:space="0" w:color="auto"/>
      </w:divBdr>
      <w:divsChild>
        <w:div w:id="409622542">
          <w:marLeft w:val="0"/>
          <w:marRight w:val="0"/>
          <w:marTop w:val="0"/>
          <w:marBottom w:val="0"/>
          <w:divBdr>
            <w:top w:val="none" w:sz="0" w:space="0" w:color="auto"/>
            <w:left w:val="none" w:sz="0" w:space="0" w:color="auto"/>
            <w:bottom w:val="none" w:sz="0" w:space="0" w:color="auto"/>
            <w:right w:val="none" w:sz="0" w:space="0" w:color="auto"/>
          </w:divBdr>
          <w:divsChild>
            <w:div w:id="561713561">
              <w:marLeft w:val="0"/>
              <w:marRight w:val="0"/>
              <w:marTop w:val="0"/>
              <w:marBottom w:val="0"/>
              <w:divBdr>
                <w:top w:val="none" w:sz="0" w:space="0" w:color="auto"/>
                <w:left w:val="none" w:sz="0" w:space="0" w:color="auto"/>
                <w:bottom w:val="none" w:sz="0" w:space="0" w:color="auto"/>
                <w:right w:val="none" w:sz="0" w:space="0" w:color="auto"/>
              </w:divBdr>
              <w:divsChild>
                <w:div w:id="1385956006">
                  <w:marLeft w:val="0"/>
                  <w:marRight w:val="0"/>
                  <w:marTop w:val="0"/>
                  <w:marBottom w:val="0"/>
                  <w:divBdr>
                    <w:top w:val="none" w:sz="0" w:space="0" w:color="auto"/>
                    <w:left w:val="none" w:sz="0" w:space="0" w:color="auto"/>
                    <w:bottom w:val="none" w:sz="0" w:space="0" w:color="auto"/>
                    <w:right w:val="none" w:sz="0" w:space="0" w:color="auto"/>
                  </w:divBdr>
                  <w:divsChild>
                    <w:div w:id="212796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959686">
          <w:marLeft w:val="0"/>
          <w:marRight w:val="0"/>
          <w:marTop w:val="0"/>
          <w:marBottom w:val="0"/>
          <w:divBdr>
            <w:top w:val="none" w:sz="0" w:space="0" w:color="auto"/>
            <w:left w:val="none" w:sz="0" w:space="0" w:color="auto"/>
            <w:bottom w:val="none" w:sz="0" w:space="0" w:color="auto"/>
            <w:right w:val="none" w:sz="0" w:space="0" w:color="auto"/>
          </w:divBdr>
          <w:divsChild>
            <w:div w:id="972757233">
              <w:marLeft w:val="0"/>
              <w:marRight w:val="0"/>
              <w:marTop w:val="0"/>
              <w:marBottom w:val="0"/>
              <w:divBdr>
                <w:top w:val="none" w:sz="0" w:space="0" w:color="auto"/>
                <w:left w:val="none" w:sz="0" w:space="0" w:color="auto"/>
                <w:bottom w:val="none" w:sz="0" w:space="0" w:color="auto"/>
                <w:right w:val="none" w:sz="0" w:space="0" w:color="auto"/>
              </w:divBdr>
              <w:divsChild>
                <w:div w:id="1134953140">
                  <w:marLeft w:val="0"/>
                  <w:marRight w:val="0"/>
                  <w:marTop w:val="0"/>
                  <w:marBottom w:val="0"/>
                  <w:divBdr>
                    <w:top w:val="none" w:sz="0" w:space="0" w:color="auto"/>
                    <w:left w:val="none" w:sz="0" w:space="0" w:color="auto"/>
                    <w:bottom w:val="none" w:sz="0" w:space="0" w:color="auto"/>
                    <w:right w:val="none" w:sz="0" w:space="0" w:color="auto"/>
                  </w:divBdr>
                  <w:divsChild>
                    <w:div w:id="82466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354816620901928" TargetMode="External"/><Relationship Id="rId13" Type="http://schemas.openxmlformats.org/officeDocument/2006/relationships/hyperlink" Target="https://corporatefinanceinstitute.com/resources/accounting/income-statement/" TargetMode="External"/><Relationship Id="rId18" Type="http://schemas.openxmlformats.org/officeDocument/2006/relationships/hyperlink" Target="https://www.sciencedirect.com/science/article/pii/S0160738323001895" TargetMode="External"/><Relationship Id="rId26" Type="http://schemas.openxmlformats.org/officeDocument/2006/relationships/hyperlink" Target="https://doi.org/10.1108/09600030810900950" TargetMode="External"/><Relationship Id="rId3" Type="http://schemas.openxmlformats.org/officeDocument/2006/relationships/styles" Target="styles.xml"/><Relationship Id="rId21" Type="http://schemas.openxmlformats.org/officeDocument/2006/relationships/hyperlink" Target="https://www.ons.gov.uk/businessindustryandtrade/business/businessservices/bulletins/businessinsightsandimpactontheukeconomy/23may2024" TargetMode="External"/><Relationship Id="rId7" Type="http://schemas.openxmlformats.org/officeDocument/2006/relationships/endnotes" Target="endnotes.xml"/><Relationship Id="rId12" Type="http://schemas.openxmlformats.org/officeDocument/2006/relationships/hyperlink" Target="https://corporatefinanceinstitute.com/resources/accounting/financial-ratios/" TargetMode="External"/><Relationship Id="rId17" Type="http://schemas.openxmlformats.org/officeDocument/2006/relationships/hyperlink" Target="https://globaledge.msu.edu/blog/post/57383/how-airbnb-disrupts-the-hotel-industry" TargetMode="External"/><Relationship Id="rId25" Type="http://schemas.openxmlformats.org/officeDocument/2006/relationships/hyperlink" Target="https://www.satuvision.com/the-impact-of-airbnb-on-hotel-and-hospitality-industry/" TargetMode="External"/><Relationship Id="rId2" Type="http://schemas.openxmlformats.org/officeDocument/2006/relationships/numbering" Target="numbering.xml"/><Relationship Id="rId16" Type="http://schemas.openxmlformats.org/officeDocument/2006/relationships/hyperlink" Target="https://www.pinsentmasons.com/out-law/analysis/uk-hospitality-industry-faces-mounting-challenges" TargetMode="External"/><Relationship Id="rId20" Type="http://schemas.openxmlformats.org/officeDocument/2006/relationships/hyperlink" Target="https://www.linkedin.com/pulse/elevating-hospitality-management-saucedit-revolution-ben-miranda-gmv6c/"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career-map/sell-side/risk-management/risk-management/" TargetMode="External"/><Relationship Id="rId24" Type="http://schemas.openxmlformats.org/officeDocument/2006/relationships/hyperlink" Target="https://doi.org/10.1016/j.tmp.2017.05.005" TargetMode="External"/><Relationship Id="rId5" Type="http://schemas.openxmlformats.org/officeDocument/2006/relationships/webSettings" Target="webSettings.xml"/><Relationship Id="rId15" Type="http://schemas.openxmlformats.org/officeDocument/2006/relationships/hyperlink" Target="https://fastercapital.com/content/Operating-Expense-Ratio-vs--Gross-Margin--Finding-the-Balance-update.html" TargetMode="External"/><Relationship Id="rId23" Type="http://schemas.openxmlformats.org/officeDocument/2006/relationships/hyperlink" Target="https://doi.org/10.1016/j.procir.2016.01.019" TargetMode="External"/><Relationship Id="rId28" Type="http://schemas.openxmlformats.org/officeDocument/2006/relationships/footer" Target="footer1.xml"/><Relationship Id="rId10" Type="http://schemas.openxmlformats.org/officeDocument/2006/relationships/hyperlink" Target="https://corporatefinanceinstitute.com/resources/career-map/sell-side/risk-management/financial-risk-management-process/" TargetMode="External"/><Relationship Id="rId19" Type="http://schemas.openxmlformats.org/officeDocument/2006/relationships/hyperlink" Target="https://doi.org/10.7591/9781501736520" TargetMode="External"/><Relationship Id="rId4" Type="http://schemas.openxmlformats.org/officeDocument/2006/relationships/settings" Target="settings.xml"/><Relationship Id="rId9" Type="http://schemas.openxmlformats.org/officeDocument/2006/relationships/hyperlink" Target="https://www.forbes.com/sites/alisoncoleman/2023/03/09/from-covid-to-cost-hikes-how-uk-hospitality-entrepreneurs-are-surviving/" TargetMode="External"/><Relationship Id="rId14" Type="http://schemas.openxmlformats.org/officeDocument/2006/relationships/hyperlink" Target="https://corporatefinanceinstitute.com/resources/accounting/balance-sheet/" TargetMode="External"/><Relationship Id="rId22" Type="http://schemas.openxmlformats.org/officeDocument/2006/relationships/hyperlink" Target="https://doi.org/10.1080/19368623.2013.805313" TargetMode="External"/><Relationship Id="rId27" Type="http://schemas.openxmlformats.org/officeDocument/2006/relationships/hyperlink" Target="https://www.ukhospitality.org.uk/campaign/rising-costs-and-inflat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982377-77EE-4A53-BDE7-104C74F58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2953</TotalTime>
  <Pages>21</Pages>
  <Words>4529</Words>
  <Characters>25820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Priedulena</dc:creator>
  <cp:keywords/>
  <dc:description/>
  <cp:lastModifiedBy>Dina Priedulena</cp:lastModifiedBy>
  <cp:revision>26</cp:revision>
  <dcterms:created xsi:type="dcterms:W3CDTF">2024-06-02T04:13:00Z</dcterms:created>
  <dcterms:modified xsi:type="dcterms:W3CDTF">2024-06-06T07:59:00Z</dcterms:modified>
</cp:coreProperties>
</file>