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09081" w14:textId="5FA9C490" w:rsidR="00974B5C" w:rsidRDefault="00913948">
      <w:pPr>
        <w:rPr>
          <w:b/>
          <w:bCs/>
          <w:sz w:val="24"/>
          <w:szCs w:val="24"/>
        </w:rPr>
      </w:pPr>
      <w:r w:rsidRPr="00913948">
        <w:rPr>
          <w:b/>
          <w:bCs/>
          <w:sz w:val="24"/>
          <w:szCs w:val="24"/>
        </w:rPr>
        <w:t>Response policing – In a recent survey by HMICFRS, 65% of respondents agreed “that police in their local area treat people fairly and with respect” (Justice Inspectorates, 2019). Evaluate the impact of public perception on response policing.</w:t>
      </w:r>
      <w:r>
        <w:rPr>
          <w:b/>
          <w:bCs/>
          <w:sz w:val="24"/>
          <w:szCs w:val="24"/>
        </w:rPr>
        <w:t xml:space="preserve"> (1000 words)</w:t>
      </w:r>
    </w:p>
    <w:p w14:paraId="702CDD3F" w14:textId="4F03AB6C" w:rsidR="00355F6B" w:rsidRDefault="00355F6B" w:rsidP="00355F6B">
      <w:pPr>
        <w:pStyle w:val="paragraph"/>
        <w:spacing w:before="0" w:beforeAutospacing="0" w:after="0" w:afterAutospacing="0"/>
        <w:textAlignment w:val="baseline"/>
        <w:rPr>
          <w:rFonts w:ascii="Segoe UI" w:hAnsi="Segoe UI" w:cs="Segoe UI"/>
          <w:sz w:val="18"/>
          <w:szCs w:val="18"/>
        </w:rPr>
      </w:pPr>
    </w:p>
    <w:p w14:paraId="0430BE70" w14:textId="0BBD7DF9" w:rsidR="00355F6B" w:rsidRPr="0067353B" w:rsidRDefault="00355F6B" w:rsidP="00355F6B">
      <w:pPr>
        <w:pStyle w:val="paragraph"/>
        <w:spacing w:before="0" w:beforeAutospacing="0" w:after="0" w:afterAutospacing="0"/>
        <w:textAlignment w:val="baseline"/>
        <w:rPr>
          <w:rFonts w:ascii="Segoe UI" w:hAnsi="Segoe UI" w:cs="Segoe UI"/>
          <w:b/>
          <w:bCs/>
          <w:sz w:val="18"/>
          <w:szCs w:val="18"/>
        </w:rPr>
      </w:pPr>
      <w:r>
        <w:rPr>
          <w:rStyle w:val="normaltextrun"/>
          <w:rFonts w:ascii="Calibri" w:hAnsi="Calibri" w:cs="Calibri"/>
        </w:rPr>
        <w:t xml:space="preserve">Policing in England and Wales relies on a model known as, ‘Policing by consent’. This model, as defined by The Home Office (2012), is derived from the </w:t>
      </w:r>
      <w:proofErr w:type="spellStart"/>
      <w:r>
        <w:rPr>
          <w:rStyle w:val="normaltextrun"/>
          <w:rFonts w:ascii="Calibri" w:hAnsi="Calibri" w:cs="Calibri"/>
        </w:rPr>
        <w:t>Peelian</w:t>
      </w:r>
      <w:proofErr w:type="spellEnd"/>
      <w:r>
        <w:rPr>
          <w:rStyle w:val="normaltextrun"/>
          <w:rFonts w:ascii="Calibri" w:hAnsi="Calibri" w:cs="Calibri"/>
        </w:rPr>
        <w:t xml:space="preserve"> principles which set out the general guidelines for a police service to be governed by. These principles </w:t>
      </w:r>
      <w:r w:rsidR="001360C4">
        <w:rPr>
          <w:rStyle w:val="normaltextrun"/>
          <w:rFonts w:ascii="Calibri" w:hAnsi="Calibri" w:cs="Calibri"/>
        </w:rPr>
        <w:t xml:space="preserve">are detailed by The Home Office (2012) and </w:t>
      </w:r>
      <w:r>
        <w:rPr>
          <w:rStyle w:val="normaltextrun"/>
          <w:rFonts w:ascii="Calibri" w:hAnsi="Calibri" w:cs="Calibri"/>
        </w:rPr>
        <w:t>emphasise that ‘police powers derive from the consent of the public, as opposed to the state’. Despite originating in the early 1800s, it can be argued that these principles are still relevant today</w:t>
      </w:r>
      <w:r w:rsidR="00C310A3">
        <w:rPr>
          <w:rStyle w:val="normaltextrun"/>
          <w:rFonts w:ascii="Calibri" w:hAnsi="Calibri" w:cs="Calibri"/>
        </w:rPr>
        <w:t xml:space="preserve"> as suggested by Baroness Casey (2023)</w:t>
      </w:r>
      <w:r>
        <w:rPr>
          <w:rStyle w:val="normaltextrun"/>
          <w:rFonts w:ascii="Calibri" w:hAnsi="Calibri" w:cs="Calibri"/>
        </w:rPr>
        <w:t>,</w:t>
      </w:r>
      <w:r w:rsidR="00C310A3">
        <w:rPr>
          <w:rStyle w:val="normaltextrun"/>
          <w:rFonts w:ascii="Calibri" w:hAnsi="Calibri" w:cs="Calibri"/>
        </w:rPr>
        <w:t xml:space="preserve"> who describes the principles as being ‘fundamental to policing communities’</w:t>
      </w:r>
      <w:r w:rsidR="00F94961">
        <w:rPr>
          <w:rStyle w:val="normaltextrun"/>
          <w:rFonts w:ascii="Calibri" w:hAnsi="Calibri" w:cs="Calibri"/>
        </w:rPr>
        <w:t xml:space="preserve"> in modern policing</w:t>
      </w:r>
      <w:r>
        <w:rPr>
          <w:rStyle w:val="normaltextrun"/>
          <w:rFonts w:ascii="Calibri" w:hAnsi="Calibri" w:cs="Calibri"/>
        </w:rPr>
        <w:t xml:space="preserve">. Throughout the principles, it is frequently mentioned that there is a reliance on the public by the police to perform their role. </w:t>
      </w:r>
      <w:r w:rsidR="00C310A3">
        <w:rPr>
          <w:rStyle w:val="normaltextrun"/>
          <w:rFonts w:ascii="Calibri" w:hAnsi="Calibri" w:cs="Calibri"/>
        </w:rPr>
        <w:t xml:space="preserve">At </w:t>
      </w:r>
      <w:r>
        <w:rPr>
          <w:rStyle w:val="normaltextrun"/>
          <w:rFonts w:ascii="Calibri" w:hAnsi="Calibri" w:cs="Calibri"/>
        </w:rPr>
        <w:t xml:space="preserve">the core of </w:t>
      </w:r>
      <w:r w:rsidR="00C310A3">
        <w:rPr>
          <w:rStyle w:val="normaltextrun"/>
          <w:rFonts w:ascii="Calibri" w:hAnsi="Calibri" w:cs="Calibri"/>
        </w:rPr>
        <w:t>the principles</w:t>
      </w:r>
      <w:r>
        <w:rPr>
          <w:rStyle w:val="normaltextrun"/>
          <w:rFonts w:ascii="Calibri" w:hAnsi="Calibri" w:cs="Calibri"/>
        </w:rPr>
        <w:t xml:space="preserve"> is the relationship between public perception and coo</w:t>
      </w:r>
      <w:r w:rsidR="00C310A3">
        <w:rPr>
          <w:rStyle w:val="normaltextrun"/>
          <w:rFonts w:ascii="Calibri" w:hAnsi="Calibri" w:cs="Calibri"/>
        </w:rPr>
        <w:t xml:space="preserve">peration of the public which can be linked back to the opening statement by Justice Inspectorates (2019) </w:t>
      </w:r>
      <w:r w:rsidR="009A30EF">
        <w:rPr>
          <w:rStyle w:val="normaltextrun"/>
          <w:rFonts w:ascii="Calibri" w:hAnsi="Calibri" w:cs="Calibri"/>
        </w:rPr>
        <w:t xml:space="preserve">and the impact on a response officer’s role. </w:t>
      </w:r>
    </w:p>
    <w:p w14:paraId="5D068E9A"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F998176" w14:textId="4C9AC89C"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The College of Policing</w:t>
      </w:r>
      <w:r w:rsidR="009A30EF">
        <w:rPr>
          <w:rStyle w:val="normaltextrun"/>
          <w:rFonts w:ascii="Calibri" w:hAnsi="Calibri" w:cs="Calibri"/>
        </w:rPr>
        <w:t xml:space="preserve"> (no date)</w:t>
      </w:r>
      <w:r>
        <w:rPr>
          <w:rStyle w:val="normaltextrun"/>
          <w:rFonts w:ascii="Calibri" w:hAnsi="Calibri" w:cs="Calibri"/>
        </w:rPr>
        <w:t xml:space="preserve"> defines a response officer as ‘the heart of uniformed policing and often the first officer that members of the public come into contact with’. They undertake various roles as a response officer, including the protection of the public, conducting proactive patrols, and supporting vulnerable people to name a few. Simpson (2017) suggests that the public’s perceptions of the police can appear more favourably when the officer is in uniform and on foot</w:t>
      </w:r>
      <w:r w:rsidR="003B2083">
        <w:rPr>
          <w:rStyle w:val="normaltextrun"/>
          <w:rFonts w:ascii="Calibri" w:hAnsi="Calibri" w:cs="Calibri"/>
        </w:rPr>
        <w:t xml:space="preserve"> which in brief, is essentially the role of a response officer</w:t>
      </w:r>
      <w:r>
        <w:rPr>
          <w:rStyle w:val="normaltextrun"/>
          <w:rFonts w:ascii="Calibri" w:hAnsi="Calibri" w:cs="Calibri"/>
        </w:rPr>
        <w:t>. </w:t>
      </w:r>
      <w:r w:rsidR="003B2083">
        <w:rPr>
          <w:rStyle w:val="eop"/>
          <w:rFonts w:ascii="Calibri" w:hAnsi="Calibri" w:cs="Calibri"/>
        </w:rPr>
        <w:t xml:space="preserve">Hanway and Hambly (2023) </w:t>
      </w:r>
      <w:r w:rsidR="00B60050">
        <w:rPr>
          <w:rStyle w:val="eop"/>
          <w:rFonts w:ascii="Calibri" w:hAnsi="Calibri" w:cs="Calibri"/>
        </w:rPr>
        <w:t xml:space="preserve">argue that public perceptions of the police can be improved or eroded by visibility of police officers and their availability to attend incidents. They also go on to suggest that both positive and negative experiences can impact the public’s perception of the police and they cite Miller and D’Souza (2016) and Wedlock and Tapley (2016) who argue that a positive experience can influence a person’s cooperation with the police and increase their trust in the </w:t>
      </w:r>
      <w:proofErr w:type="gramStart"/>
      <w:r w:rsidR="00B60050">
        <w:rPr>
          <w:rStyle w:val="eop"/>
          <w:rFonts w:ascii="Calibri" w:hAnsi="Calibri" w:cs="Calibri"/>
        </w:rPr>
        <w:t>police as a whole</w:t>
      </w:r>
      <w:proofErr w:type="gramEnd"/>
      <w:r w:rsidR="00B60050">
        <w:rPr>
          <w:rStyle w:val="eop"/>
          <w:rFonts w:ascii="Calibri" w:hAnsi="Calibri" w:cs="Calibri"/>
        </w:rPr>
        <w:t xml:space="preserve">. </w:t>
      </w:r>
    </w:p>
    <w:p w14:paraId="1F086BB4" w14:textId="77777777" w:rsidR="00355F6B" w:rsidRDefault="00355F6B" w:rsidP="00355F6B">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3A02E100" w14:textId="2E4DB9CE" w:rsidR="00B60050" w:rsidRDefault="00B60050" w:rsidP="00B6005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When a response officer attends a call, they often will rely on the individuals involved to explain the circumstances of what has occurred. However, it can be argued that how much that person discloses to the officer can be impacted by their perception of the police as previously suggested by Hanway and Hambly (2023), </w:t>
      </w:r>
      <w:r>
        <w:rPr>
          <w:rStyle w:val="eop"/>
          <w:rFonts w:ascii="Calibri" w:hAnsi="Calibri" w:cs="Calibri"/>
        </w:rPr>
        <w:t>Miller and D’Souza (2016) and Wedlock and Tapley (2016)</w:t>
      </w:r>
      <w:r>
        <w:rPr>
          <w:rStyle w:val="normaltextrun"/>
          <w:rFonts w:ascii="Calibri" w:hAnsi="Calibri" w:cs="Calibri"/>
        </w:rPr>
        <w:t>. If they do not trust the police or don’t believe that the police will handle the situation appropriately, then they are less likely to give a full account of events. The College of Policing (2013) supports this</w:t>
      </w:r>
      <w:r w:rsidR="000B5CA6">
        <w:rPr>
          <w:rStyle w:val="normaltextrun"/>
          <w:rFonts w:ascii="Calibri" w:hAnsi="Calibri" w:cs="Calibri"/>
        </w:rPr>
        <w:t xml:space="preserve"> and discusses it f</w:t>
      </w:r>
      <w:r w:rsidR="00B07DBB">
        <w:rPr>
          <w:rStyle w:val="normaltextrun"/>
          <w:rFonts w:ascii="Calibri" w:hAnsi="Calibri" w:cs="Calibri"/>
        </w:rPr>
        <w:t>rom</w:t>
      </w:r>
      <w:r w:rsidR="000B5CA6">
        <w:rPr>
          <w:rStyle w:val="normaltextrun"/>
          <w:rFonts w:ascii="Calibri" w:hAnsi="Calibri" w:cs="Calibri"/>
        </w:rPr>
        <w:t xml:space="preserve"> </w:t>
      </w:r>
      <w:r w:rsidR="00B07DBB">
        <w:rPr>
          <w:rStyle w:val="normaltextrun"/>
          <w:rFonts w:ascii="Calibri" w:hAnsi="Calibri" w:cs="Calibri"/>
        </w:rPr>
        <w:t>the perspective of the</w:t>
      </w:r>
      <w:r w:rsidR="000B5CA6">
        <w:rPr>
          <w:rStyle w:val="normaltextrun"/>
          <w:rFonts w:ascii="Calibri" w:hAnsi="Calibri" w:cs="Calibri"/>
        </w:rPr>
        <w:t xml:space="preserve"> the victim</w:t>
      </w:r>
      <w:r>
        <w:rPr>
          <w:rStyle w:val="normaltextrun"/>
          <w:rFonts w:ascii="Calibri" w:hAnsi="Calibri" w:cs="Calibri"/>
        </w:rPr>
        <w:t xml:space="preserve">, adding that treating the victim with respect and recognising the needs of the individual can have a significant impact on their cooperation throughout the investigation. Should the person cooperate from the first meeting with the response officer, it can prove to be beneficial for the </w:t>
      </w:r>
      <w:proofErr w:type="gramStart"/>
      <w:r>
        <w:rPr>
          <w:rStyle w:val="normaltextrun"/>
          <w:rFonts w:ascii="Calibri" w:hAnsi="Calibri" w:cs="Calibri"/>
        </w:rPr>
        <w:t>investigation as a whole, as</w:t>
      </w:r>
      <w:proofErr w:type="gramEnd"/>
      <w:r>
        <w:rPr>
          <w:rStyle w:val="normaltextrun"/>
          <w:rFonts w:ascii="Calibri" w:hAnsi="Calibri" w:cs="Calibri"/>
        </w:rPr>
        <w:t xml:space="preserve"> without the necessary information, the investigation can collapse which could in turn lead to lower trust and confidence in the police. </w:t>
      </w:r>
      <w:r>
        <w:rPr>
          <w:rStyle w:val="eop"/>
          <w:rFonts w:ascii="Calibri" w:hAnsi="Calibri" w:cs="Calibri"/>
        </w:rPr>
        <w:t> </w:t>
      </w:r>
    </w:p>
    <w:p w14:paraId="59C6C866" w14:textId="77777777" w:rsidR="00B60050" w:rsidRDefault="00B60050" w:rsidP="00355F6B">
      <w:pPr>
        <w:pStyle w:val="paragraph"/>
        <w:spacing w:before="0" w:beforeAutospacing="0" w:after="0" w:afterAutospacing="0"/>
        <w:textAlignment w:val="baseline"/>
        <w:rPr>
          <w:rFonts w:ascii="Segoe UI" w:hAnsi="Segoe UI" w:cs="Segoe UI"/>
          <w:sz w:val="18"/>
          <w:szCs w:val="18"/>
        </w:rPr>
      </w:pPr>
    </w:p>
    <w:p w14:paraId="21189815" w14:textId="3E7CB599"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One significant aspect of a response officer’s role is proactive patrol,</w:t>
      </w:r>
      <w:r w:rsidR="00BC68E4">
        <w:rPr>
          <w:rStyle w:val="normaltextrun"/>
          <w:rFonts w:ascii="Calibri" w:hAnsi="Calibri" w:cs="Calibri"/>
        </w:rPr>
        <w:t xml:space="preserve"> which the College of Policing (2021) suggests can have a positive impact on public perceptions</w:t>
      </w:r>
      <w:r>
        <w:rPr>
          <w:rStyle w:val="normaltextrun"/>
          <w:rFonts w:ascii="Calibri" w:hAnsi="Calibri" w:cs="Calibri"/>
        </w:rPr>
        <w:t xml:space="preserve">. </w:t>
      </w:r>
      <w:r w:rsidR="00BC68E4">
        <w:rPr>
          <w:rStyle w:val="normaltextrun"/>
          <w:rFonts w:ascii="Calibri" w:hAnsi="Calibri" w:cs="Calibri"/>
        </w:rPr>
        <w:t>A</w:t>
      </w:r>
      <w:r>
        <w:rPr>
          <w:rStyle w:val="normaltextrun"/>
          <w:rFonts w:ascii="Calibri" w:hAnsi="Calibri" w:cs="Calibri"/>
        </w:rPr>
        <w:t xml:space="preserve"> controversial area surrounding proactive policing is stop and search</w:t>
      </w:r>
      <w:r w:rsidR="00BC68E4">
        <w:rPr>
          <w:rStyle w:val="normaltextrun"/>
          <w:rFonts w:ascii="Calibri" w:hAnsi="Calibri" w:cs="Calibri"/>
        </w:rPr>
        <w:t xml:space="preserve"> which can have an impact on public perceptions</w:t>
      </w:r>
      <w:r>
        <w:rPr>
          <w:rStyle w:val="normaltextrun"/>
          <w:rFonts w:ascii="Calibri" w:hAnsi="Calibri" w:cs="Calibri"/>
        </w:rPr>
        <w:t xml:space="preserve">. Data from the Home Office (2023) reveals that between March 2022 and 2023, </w:t>
      </w:r>
      <w:r>
        <w:rPr>
          <w:rStyle w:val="normaltextrun"/>
          <w:rFonts w:ascii="Calibri" w:hAnsi="Calibri" w:cs="Calibri"/>
        </w:rPr>
        <w:lastRenderedPageBreak/>
        <w:t>there were 542,723 searches conducted under section 1 of Police and Criminal Evidence act 1984 (PACE) in England and Wales, with 73,891 leading to an arrest</w:t>
      </w:r>
      <w:r w:rsidR="00AE0B85">
        <w:rPr>
          <w:rStyle w:val="normaltextrun"/>
          <w:rFonts w:ascii="Calibri" w:hAnsi="Calibri" w:cs="Calibri"/>
        </w:rPr>
        <w:t xml:space="preserve"> which may look like a small number </w:t>
      </w:r>
      <w:r w:rsidR="00B07DBB">
        <w:rPr>
          <w:rStyle w:val="normaltextrun"/>
          <w:rFonts w:ascii="Calibri" w:hAnsi="Calibri" w:cs="Calibri"/>
        </w:rPr>
        <w:t>to the public given the number of searches conducted</w:t>
      </w:r>
      <w:r w:rsidR="00AE0B85">
        <w:rPr>
          <w:rStyle w:val="normaltextrun"/>
          <w:rFonts w:ascii="Calibri" w:hAnsi="Calibri" w:cs="Calibri"/>
        </w:rPr>
        <w:t xml:space="preserve">. </w:t>
      </w:r>
      <w:r>
        <w:rPr>
          <w:rStyle w:val="normaltextrun"/>
          <w:rFonts w:ascii="Calibri" w:hAnsi="Calibri" w:cs="Calibri"/>
        </w:rPr>
        <w:t>Also, important to note is that in 71% of searches under section 1 PACE, no further action was taken.</w:t>
      </w:r>
      <w:r w:rsidR="00C66426">
        <w:rPr>
          <w:rStyle w:val="normaltextrun"/>
          <w:rFonts w:ascii="Calibri" w:hAnsi="Calibri" w:cs="Calibri"/>
        </w:rPr>
        <w:t xml:space="preserve"> </w:t>
      </w:r>
      <w:r w:rsidR="00BC68E4">
        <w:rPr>
          <w:rStyle w:val="normaltextrun"/>
          <w:rFonts w:ascii="Calibri" w:hAnsi="Calibri" w:cs="Calibri"/>
        </w:rPr>
        <w:t>It is not mentioned in the report why no further action was taken however</w:t>
      </w:r>
      <w:r>
        <w:rPr>
          <w:rStyle w:val="normaltextrun"/>
          <w:rFonts w:ascii="Calibri" w:hAnsi="Calibri" w:cs="Calibri"/>
        </w:rPr>
        <w:t xml:space="preserve"> it is important to consider the impact that these statistics could have on public perception, especially when it is paired with the disproportionate rate at which BAME people are stop and searched, as evi</w:t>
      </w:r>
      <w:r w:rsidR="00E824A6">
        <w:rPr>
          <w:rStyle w:val="normaltextrun"/>
          <w:rFonts w:ascii="Calibri" w:hAnsi="Calibri" w:cs="Calibri"/>
        </w:rPr>
        <w:t>de</w:t>
      </w:r>
      <w:r>
        <w:rPr>
          <w:rStyle w:val="normaltextrun"/>
          <w:rFonts w:ascii="Calibri" w:hAnsi="Calibri" w:cs="Calibri"/>
        </w:rPr>
        <w:t>nced by the Home Office (2023).</w:t>
      </w:r>
      <w:r w:rsidR="00133A09">
        <w:rPr>
          <w:rStyle w:val="normaltextrun"/>
          <w:rFonts w:ascii="Calibri" w:hAnsi="Calibri" w:cs="Calibri"/>
        </w:rPr>
        <w:t xml:space="preserve"> The Independent Office for Police Conduct (2021) lead on discrimination, Sal Naseem suggests that the disproportionate nature of stop and search powers lead to younger people and people from BAME backgrounds having lower confidence in the police but also concluded that most people believe that UK police respond in a fair and proportionate way when dealing with incidents involving members of the public</w:t>
      </w:r>
      <w:r>
        <w:rPr>
          <w:rStyle w:val="normaltextrun"/>
          <w:rFonts w:ascii="Calibri" w:hAnsi="Calibri" w:cs="Calibri"/>
        </w:rPr>
        <w:t xml:space="preserve">. A stop and search can be a difficult situation for an individual where they are detained and unable to leave, leading people to often feel criminalised by these searches. In </w:t>
      </w:r>
      <w:r w:rsidR="00835838">
        <w:rPr>
          <w:rStyle w:val="normaltextrun"/>
          <w:rFonts w:ascii="Calibri" w:hAnsi="Calibri" w:cs="Calibri"/>
        </w:rPr>
        <w:t>addition</w:t>
      </w:r>
      <w:r>
        <w:rPr>
          <w:rStyle w:val="normaltextrun"/>
          <w:rFonts w:ascii="Calibri" w:hAnsi="Calibri" w:cs="Calibri"/>
        </w:rPr>
        <w:t xml:space="preserve"> to this, Tyler et al (2015) argues that being the subject of suspicion can undermine the relationship between the police and communities, eroding trust and respect between them, which, in turn, will further influence public perception. </w:t>
      </w:r>
      <w:r>
        <w:rPr>
          <w:rStyle w:val="eop"/>
          <w:rFonts w:ascii="Calibri" w:hAnsi="Calibri" w:cs="Calibri"/>
        </w:rPr>
        <w:t> </w:t>
      </w:r>
    </w:p>
    <w:p w14:paraId="478F203D"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27E77FC"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8CDF215" w14:textId="2940550E"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According to Clark (2024), there were approximately 171,000 police officers in the UK in 2023, approximately 1000 officers less than there were in 2010. In conjunction to this there appears to have been a rise in recorded crime in England and Wales as evi</w:t>
      </w:r>
      <w:r w:rsidR="00D74786">
        <w:rPr>
          <w:rStyle w:val="normaltextrun"/>
          <w:rFonts w:ascii="Calibri" w:hAnsi="Calibri" w:cs="Calibri"/>
        </w:rPr>
        <w:t>de</w:t>
      </w:r>
      <w:r>
        <w:rPr>
          <w:rStyle w:val="normaltextrun"/>
          <w:rFonts w:ascii="Calibri" w:hAnsi="Calibri" w:cs="Calibri"/>
        </w:rPr>
        <w:t>nced by Statista (2023)</w:t>
      </w:r>
      <w:r w:rsidR="0076771D">
        <w:rPr>
          <w:rStyle w:val="normaltextrun"/>
          <w:rFonts w:ascii="Calibri" w:hAnsi="Calibri" w:cs="Calibri"/>
        </w:rPr>
        <w:t>.</w:t>
      </w:r>
      <w:r>
        <w:rPr>
          <w:rStyle w:val="normaltextrun"/>
          <w:rFonts w:ascii="Calibri" w:hAnsi="Calibri" w:cs="Calibri"/>
        </w:rPr>
        <w:t xml:space="preserve"> Furthermore, Statista (2023) suggests a relationship between the lack of spending, fewer officers and the rise in recorded crime. It can be argued that this trend has an impact on public perception of the police, with The Victim’s Commissioner (2021) stating that only 42% of victims surveyed feel they had been treated fairly and with respect by the police, and only 43% of victims would report a crime again. </w:t>
      </w:r>
      <w:r w:rsidR="00C26820">
        <w:rPr>
          <w:rStyle w:val="normaltextrun"/>
          <w:rFonts w:ascii="Calibri" w:hAnsi="Calibri" w:cs="Calibri"/>
        </w:rPr>
        <w:t xml:space="preserve">Caveney (2019) et al also suggests that the fall in officer numbers not only threatens public confidence, but also leads to lower visibility of </w:t>
      </w:r>
      <w:r w:rsidR="005F44C6">
        <w:rPr>
          <w:rStyle w:val="normaltextrun"/>
          <w:rFonts w:ascii="Calibri" w:hAnsi="Calibri" w:cs="Calibri"/>
        </w:rPr>
        <w:t>front-line</w:t>
      </w:r>
      <w:r w:rsidR="00C26820">
        <w:rPr>
          <w:rStyle w:val="normaltextrun"/>
          <w:rFonts w:ascii="Calibri" w:hAnsi="Calibri" w:cs="Calibri"/>
        </w:rPr>
        <w:t xml:space="preserve"> officers. </w:t>
      </w:r>
      <w:r>
        <w:rPr>
          <w:rStyle w:val="normaltextrun"/>
          <w:rFonts w:ascii="Calibri" w:hAnsi="Calibri" w:cs="Calibri"/>
        </w:rPr>
        <w:t>This is contrary to the statement from Justice Inspectorate (2019)</w:t>
      </w:r>
      <w:r w:rsidR="005F44C6">
        <w:rPr>
          <w:rStyle w:val="normaltextrun"/>
          <w:rFonts w:ascii="Calibri" w:hAnsi="Calibri" w:cs="Calibri"/>
        </w:rPr>
        <w:t xml:space="preserve"> </w:t>
      </w:r>
      <w:r w:rsidR="0076771D">
        <w:rPr>
          <w:rStyle w:val="normaltextrun"/>
          <w:rFonts w:ascii="Calibri" w:hAnsi="Calibri" w:cs="Calibri"/>
        </w:rPr>
        <w:t>who</w:t>
      </w:r>
      <w:r w:rsidR="005F44C6">
        <w:rPr>
          <w:rStyle w:val="normaltextrun"/>
          <w:rFonts w:ascii="Calibri" w:hAnsi="Calibri" w:cs="Calibri"/>
        </w:rPr>
        <w:t xml:space="preserve"> suggests 65% of participants feel that they have been treated fairly and with respect in the question</w:t>
      </w:r>
      <w:r>
        <w:rPr>
          <w:rStyle w:val="normaltextrun"/>
          <w:rFonts w:ascii="Calibri" w:hAnsi="Calibri" w:cs="Calibri"/>
        </w:rPr>
        <w:t>, offering an alternative perspective of how some victims view the police, albeit this could be down to the smaller sample size. </w:t>
      </w:r>
      <w:r>
        <w:rPr>
          <w:rStyle w:val="eop"/>
          <w:rFonts w:ascii="Calibri" w:hAnsi="Calibri" w:cs="Calibri"/>
        </w:rPr>
        <w:t> </w:t>
      </w:r>
    </w:p>
    <w:p w14:paraId="0FCD136E"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96F29EB" w14:textId="77777777" w:rsidR="00355F6B" w:rsidRDefault="00355F6B" w:rsidP="00355F6B">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 xml:space="preserve">In conclusion, public perception can play a pivotal role in policing, more specifically shaping response policing. Response officers deal with members of the public </w:t>
      </w:r>
      <w:proofErr w:type="gramStart"/>
      <w:r>
        <w:rPr>
          <w:rStyle w:val="normaltextrun"/>
          <w:rFonts w:ascii="Calibri" w:hAnsi="Calibri" w:cs="Calibri"/>
        </w:rPr>
        <w:t>on a daily basis</w:t>
      </w:r>
      <w:proofErr w:type="gramEnd"/>
      <w:r>
        <w:rPr>
          <w:rStyle w:val="normaltextrun"/>
          <w:rFonts w:ascii="Calibri" w:hAnsi="Calibri" w:cs="Calibri"/>
        </w:rPr>
        <w:t>, with trust in the police serving as a vital aspect for officers to gain cooperation from individuals involved, and thus, effectively carry out their role. By fostering positive public relations and addressing concerns, it is easier to gain information surrounding incidents which enables officers to carry out their investigations which in turn could increase the trust in the police. </w:t>
      </w:r>
      <w:r>
        <w:rPr>
          <w:rStyle w:val="eop"/>
          <w:rFonts w:ascii="Calibri" w:hAnsi="Calibri" w:cs="Calibri"/>
        </w:rPr>
        <w:t> </w:t>
      </w:r>
    </w:p>
    <w:p w14:paraId="265A3A53" w14:textId="77777777" w:rsidR="00355F6B" w:rsidRDefault="00355F6B" w:rsidP="00355F6B">
      <w:pPr>
        <w:pStyle w:val="paragraph"/>
        <w:spacing w:before="0" w:beforeAutospacing="0" w:after="0" w:afterAutospacing="0"/>
        <w:textAlignment w:val="baseline"/>
        <w:rPr>
          <w:rStyle w:val="eop"/>
          <w:rFonts w:ascii="Calibri" w:hAnsi="Calibri" w:cs="Calibri"/>
        </w:rPr>
      </w:pPr>
    </w:p>
    <w:p w14:paraId="3352376A" w14:textId="4A538DAF"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xml:space="preserve">Word count: </w:t>
      </w:r>
      <w:r w:rsidR="00560EF6">
        <w:rPr>
          <w:rStyle w:val="eop"/>
          <w:rFonts w:ascii="Calibri" w:hAnsi="Calibri" w:cs="Calibri"/>
        </w:rPr>
        <w:t>109</w:t>
      </w:r>
      <w:r w:rsidR="00F94961">
        <w:rPr>
          <w:rStyle w:val="eop"/>
          <w:rFonts w:ascii="Calibri" w:hAnsi="Calibri" w:cs="Calibri"/>
        </w:rPr>
        <w:t>7</w:t>
      </w:r>
    </w:p>
    <w:p w14:paraId="07676C14" w14:textId="77777777" w:rsidR="00355F6B" w:rsidRDefault="00355F6B">
      <w:pPr>
        <w:rPr>
          <w:b/>
          <w:bCs/>
          <w:sz w:val="24"/>
          <w:szCs w:val="24"/>
        </w:rPr>
      </w:pPr>
    </w:p>
    <w:p w14:paraId="70F1B397" w14:textId="4E9804D9" w:rsidR="00355F6B" w:rsidRDefault="00355F6B">
      <w:pPr>
        <w:rPr>
          <w:b/>
          <w:bCs/>
          <w:sz w:val="24"/>
          <w:szCs w:val="24"/>
        </w:rPr>
      </w:pPr>
    </w:p>
    <w:p w14:paraId="3DF40795" w14:textId="77777777" w:rsidR="00560EF6" w:rsidRDefault="00560EF6">
      <w:pPr>
        <w:rPr>
          <w:b/>
          <w:bCs/>
          <w:sz w:val="24"/>
          <w:szCs w:val="24"/>
        </w:rPr>
      </w:pPr>
    </w:p>
    <w:p w14:paraId="6524CFCC" w14:textId="7D54EC23" w:rsidR="00913948" w:rsidRPr="00913948" w:rsidRDefault="00913948">
      <w:pPr>
        <w:rPr>
          <w:b/>
          <w:bCs/>
          <w:sz w:val="24"/>
          <w:szCs w:val="24"/>
        </w:rPr>
      </w:pPr>
      <w:r w:rsidRPr="00913948">
        <w:rPr>
          <w:b/>
          <w:bCs/>
          <w:sz w:val="24"/>
          <w:szCs w:val="24"/>
        </w:rPr>
        <w:lastRenderedPageBreak/>
        <w:t>Evaluate the effectiveness of cognitive interviews as a strategy for obtaining initial accounts from victims and witnesses. Your answer must be based on academic research. Word limit: 1000 words.</w:t>
      </w:r>
    </w:p>
    <w:p w14:paraId="21D6CACF" w14:textId="77777777" w:rsidR="00DD0A1D" w:rsidRDefault="00DD0A1D">
      <w:pPr>
        <w:rPr>
          <w:sz w:val="24"/>
          <w:szCs w:val="24"/>
        </w:rPr>
      </w:pPr>
    </w:p>
    <w:p w14:paraId="3527A838" w14:textId="5284E82F"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When police officers attend calls, they will often rely on individuals at the call to provide details of the incident, gained through a series of techniques by attending officers. One such technique includes cognitive interviewing, with the effectiveness of this serving as the crux of this essay.</w:t>
      </w:r>
      <w:r w:rsidR="0057603E">
        <w:rPr>
          <w:rFonts w:ascii="Calibri" w:eastAsia="Times New Roman" w:hAnsi="Calibri" w:cs="Calibri"/>
          <w:kern w:val="0"/>
          <w:sz w:val="24"/>
          <w:szCs w:val="24"/>
          <w:lang w:eastAsia="en-GB"/>
          <w14:ligatures w14:val="none"/>
        </w:rPr>
        <w:t xml:space="preserve"> Brunel et al (202</w:t>
      </w:r>
      <w:r w:rsidR="00F324DA">
        <w:rPr>
          <w:rFonts w:ascii="Calibri" w:eastAsia="Times New Roman" w:hAnsi="Calibri" w:cs="Calibri"/>
          <w:kern w:val="0"/>
          <w:sz w:val="24"/>
          <w:szCs w:val="24"/>
          <w:lang w:eastAsia="en-GB"/>
          <w14:ligatures w14:val="none"/>
        </w:rPr>
        <w:t>1</w:t>
      </w:r>
      <w:r w:rsidR="0057603E">
        <w:rPr>
          <w:rFonts w:ascii="Calibri" w:eastAsia="Times New Roman" w:hAnsi="Calibri" w:cs="Calibri"/>
          <w:kern w:val="0"/>
          <w:sz w:val="24"/>
          <w:szCs w:val="24"/>
          <w:lang w:eastAsia="en-GB"/>
          <w14:ligatures w14:val="none"/>
        </w:rPr>
        <w:t xml:space="preserve">) describe cognitive interviews as being </w:t>
      </w:r>
      <w:r w:rsidR="00733F89">
        <w:rPr>
          <w:rFonts w:ascii="Calibri" w:eastAsia="Times New Roman" w:hAnsi="Calibri" w:cs="Calibri"/>
          <w:kern w:val="0"/>
          <w:sz w:val="24"/>
          <w:szCs w:val="24"/>
          <w:lang w:eastAsia="en-GB"/>
          <w14:ligatures w14:val="none"/>
        </w:rPr>
        <w:t xml:space="preserve">interviews designed to help interviewees recall large amounts of information about an event and believe this to be an effective way of interviewing victims or witnesses. </w:t>
      </w:r>
      <w:r w:rsidRPr="00396988">
        <w:rPr>
          <w:rFonts w:ascii="Calibri" w:eastAsia="Times New Roman" w:hAnsi="Calibri" w:cs="Calibri"/>
          <w:kern w:val="0"/>
          <w:sz w:val="24"/>
          <w:szCs w:val="24"/>
          <w:lang w:eastAsia="en-GB"/>
          <w14:ligatures w14:val="none"/>
        </w:rPr>
        <w:t xml:space="preserve"> Whilst a wide range of models which can be utilised when discussing interview techniques, the College of Policing (2013) advocates for the PEACE model as the accepted primary model used for conducting interviews to achieve the best evidence.  </w:t>
      </w:r>
    </w:p>
    <w:p w14:paraId="4D6D2CA2"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705616D8" w14:textId="66234758"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Whilst conducting cognitive interviews, it is important for police officers to consider the implications of the questions they are asking and how they ask the questions. Loftus (1975), Dodd and Bradshaw (1980) and Sharman and Powell (2011) all recognise the importance of question types when conducting interviews, specifically open and closed questions. They also recognise the implications of presuming incorrect or citing misleading information when preparing question structures for subjects. It is vital for officers to consider this when conducting interviews as victims and witnesses will often look to the police officer as the authority figure which holds a lot of power. It can be argued that the subject will go along with the police officer’s questions if they contain misleading information without even being aware that they are recalling an incident that may have happened differently. By utilising misleading questions, it </w:t>
      </w:r>
      <w:proofErr w:type="gramStart"/>
      <w:r w:rsidRPr="00396988">
        <w:rPr>
          <w:rFonts w:ascii="Calibri" w:eastAsia="Times New Roman" w:hAnsi="Calibri" w:cs="Calibri"/>
          <w:kern w:val="0"/>
          <w:sz w:val="24"/>
          <w:szCs w:val="24"/>
          <w:lang w:eastAsia="en-GB"/>
          <w14:ligatures w14:val="none"/>
        </w:rPr>
        <w:t>opens up</w:t>
      </w:r>
      <w:proofErr w:type="gramEnd"/>
      <w:r w:rsidRPr="00396988">
        <w:rPr>
          <w:rFonts w:ascii="Calibri" w:eastAsia="Times New Roman" w:hAnsi="Calibri" w:cs="Calibri"/>
          <w:kern w:val="0"/>
          <w:sz w:val="24"/>
          <w:szCs w:val="24"/>
          <w:lang w:eastAsia="en-GB"/>
          <w14:ligatures w14:val="none"/>
        </w:rPr>
        <w:t xml:space="preserve"> inaccuracies in the account which can in turn lead to repercussions such as miscarriages of justice or not finding a suspect at all. Given that the police are impartial investigators, it is important for officers to consider this in their approach to gaining accounts. Another aspect to consider regarding this is memory, and how a victim or witness recalls an event. Memory is often a delicate thing and can be changed or altered depending on the circumstances presented to it. In this example, by asking closed questions or leading questions, it can distort a victim or witnesses’ memory enough for them to give a false account without them realising it. Gustafsson et al (2022), Loftus (2019) and Marr et al (2021) support this concept and recognise how sensitive memory can be, </w:t>
      </w:r>
      <w:r w:rsidR="00B4422C">
        <w:rPr>
          <w:rFonts w:ascii="Calibri" w:eastAsia="Times New Roman" w:hAnsi="Calibri" w:cs="Calibri"/>
          <w:kern w:val="0"/>
          <w:sz w:val="24"/>
          <w:szCs w:val="24"/>
          <w:lang w:eastAsia="en-GB"/>
          <w14:ligatures w14:val="none"/>
        </w:rPr>
        <w:t>and Brunel et al (202</w:t>
      </w:r>
      <w:r w:rsidR="00F324DA">
        <w:rPr>
          <w:rFonts w:ascii="Calibri" w:eastAsia="Times New Roman" w:hAnsi="Calibri" w:cs="Calibri"/>
          <w:kern w:val="0"/>
          <w:sz w:val="24"/>
          <w:szCs w:val="24"/>
          <w:lang w:eastAsia="en-GB"/>
          <w14:ligatures w14:val="none"/>
        </w:rPr>
        <w:t>1</w:t>
      </w:r>
      <w:r w:rsidR="00B4422C">
        <w:rPr>
          <w:rFonts w:ascii="Calibri" w:eastAsia="Times New Roman" w:hAnsi="Calibri" w:cs="Calibri"/>
          <w:kern w:val="0"/>
          <w:sz w:val="24"/>
          <w:szCs w:val="24"/>
          <w:lang w:eastAsia="en-GB"/>
          <w14:ligatures w14:val="none"/>
        </w:rPr>
        <w:t xml:space="preserve">) argues that by utilising cognitive interviews, this can reduce the chance of memories being distorted or recalled incorrectly. </w:t>
      </w:r>
    </w:p>
    <w:p w14:paraId="31B74E10"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603A7D60" w14:textId="776EFE78"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As previously mentioned, the College of Policing (2013) recommends the PEACE model when conducting cognitive interviews </w:t>
      </w:r>
      <w:proofErr w:type="gramStart"/>
      <w:r w:rsidRPr="00396988">
        <w:rPr>
          <w:rFonts w:ascii="Calibri" w:eastAsia="Times New Roman" w:hAnsi="Calibri" w:cs="Calibri"/>
          <w:kern w:val="0"/>
          <w:sz w:val="24"/>
          <w:szCs w:val="24"/>
          <w:lang w:eastAsia="en-GB"/>
          <w14:ligatures w14:val="none"/>
        </w:rPr>
        <w:t>in order to</w:t>
      </w:r>
      <w:proofErr w:type="gramEnd"/>
      <w:r w:rsidRPr="00396988">
        <w:rPr>
          <w:rFonts w:ascii="Calibri" w:eastAsia="Times New Roman" w:hAnsi="Calibri" w:cs="Calibri"/>
          <w:kern w:val="0"/>
          <w:sz w:val="24"/>
          <w:szCs w:val="24"/>
          <w:lang w:eastAsia="en-GB"/>
          <w14:ligatures w14:val="none"/>
        </w:rPr>
        <w:t xml:space="preserve"> achieve best evidence, typically used when conducting a video interview or gaining a further account. Officers may utilise a very basic version of this model when initially attending calls; </w:t>
      </w:r>
      <w:r w:rsidR="008A2A8D" w:rsidRPr="00396988">
        <w:rPr>
          <w:rFonts w:ascii="Calibri" w:eastAsia="Times New Roman" w:hAnsi="Calibri" w:cs="Calibri"/>
          <w:kern w:val="0"/>
          <w:sz w:val="24"/>
          <w:szCs w:val="24"/>
          <w:lang w:eastAsia="en-GB"/>
          <w14:ligatures w14:val="none"/>
        </w:rPr>
        <w:t>however,</w:t>
      </w:r>
      <w:r w:rsidRPr="00396988">
        <w:rPr>
          <w:rFonts w:ascii="Calibri" w:eastAsia="Times New Roman" w:hAnsi="Calibri" w:cs="Calibri"/>
          <w:kern w:val="0"/>
          <w:sz w:val="24"/>
          <w:szCs w:val="24"/>
          <w:lang w:eastAsia="en-GB"/>
          <w14:ligatures w14:val="none"/>
        </w:rPr>
        <w:t xml:space="preserve"> it often depends on the circumstances of the call. The PEACE model stands for planning and preparation, engage and explain, account clarification and challenge, closure, and evaluation. The model is based on gathering as much information as possible and allowing the victim or witness to disclose as much as they can recall. </w:t>
      </w:r>
      <w:proofErr w:type="gramStart"/>
      <w:r w:rsidRPr="00396988">
        <w:rPr>
          <w:rFonts w:ascii="Calibri" w:eastAsia="Times New Roman" w:hAnsi="Calibri" w:cs="Calibri"/>
          <w:kern w:val="0"/>
          <w:sz w:val="24"/>
          <w:szCs w:val="24"/>
          <w:lang w:eastAsia="en-GB"/>
          <w14:ligatures w14:val="none"/>
        </w:rPr>
        <w:t>In order for</w:t>
      </w:r>
      <w:proofErr w:type="gramEnd"/>
      <w:r w:rsidRPr="00396988">
        <w:rPr>
          <w:rFonts w:ascii="Calibri" w:eastAsia="Times New Roman" w:hAnsi="Calibri" w:cs="Calibri"/>
          <w:kern w:val="0"/>
          <w:sz w:val="24"/>
          <w:szCs w:val="24"/>
          <w:lang w:eastAsia="en-GB"/>
          <w14:ligatures w14:val="none"/>
        </w:rPr>
        <w:t xml:space="preserve"> the best evidence to be gathered, officers must first gain a rapport with the victim or witness which is part of the engagement stage. </w:t>
      </w:r>
      <w:r w:rsidR="00E32118">
        <w:rPr>
          <w:rFonts w:ascii="Calibri" w:eastAsia="Times New Roman" w:hAnsi="Calibri" w:cs="Calibri"/>
          <w:kern w:val="0"/>
          <w:sz w:val="24"/>
          <w:szCs w:val="24"/>
          <w:lang w:eastAsia="en-GB"/>
          <w14:ligatures w14:val="none"/>
        </w:rPr>
        <w:t xml:space="preserve">The College of Policing (2020) suggests that ‘building a rapport with interviewees can increase the </w:t>
      </w:r>
      <w:r w:rsidR="00E32118">
        <w:rPr>
          <w:rFonts w:ascii="Calibri" w:eastAsia="Times New Roman" w:hAnsi="Calibri" w:cs="Calibri"/>
          <w:kern w:val="0"/>
          <w:sz w:val="24"/>
          <w:szCs w:val="24"/>
          <w:lang w:eastAsia="en-GB"/>
          <w14:ligatures w14:val="none"/>
        </w:rPr>
        <w:lastRenderedPageBreak/>
        <w:t xml:space="preserve">amount and accuracy of information provided’ </w:t>
      </w:r>
      <w:r w:rsidR="00C646B4">
        <w:rPr>
          <w:rFonts w:ascii="Calibri" w:eastAsia="Times New Roman" w:hAnsi="Calibri" w:cs="Calibri"/>
          <w:kern w:val="0"/>
          <w:sz w:val="24"/>
          <w:szCs w:val="24"/>
          <w:lang w:eastAsia="en-GB"/>
          <w14:ligatures w14:val="none"/>
        </w:rPr>
        <w:t xml:space="preserve">which can help officers when using cognitive interviewing techniques to gain the most amount of information and reduce the likelihood of an incorrect account which may delay the investigation.  </w:t>
      </w:r>
    </w:p>
    <w:p w14:paraId="3EE8A33E"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7DCB536B" w14:textId="6FC3C665" w:rsidR="00396988" w:rsidRPr="00C646B4" w:rsidRDefault="00396988" w:rsidP="00396988">
      <w:pPr>
        <w:spacing w:after="0" w:line="240" w:lineRule="auto"/>
        <w:textAlignment w:val="baseline"/>
        <w:rPr>
          <w:rFonts w:ascii="Calibri" w:eastAsia="Times New Roman" w:hAnsi="Calibri" w:cs="Calibri"/>
          <w:kern w:val="0"/>
          <w:sz w:val="24"/>
          <w:szCs w:val="24"/>
          <w:lang w:eastAsia="en-GB"/>
          <w14:ligatures w14:val="none"/>
        </w:rPr>
      </w:pPr>
      <w:r w:rsidRPr="00CF68D8">
        <w:rPr>
          <w:rFonts w:ascii="Calibri" w:eastAsia="Times New Roman" w:hAnsi="Calibri" w:cs="Calibri"/>
          <w:kern w:val="0"/>
          <w:sz w:val="24"/>
          <w:szCs w:val="24"/>
          <w:lang w:eastAsia="en-GB"/>
          <w14:ligatures w14:val="none"/>
        </w:rPr>
        <w:t xml:space="preserve">The effectiveness of cognitive interviews can also </w:t>
      </w:r>
      <w:proofErr w:type="gramStart"/>
      <w:r w:rsidRPr="00CF68D8">
        <w:rPr>
          <w:rFonts w:ascii="Calibri" w:eastAsia="Times New Roman" w:hAnsi="Calibri" w:cs="Calibri"/>
          <w:kern w:val="0"/>
          <w:sz w:val="24"/>
          <w:szCs w:val="24"/>
          <w:lang w:eastAsia="en-GB"/>
          <w14:ligatures w14:val="none"/>
        </w:rPr>
        <w:t>be considered to be</w:t>
      </w:r>
      <w:proofErr w:type="gramEnd"/>
      <w:r w:rsidRPr="00CF68D8">
        <w:rPr>
          <w:rFonts w:ascii="Calibri" w:eastAsia="Times New Roman" w:hAnsi="Calibri" w:cs="Calibri"/>
          <w:kern w:val="0"/>
          <w:sz w:val="24"/>
          <w:szCs w:val="24"/>
          <w:lang w:eastAsia="en-GB"/>
          <w14:ligatures w14:val="none"/>
        </w:rPr>
        <w:t xml:space="preserve"> contingent on the cooperation of the witnesses and victims themselves</w:t>
      </w:r>
      <w:r w:rsidR="00C646B4" w:rsidRPr="00CF68D8">
        <w:rPr>
          <w:rFonts w:ascii="Calibri" w:eastAsia="Times New Roman" w:hAnsi="Calibri" w:cs="Calibri"/>
          <w:kern w:val="0"/>
          <w:sz w:val="24"/>
          <w:szCs w:val="24"/>
          <w:lang w:eastAsia="en-GB"/>
          <w14:ligatures w14:val="none"/>
        </w:rPr>
        <w:t>.</w:t>
      </w:r>
      <w:r w:rsidR="00C646B4">
        <w:rPr>
          <w:rFonts w:ascii="Calibri" w:eastAsia="Times New Roman" w:hAnsi="Calibri" w:cs="Calibri"/>
          <w:kern w:val="0"/>
          <w:sz w:val="24"/>
          <w:szCs w:val="24"/>
          <w:lang w:eastAsia="en-GB"/>
          <w14:ligatures w14:val="none"/>
        </w:rPr>
        <w:t xml:space="preserve"> </w:t>
      </w:r>
      <w:r w:rsidRPr="00396988">
        <w:rPr>
          <w:rFonts w:ascii="Calibri" w:eastAsia="Times New Roman" w:hAnsi="Calibri" w:cs="Calibri"/>
          <w:kern w:val="0"/>
          <w:sz w:val="24"/>
          <w:szCs w:val="24"/>
          <w:lang w:eastAsia="en-GB"/>
          <w14:ligatures w14:val="none"/>
        </w:rPr>
        <w:t xml:space="preserve">Reliability of witnesses and victims should also be </w:t>
      </w:r>
      <w:proofErr w:type="gramStart"/>
      <w:r w:rsidRPr="00396988">
        <w:rPr>
          <w:rFonts w:ascii="Calibri" w:eastAsia="Times New Roman" w:hAnsi="Calibri" w:cs="Calibri"/>
          <w:kern w:val="0"/>
          <w:sz w:val="24"/>
          <w:szCs w:val="24"/>
          <w:lang w:eastAsia="en-GB"/>
          <w14:ligatures w14:val="none"/>
        </w:rPr>
        <w:t>taken into account</w:t>
      </w:r>
      <w:proofErr w:type="gramEnd"/>
      <w:r w:rsidRPr="00396988">
        <w:rPr>
          <w:rFonts w:ascii="Calibri" w:eastAsia="Times New Roman" w:hAnsi="Calibri" w:cs="Calibri"/>
          <w:kern w:val="0"/>
          <w:sz w:val="24"/>
          <w:szCs w:val="24"/>
          <w:lang w:eastAsia="en-GB"/>
          <w14:ligatures w14:val="none"/>
        </w:rPr>
        <w:t xml:space="preserve"> when gaining an account, however this is not always practicable when officers first attend the scene. In addition to this, it is important to consider the suitability of the victim or witness for the investigation. For example, the best practice when dealing with a child or vulnerable person is to consider the use of a cognitive interview to obtain an account which can be visually recorded and conducted by a specialist in place of a statement. Several sources including Padilla and Geiselman (1988), Saywitz et al (1992), Aldridge (1999), Melinder et al (2021) and Wach and </w:t>
      </w:r>
      <w:proofErr w:type="spellStart"/>
      <w:r w:rsidRPr="00396988">
        <w:rPr>
          <w:rFonts w:ascii="Calibri" w:eastAsia="Times New Roman" w:hAnsi="Calibri" w:cs="Calibri"/>
          <w:kern w:val="0"/>
          <w:sz w:val="24"/>
          <w:szCs w:val="24"/>
          <w:lang w:eastAsia="en-GB"/>
          <w14:ligatures w14:val="none"/>
        </w:rPr>
        <w:t>Jaśkiewicz-Obydzińska</w:t>
      </w:r>
      <w:proofErr w:type="spellEnd"/>
      <w:r w:rsidRPr="00396988">
        <w:rPr>
          <w:rFonts w:ascii="Calibri" w:eastAsia="Times New Roman" w:hAnsi="Calibri" w:cs="Calibri"/>
          <w:kern w:val="0"/>
          <w:sz w:val="24"/>
          <w:szCs w:val="24"/>
          <w:lang w:eastAsia="en-GB"/>
          <w14:ligatures w14:val="none"/>
        </w:rPr>
        <w:t xml:space="preserve"> all agree on the importance and effectiveness of cognitive interviews with children, more specifically the increase in recollection and accuracy of the accounts as opposed to other methods of recall used, demonstrating the importance of cognitive interviews when gaining accounts. </w:t>
      </w:r>
      <w:r w:rsidR="00CF68D8">
        <w:rPr>
          <w:rFonts w:ascii="Calibri" w:eastAsia="Times New Roman" w:hAnsi="Calibri" w:cs="Calibri"/>
          <w:kern w:val="0"/>
          <w:sz w:val="24"/>
          <w:szCs w:val="24"/>
          <w:lang w:eastAsia="en-GB"/>
          <w14:ligatures w14:val="none"/>
        </w:rPr>
        <w:t xml:space="preserve">The Ministry of Justice (2022) also recognises the benefits of cognitive interviews when dealing with children, specifically in the form of video recorded interviews which can be used as evidence in court. The Ministry of Justice (2022) also acknowledges that cognitive interviews with children can be traumatic, time consuming, exhausting and may lead to the child thinking they have done something wrong meaning that great care and delicacy must be taken by the interviewing officer to ensure regular breaks and appropriate support is available to the child </w:t>
      </w:r>
      <w:proofErr w:type="gramStart"/>
      <w:r w:rsidR="00CF68D8">
        <w:rPr>
          <w:rFonts w:ascii="Calibri" w:eastAsia="Times New Roman" w:hAnsi="Calibri" w:cs="Calibri"/>
          <w:kern w:val="0"/>
          <w:sz w:val="24"/>
          <w:szCs w:val="24"/>
          <w:lang w:eastAsia="en-GB"/>
          <w14:ligatures w14:val="none"/>
        </w:rPr>
        <w:t>so as to</w:t>
      </w:r>
      <w:proofErr w:type="gramEnd"/>
      <w:r w:rsidR="00CF68D8">
        <w:rPr>
          <w:rFonts w:ascii="Calibri" w:eastAsia="Times New Roman" w:hAnsi="Calibri" w:cs="Calibri"/>
          <w:kern w:val="0"/>
          <w:sz w:val="24"/>
          <w:szCs w:val="24"/>
          <w:lang w:eastAsia="en-GB"/>
          <w14:ligatures w14:val="none"/>
        </w:rPr>
        <w:t xml:space="preserve"> not have an impact on their health and wellbeing.  </w:t>
      </w:r>
    </w:p>
    <w:p w14:paraId="7C4C1E2A"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0F2E197D"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In conclusion, cognitive interviews can be a great tool for police officers both when initially attending calls </w:t>
      </w:r>
      <w:proofErr w:type="gramStart"/>
      <w:r w:rsidRPr="00396988">
        <w:rPr>
          <w:rFonts w:ascii="Calibri" w:eastAsia="Times New Roman" w:hAnsi="Calibri" w:cs="Calibri"/>
          <w:kern w:val="0"/>
          <w:sz w:val="24"/>
          <w:szCs w:val="24"/>
          <w:lang w:eastAsia="en-GB"/>
          <w14:ligatures w14:val="none"/>
        </w:rPr>
        <w:t>and also</w:t>
      </w:r>
      <w:proofErr w:type="gramEnd"/>
      <w:r w:rsidRPr="00396988">
        <w:rPr>
          <w:rFonts w:ascii="Calibri" w:eastAsia="Times New Roman" w:hAnsi="Calibri" w:cs="Calibri"/>
          <w:kern w:val="0"/>
          <w:sz w:val="24"/>
          <w:szCs w:val="24"/>
          <w:lang w:eastAsia="en-GB"/>
          <w14:ligatures w14:val="none"/>
        </w:rPr>
        <w:t xml:space="preserve"> when they conduct interviews at further stages. Their effectiveness is clear, especially when utilised with children and vulnerable individuals when aiming to improve the accuracy and recollection of events, as well as providing the best evidence. As previously stated, it is important for officers to use open ended questions so that they can lead the victim or witness through the events </w:t>
      </w:r>
      <w:proofErr w:type="gramStart"/>
      <w:r w:rsidRPr="00396988">
        <w:rPr>
          <w:rFonts w:ascii="Calibri" w:eastAsia="Times New Roman" w:hAnsi="Calibri" w:cs="Calibri"/>
          <w:kern w:val="0"/>
          <w:sz w:val="24"/>
          <w:szCs w:val="24"/>
          <w:lang w:eastAsia="en-GB"/>
          <w14:ligatures w14:val="none"/>
        </w:rPr>
        <w:t>in order to</w:t>
      </w:r>
      <w:proofErr w:type="gramEnd"/>
      <w:r w:rsidRPr="00396988">
        <w:rPr>
          <w:rFonts w:ascii="Calibri" w:eastAsia="Times New Roman" w:hAnsi="Calibri" w:cs="Calibri"/>
          <w:kern w:val="0"/>
          <w:sz w:val="24"/>
          <w:szCs w:val="24"/>
          <w:lang w:eastAsia="en-GB"/>
          <w14:ligatures w14:val="none"/>
        </w:rPr>
        <w:t xml:space="preserve"> provide best evidence.  </w:t>
      </w:r>
    </w:p>
    <w:p w14:paraId="769476FF"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6E569A91" w14:textId="2727DC54" w:rsidR="00E239C8" w:rsidRDefault="00396988">
      <w:pPr>
        <w:rPr>
          <w:sz w:val="24"/>
          <w:szCs w:val="24"/>
        </w:rPr>
      </w:pPr>
      <w:r>
        <w:rPr>
          <w:sz w:val="24"/>
          <w:szCs w:val="24"/>
        </w:rPr>
        <w:t>Word count: 9</w:t>
      </w:r>
      <w:r w:rsidR="007145EA">
        <w:rPr>
          <w:sz w:val="24"/>
          <w:szCs w:val="24"/>
        </w:rPr>
        <w:t>5</w:t>
      </w:r>
      <w:r>
        <w:rPr>
          <w:sz w:val="24"/>
          <w:szCs w:val="24"/>
        </w:rPr>
        <w:t>0</w:t>
      </w:r>
    </w:p>
    <w:p w14:paraId="72834006" w14:textId="77777777" w:rsidR="001A7FF4" w:rsidRDefault="001A7FF4">
      <w:pPr>
        <w:rPr>
          <w:b/>
          <w:bCs/>
          <w:sz w:val="24"/>
          <w:szCs w:val="24"/>
        </w:rPr>
      </w:pPr>
    </w:p>
    <w:p w14:paraId="647EAAB8" w14:textId="77777777" w:rsidR="00E760A9" w:rsidRDefault="00E760A9">
      <w:pPr>
        <w:rPr>
          <w:b/>
          <w:bCs/>
          <w:sz w:val="24"/>
          <w:szCs w:val="24"/>
        </w:rPr>
      </w:pPr>
    </w:p>
    <w:p w14:paraId="3EBBE8BB" w14:textId="77777777" w:rsidR="00E760A9" w:rsidRDefault="00E760A9">
      <w:pPr>
        <w:rPr>
          <w:b/>
          <w:bCs/>
          <w:sz w:val="24"/>
          <w:szCs w:val="24"/>
        </w:rPr>
      </w:pPr>
    </w:p>
    <w:p w14:paraId="1E30C5A1" w14:textId="77777777" w:rsidR="00E760A9" w:rsidRDefault="00E760A9">
      <w:pPr>
        <w:rPr>
          <w:b/>
          <w:bCs/>
          <w:sz w:val="24"/>
          <w:szCs w:val="24"/>
        </w:rPr>
      </w:pPr>
    </w:p>
    <w:p w14:paraId="2299E722" w14:textId="77777777" w:rsidR="00E760A9" w:rsidRDefault="00E760A9">
      <w:pPr>
        <w:rPr>
          <w:b/>
          <w:bCs/>
          <w:sz w:val="24"/>
          <w:szCs w:val="24"/>
        </w:rPr>
      </w:pPr>
    </w:p>
    <w:p w14:paraId="3B263228" w14:textId="77777777" w:rsidR="00E760A9" w:rsidRDefault="00E760A9">
      <w:pPr>
        <w:rPr>
          <w:b/>
          <w:bCs/>
          <w:sz w:val="24"/>
          <w:szCs w:val="24"/>
        </w:rPr>
      </w:pPr>
    </w:p>
    <w:p w14:paraId="30AE13E1" w14:textId="77777777" w:rsidR="00E760A9" w:rsidRDefault="00E760A9">
      <w:pPr>
        <w:rPr>
          <w:b/>
          <w:bCs/>
          <w:sz w:val="24"/>
          <w:szCs w:val="24"/>
        </w:rPr>
      </w:pPr>
    </w:p>
    <w:p w14:paraId="4EFCAF4A" w14:textId="77777777" w:rsidR="00E760A9" w:rsidRDefault="00E760A9">
      <w:pPr>
        <w:rPr>
          <w:b/>
          <w:bCs/>
          <w:sz w:val="24"/>
          <w:szCs w:val="24"/>
        </w:rPr>
      </w:pPr>
    </w:p>
    <w:p w14:paraId="2DD23EC0" w14:textId="213D7D4D" w:rsidR="00913948" w:rsidRPr="00913948" w:rsidRDefault="00913948">
      <w:pPr>
        <w:rPr>
          <w:b/>
          <w:bCs/>
          <w:sz w:val="24"/>
          <w:szCs w:val="24"/>
        </w:rPr>
      </w:pPr>
      <w:r w:rsidRPr="00913948">
        <w:rPr>
          <w:b/>
          <w:bCs/>
          <w:sz w:val="24"/>
          <w:szCs w:val="24"/>
        </w:rPr>
        <w:lastRenderedPageBreak/>
        <w:t>Examine the positive and negative aspects of media attention when dealing with public protection incidents. Your answer must be based on academic research rather than personal experience. Word limit: 1000 words.</w:t>
      </w:r>
    </w:p>
    <w:p w14:paraId="78507898"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The police have a complicated relationship with the media, influenced by a plethora of factors, particularly in relation to public protection incidents, acting as the crux of this essay. Public protection incidents, as summarised by The College of Policing, involve a range of aspects such as mental health, adults at risk, missing persons, domestic related incidents, and child sexual exploitation to name a few. This essay will specifically focus on cases relating to public protection and the portrayal of the police by the media within these. Both positive and negative aspects of media attention will be discussed, as well as the differing ways in which the media can be utilised to support policing in the current landscape. The College of Policing (2022) recognise the importance of a good relationship between the police and the media, given that the media are often used in investigations as a means of publishing information related to an investigation, such as circulating an image of a suspect, or even aiding in finding a missing person.  </w:t>
      </w:r>
    </w:p>
    <w:p w14:paraId="48E39767" w14:textId="77777777" w:rsidR="00BF3185" w:rsidRDefault="00BF3185" w:rsidP="00396988">
      <w:pPr>
        <w:spacing w:after="0" w:line="240" w:lineRule="auto"/>
        <w:textAlignment w:val="baseline"/>
        <w:rPr>
          <w:rFonts w:ascii="Calibri" w:eastAsia="Times New Roman" w:hAnsi="Calibri" w:cs="Calibri"/>
          <w:kern w:val="0"/>
          <w:sz w:val="24"/>
          <w:szCs w:val="24"/>
          <w:lang w:eastAsia="en-GB"/>
          <w14:ligatures w14:val="none"/>
        </w:rPr>
      </w:pPr>
    </w:p>
    <w:p w14:paraId="422F5070" w14:textId="20C43D60"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It can be argued that the media is critical to the public perception of the police in today’s climate. There have been </w:t>
      </w:r>
      <w:proofErr w:type="gramStart"/>
      <w:r w:rsidRPr="00396988">
        <w:rPr>
          <w:rFonts w:ascii="Calibri" w:eastAsia="Times New Roman" w:hAnsi="Calibri" w:cs="Calibri"/>
          <w:kern w:val="0"/>
          <w:sz w:val="24"/>
          <w:szCs w:val="24"/>
          <w:lang w:eastAsia="en-GB"/>
          <w14:ligatures w14:val="none"/>
        </w:rPr>
        <w:t>a number of</w:t>
      </w:r>
      <w:proofErr w:type="gramEnd"/>
      <w:r w:rsidRPr="00396988">
        <w:rPr>
          <w:rFonts w:ascii="Calibri" w:eastAsia="Times New Roman" w:hAnsi="Calibri" w:cs="Calibri"/>
          <w:kern w:val="0"/>
          <w:sz w:val="24"/>
          <w:szCs w:val="24"/>
          <w:lang w:eastAsia="en-GB"/>
          <w14:ligatures w14:val="none"/>
        </w:rPr>
        <w:t xml:space="preserve"> cases in the world surrounding public protection in the UK in recent years where the media have both supported the police, and also revealed failings, subsequently holding them to account</w:t>
      </w:r>
      <w:r w:rsidR="00BF3185">
        <w:rPr>
          <w:rFonts w:ascii="Calibri" w:eastAsia="Times New Roman" w:hAnsi="Calibri" w:cs="Calibri"/>
          <w:kern w:val="0"/>
          <w:sz w:val="24"/>
          <w:szCs w:val="24"/>
          <w:lang w:eastAsia="en-GB"/>
          <w14:ligatures w14:val="none"/>
        </w:rPr>
        <w:t xml:space="preserve"> such as the cases of Sarah Everard, Chirs Kaba and the case of David Carrick</w:t>
      </w:r>
      <w:r w:rsidRPr="00396988">
        <w:rPr>
          <w:rFonts w:ascii="Calibri" w:eastAsia="Times New Roman" w:hAnsi="Calibri" w:cs="Calibri"/>
          <w:kern w:val="0"/>
          <w:sz w:val="24"/>
          <w:szCs w:val="24"/>
          <w:lang w:eastAsia="en-GB"/>
          <w14:ligatures w14:val="none"/>
        </w:rPr>
        <w:t>. This is becoming increasingly prevalent given the constant advancements in technology, allowing news outlets to reach many more people across the world than they may have been able to before. Colbran (2018) describes the relationship between the press and the police as symbiotic, giving the explanation that the rise of media using digital platforms can be seen as greater police transparency, however, the police also possess a greater control of the information released. Colbran (2018) uses the shooting of Mark Duggan to exemplify this, depicting a widespread outrage in the media and social media about the incident, subsequently eliciting a riot to break out as a result. On the other hand, the Metropolitan Police at the time utilised the media as part of their investigations to identify those responsible for the riots, displaying the duality of the media. Cooke and Sturges (2008) state that the media is reliant on being fed this information by police and can utilise the Freedom of Information Act 2000 as a means of acting as an independent watchdog</w:t>
      </w:r>
      <w:r w:rsidR="00275098">
        <w:rPr>
          <w:rFonts w:ascii="Calibri" w:eastAsia="Times New Roman" w:hAnsi="Calibri" w:cs="Calibri"/>
          <w:kern w:val="0"/>
          <w:sz w:val="24"/>
          <w:szCs w:val="24"/>
          <w:lang w:eastAsia="en-GB"/>
          <w14:ligatures w14:val="none"/>
        </w:rPr>
        <w:t xml:space="preserve"> by gaining information about police forces and their actions and publishing the data to the public to hold police forces accountable and raise awareness of any issues that have been discovered. </w:t>
      </w:r>
    </w:p>
    <w:p w14:paraId="2C2D9DD9"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6D0D5A68" w14:textId="03D68E6A"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It is important for the police to be held accountable by those with the power to do so, as well as the media presenting their findings to the public who, arguably, have a right to know given that the police are representative of the public. </w:t>
      </w:r>
      <w:r w:rsidR="007437EF">
        <w:rPr>
          <w:rFonts w:ascii="Calibri" w:eastAsia="Times New Roman" w:hAnsi="Calibri" w:cs="Calibri"/>
          <w:kern w:val="0"/>
          <w:sz w:val="24"/>
          <w:szCs w:val="24"/>
          <w:lang w:eastAsia="en-GB"/>
          <w14:ligatures w14:val="none"/>
        </w:rPr>
        <w:t xml:space="preserve">Odeyemi and </w:t>
      </w:r>
      <w:proofErr w:type="spellStart"/>
      <w:r w:rsidR="007437EF">
        <w:rPr>
          <w:rFonts w:ascii="Calibri" w:eastAsia="Times New Roman" w:hAnsi="Calibri" w:cs="Calibri"/>
          <w:kern w:val="0"/>
          <w:sz w:val="24"/>
          <w:szCs w:val="24"/>
          <w:lang w:eastAsia="en-GB"/>
          <w14:ligatures w14:val="none"/>
        </w:rPr>
        <w:t>Obiyan</w:t>
      </w:r>
      <w:proofErr w:type="spellEnd"/>
      <w:r w:rsidR="007437EF">
        <w:rPr>
          <w:rFonts w:ascii="Calibri" w:eastAsia="Times New Roman" w:hAnsi="Calibri" w:cs="Calibri"/>
          <w:kern w:val="0"/>
          <w:sz w:val="24"/>
          <w:szCs w:val="24"/>
          <w:lang w:eastAsia="en-GB"/>
          <w14:ligatures w14:val="none"/>
        </w:rPr>
        <w:t xml:space="preserve"> (2018) suggest that an increase in digital technology, namely social media and smartphones allow the public to hold the police to account. Odeyemi and </w:t>
      </w:r>
      <w:proofErr w:type="spellStart"/>
      <w:r w:rsidR="007437EF">
        <w:rPr>
          <w:rFonts w:ascii="Calibri" w:eastAsia="Times New Roman" w:hAnsi="Calibri" w:cs="Calibri"/>
          <w:kern w:val="0"/>
          <w:sz w:val="24"/>
          <w:szCs w:val="24"/>
          <w:lang w:eastAsia="en-GB"/>
          <w14:ligatures w14:val="none"/>
        </w:rPr>
        <w:t>Obiyan</w:t>
      </w:r>
      <w:proofErr w:type="spellEnd"/>
      <w:r w:rsidR="007437EF">
        <w:rPr>
          <w:rFonts w:ascii="Calibri" w:eastAsia="Times New Roman" w:hAnsi="Calibri" w:cs="Calibri"/>
          <w:kern w:val="0"/>
          <w:sz w:val="24"/>
          <w:szCs w:val="24"/>
          <w:lang w:eastAsia="en-GB"/>
          <w14:ligatures w14:val="none"/>
        </w:rPr>
        <w:t xml:space="preserve"> (2018) also recognises that this technology can be beneficial to police forces to engage with the community and the media. </w:t>
      </w:r>
      <w:r w:rsidRPr="00396988">
        <w:rPr>
          <w:rFonts w:ascii="Calibri" w:eastAsia="Times New Roman" w:hAnsi="Calibri" w:cs="Calibri"/>
          <w:kern w:val="0"/>
          <w:sz w:val="24"/>
          <w:szCs w:val="24"/>
          <w:lang w:eastAsia="en-GB"/>
          <w14:ligatures w14:val="none"/>
        </w:rPr>
        <w:t xml:space="preserve"> Based on this, the media have an increased access to content that they can utilise to hold the police accountable, as well as provide the public with information regarding the police. </w:t>
      </w:r>
      <w:r w:rsidR="001A543B">
        <w:rPr>
          <w:rFonts w:ascii="Calibri" w:eastAsia="Times New Roman" w:hAnsi="Calibri" w:cs="Calibri"/>
          <w:kern w:val="0"/>
          <w:sz w:val="24"/>
          <w:szCs w:val="24"/>
          <w:lang w:eastAsia="en-GB"/>
          <w14:ligatures w14:val="none"/>
        </w:rPr>
        <w:t xml:space="preserve">A recent example of police accountability is the high profile stop search of Bianca Williams. Williams was stop searched by officers in the Metropolitan police and recorded the </w:t>
      </w:r>
      <w:r w:rsidR="001A543B">
        <w:rPr>
          <w:rFonts w:ascii="Calibri" w:eastAsia="Times New Roman" w:hAnsi="Calibri" w:cs="Calibri"/>
          <w:kern w:val="0"/>
          <w:sz w:val="24"/>
          <w:szCs w:val="24"/>
          <w:lang w:eastAsia="en-GB"/>
          <w14:ligatures w14:val="none"/>
        </w:rPr>
        <w:lastRenderedPageBreak/>
        <w:t xml:space="preserve">interaction and shared it online where it went viral. The BBC (2023) describes how the footage was reported by numerous outlets and has led to two officers being sacked </w:t>
      </w:r>
      <w:proofErr w:type="gramStart"/>
      <w:r w:rsidR="001A543B">
        <w:rPr>
          <w:rFonts w:ascii="Calibri" w:eastAsia="Times New Roman" w:hAnsi="Calibri" w:cs="Calibri"/>
          <w:kern w:val="0"/>
          <w:sz w:val="24"/>
          <w:szCs w:val="24"/>
          <w:lang w:eastAsia="en-GB"/>
          <w14:ligatures w14:val="none"/>
        </w:rPr>
        <w:t>as a result of</w:t>
      </w:r>
      <w:proofErr w:type="gramEnd"/>
      <w:r w:rsidR="001A543B">
        <w:rPr>
          <w:rFonts w:ascii="Calibri" w:eastAsia="Times New Roman" w:hAnsi="Calibri" w:cs="Calibri"/>
          <w:kern w:val="0"/>
          <w:sz w:val="24"/>
          <w:szCs w:val="24"/>
          <w:lang w:eastAsia="en-GB"/>
          <w14:ligatures w14:val="none"/>
        </w:rPr>
        <w:t xml:space="preserve"> the search. The BBC (2023) cite the independent officer for Police Conduct who recognised the impact the incident will have had on public perception. In this case, the media attention was negative of the police and criticised the actions of the officers leading to their eventual sacking. </w:t>
      </w:r>
      <w:r w:rsidRPr="00396988">
        <w:rPr>
          <w:rFonts w:ascii="Calibri" w:eastAsia="Times New Roman" w:hAnsi="Calibri" w:cs="Calibri"/>
          <w:kern w:val="0"/>
          <w:sz w:val="24"/>
          <w:szCs w:val="24"/>
          <w:lang w:eastAsia="en-GB"/>
          <w14:ligatures w14:val="none"/>
        </w:rPr>
        <w:t>Whilst supportive evidence from Newburn (2011) recognises the importance of the media in holding the police accountable during these issues, concerns of the emotive language used by the media which can be used to tar an entire police force are also raised.  </w:t>
      </w:r>
      <w:r w:rsidR="001A543B">
        <w:rPr>
          <w:rFonts w:ascii="Calibri" w:eastAsia="Times New Roman" w:hAnsi="Calibri" w:cs="Calibri"/>
          <w:kern w:val="0"/>
          <w:sz w:val="24"/>
          <w:szCs w:val="24"/>
          <w:lang w:eastAsia="en-GB"/>
          <w14:ligatures w14:val="none"/>
        </w:rPr>
        <w:t xml:space="preserve">Pitts (2022) disagrees with this however and </w:t>
      </w:r>
      <w:r w:rsidR="00663BBC">
        <w:rPr>
          <w:rFonts w:ascii="Calibri" w:eastAsia="Times New Roman" w:hAnsi="Calibri" w:cs="Calibri"/>
          <w:kern w:val="0"/>
          <w:sz w:val="24"/>
          <w:szCs w:val="24"/>
          <w:lang w:eastAsia="en-GB"/>
          <w14:ligatures w14:val="none"/>
        </w:rPr>
        <w:t xml:space="preserve">argues that news outlets typically favour police officers as opposed to the victims when reporting police misconduct. Pitts (2022) also notes the language used by media outlets is more inflammatory against the victims as opposed to the police officers who are more protected. Pitts (2022) concludes that reporting negative incidents surrounding police misconduct or failings could negatively impact media outlets as it reduces relationships with police forces and subsequently lead to less information being shared by the police to the media outlets. This is important to consider in the context of the question as negative portrayals by certain media outlets could impact their ability to report on policing matters if less information is shared. </w:t>
      </w:r>
    </w:p>
    <w:p w14:paraId="34523A0C"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5189B859"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The media has shown efficacy in </w:t>
      </w:r>
      <w:proofErr w:type="gramStart"/>
      <w:r w:rsidRPr="00396988">
        <w:rPr>
          <w:rFonts w:ascii="Calibri" w:eastAsia="Times New Roman" w:hAnsi="Calibri" w:cs="Calibri"/>
          <w:kern w:val="0"/>
          <w:sz w:val="24"/>
          <w:szCs w:val="24"/>
          <w:lang w:eastAsia="en-GB"/>
          <w14:ligatures w14:val="none"/>
        </w:rPr>
        <w:t>a number of</w:t>
      </w:r>
      <w:proofErr w:type="gramEnd"/>
      <w:r w:rsidRPr="00396988">
        <w:rPr>
          <w:rFonts w:ascii="Calibri" w:eastAsia="Times New Roman" w:hAnsi="Calibri" w:cs="Calibri"/>
          <w:kern w:val="0"/>
          <w:sz w:val="24"/>
          <w:szCs w:val="24"/>
          <w:lang w:eastAsia="en-GB"/>
          <w14:ligatures w14:val="none"/>
        </w:rPr>
        <w:t xml:space="preserve"> cases involving public protection incidents, with research surrounding this topic conducted by Feist (1999) concluding that the media’s importance in these investigations cannot be overstated. They allow the police to broadcast information to a wealth of people which they previously may not have had access to, and Feist (1999) recommended that the media be considered part of the investigative strategy as opposed to a luxury. They also concluded that the power of the media should be considered, specifically around what information is revealed to them. Too little information revealed may lead to speculation and misreporting, with this issue possibly compromising the investigation.  </w:t>
      </w:r>
    </w:p>
    <w:p w14:paraId="2B720DF1"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518DA7B3" w14:textId="459A92DE"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In conclusion, it is important to consider both sides of the media when dealing with public protection incidents. Given the easy access to smartphones in the modern world, a simple video of an incident can be picked up by the media and shared to millions of people which does not always tell the full story. The media attention in investigations can also be time consuming, and given the nature of their work, can lead to speculation and misreporting. On the contrary, the media can be a vital tool in an investigation to gain information and make the public aware. The media’s role in holding the police accountable for their actions also cannot be overstated.  </w:t>
      </w:r>
    </w:p>
    <w:p w14:paraId="210A0F47" w14:textId="77777777" w:rsidR="00294E87" w:rsidRDefault="00294E87"/>
    <w:p w14:paraId="065C13DB" w14:textId="57892F6E" w:rsidR="00294E87" w:rsidRDefault="00396988">
      <w:r>
        <w:t>Word count: 10</w:t>
      </w:r>
      <w:r w:rsidR="00663BBC">
        <w:t>64</w:t>
      </w:r>
    </w:p>
    <w:p w14:paraId="633CB4B4" w14:textId="77777777" w:rsidR="00294E87" w:rsidRDefault="00294E87"/>
    <w:p w14:paraId="2457F344" w14:textId="77777777" w:rsidR="00E760A9" w:rsidRDefault="00E760A9">
      <w:pPr>
        <w:rPr>
          <w:b/>
          <w:bCs/>
          <w:sz w:val="24"/>
          <w:szCs w:val="24"/>
        </w:rPr>
      </w:pPr>
    </w:p>
    <w:p w14:paraId="2193BD21" w14:textId="77777777" w:rsidR="00E760A9" w:rsidRDefault="00E760A9">
      <w:pPr>
        <w:rPr>
          <w:b/>
          <w:bCs/>
          <w:sz w:val="24"/>
          <w:szCs w:val="24"/>
        </w:rPr>
      </w:pPr>
    </w:p>
    <w:p w14:paraId="030C4BB5" w14:textId="77777777" w:rsidR="00E760A9" w:rsidRDefault="00E760A9">
      <w:pPr>
        <w:rPr>
          <w:b/>
          <w:bCs/>
          <w:sz w:val="24"/>
          <w:szCs w:val="24"/>
        </w:rPr>
      </w:pPr>
    </w:p>
    <w:p w14:paraId="4D2D66E5" w14:textId="77777777" w:rsidR="00E760A9" w:rsidRDefault="00E760A9">
      <w:pPr>
        <w:rPr>
          <w:b/>
          <w:bCs/>
          <w:sz w:val="24"/>
          <w:szCs w:val="24"/>
        </w:rPr>
      </w:pPr>
    </w:p>
    <w:p w14:paraId="7239E5AD" w14:textId="09C106C5" w:rsidR="00913948" w:rsidRDefault="00913948">
      <w:pPr>
        <w:rPr>
          <w:b/>
          <w:bCs/>
          <w:sz w:val="24"/>
          <w:szCs w:val="24"/>
        </w:rPr>
      </w:pPr>
      <w:r w:rsidRPr="00913948">
        <w:rPr>
          <w:b/>
          <w:bCs/>
          <w:sz w:val="24"/>
          <w:szCs w:val="24"/>
        </w:rPr>
        <w:lastRenderedPageBreak/>
        <w:t xml:space="preserve">“Despite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w:t>
      </w:r>
      <w:proofErr w:type="gramStart"/>
      <w:r w:rsidRPr="00913948">
        <w:rPr>
          <w:b/>
          <w:bCs/>
          <w:sz w:val="24"/>
          <w:szCs w:val="24"/>
        </w:rPr>
        <w:t>make reference</w:t>
      </w:r>
      <w:proofErr w:type="gramEnd"/>
      <w:r w:rsidRPr="00913948">
        <w:rPr>
          <w:b/>
          <w:bCs/>
          <w:sz w:val="24"/>
          <w:szCs w:val="24"/>
        </w:rPr>
        <w:t xml:space="preserve"> to relevant case studies. Word limit: 1000 words.</w:t>
      </w:r>
    </w:p>
    <w:p w14:paraId="6D538167" w14:textId="7E1A9176" w:rsidR="008A3F90" w:rsidRDefault="008A3F90">
      <w:pPr>
        <w:rPr>
          <w:sz w:val="24"/>
          <w:szCs w:val="24"/>
        </w:rPr>
      </w:pPr>
      <w:r>
        <w:rPr>
          <w:sz w:val="24"/>
          <w:szCs w:val="24"/>
        </w:rPr>
        <w:t xml:space="preserve">Juvenile justice is a complex problem in the UK and one that must be manged with great care. </w:t>
      </w:r>
      <w:proofErr w:type="gramStart"/>
      <w:r>
        <w:rPr>
          <w:sz w:val="24"/>
          <w:szCs w:val="24"/>
        </w:rPr>
        <w:t>In order to</w:t>
      </w:r>
      <w:proofErr w:type="gramEnd"/>
      <w:r>
        <w:rPr>
          <w:sz w:val="24"/>
          <w:szCs w:val="24"/>
        </w:rPr>
        <w:t xml:space="preserve"> evaluate the effectiveness of the rehabilitation processes and restorative justice procedures, one must first understand the reasons why some youths offend and continue to re-offend following police contact. It is important to consider adverse childhood experiences (ACEs) when discussing youth offending, </w:t>
      </w:r>
      <w:r w:rsidR="00C82AF7">
        <w:rPr>
          <w:sz w:val="24"/>
          <w:szCs w:val="24"/>
        </w:rPr>
        <w:t>existing as a</w:t>
      </w:r>
      <w:r>
        <w:rPr>
          <w:sz w:val="24"/>
          <w:szCs w:val="24"/>
        </w:rPr>
        <w:t xml:space="preserve"> </w:t>
      </w:r>
      <w:r w:rsidR="00C82AF7">
        <w:rPr>
          <w:sz w:val="24"/>
          <w:szCs w:val="24"/>
        </w:rPr>
        <w:t>potent contributing</w:t>
      </w:r>
      <w:r>
        <w:rPr>
          <w:sz w:val="24"/>
          <w:szCs w:val="24"/>
        </w:rPr>
        <w:t xml:space="preserve"> factor leading towards youth offending. It is agreed by most organisations that ACEs include abuse, be it sexual, emotional</w:t>
      </w:r>
      <w:r w:rsidR="00C82AF7">
        <w:rPr>
          <w:sz w:val="24"/>
          <w:szCs w:val="24"/>
        </w:rPr>
        <w:t>,</w:t>
      </w:r>
      <w:r>
        <w:rPr>
          <w:sz w:val="24"/>
          <w:szCs w:val="24"/>
        </w:rPr>
        <w:t xml:space="preserve"> or physical, neglect, witnessing domestic abuse or being a victim of domestic abuse, growing up in a household with drink or drug problems and </w:t>
      </w:r>
      <w:r w:rsidR="00B61392">
        <w:rPr>
          <w:sz w:val="24"/>
          <w:szCs w:val="24"/>
        </w:rPr>
        <w:t xml:space="preserve">growing up in a household where the parents have separated. </w:t>
      </w:r>
      <w:r w:rsidR="00401BAE">
        <w:rPr>
          <w:sz w:val="24"/>
          <w:szCs w:val="24"/>
        </w:rPr>
        <w:t xml:space="preserve">It is argued by </w:t>
      </w:r>
      <w:r w:rsidR="00C133CC">
        <w:rPr>
          <w:sz w:val="24"/>
          <w:szCs w:val="24"/>
        </w:rPr>
        <w:t>several</w:t>
      </w:r>
      <w:r w:rsidR="00401BAE">
        <w:rPr>
          <w:sz w:val="24"/>
          <w:szCs w:val="24"/>
        </w:rPr>
        <w:t xml:space="preserve"> sources, </w:t>
      </w:r>
      <w:r w:rsidR="003A15DF">
        <w:rPr>
          <w:sz w:val="24"/>
          <w:szCs w:val="24"/>
        </w:rPr>
        <w:t xml:space="preserve">namely </w:t>
      </w:r>
      <w:r w:rsidR="00401BAE">
        <w:rPr>
          <w:sz w:val="24"/>
          <w:szCs w:val="24"/>
        </w:rPr>
        <w:t>Public Health Scotland (2021), Liverpool CAHMS (2023), Centres for Disease Control and Prevention (2023), Blow (2020) and Hays-</w:t>
      </w:r>
      <w:proofErr w:type="spellStart"/>
      <w:r w:rsidR="00401BAE">
        <w:rPr>
          <w:sz w:val="24"/>
          <w:szCs w:val="24"/>
        </w:rPr>
        <w:t>Grudo</w:t>
      </w:r>
      <w:proofErr w:type="spellEnd"/>
      <w:r w:rsidR="00401BAE">
        <w:rPr>
          <w:sz w:val="24"/>
          <w:szCs w:val="24"/>
        </w:rPr>
        <w:t xml:space="preserve"> and Morris (2020) that ACEs have a detrimental impact on brain development </w:t>
      </w:r>
      <w:r w:rsidR="003A15DF">
        <w:rPr>
          <w:sz w:val="24"/>
          <w:szCs w:val="24"/>
        </w:rPr>
        <w:t xml:space="preserve">resulting in disorders such as PTSD and depression </w:t>
      </w:r>
      <w:r w:rsidR="00401BAE">
        <w:rPr>
          <w:sz w:val="24"/>
          <w:szCs w:val="24"/>
        </w:rPr>
        <w:t xml:space="preserve">and </w:t>
      </w:r>
      <w:r w:rsidR="003A15DF">
        <w:rPr>
          <w:sz w:val="24"/>
          <w:szCs w:val="24"/>
        </w:rPr>
        <w:t xml:space="preserve">also negatively impacts </w:t>
      </w:r>
      <w:r w:rsidR="00401BAE">
        <w:rPr>
          <w:sz w:val="24"/>
          <w:szCs w:val="24"/>
        </w:rPr>
        <w:t xml:space="preserve">a child’s behaviour towards others which is likely to lead to repeat offending and victimisation. </w:t>
      </w:r>
    </w:p>
    <w:p w14:paraId="2F0D708F" w14:textId="77777777" w:rsidR="00861547" w:rsidRDefault="00861547">
      <w:pPr>
        <w:rPr>
          <w:sz w:val="24"/>
          <w:szCs w:val="24"/>
        </w:rPr>
      </w:pPr>
    </w:p>
    <w:p w14:paraId="77ED6E81" w14:textId="735295E7" w:rsidR="00861547" w:rsidRDefault="00861547">
      <w:pPr>
        <w:rPr>
          <w:sz w:val="24"/>
          <w:szCs w:val="24"/>
        </w:rPr>
      </w:pPr>
      <w:r>
        <w:rPr>
          <w:sz w:val="24"/>
          <w:szCs w:val="24"/>
        </w:rPr>
        <w:t xml:space="preserve">An approach used to deal with youth offenders is an organisation called the Youth Justice Team (YOT) who work closely with the police and manage youth offenders. The UK Government describe their role as to work with young people to direct them away from crime and reduce reoffending. </w:t>
      </w:r>
      <w:r w:rsidR="00A34766">
        <w:rPr>
          <w:sz w:val="24"/>
          <w:szCs w:val="24"/>
        </w:rPr>
        <w:t>As for how successful they are, it would depend on the source. McNally (2015) advocates for YOTs and believes them to be a ‘cornerstone of the youth justice system’ and believes them to be successful in steering young people away from crime</w:t>
      </w:r>
      <w:r w:rsidR="00C133CC">
        <w:rPr>
          <w:sz w:val="24"/>
          <w:szCs w:val="24"/>
        </w:rPr>
        <w:t xml:space="preserve"> </w:t>
      </w:r>
      <w:r w:rsidR="002940FF">
        <w:rPr>
          <w:sz w:val="24"/>
          <w:szCs w:val="24"/>
        </w:rPr>
        <w:t xml:space="preserve">through diversion programs and rehabilitation programs </w:t>
      </w:r>
      <w:r w:rsidR="00C133CC">
        <w:rPr>
          <w:sz w:val="24"/>
          <w:szCs w:val="24"/>
        </w:rPr>
        <w:t>with less young people repeatedly becoming involved in the criminal justice system</w:t>
      </w:r>
      <w:r w:rsidR="00A34766">
        <w:rPr>
          <w:sz w:val="24"/>
          <w:szCs w:val="24"/>
        </w:rPr>
        <w:t xml:space="preserve">. </w:t>
      </w:r>
      <w:r w:rsidR="00FD2D65">
        <w:rPr>
          <w:sz w:val="24"/>
          <w:szCs w:val="24"/>
        </w:rPr>
        <w:t xml:space="preserve">It can be argued that this both supports and contradicts </w:t>
      </w:r>
      <w:proofErr w:type="spellStart"/>
      <w:r w:rsidR="00FD2D65">
        <w:rPr>
          <w:sz w:val="24"/>
          <w:szCs w:val="24"/>
        </w:rPr>
        <w:t>Hamm</w:t>
      </w:r>
      <w:r w:rsidR="00EB7E58">
        <w:rPr>
          <w:sz w:val="24"/>
          <w:szCs w:val="24"/>
        </w:rPr>
        <w:t>a</w:t>
      </w:r>
      <w:r w:rsidR="00FD2D65">
        <w:rPr>
          <w:sz w:val="24"/>
          <w:szCs w:val="24"/>
        </w:rPr>
        <w:t>rburg</w:t>
      </w:r>
      <w:proofErr w:type="spellEnd"/>
      <w:r w:rsidR="00FD2D65">
        <w:rPr>
          <w:sz w:val="24"/>
          <w:szCs w:val="24"/>
        </w:rPr>
        <w:t xml:space="preserve"> (2012) as YOTs utilise rehabilitative methods to try to redirect young people away from the criminal justice system as opposed to relying on the extreme punitive measures </w:t>
      </w:r>
      <w:proofErr w:type="spellStart"/>
      <w:r w:rsidR="00FD2D65">
        <w:rPr>
          <w:sz w:val="24"/>
          <w:szCs w:val="24"/>
        </w:rPr>
        <w:t>Hamm</w:t>
      </w:r>
      <w:r w:rsidR="00EB7E58">
        <w:rPr>
          <w:sz w:val="24"/>
          <w:szCs w:val="24"/>
        </w:rPr>
        <w:t>a</w:t>
      </w:r>
      <w:r w:rsidR="00FD2D65">
        <w:rPr>
          <w:sz w:val="24"/>
          <w:szCs w:val="24"/>
        </w:rPr>
        <w:t>rburg</w:t>
      </w:r>
      <w:proofErr w:type="spellEnd"/>
      <w:r w:rsidR="00FD2D65">
        <w:rPr>
          <w:sz w:val="24"/>
          <w:szCs w:val="24"/>
        </w:rPr>
        <w:t xml:space="preserve"> (2012) suggests are in place. </w:t>
      </w:r>
      <w:r w:rsidR="00E26D22">
        <w:rPr>
          <w:sz w:val="24"/>
          <w:szCs w:val="24"/>
        </w:rPr>
        <w:t xml:space="preserve"> The House of Commons (2012) published a paper which concluded that there are </w:t>
      </w:r>
      <w:r w:rsidR="00C82AF7">
        <w:rPr>
          <w:sz w:val="24"/>
          <w:szCs w:val="24"/>
        </w:rPr>
        <w:t>several</w:t>
      </w:r>
      <w:r w:rsidR="00E26D22">
        <w:rPr>
          <w:sz w:val="24"/>
          <w:szCs w:val="24"/>
        </w:rPr>
        <w:t xml:space="preserve"> different factors which can reduce reoffending long-term including maturing, employment and sobriety to name a few combined with behavioural-cognitive approaches were most effective at reducing reoffending as opposed to punitive measures.</w:t>
      </w:r>
      <w:r w:rsidR="00C133CC">
        <w:rPr>
          <w:sz w:val="24"/>
          <w:szCs w:val="24"/>
        </w:rPr>
        <w:t xml:space="preserve"> This is further supported by Hodgkinson et al (2021) who suggests diversion schemes as a method of discouraging young people from re-offending. Hodgkinson et al (2021) also recognise that a high number of young people still within the criminal justice system suffer from complex psychological needs and a high number of </w:t>
      </w:r>
      <w:r w:rsidR="007A7D22">
        <w:rPr>
          <w:sz w:val="24"/>
          <w:szCs w:val="24"/>
        </w:rPr>
        <w:t>ACEs and</w:t>
      </w:r>
      <w:r w:rsidR="00C133CC">
        <w:rPr>
          <w:sz w:val="24"/>
          <w:szCs w:val="24"/>
        </w:rPr>
        <w:t xml:space="preserve"> recommend psychological approaches to addressing these conditions as a method of reducing reoffending. </w:t>
      </w:r>
      <w:r w:rsidR="00E26D22">
        <w:rPr>
          <w:sz w:val="24"/>
          <w:szCs w:val="24"/>
        </w:rPr>
        <w:t xml:space="preserve"> These approaches can be in the form of intervention programs or conditional programs which require the young person to engage </w:t>
      </w:r>
      <w:r w:rsidR="00E26D22">
        <w:rPr>
          <w:sz w:val="24"/>
          <w:szCs w:val="24"/>
        </w:rPr>
        <w:lastRenderedPageBreak/>
        <w:t>with partner services which is based on their needs and vulnerabilities. This is in brief, what YOT</w:t>
      </w:r>
      <w:r w:rsidR="00EB7E58">
        <w:rPr>
          <w:sz w:val="24"/>
          <w:szCs w:val="24"/>
        </w:rPr>
        <w:t>s</w:t>
      </w:r>
      <w:r w:rsidR="00E26D22">
        <w:rPr>
          <w:sz w:val="24"/>
          <w:szCs w:val="24"/>
        </w:rPr>
        <w:t xml:space="preserve"> </w:t>
      </w:r>
      <w:r w:rsidR="00EB7E58">
        <w:rPr>
          <w:sz w:val="24"/>
          <w:szCs w:val="24"/>
        </w:rPr>
        <w:t>are</w:t>
      </w:r>
      <w:r w:rsidR="00E26D22">
        <w:rPr>
          <w:sz w:val="24"/>
          <w:szCs w:val="24"/>
        </w:rPr>
        <w:t xml:space="preserve"> there to do, </w:t>
      </w:r>
      <w:r w:rsidR="00EB7E58">
        <w:rPr>
          <w:sz w:val="24"/>
          <w:szCs w:val="24"/>
        </w:rPr>
        <w:t xml:space="preserve">meaning they </w:t>
      </w:r>
      <w:r w:rsidR="00E26D22">
        <w:rPr>
          <w:sz w:val="24"/>
          <w:szCs w:val="24"/>
        </w:rPr>
        <w:t>assess a young person’s needs and match them with a support program to rehabilitate them as opposed to punish</w:t>
      </w:r>
      <w:r w:rsidR="00EB7E58">
        <w:rPr>
          <w:sz w:val="24"/>
          <w:szCs w:val="24"/>
        </w:rPr>
        <w:t>ing</w:t>
      </w:r>
      <w:r w:rsidR="00E26D22">
        <w:rPr>
          <w:sz w:val="24"/>
          <w:szCs w:val="24"/>
        </w:rPr>
        <w:t xml:space="preserve"> them. A difficulty that may be faced with these programs is balancing the need for rehabilitation with the need to satisfy the victim that there has been a real outcome following the offence. </w:t>
      </w:r>
    </w:p>
    <w:p w14:paraId="7ACD779F" w14:textId="77777777" w:rsidR="00D86A71" w:rsidRDefault="00D86A71">
      <w:pPr>
        <w:rPr>
          <w:sz w:val="24"/>
          <w:szCs w:val="24"/>
        </w:rPr>
      </w:pPr>
    </w:p>
    <w:p w14:paraId="52294176" w14:textId="2775B21E" w:rsidR="00D86A71" w:rsidRDefault="00D86A71">
      <w:pPr>
        <w:rPr>
          <w:sz w:val="24"/>
          <w:szCs w:val="24"/>
        </w:rPr>
      </w:pPr>
      <w:r>
        <w:rPr>
          <w:sz w:val="24"/>
          <w:szCs w:val="24"/>
        </w:rPr>
        <w:t xml:space="preserve">Restorative justice is another approach which is often utilised when dealing with young offenders and is typically used for low level offences and allows the offender to make amends and take responsibility for their actions. </w:t>
      </w:r>
      <w:r w:rsidR="00F62147">
        <w:rPr>
          <w:sz w:val="24"/>
          <w:szCs w:val="24"/>
        </w:rPr>
        <w:t>Menkel-</w:t>
      </w:r>
      <w:r>
        <w:rPr>
          <w:sz w:val="24"/>
          <w:szCs w:val="24"/>
        </w:rPr>
        <w:t xml:space="preserve">Meadow (2007), Sherman and Strang (2012) and Strang et al (2013) all support this notion as a means of dealing with low level offences by allowing the offender to take responsibility for their actions and make amends. </w:t>
      </w:r>
      <w:r w:rsidR="008544C1">
        <w:rPr>
          <w:sz w:val="24"/>
          <w:szCs w:val="24"/>
        </w:rPr>
        <w:t xml:space="preserve">The College of Policing (2022) cite </w:t>
      </w:r>
      <w:r w:rsidR="00C82AF7">
        <w:rPr>
          <w:sz w:val="24"/>
          <w:szCs w:val="24"/>
        </w:rPr>
        <w:t>several</w:t>
      </w:r>
      <w:r w:rsidR="008544C1">
        <w:rPr>
          <w:sz w:val="24"/>
          <w:szCs w:val="24"/>
        </w:rPr>
        <w:t xml:space="preserve"> ways in which restorative justice can be used with youth offenders which are community resolutions, youth conditional cautions, referral order, youth rehabilitation order and early intervention. A common thread between these methods of restorative justice is that they are focused on rehabilitating the offender </w:t>
      </w:r>
      <w:r w:rsidR="00993947">
        <w:rPr>
          <w:sz w:val="24"/>
          <w:szCs w:val="24"/>
        </w:rPr>
        <w:t>as opposed to</w:t>
      </w:r>
      <w:r w:rsidR="008544C1">
        <w:rPr>
          <w:sz w:val="24"/>
          <w:szCs w:val="24"/>
        </w:rPr>
        <w:t xml:space="preserve"> punishing them contrasting what Hammarberg (2012) suggests. </w:t>
      </w:r>
      <w:r w:rsidR="000B7548">
        <w:rPr>
          <w:sz w:val="24"/>
          <w:szCs w:val="24"/>
        </w:rPr>
        <w:t xml:space="preserve">The overall aim of all these methods is to reduce re-offending and it can be argued that restorative justice is successful to some extent. The College of Policing (2022) </w:t>
      </w:r>
      <w:r w:rsidR="00E74853">
        <w:rPr>
          <w:sz w:val="24"/>
          <w:szCs w:val="24"/>
        </w:rPr>
        <w:t>notes that restorative justice reduces risk of reoffending and improve</w:t>
      </w:r>
      <w:r w:rsidR="00C82AF7">
        <w:rPr>
          <w:sz w:val="24"/>
          <w:szCs w:val="24"/>
        </w:rPr>
        <w:t>s</w:t>
      </w:r>
      <w:r w:rsidR="00E74853">
        <w:rPr>
          <w:sz w:val="24"/>
          <w:szCs w:val="24"/>
        </w:rPr>
        <w:t xml:space="preserve"> </w:t>
      </w:r>
      <w:r w:rsidR="00C82AF7">
        <w:rPr>
          <w:sz w:val="24"/>
          <w:szCs w:val="24"/>
        </w:rPr>
        <w:t xml:space="preserve">upon </w:t>
      </w:r>
      <w:r w:rsidR="00E74853">
        <w:rPr>
          <w:sz w:val="24"/>
          <w:szCs w:val="24"/>
        </w:rPr>
        <w:t xml:space="preserve">victim satisfaction. Further to this, The College of Policing (2022) also noted that victims who agreed to use the restorative justice method reported a reduced feeling of </w:t>
      </w:r>
      <w:r w:rsidR="007A7D22">
        <w:rPr>
          <w:sz w:val="24"/>
          <w:szCs w:val="24"/>
        </w:rPr>
        <w:t>post-traumatic</w:t>
      </w:r>
      <w:r w:rsidR="00E74853">
        <w:rPr>
          <w:sz w:val="24"/>
          <w:szCs w:val="24"/>
        </w:rPr>
        <w:t xml:space="preserve"> stress following an incident. </w:t>
      </w:r>
      <w:r w:rsidR="00303938">
        <w:rPr>
          <w:sz w:val="24"/>
          <w:szCs w:val="24"/>
        </w:rPr>
        <w:t xml:space="preserve">Braithwaite (2014) supports this and adds that restorative justice provides an effective method of reducing reoffending </w:t>
      </w:r>
      <w:r w:rsidR="007C49F4">
        <w:rPr>
          <w:sz w:val="24"/>
          <w:szCs w:val="24"/>
        </w:rPr>
        <w:t>amongst</w:t>
      </w:r>
      <w:r w:rsidR="00303938">
        <w:rPr>
          <w:sz w:val="24"/>
          <w:szCs w:val="24"/>
        </w:rPr>
        <w:t xml:space="preserve"> young offenders providing they agree to engage in the scheme</w:t>
      </w:r>
      <w:r w:rsidR="007C49F4">
        <w:rPr>
          <w:sz w:val="24"/>
          <w:szCs w:val="24"/>
        </w:rPr>
        <w:t xml:space="preserve">. </w:t>
      </w:r>
      <w:r w:rsidR="00C52F36">
        <w:rPr>
          <w:sz w:val="24"/>
          <w:szCs w:val="24"/>
        </w:rPr>
        <w:t>Sherman et al (2015) provided another benefit of the restorative justice approach in that it is a cost-effective method of reducing reoffending</w:t>
      </w:r>
      <w:r w:rsidR="00E77EDF">
        <w:rPr>
          <w:sz w:val="24"/>
          <w:szCs w:val="24"/>
        </w:rPr>
        <w:t xml:space="preserve"> which is important given the current economic climate in the UK</w:t>
      </w:r>
      <w:r w:rsidR="00C52F36">
        <w:rPr>
          <w:sz w:val="24"/>
          <w:szCs w:val="24"/>
        </w:rPr>
        <w:t xml:space="preserve">. Rather than going through the full court process which can be expensive and time consuming, the restorative justice approach is a more cost-effective way of providing a better result which is advantageous to all parties involved.  A weakness of this approach however is that both the victim and offender must agree to it. </w:t>
      </w:r>
      <w:r w:rsidR="00AB11C1">
        <w:rPr>
          <w:sz w:val="24"/>
          <w:szCs w:val="24"/>
        </w:rPr>
        <w:t xml:space="preserve">This can be difficult to facilitate if the offender does not take responsibility for their actions and agree to the process. It could be that they do not wish to engage with the process due to long term behavioural problems which they have sustained </w:t>
      </w:r>
      <w:proofErr w:type="gramStart"/>
      <w:r w:rsidR="00AB11C1">
        <w:rPr>
          <w:sz w:val="24"/>
          <w:szCs w:val="24"/>
        </w:rPr>
        <w:t>as a result of</w:t>
      </w:r>
      <w:proofErr w:type="gramEnd"/>
      <w:r w:rsidR="00AB11C1">
        <w:rPr>
          <w:sz w:val="24"/>
          <w:szCs w:val="24"/>
        </w:rPr>
        <w:t xml:space="preserve"> ACEs</w:t>
      </w:r>
      <w:r w:rsidR="00673F0A">
        <w:rPr>
          <w:sz w:val="24"/>
          <w:szCs w:val="24"/>
        </w:rPr>
        <w:t xml:space="preserve">. This will be considered by the agencies involved and they will make efforts to try and manage this behaviour </w:t>
      </w:r>
      <w:proofErr w:type="gramStart"/>
      <w:r w:rsidR="00673F0A">
        <w:rPr>
          <w:sz w:val="24"/>
          <w:szCs w:val="24"/>
        </w:rPr>
        <w:t>in an attempt to</w:t>
      </w:r>
      <w:proofErr w:type="gramEnd"/>
      <w:r w:rsidR="00673F0A">
        <w:rPr>
          <w:sz w:val="24"/>
          <w:szCs w:val="24"/>
        </w:rPr>
        <w:t xml:space="preserve"> change it over time</w:t>
      </w:r>
      <w:r w:rsidR="00C82AF7">
        <w:rPr>
          <w:sz w:val="24"/>
          <w:szCs w:val="24"/>
        </w:rPr>
        <w:t xml:space="preserve">, </w:t>
      </w:r>
      <w:r w:rsidR="00673F0A">
        <w:rPr>
          <w:sz w:val="24"/>
          <w:szCs w:val="24"/>
        </w:rPr>
        <w:t>reduc</w:t>
      </w:r>
      <w:r w:rsidR="00C82AF7">
        <w:rPr>
          <w:sz w:val="24"/>
          <w:szCs w:val="24"/>
        </w:rPr>
        <w:t>ing</w:t>
      </w:r>
      <w:r w:rsidR="00673F0A">
        <w:rPr>
          <w:sz w:val="24"/>
          <w:szCs w:val="24"/>
        </w:rPr>
        <w:t xml:space="preserve"> the risk of reoffending and provide a positive outcome for all parties involved. </w:t>
      </w:r>
      <w:r w:rsidR="00AB11C1">
        <w:rPr>
          <w:sz w:val="24"/>
          <w:szCs w:val="24"/>
        </w:rPr>
        <w:t xml:space="preserve"> </w:t>
      </w:r>
    </w:p>
    <w:p w14:paraId="1B815A4B" w14:textId="77777777" w:rsidR="00E73114" w:rsidRDefault="00E73114">
      <w:pPr>
        <w:rPr>
          <w:sz w:val="24"/>
          <w:szCs w:val="24"/>
        </w:rPr>
      </w:pPr>
    </w:p>
    <w:p w14:paraId="7368D11A" w14:textId="49018956" w:rsidR="009700D7" w:rsidRDefault="00E73114">
      <w:pPr>
        <w:rPr>
          <w:sz w:val="24"/>
          <w:szCs w:val="24"/>
        </w:rPr>
      </w:pPr>
      <w:r>
        <w:rPr>
          <w:sz w:val="24"/>
          <w:szCs w:val="24"/>
        </w:rPr>
        <w:t xml:space="preserve">In conclusion, it can be argued that the criminal justice system has moved towards a rehabilitative approach as opposed to a punitive approach in the form of youth rehabilitation schemes and restorative justice. The effectiveness of these approaches </w:t>
      </w:r>
      <w:r w:rsidR="00C82AF7">
        <w:rPr>
          <w:sz w:val="24"/>
          <w:szCs w:val="24"/>
        </w:rPr>
        <w:t>is</w:t>
      </w:r>
      <w:r>
        <w:rPr>
          <w:sz w:val="24"/>
          <w:szCs w:val="24"/>
        </w:rPr>
        <w:t xml:space="preserve"> clear and should be utilised when dealing with young offenders. Most authors would agree that young offenders should be dealt with by way of rehabilitation to reduce the risk of reoffending in the future leading to an overall reduction of crime. By dealing with these </w:t>
      </w:r>
      <w:r>
        <w:rPr>
          <w:sz w:val="24"/>
          <w:szCs w:val="24"/>
        </w:rPr>
        <w:lastRenderedPageBreak/>
        <w:t xml:space="preserve">issues early on, it can benefit society </w:t>
      </w:r>
      <w:proofErr w:type="gramStart"/>
      <w:r>
        <w:rPr>
          <w:sz w:val="24"/>
          <w:szCs w:val="24"/>
        </w:rPr>
        <w:t xml:space="preserve">as a whole </w:t>
      </w:r>
      <w:r w:rsidR="00C82AF7">
        <w:rPr>
          <w:sz w:val="24"/>
          <w:szCs w:val="24"/>
        </w:rPr>
        <w:t>down</w:t>
      </w:r>
      <w:proofErr w:type="gramEnd"/>
      <w:r w:rsidR="00C82AF7">
        <w:rPr>
          <w:sz w:val="24"/>
          <w:szCs w:val="24"/>
        </w:rPr>
        <w:t xml:space="preserve"> the line</w:t>
      </w:r>
      <w:r>
        <w:rPr>
          <w:sz w:val="24"/>
          <w:szCs w:val="24"/>
        </w:rPr>
        <w:t xml:space="preserve">. It is important to consider the needs of the young person as well as match them to a program which suits them </w:t>
      </w:r>
      <w:proofErr w:type="gramStart"/>
      <w:r>
        <w:rPr>
          <w:sz w:val="24"/>
          <w:szCs w:val="24"/>
        </w:rPr>
        <w:t>in order to</w:t>
      </w:r>
      <w:proofErr w:type="gramEnd"/>
      <w:r>
        <w:rPr>
          <w:sz w:val="24"/>
          <w:szCs w:val="24"/>
        </w:rPr>
        <w:t xml:space="preserve"> get the best outcome. Not only that, but the needs of the victim must be considered which is where restorative justice is a useful tool.</w:t>
      </w:r>
    </w:p>
    <w:p w14:paraId="5F2DEF81" w14:textId="77777777" w:rsidR="009700D7" w:rsidRDefault="009700D7">
      <w:pPr>
        <w:rPr>
          <w:sz w:val="24"/>
          <w:szCs w:val="24"/>
        </w:rPr>
      </w:pPr>
    </w:p>
    <w:p w14:paraId="3D767DA2" w14:textId="43E4A644" w:rsidR="00396988" w:rsidRDefault="00396988">
      <w:pPr>
        <w:rPr>
          <w:sz w:val="24"/>
          <w:szCs w:val="24"/>
        </w:rPr>
      </w:pPr>
      <w:r>
        <w:rPr>
          <w:sz w:val="24"/>
          <w:szCs w:val="24"/>
        </w:rPr>
        <w:t>Word count: 10</w:t>
      </w:r>
      <w:r w:rsidR="00EB7E58">
        <w:rPr>
          <w:sz w:val="24"/>
          <w:szCs w:val="24"/>
        </w:rPr>
        <w:t>97</w:t>
      </w:r>
    </w:p>
    <w:p w14:paraId="3363BA3A" w14:textId="77777777" w:rsidR="009700D7" w:rsidRDefault="009700D7">
      <w:pPr>
        <w:rPr>
          <w:sz w:val="24"/>
          <w:szCs w:val="24"/>
        </w:rPr>
      </w:pPr>
    </w:p>
    <w:p w14:paraId="0D7DB16F" w14:textId="77777777" w:rsidR="00C921B6" w:rsidRDefault="00C921B6">
      <w:pPr>
        <w:rPr>
          <w:sz w:val="24"/>
          <w:szCs w:val="24"/>
        </w:rPr>
      </w:pPr>
    </w:p>
    <w:p w14:paraId="4221C065" w14:textId="77777777" w:rsidR="00C921B6" w:rsidRDefault="00C921B6">
      <w:pPr>
        <w:rPr>
          <w:sz w:val="24"/>
          <w:szCs w:val="24"/>
        </w:rPr>
      </w:pPr>
    </w:p>
    <w:p w14:paraId="3238A77C" w14:textId="77777777" w:rsidR="00C921B6" w:rsidRDefault="00C921B6">
      <w:pPr>
        <w:rPr>
          <w:sz w:val="24"/>
          <w:szCs w:val="24"/>
        </w:rPr>
      </w:pPr>
    </w:p>
    <w:p w14:paraId="7A88CD13" w14:textId="77777777" w:rsidR="00C921B6" w:rsidRDefault="00C921B6">
      <w:pPr>
        <w:rPr>
          <w:sz w:val="24"/>
          <w:szCs w:val="24"/>
        </w:rPr>
      </w:pPr>
    </w:p>
    <w:p w14:paraId="6F7D6224" w14:textId="77777777" w:rsidR="00C921B6" w:rsidRDefault="00C921B6">
      <w:pPr>
        <w:rPr>
          <w:sz w:val="24"/>
          <w:szCs w:val="24"/>
        </w:rPr>
      </w:pPr>
    </w:p>
    <w:p w14:paraId="60F86849" w14:textId="77777777" w:rsidR="00C921B6" w:rsidRDefault="00C921B6">
      <w:pPr>
        <w:rPr>
          <w:sz w:val="24"/>
          <w:szCs w:val="24"/>
        </w:rPr>
      </w:pPr>
    </w:p>
    <w:p w14:paraId="1DAEA104" w14:textId="77777777" w:rsidR="00C921B6" w:rsidRDefault="00C921B6">
      <w:pPr>
        <w:rPr>
          <w:sz w:val="24"/>
          <w:szCs w:val="24"/>
        </w:rPr>
      </w:pPr>
    </w:p>
    <w:p w14:paraId="32A7DC04" w14:textId="77777777" w:rsidR="00E760A9" w:rsidRDefault="00E760A9">
      <w:pPr>
        <w:rPr>
          <w:b/>
          <w:bCs/>
          <w:sz w:val="24"/>
          <w:szCs w:val="24"/>
        </w:rPr>
      </w:pPr>
    </w:p>
    <w:p w14:paraId="43396975" w14:textId="77777777" w:rsidR="00E760A9" w:rsidRDefault="00E760A9">
      <w:pPr>
        <w:rPr>
          <w:b/>
          <w:bCs/>
          <w:sz w:val="24"/>
          <w:szCs w:val="24"/>
        </w:rPr>
      </w:pPr>
    </w:p>
    <w:p w14:paraId="76A1AB29" w14:textId="77777777" w:rsidR="00E760A9" w:rsidRDefault="00E760A9">
      <w:pPr>
        <w:rPr>
          <w:b/>
          <w:bCs/>
          <w:sz w:val="24"/>
          <w:szCs w:val="24"/>
        </w:rPr>
      </w:pPr>
    </w:p>
    <w:p w14:paraId="59E5B08A" w14:textId="77777777" w:rsidR="00E760A9" w:rsidRDefault="00E760A9">
      <w:pPr>
        <w:rPr>
          <w:b/>
          <w:bCs/>
          <w:sz w:val="24"/>
          <w:szCs w:val="24"/>
        </w:rPr>
      </w:pPr>
    </w:p>
    <w:p w14:paraId="6B719D71" w14:textId="77777777" w:rsidR="00E760A9" w:rsidRDefault="00E760A9">
      <w:pPr>
        <w:rPr>
          <w:b/>
          <w:bCs/>
          <w:sz w:val="24"/>
          <w:szCs w:val="24"/>
        </w:rPr>
      </w:pPr>
    </w:p>
    <w:p w14:paraId="44A7DD4B" w14:textId="77777777" w:rsidR="00E760A9" w:rsidRDefault="00E760A9">
      <w:pPr>
        <w:rPr>
          <w:b/>
          <w:bCs/>
          <w:sz w:val="24"/>
          <w:szCs w:val="24"/>
        </w:rPr>
      </w:pPr>
    </w:p>
    <w:p w14:paraId="3C58C9D9" w14:textId="77777777" w:rsidR="00E760A9" w:rsidRDefault="00E760A9">
      <w:pPr>
        <w:rPr>
          <w:b/>
          <w:bCs/>
          <w:sz w:val="24"/>
          <w:szCs w:val="24"/>
        </w:rPr>
      </w:pPr>
    </w:p>
    <w:p w14:paraId="1B7711BF" w14:textId="77777777" w:rsidR="00E760A9" w:rsidRDefault="00E760A9">
      <w:pPr>
        <w:rPr>
          <w:b/>
          <w:bCs/>
          <w:sz w:val="24"/>
          <w:szCs w:val="24"/>
        </w:rPr>
      </w:pPr>
    </w:p>
    <w:p w14:paraId="432F49E8" w14:textId="77777777" w:rsidR="00E760A9" w:rsidRDefault="00E760A9">
      <w:pPr>
        <w:rPr>
          <w:b/>
          <w:bCs/>
          <w:sz w:val="24"/>
          <w:szCs w:val="24"/>
        </w:rPr>
      </w:pPr>
    </w:p>
    <w:p w14:paraId="29C9511D" w14:textId="77777777" w:rsidR="00E760A9" w:rsidRDefault="00E760A9">
      <w:pPr>
        <w:rPr>
          <w:b/>
          <w:bCs/>
          <w:sz w:val="24"/>
          <w:szCs w:val="24"/>
        </w:rPr>
      </w:pPr>
    </w:p>
    <w:p w14:paraId="5814EC0D" w14:textId="77777777" w:rsidR="00E760A9" w:rsidRDefault="00E760A9">
      <w:pPr>
        <w:rPr>
          <w:b/>
          <w:bCs/>
          <w:sz w:val="24"/>
          <w:szCs w:val="24"/>
        </w:rPr>
      </w:pPr>
    </w:p>
    <w:p w14:paraId="53E92627" w14:textId="77777777" w:rsidR="00E760A9" w:rsidRDefault="00E760A9">
      <w:pPr>
        <w:rPr>
          <w:b/>
          <w:bCs/>
          <w:sz w:val="24"/>
          <w:szCs w:val="24"/>
        </w:rPr>
      </w:pPr>
    </w:p>
    <w:p w14:paraId="13D0E4DE" w14:textId="77777777" w:rsidR="00E760A9" w:rsidRDefault="00E760A9">
      <w:pPr>
        <w:rPr>
          <w:b/>
          <w:bCs/>
          <w:sz w:val="24"/>
          <w:szCs w:val="24"/>
        </w:rPr>
      </w:pPr>
    </w:p>
    <w:p w14:paraId="32FCA181" w14:textId="77777777" w:rsidR="00E760A9" w:rsidRDefault="00E760A9">
      <w:pPr>
        <w:rPr>
          <w:b/>
          <w:bCs/>
          <w:sz w:val="24"/>
          <w:szCs w:val="24"/>
        </w:rPr>
      </w:pPr>
    </w:p>
    <w:p w14:paraId="626BDD88" w14:textId="77777777" w:rsidR="00E760A9" w:rsidRDefault="00E760A9">
      <w:pPr>
        <w:rPr>
          <w:b/>
          <w:bCs/>
          <w:sz w:val="24"/>
          <w:szCs w:val="24"/>
        </w:rPr>
      </w:pPr>
    </w:p>
    <w:p w14:paraId="3508856A" w14:textId="77777777" w:rsidR="00E760A9" w:rsidRDefault="00E760A9">
      <w:pPr>
        <w:rPr>
          <w:b/>
          <w:bCs/>
          <w:sz w:val="24"/>
          <w:szCs w:val="24"/>
        </w:rPr>
      </w:pPr>
    </w:p>
    <w:p w14:paraId="44190A13" w14:textId="5F1EA0B7" w:rsidR="00AE20CE" w:rsidRPr="009700D7" w:rsidRDefault="00AE20CE">
      <w:pPr>
        <w:rPr>
          <w:sz w:val="24"/>
          <w:szCs w:val="24"/>
        </w:rPr>
      </w:pPr>
      <w:r>
        <w:rPr>
          <w:b/>
          <w:bCs/>
          <w:sz w:val="24"/>
          <w:szCs w:val="24"/>
        </w:rPr>
        <w:lastRenderedPageBreak/>
        <w:t>Bibliography</w:t>
      </w:r>
    </w:p>
    <w:p w14:paraId="04324C8A" w14:textId="77777777" w:rsidR="001A7FF4" w:rsidRPr="00ED73B8" w:rsidRDefault="001A7FF4" w:rsidP="001A7FF4">
      <w:pPr>
        <w:rPr>
          <w:rFonts w:cstheme="minorHAnsi"/>
          <w:sz w:val="24"/>
          <w:szCs w:val="24"/>
        </w:rPr>
      </w:pPr>
      <w:r w:rsidRPr="00ED73B8">
        <w:rPr>
          <w:rFonts w:cstheme="minorHAnsi"/>
          <w:sz w:val="24"/>
          <w:szCs w:val="24"/>
        </w:rPr>
        <w:t xml:space="preserve">Aldridge, N (1999). ‘Enhancing Children’s Memory Through Cognitive Interviewing: An Assessment Technique for Social Work Practice’. </w:t>
      </w:r>
      <w:r w:rsidRPr="00ED73B8">
        <w:rPr>
          <w:rFonts w:cstheme="minorHAnsi"/>
          <w:i/>
          <w:iCs/>
          <w:sz w:val="24"/>
          <w:szCs w:val="24"/>
        </w:rPr>
        <w:t xml:space="preserve">Child and Adolescent Social Work Journal, </w:t>
      </w:r>
      <w:r w:rsidRPr="00ED73B8">
        <w:rPr>
          <w:rFonts w:cstheme="minorHAnsi"/>
          <w:sz w:val="24"/>
          <w:szCs w:val="24"/>
        </w:rPr>
        <w:t xml:space="preserve">16, pp, 101-126. </w:t>
      </w:r>
      <w:hyperlink r:id="rId7" w:history="1">
        <w:r w:rsidRPr="00ED73B8">
          <w:rPr>
            <w:rStyle w:val="Hyperlink"/>
            <w:rFonts w:cstheme="minorHAnsi"/>
            <w:sz w:val="24"/>
            <w:szCs w:val="24"/>
          </w:rPr>
          <w:t>Enhancing Children's Memory Through Cognitive Interviewing: An Assessment Technique for Social Work Practice | Child and Adolescent Social Work Journal (springer.com)</w:t>
        </w:r>
      </w:hyperlink>
    </w:p>
    <w:p w14:paraId="7A9DFC85" w14:textId="77777777" w:rsidR="00093FBD" w:rsidRPr="00ED73B8" w:rsidRDefault="00093FBD" w:rsidP="00093FBD">
      <w:pPr>
        <w:ind w:right="237"/>
        <w:rPr>
          <w:rFonts w:cstheme="minorHAnsi"/>
          <w:sz w:val="24"/>
          <w:szCs w:val="24"/>
        </w:rPr>
      </w:pPr>
    </w:p>
    <w:p w14:paraId="7A2AE0BD" w14:textId="7CF88CF6" w:rsidR="00F324DA" w:rsidRPr="00ED73B8" w:rsidRDefault="00F324DA" w:rsidP="00093FBD">
      <w:pPr>
        <w:ind w:right="237"/>
        <w:rPr>
          <w:rFonts w:cstheme="minorHAnsi"/>
          <w:sz w:val="24"/>
          <w:szCs w:val="24"/>
        </w:rPr>
      </w:pPr>
      <w:r w:rsidRPr="00ED73B8">
        <w:rPr>
          <w:rFonts w:cstheme="minorHAnsi"/>
          <w:sz w:val="24"/>
          <w:szCs w:val="24"/>
        </w:rPr>
        <w:t xml:space="preserve">BBC (2023). ‘Bianca Williams: Two Met officers sacked over athlete search gross misconduct’. </w:t>
      </w:r>
      <w:r w:rsidRPr="00ED73B8">
        <w:rPr>
          <w:rFonts w:cstheme="minorHAnsi"/>
          <w:i/>
          <w:iCs/>
          <w:sz w:val="24"/>
          <w:szCs w:val="24"/>
        </w:rPr>
        <w:t xml:space="preserve">BBC News. </w:t>
      </w:r>
      <w:hyperlink r:id="rId8" w:history="1">
        <w:r w:rsidRPr="00ED73B8">
          <w:rPr>
            <w:rStyle w:val="Hyperlink"/>
            <w:rFonts w:cstheme="minorHAnsi"/>
            <w:sz w:val="24"/>
            <w:szCs w:val="24"/>
          </w:rPr>
          <w:t>Bianca Williams: Two Met officers sacked over athlete search gross misconduct - BBC News</w:t>
        </w:r>
      </w:hyperlink>
    </w:p>
    <w:p w14:paraId="772DD529" w14:textId="77777777" w:rsidR="00F324DA" w:rsidRPr="00ED73B8" w:rsidRDefault="00F324DA" w:rsidP="00093FBD">
      <w:pPr>
        <w:ind w:right="237"/>
        <w:rPr>
          <w:rFonts w:cstheme="minorHAnsi"/>
          <w:i/>
          <w:iCs/>
          <w:sz w:val="24"/>
          <w:szCs w:val="24"/>
        </w:rPr>
      </w:pPr>
    </w:p>
    <w:p w14:paraId="4D31158F" w14:textId="4183DC0F" w:rsidR="00093FBD" w:rsidRPr="00ED73B8" w:rsidRDefault="00093FBD" w:rsidP="00093FBD">
      <w:pPr>
        <w:ind w:right="237"/>
        <w:rPr>
          <w:rFonts w:cstheme="minorHAnsi"/>
          <w:sz w:val="24"/>
          <w:szCs w:val="24"/>
        </w:rPr>
      </w:pPr>
      <w:r w:rsidRPr="00ED73B8">
        <w:rPr>
          <w:rFonts w:cstheme="minorHAnsi"/>
          <w:sz w:val="24"/>
          <w:szCs w:val="24"/>
        </w:rPr>
        <w:t>Blow, M et al (2020) ‘</w:t>
      </w:r>
      <w:r w:rsidRPr="00ED73B8">
        <w:rPr>
          <w:rFonts w:cstheme="minorHAnsi"/>
          <w:i/>
          <w:iCs/>
          <w:sz w:val="24"/>
          <w:szCs w:val="24"/>
        </w:rPr>
        <w:t>Adverse childhood experiences and justice system contact: a systematic review’</w:t>
      </w:r>
      <w:r w:rsidRPr="00ED73B8">
        <w:rPr>
          <w:rFonts w:cstheme="minorHAnsi"/>
          <w:sz w:val="24"/>
          <w:szCs w:val="24"/>
        </w:rPr>
        <w:t xml:space="preserve">.  American Academy of Paediatrics. </w:t>
      </w:r>
      <w:hyperlink r:id="rId9" w:history="1">
        <w:r w:rsidRPr="00ED73B8">
          <w:rPr>
            <w:rStyle w:val="Hyperlink"/>
            <w:rFonts w:cstheme="minorHAnsi"/>
            <w:sz w:val="24"/>
            <w:szCs w:val="24"/>
          </w:rPr>
          <w:t>Adverse Childhood Experiences and Justice System Contact: A Systematic Review - PubMed (nih.gov)</w:t>
        </w:r>
      </w:hyperlink>
    </w:p>
    <w:p w14:paraId="5EA1E746" w14:textId="6DD6CE69" w:rsidR="000A448B" w:rsidRPr="00ED73B8" w:rsidRDefault="000A448B">
      <w:pPr>
        <w:rPr>
          <w:rFonts w:cstheme="minorHAnsi"/>
          <w:sz w:val="24"/>
          <w:szCs w:val="24"/>
        </w:rPr>
      </w:pPr>
    </w:p>
    <w:p w14:paraId="4551CA9D" w14:textId="77777777" w:rsidR="000A448B" w:rsidRPr="00ED73B8" w:rsidRDefault="000A448B" w:rsidP="000A448B">
      <w:pPr>
        <w:rPr>
          <w:rFonts w:cstheme="minorHAnsi"/>
          <w:sz w:val="24"/>
          <w:szCs w:val="24"/>
        </w:rPr>
      </w:pPr>
      <w:r w:rsidRPr="00ED73B8">
        <w:rPr>
          <w:rFonts w:cstheme="minorHAnsi"/>
          <w:sz w:val="24"/>
          <w:szCs w:val="24"/>
        </w:rPr>
        <w:t xml:space="preserve">Braithwaite, J (2014). ‘Evidence for restorative Justice’. </w:t>
      </w:r>
      <w:r w:rsidRPr="00ED73B8">
        <w:rPr>
          <w:rFonts w:cstheme="minorHAnsi"/>
          <w:i/>
          <w:iCs/>
          <w:sz w:val="24"/>
          <w:szCs w:val="24"/>
        </w:rPr>
        <w:t>The Vermont Bar Journal</w:t>
      </w:r>
      <w:r w:rsidRPr="00ED73B8">
        <w:rPr>
          <w:rFonts w:cstheme="minorHAnsi"/>
          <w:sz w:val="24"/>
          <w:szCs w:val="24"/>
        </w:rPr>
        <w:t xml:space="preserve">, pp 18-22 </w:t>
      </w:r>
      <w:hyperlink r:id="rId10" w:history="1">
        <w:r w:rsidRPr="00ED73B8">
          <w:rPr>
            <w:rStyle w:val="Hyperlink"/>
            <w:rFonts w:cstheme="minorHAnsi"/>
            <w:sz w:val="24"/>
            <w:szCs w:val="24"/>
          </w:rPr>
          <w:t>EvidenceForRestorativeJustice.pdf (johnbraithwaite.com)</w:t>
        </w:r>
      </w:hyperlink>
    </w:p>
    <w:p w14:paraId="67F1E101" w14:textId="77777777" w:rsidR="001A7FF4" w:rsidRPr="00ED73B8" w:rsidRDefault="001A7FF4" w:rsidP="00F144D5">
      <w:pPr>
        <w:rPr>
          <w:rFonts w:cstheme="minorHAnsi"/>
          <w:sz w:val="24"/>
          <w:szCs w:val="24"/>
        </w:rPr>
      </w:pPr>
    </w:p>
    <w:p w14:paraId="225B8D81" w14:textId="2901A78B" w:rsidR="00F324DA" w:rsidRPr="00ED73B8" w:rsidRDefault="00F324DA" w:rsidP="00F144D5">
      <w:pPr>
        <w:rPr>
          <w:rFonts w:cstheme="minorHAnsi"/>
          <w:color w:val="000000"/>
          <w:sz w:val="24"/>
          <w:szCs w:val="24"/>
          <w:shd w:val="clear" w:color="auto" w:fill="FFFFFF"/>
        </w:rPr>
      </w:pPr>
      <w:r w:rsidRPr="00ED73B8">
        <w:rPr>
          <w:rFonts w:cstheme="minorHAnsi"/>
          <w:color w:val="000000"/>
          <w:sz w:val="24"/>
          <w:szCs w:val="24"/>
          <w:shd w:val="clear" w:color="auto" w:fill="FFFFFF"/>
        </w:rPr>
        <w:t>Braithwaite, J., (2000). ‘Restorative justice’. in Tonry, M. (ed.). </w:t>
      </w:r>
      <w:r w:rsidRPr="00ED73B8">
        <w:rPr>
          <w:rFonts w:cstheme="minorHAnsi"/>
          <w:i/>
          <w:iCs/>
          <w:color w:val="000000"/>
          <w:sz w:val="24"/>
          <w:szCs w:val="24"/>
        </w:rPr>
        <w:t>The handbook of crime and punishment</w:t>
      </w:r>
      <w:r w:rsidRPr="00ED73B8">
        <w:rPr>
          <w:rFonts w:cstheme="minorHAnsi"/>
          <w:color w:val="000000"/>
          <w:sz w:val="24"/>
          <w:szCs w:val="24"/>
          <w:shd w:val="clear" w:color="auto" w:fill="FFFFFF"/>
        </w:rPr>
        <w:t>. Oxford: Oxford University Press, 2000 pp.323-344</w:t>
      </w:r>
    </w:p>
    <w:p w14:paraId="77DE1FA3" w14:textId="77777777" w:rsidR="00F324DA" w:rsidRPr="00ED73B8" w:rsidRDefault="00F324DA" w:rsidP="00F144D5">
      <w:pPr>
        <w:rPr>
          <w:rFonts w:cstheme="minorHAnsi"/>
          <w:sz w:val="24"/>
          <w:szCs w:val="24"/>
        </w:rPr>
      </w:pPr>
    </w:p>
    <w:p w14:paraId="1BB92A8A" w14:textId="478D6072" w:rsidR="007A7D22" w:rsidRPr="00ED73B8" w:rsidRDefault="007A7D22" w:rsidP="00F144D5">
      <w:pPr>
        <w:rPr>
          <w:rFonts w:cstheme="minorHAnsi"/>
          <w:sz w:val="24"/>
          <w:szCs w:val="24"/>
        </w:rPr>
      </w:pPr>
      <w:r w:rsidRPr="00ED73B8">
        <w:rPr>
          <w:rFonts w:cstheme="minorHAnsi"/>
          <w:sz w:val="24"/>
          <w:szCs w:val="24"/>
        </w:rPr>
        <w:t xml:space="preserve">Brunel, M et al (2021). ‘Perception of Acceptability and Usability of a Modified Cognitive Interview in the Evaluation of Police Training in France’. </w:t>
      </w:r>
      <w:r w:rsidRPr="00ED73B8">
        <w:rPr>
          <w:rFonts w:cstheme="minorHAnsi"/>
          <w:i/>
          <w:iCs/>
          <w:sz w:val="24"/>
          <w:szCs w:val="24"/>
        </w:rPr>
        <w:t xml:space="preserve">Journal of Police and Criminal Psychology. </w:t>
      </w:r>
      <w:r w:rsidRPr="00ED73B8">
        <w:rPr>
          <w:rFonts w:cstheme="minorHAnsi"/>
          <w:sz w:val="24"/>
          <w:szCs w:val="24"/>
        </w:rPr>
        <w:t xml:space="preserve">37. Pp. </w:t>
      </w:r>
      <w:r w:rsidR="00F324DA" w:rsidRPr="00ED73B8">
        <w:rPr>
          <w:rFonts w:cstheme="minorHAnsi"/>
          <w:sz w:val="24"/>
          <w:szCs w:val="24"/>
        </w:rPr>
        <w:t xml:space="preserve">38-48. </w:t>
      </w:r>
      <w:hyperlink r:id="rId11" w:history="1">
        <w:r w:rsidR="00F324DA" w:rsidRPr="00ED73B8">
          <w:rPr>
            <w:rStyle w:val="Hyperlink"/>
            <w:rFonts w:cstheme="minorHAnsi"/>
            <w:sz w:val="24"/>
            <w:szCs w:val="24"/>
          </w:rPr>
          <w:t>Perception of Acceptability and Usability of a Modified Cognitive Interview in the Evaluation of Police Training in France | Journal of Police and Criminal Psychology (springer.com)</w:t>
        </w:r>
      </w:hyperlink>
    </w:p>
    <w:p w14:paraId="14C69CFC" w14:textId="77777777" w:rsidR="00F324DA" w:rsidRPr="00ED73B8" w:rsidRDefault="00F324DA" w:rsidP="00F144D5">
      <w:pPr>
        <w:rPr>
          <w:rFonts w:cstheme="minorHAnsi"/>
          <w:sz w:val="24"/>
          <w:szCs w:val="24"/>
        </w:rPr>
      </w:pPr>
    </w:p>
    <w:p w14:paraId="47670C8F" w14:textId="44502AB5" w:rsidR="00ED73B8" w:rsidRPr="00ED73B8" w:rsidRDefault="00ED73B8" w:rsidP="00F144D5">
      <w:pPr>
        <w:rPr>
          <w:rFonts w:cstheme="minorHAnsi"/>
          <w:sz w:val="24"/>
          <w:szCs w:val="24"/>
        </w:rPr>
      </w:pPr>
      <w:r w:rsidRPr="00ED73B8">
        <w:rPr>
          <w:rFonts w:cstheme="minorHAnsi"/>
          <w:sz w:val="24"/>
          <w:szCs w:val="24"/>
        </w:rPr>
        <w:t xml:space="preserve">Casey, L (2023). ‘An independent review into the standards of behaviour and internal culture of the Metropolitan Police Service’. </w:t>
      </w:r>
      <w:hyperlink r:id="rId12" w:history="1">
        <w:r w:rsidRPr="00ED73B8">
          <w:rPr>
            <w:rStyle w:val="Hyperlink"/>
            <w:rFonts w:cstheme="minorHAnsi"/>
            <w:sz w:val="24"/>
            <w:szCs w:val="24"/>
          </w:rPr>
          <w:t>BARONESS CASEY REVIEW Final Report (met.police.uk)</w:t>
        </w:r>
      </w:hyperlink>
    </w:p>
    <w:p w14:paraId="0E10D939" w14:textId="77777777" w:rsidR="00ED73B8" w:rsidRPr="00ED73B8" w:rsidRDefault="00ED73B8" w:rsidP="00F144D5">
      <w:pPr>
        <w:rPr>
          <w:rFonts w:cstheme="minorHAnsi"/>
          <w:sz w:val="24"/>
          <w:szCs w:val="24"/>
        </w:rPr>
      </w:pPr>
    </w:p>
    <w:p w14:paraId="1E10C481" w14:textId="15459F56" w:rsidR="00F324DA" w:rsidRPr="00ED73B8" w:rsidRDefault="00F324DA" w:rsidP="00F144D5">
      <w:pPr>
        <w:rPr>
          <w:rFonts w:cstheme="minorHAnsi"/>
          <w:sz w:val="24"/>
          <w:szCs w:val="24"/>
        </w:rPr>
      </w:pPr>
      <w:r w:rsidRPr="00ED73B8">
        <w:rPr>
          <w:rFonts w:cstheme="minorHAnsi"/>
          <w:sz w:val="24"/>
          <w:szCs w:val="24"/>
        </w:rPr>
        <w:t xml:space="preserve">Caveny, N et al (2019). Police reform, austerity and ‘cop culture’: time to change the record?’. </w:t>
      </w:r>
      <w:r w:rsidRPr="00ED73B8">
        <w:rPr>
          <w:rFonts w:cstheme="minorHAnsi"/>
          <w:i/>
          <w:iCs/>
          <w:sz w:val="24"/>
          <w:szCs w:val="24"/>
        </w:rPr>
        <w:t xml:space="preserve">An International Journal of Research and Policy. </w:t>
      </w:r>
      <w:r w:rsidRPr="00ED73B8">
        <w:rPr>
          <w:rFonts w:cstheme="minorHAnsi"/>
          <w:sz w:val="24"/>
          <w:szCs w:val="24"/>
        </w:rPr>
        <w:t xml:space="preserve">30(10). Pp. 1210-1225. </w:t>
      </w:r>
      <w:hyperlink r:id="rId13" w:history="1">
        <w:r w:rsidRPr="00ED73B8">
          <w:rPr>
            <w:rStyle w:val="Hyperlink"/>
            <w:rFonts w:cstheme="minorHAnsi"/>
            <w:sz w:val="24"/>
            <w:szCs w:val="24"/>
          </w:rPr>
          <w:t xml:space="preserve">Police reform, austerity and ‘cop culture’: time to change the </w:t>
        </w:r>
        <w:proofErr w:type="gramStart"/>
        <w:r w:rsidRPr="00ED73B8">
          <w:rPr>
            <w:rStyle w:val="Hyperlink"/>
            <w:rFonts w:cstheme="minorHAnsi"/>
            <w:sz w:val="24"/>
            <w:szCs w:val="24"/>
          </w:rPr>
          <w:t>record?:</w:t>
        </w:r>
        <w:proofErr w:type="gramEnd"/>
        <w:r w:rsidRPr="00ED73B8">
          <w:rPr>
            <w:rStyle w:val="Hyperlink"/>
            <w:rFonts w:cstheme="minorHAnsi"/>
            <w:sz w:val="24"/>
            <w:szCs w:val="24"/>
          </w:rPr>
          <w:t xml:space="preserve"> Policing and Society: Vol 30, No 10 (tandfonline.com)</w:t>
        </w:r>
      </w:hyperlink>
    </w:p>
    <w:p w14:paraId="795A89CF" w14:textId="77777777" w:rsidR="00F324DA" w:rsidRPr="00ED73B8" w:rsidRDefault="00F324DA" w:rsidP="00F144D5">
      <w:pPr>
        <w:rPr>
          <w:rFonts w:cstheme="minorHAnsi"/>
          <w:sz w:val="24"/>
          <w:szCs w:val="24"/>
        </w:rPr>
      </w:pPr>
    </w:p>
    <w:p w14:paraId="5548E6EE" w14:textId="77777777" w:rsidR="00093FBD" w:rsidRPr="00ED73B8" w:rsidRDefault="00093FBD" w:rsidP="00093FBD">
      <w:pPr>
        <w:ind w:right="237"/>
        <w:jc w:val="both"/>
        <w:rPr>
          <w:rStyle w:val="Hyperlink"/>
          <w:rFonts w:cstheme="minorHAnsi"/>
          <w:sz w:val="24"/>
          <w:szCs w:val="24"/>
        </w:rPr>
      </w:pPr>
      <w:r w:rsidRPr="00ED73B8">
        <w:rPr>
          <w:rFonts w:cstheme="minorHAnsi"/>
          <w:sz w:val="24"/>
          <w:szCs w:val="24"/>
        </w:rPr>
        <w:lastRenderedPageBreak/>
        <w:t xml:space="preserve">Centres for Disease Control and Prevention (2023). </w:t>
      </w:r>
      <w:r w:rsidRPr="00ED73B8">
        <w:rPr>
          <w:rFonts w:cstheme="minorHAnsi"/>
          <w:i/>
          <w:iCs/>
          <w:sz w:val="24"/>
          <w:szCs w:val="24"/>
        </w:rPr>
        <w:t xml:space="preserve">Adverse Childhood Experiences (ACEs). </w:t>
      </w:r>
      <w:hyperlink r:id="rId14" w:history="1">
        <w:r w:rsidRPr="00ED73B8">
          <w:rPr>
            <w:rStyle w:val="Hyperlink"/>
            <w:rFonts w:cstheme="minorHAnsi"/>
            <w:sz w:val="24"/>
            <w:szCs w:val="24"/>
          </w:rPr>
          <w:t>Adverse Childhood Experiences (ACEs) (cdc.gov)</w:t>
        </w:r>
      </w:hyperlink>
    </w:p>
    <w:p w14:paraId="2FF1409F" w14:textId="77777777" w:rsidR="00093FBD" w:rsidRPr="00ED73B8" w:rsidRDefault="00093FBD" w:rsidP="00F144D5">
      <w:pPr>
        <w:rPr>
          <w:rFonts w:cstheme="minorHAnsi"/>
          <w:sz w:val="24"/>
          <w:szCs w:val="24"/>
        </w:rPr>
      </w:pPr>
    </w:p>
    <w:p w14:paraId="635CA6A0" w14:textId="44CF4549" w:rsidR="00F144D5" w:rsidRPr="00ED73B8" w:rsidRDefault="00F144D5" w:rsidP="00F144D5">
      <w:pPr>
        <w:rPr>
          <w:rFonts w:cstheme="minorHAnsi"/>
          <w:sz w:val="24"/>
          <w:szCs w:val="24"/>
        </w:rPr>
      </w:pPr>
      <w:r w:rsidRPr="00ED73B8">
        <w:rPr>
          <w:rFonts w:cstheme="minorHAnsi"/>
          <w:sz w:val="24"/>
          <w:szCs w:val="24"/>
        </w:rPr>
        <w:t xml:space="preserve">Clark (2024). ‘Number of police officers in the United Kingdom from 2003 to 2023’. </w:t>
      </w:r>
      <w:hyperlink r:id="rId15" w:history="1">
        <w:r w:rsidRPr="00ED73B8">
          <w:rPr>
            <w:rStyle w:val="Hyperlink"/>
            <w:rFonts w:cstheme="minorHAnsi"/>
            <w:sz w:val="24"/>
            <w:szCs w:val="24"/>
          </w:rPr>
          <w:t>UK police officer figures 2023 | Statista</w:t>
        </w:r>
      </w:hyperlink>
    </w:p>
    <w:p w14:paraId="7D946D52" w14:textId="77777777" w:rsidR="00F144D5" w:rsidRPr="00ED73B8" w:rsidRDefault="00F144D5" w:rsidP="00F144D5">
      <w:pPr>
        <w:rPr>
          <w:rFonts w:cstheme="minorHAnsi"/>
          <w:sz w:val="24"/>
          <w:szCs w:val="24"/>
        </w:rPr>
      </w:pPr>
    </w:p>
    <w:p w14:paraId="0D8AF598" w14:textId="77777777" w:rsidR="00294E87" w:rsidRPr="00ED73B8" w:rsidRDefault="00294E87" w:rsidP="00294E87">
      <w:pPr>
        <w:rPr>
          <w:rFonts w:cstheme="minorHAnsi"/>
          <w:sz w:val="24"/>
          <w:szCs w:val="24"/>
        </w:rPr>
      </w:pPr>
      <w:r w:rsidRPr="00ED73B8">
        <w:rPr>
          <w:rFonts w:cstheme="minorHAnsi"/>
          <w:sz w:val="24"/>
          <w:szCs w:val="24"/>
        </w:rPr>
        <w:t xml:space="preserve">Colbran, M (2018). ‘Policing, social media and the new media landscape: can the police and the traditional media ever successfully bypass each other?’. </w:t>
      </w:r>
      <w:r w:rsidRPr="00ED73B8">
        <w:rPr>
          <w:rFonts w:cstheme="minorHAnsi"/>
          <w:i/>
          <w:iCs/>
          <w:sz w:val="24"/>
          <w:szCs w:val="24"/>
        </w:rPr>
        <w:t xml:space="preserve">Policing and Society: An International Journal of Research and Policy, </w:t>
      </w:r>
      <w:r w:rsidRPr="00ED73B8">
        <w:rPr>
          <w:rFonts w:cstheme="minorHAnsi"/>
          <w:sz w:val="24"/>
          <w:szCs w:val="24"/>
        </w:rPr>
        <w:t xml:space="preserve">30, pp, 295-309. </w:t>
      </w:r>
      <w:hyperlink r:id="rId16" w:history="1">
        <w:r w:rsidRPr="00ED73B8">
          <w:rPr>
            <w:rStyle w:val="Hyperlink"/>
            <w:rFonts w:cstheme="minorHAnsi"/>
            <w:sz w:val="24"/>
            <w:szCs w:val="24"/>
          </w:rPr>
          <w:t>Full article: Policing, social media and the new media landscape: can the police and the traditional media ever successfully bypass each other? (uwtsd.ac.uk)</w:t>
        </w:r>
      </w:hyperlink>
    </w:p>
    <w:p w14:paraId="58E87420" w14:textId="77777777" w:rsidR="00294E87" w:rsidRPr="00ED73B8" w:rsidRDefault="00294E87" w:rsidP="00294E87">
      <w:pPr>
        <w:rPr>
          <w:rFonts w:cstheme="minorHAnsi"/>
          <w:sz w:val="24"/>
          <w:szCs w:val="24"/>
        </w:rPr>
      </w:pPr>
    </w:p>
    <w:p w14:paraId="6ED03EB2" w14:textId="227C6153" w:rsidR="00294E87" w:rsidRPr="00ED73B8" w:rsidRDefault="00294E87" w:rsidP="00294E87">
      <w:pPr>
        <w:rPr>
          <w:rFonts w:cstheme="minorHAnsi"/>
          <w:sz w:val="24"/>
          <w:szCs w:val="24"/>
        </w:rPr>
      </w:pPr>
      <w:r w:rsidRPr="00ED73B8">
        <w:rPr>
          <w:rFonts w:cstheme="minorHAnsi"/>
          <w:sz w:val="24"/>
          <w:szCs w:val="24"/>
        </w:rPr>
        <w:t xml:space="preserve">College of Policing. ‘Major investigations and public protection’. </w:t>
      </w:r>
      <w:hyperlink r:id="rId17" w:history="1">
        <w:r w:rsidRPr="00ED73B8">
          <w:rPr>
            <w:rStyle w:val="Hyperlink"/>
            <w:rFonts w:cstheme="minorHAnsi"/>
            <w:sz w:val="24"/>
            <w:szCs w:val="24"/>
          </w:rPr>
          <w:t>Major investigation and public protection | College of Policing</w:t>
        </w:r>
      </w:hyperlink>
    </w:p>
    <w:p w14:paraId="27BCB57B" w14:textId="77777777" w:rsidR="00294E87" w:rsidRPr="00ED73B8" w:rsidRDefault="00294E87" w:rsidP="00F144D5">
      <w:pPr>
        <w:rPr>
          <w:rFonts w:cstheme="minorHAnsi"/>
          <w:sz w:val="24"/>
          <w:szCs w:val="24"/>
        </w:rPr>
      </w:pPr>
    </w:p>
    <w:p w14:paraId="56E5A844" w14:textId="43751431" w:rsidR="00F144D5" w:rsidRPr="00ED73B8" w:rsidRDefault="00F144D5" w:rsidP="00F144D5">
      <w:pPr>
        <w:rPr>
          <w:rFonts w:cstheme="minorHAnsi"/>
          <w:sz w:val="24"/>
          <w:szCs w:val="24"/>
        </w:rPr>
      </w:pPr>
      <w:r w:rsidRPr="00ED73B8">
        <w:rPr>
          <w:rFonts w:cstheme="minorHAnsi"/>
          <w:sz w:val="24"/>
          <w:szCs w:val="24"/>
        </w:rPr>
        <w:t xml:space="preserve">College of Policing (2013). ‘Working with victims and </w:t>
      </w:r>
      <w:proofErr w:type="gramStart"/>
      <w:r w:rsidRPr="00ED73B8">
        <w:rPr>
          <w:rFonts w:cstheme="minorHAnsi"/>
          <w:sz w:val="24"/>
          <w:szCs w:val="24"/>
        </w:rPr>
        <w:t>witnesses’</w:t>
      </w:r>
      <w:proofErr w:type="gramEnd"/>
      <w:r w:rsidRPr="00ED73B8">
        <w:rPr>
          <w:rFonts w:cstheme="minorHAnsi"/>
          <w:sz w:val="24"/>
          <w:szCs w:val="24"/>
        </w:rPr>
        <w:t xml:space="preserve">. </w:t>
      </w:r>
      <w:hyperlink r:id="rId18" w:history="1">
        <w:r w:rsidRPr="00ED73B8">
          <w:rPr>
            <w:rStyle w:val="Hyperlink"/>
            <w:rFonts w:cstheme="minorHAnsi"/>
            <w:sz w:val="24"/>
            <w:szCs w:val="24"/>
          </w:rPr>
          <w:t>Working with victims and witnesses | College of Policing</w:t>
        </w:r>
      </w:hyperlink>
    </w:p>
    <w:p w14:paraId="373ABC75" w14:textId="77777777" w:rsidR="00F144D5" w:rsidRPr="00ED73B8" w:rsidRDefault="00F144D5" w:rsidP="00AE20CE">
      <w:pPr>
        <w:rPr>
          <w:rFonts w:cstheme="minorHAnsi"/>
          <w:sz w:val="24"/>
          <w:szCs w:val="24"/>
        </w:rPr>
      </w:pPr>
    </w:p>
    <w:p w14:paraId="2CF6F65F" w14:textId="77777777" w:rsidR="00AB46EB" w:rsidRPr="00ED73B8" w:rsidRDefault="00AB46EB" w:rsidP="00AB46EB">
      <w:pPr>
        <w:rPr>
          <w:rFonts w:cstheme="minorHAnsi"/>
          <w:sz w:val="24"/>
          <w:szCs w:val="24"/>
        </w:rPr>
      </w:pPr>
      <w:r w:rsidRPr="00ED73B8">
        <w:rPr>
          <w:rFonts w:cstheme="minorHAnsi"/>
          <w:sz w:val="24"/>
          <w:szCs w:val="24"/>
        </w:rPr>
        <w:t xml:space="preserve">College of Policing (2013). ‘Investigative interviewing’. </w:t>
      </w:r>
      <w:hyperlink r:id="rId19" w:history="1">
        <w:r w:rsidRPr="00ED73B8">
          <w:rPr>
            <w:rStyle w:val="Hyperlink"/>
            <w:rFonts w:cstheme="minorHAnsi"/>
            <w:sz w:val="24"/>
            <w:szCs w:val="24"/>
          </w:rPr>
          <w:t>Investigative interviewing | College of Policing</w:t>
        </w:r>
      </w:hyperlink>
    </w:p>
    <w:p w14:paraId="50B4E253" w14:textId="77777777" w:rsidR="00B70D5C" w:rsidRPr="00ED73B8" w:rsidRDefault="00B70D5C" w:rsidP="00B70D5C">
      <w:pPr>
        <w:rPr>
          <w:rFonts w:cstheme="minorHAnsi"/>
          <w:sz w:val="24"/>
          <w:szCs w:val="24"/>
        </w:rPr>
      </w:pPr>
    </w:p>
    <w:p w14:paraId="4BDBD894" w14:textId="77777777" w:rsidR="00294E87" w:rsidRPr="00ED73B8" w:rsidRDefault="00294E87" w:rsidP="00294E87">
      <w:pPr>
        <w:rPr>
          <w:rFonts w:cstheme="minorHAnsi"/>
          <w:sz w:val="24"/>
          <w:szCs w:val="24"/>
        </w:rPr>
      </w:pPr>
      <w:r w:rsidRPr="00ED73B8">
        <w:rPr>
          <w:rFonts w:cstheme="minorHAnsi"/>
          <w:sz w:val="24"/>
          <w:szCs w:val="24"/>
        </w:rPr>
        <w:t xml:space="preserve">College of Policing (2017). ‘Media Relations’. </w:t>
      </w:r>
      <w:hyperlink r:id="rId20" w:history="1">
        <w:r w:rsidRPr="00ED73B8">
          <w:rPr>
            <w:rStyle w:val="Hyperlink"/>
            <w:rFonts w:cstheme="minorHAnsi"/>
            <w:sz w:val="24"/>
            <w:szCs w:val="24"/>
          </w:rPr>
          <w:t>Media relations | College of Policing</w:t>
        </w:r>
      </w:hyperlink>
    </w:p>
    <w:p w14:paraId="5B510A4D" w14:textId="77777777" w:rsidR="009700D7" w:rsidRPr="00ED73B8" w:rsidRDefault="009700D7" w:rsidP="009700D7">
      <w:pPr>
        <w:rPr>
          <w:rFonts w:cstheme="minorHAnsi"/>
          <w:sz w:val="24"/>
          <w:szCs w:val="24"/>
        </w:rPr>
      </w:pPr>
    </w:p>
    <w:p w14:paraId="3DE7F840" w14:textId="1855DEE5" w:rsidR="007A7D22" w:rsidRPr="00ED73B8" w:rsidRDefault="007A7D22" w:rsidP="009700D7">
      <w:pPr>
        <w:rPr>
          <w:rFonts w:cstheme="minorHAnsi"/>
          <w:sz w:val="24"/>
          <w:szCs w:val="24"/>
        </w:rPr>
      </w:pPr>
      <w:r w:rsidRPr="00ED73B8">
        <w:rPr>
          <w:rFonts w:cstheme="minorHAnsi"/>
          <w:sz w:val="24"/>
          <w:szCs w:val="24"/>
        </w:rPr>
        <w:t xml:space="preserve">College of Policing (2020). ‘Rapport building’. </w:t>
      </w:r>
      <w:hyperlink r:id="rId21" w:history="1">
        <w:r w:rsidRPr="00ED73B8">
          <w:rPr>
            <w:rStyle w:val="Hyperlink"/>
            <w:rFonts w:cstheme="minorHAnsi"/>
            <w:sz w:val="24"/>
            <w:szCs w:val="24"/>
          </w:rPr>
          <w:t>Rapport building | College of Policing</w:t>
        </w:r>
      </w:hyperlink>
    </w:p>
    <w:p w14:paraId="60ABAAA3" w14:textId="77777777" w:rsidR="00F324DA" w:rsidRPr="00ED73B8" w:rsidRDefault="00F324DA" w:rsidP="009700D7">
      <w:pPr>
        <w:rPr>
          <w:rFonts w:cstheme="minorHAnsi"/>
          <w:sz w:val="24"/>
          <w:szCs w:val="24"/>
        </w:rPr>
      </w:pPr>
    </w:p>
    <w:p w14:paraId="1B0872B1" w14:textId="1DF5C739" w:rsidR="00F324DA" w:rsidRPr="00ED73B8" w:rsidRDefault="00F324DA" w:rsidP="009700D7">
      <w:pPr>
        <w:rPr>
          <w:rFonts w:cstheme="minorHAnsi"/>
          <w:sz w:val="24"/>
          <w:szCs w:val="24"/>
        </w:rPr>
      </w:pPr>
      <w:r w:rsidRPr="00ED73B8">
        <w:rPr>
          <w:rFonts w:cstheme="minorHAnsi"/>
          <w:sz w:val="24"/>
          <w:szCs w:val="24"/>
        </w:rPr>
        <w:t xml:space="preserve">College of Policing (2021). ‘The effectiveness of visible police patrol’. </w:t>
      </w:r>
      <w:hyperlink r:id="rId22" w:history="1">
        <w:r w:rsidRPr="00ED73B8">
          <w:rPr>
            <w:rStyle w:val="Hyperlink"/>
            <w:rFonts w:cstheme="minorHAnsi"/>
            <w:sz w:val="24"/>
            <w:szCs w:val="24"/>
          </w:rPr>
          <w:t>The effectiveness of visible police patrol | College of Policing</w:t>
        </w:r>
      </w:hyperlink>
    </w:p>
    <w:p w14:paraId="0FA0D6AF" w14:textId="77777777" w:rsidR="00F324DA" w:rsidRPr="00ED73B8" w:rsidRDefault="00F324DA" w:rsidP="009700D7">
      <w:pPr>
        <w:rPr>
          <w:rFonts w:cstheme="minorHAnsi"/>
          <w:sz w:val="24"/>
          <w:szCs w:val="24"/>
        </w:rPr>
      </w:pPr>
    </w:p>
    <w:p w14:paraId="13EC0982" w14:textId="2CA8BEC7" w:rsidR="009700D7" w:rsidRPr="00ED73B8" w:rsidRDefault="009700D7" w:rsidP="009700D7">
      <w:pPr>
        <w:rPr>
          <w:rFonts w:cstheme="minorHAnsi"/>
          <w:sz w:val="24"/>
          <w:szCs w:val="24"/>
        </w:rPr>
      </w:pPr>
      <w:r w:rsidRPr="00ED73B8">
        <w:rPr>
          <w:rFonts w:cstheme="minorHAnsi"/>
          <w:sz w:val="24"/>
          <w:szCs w:val="24"/>
        </w:rPr>
        <w:t xml:space="preserve">College of Policing (2022). ‘Evidence Briefing’ </w:t>
      </w:r>
      <w:hyperlink r:id="rId23" w:anchor=":~:text=Restorative%20justice%20(RJ)%20can%20be,reduction%20in%20post%2Dtraumatic%20stress." w:history="1">
        <w:r w:rsidRPr="00ED73B8">
          <w:rPr>
            <w:rStyle w:val="Hyperlink"/>
            <w:rFonts w:cstheme="minorHAnsi"/>
            <w:sz w:val="24"/>
            <w:szCs w:val="24"/>
          </w:rPr>
          <w:t>Evidence briefing | College of Policing</w:t>
        </w:r>
      </w:hyperlink>
    </w:p>
    <w:p w14:paraId="07EA8ACF" w14:textId="77777777" w:rsidR="00294E87" w:rsidRPr="00ED73B8" w:rsidRDefault="00294E87" w:rsidP="00B70D5C">
      <w:pPr>
        <w:rPr>
          <w:rFonts w:cstheme="minorHAnsi"/>
          <w:sz w:val="24"/>
          <w:szCs w:val="24"/>
        </w:rPr>
      </w:pPr>
    </w:p>
    <w:p w14:paraId="1B5143CB" w14:textId="17A28429" w:rsidR="00B70D5C" w:rsidRPr="00ED73B8" w:rsidRDefault="00B70D5C" w:rsidP="00B70D5C">
      <w:pPr>
        <w:rPr>
          <w:rFonts w:cstheme="minorHAnsi"/>
          <w:sz w:val="24"/>
          <w:szCs w:val="24"/>
        </w:rPr>
      </w:pPr>
      <w:r w:rsidRPr="00ED73B8">
        <w:rPr>
          <w:rFonts w:cstheme="minorHAnsi"/>
          <w:sz w:val="24"/>
          <w:szCs w:val="24"/>
        </w:rPr>
        <w:t xml:space="preserve">Cooke, L and Sturges, P (2008). ‘Police and media relations in an era of freedom of information’. </w:t>
      </w:r>
      <w:r w:rsidRPr="00ED73B8">
        <w:rPr>
          <w:rFonts w:cstheme="minorHAnsi"/>
          <w:i/>
          <w:iCs/>
          <w:sz w:val="24"/>
          <w:szCs w:val="24"/>
        </w:rPr>
        <w:t xml:space="preserve">Policing and Society: An International Journal of Research and Policy, </w:t>
      </w:r>
      <w:r w:rsidRPr="00ED73B8">
        <w:rPr>
          <w:rFonts w:cstheme="minorHAnsi"/>
          <w:sz w:val="24"/>
          <w:szCs w:val="24"/>
        </w:rPr>
        <w:t xml:space="preserve">pp, 406-424. </w:t>
      </w:r>
      <w:hyperlink r:id="rId24" w:history="1">
        <w:r w:rsidRPr="00ED73B8">
          <w:rPr>
            <w:rStyle w:val="Hyperlink"/>
            <w:rFonts w:cstheme="minorHAnsi"/>
            <w:sz w:val="24"/>
            <w:szCs w:val="24"/>
          </w:rPr>
          <w:t>Police and media relations in an era of freedom of information: Policing and Society: Vol 19, No 4 (tandfonline.com)</w:t>
        </w:r>
      </w:hyperlink>
    </w:p>
    <w:p w14:paraId="453F6AF4" w14:textId="77777777" w:rsidR="00AB46EB" w:rsidRPr="00ED73B8" w:rsidRDefault="00AB46EB" w:rsidP="00AE20CE">
      <w:pPr>
        <w:rPr>
          <w:rFonts w:cstheme="minorHAnsi"/>
          <w:sz w:val="24"/>
          <w:szCs w:val="24"/>
        </w:rPr>
      </w:pPr>
    </w:p>
    <w:p w14:paraId="20E0D2C8" w14:textId="77777777" w:rsidR="00AB46EB" w:rsidRPr="00ED73B8" w:rsidRDefault="00AB46EB" w:rsidP="00AB46EB">
      <w:pPr>
        <w:rPr>
          <w:rFonts w:cstheme="minorHAnsi"/>
          <w:sz w:val="24"/>
          <w:szCs w:val="24"/>
        </w:rPr>
      </w:pPr>
      <w:r w:rsidRPr="00ED73B8">
        <w:rPr>
          <w:rFonts w:cstheme="minorHAnsi"/>
          <w:sz w:val="24"/>
          <w:szCs w:val="24"/>
        </w:rPr>
        <w:t xml:space="preserve">Dodd, D and Bradshaw, J (1980). ‘Leading questions and memory: Pragmatic </w:t>
      </w:r>
      <w:proofErr w:type="gramStart"/>
      <w:r w:rsidRPr="00ED73B8">
        <w:rPr>
          <w:rFonts w:cstheme="minorHAnsi"/>
          <w:sz w:val="24"/>
          <w:szCs w:val="24"/>
        </w:rPr>
        <w:t>constraints’</w:t>
      </w:r>
      <w:proofErr w:type="gramEnd"/>
      <w:r w:rsidRPr="00ED73B8">
        <w:rPr>
          <w:rFonts w:cstheme="minorHAnsi"/>
          <w:sz w:val="24"/>
          <w:szCs w:val="24"/>
        </w:rPr>
        <w:t xml:space="preserve">. </w:t>
      </w:r>
      <w:r w:rsidRPr="00ED73B8">
        <w:rPr>
          <w:rFonts w:cstheme="minorHAnsi"/>
          <w:i/>
          <w:iCs/>
          <w:sz w:val="24"/>
          <w:szCs w:val="24"/>
        </w:rPr>
        <w:t xml:space="preserve">Journal of Verbal Learning and Verbal Behaviour, </w:t>
      </w:r>
      <w:r w:rsidRPr="00ED73B8">
        <w:rPr>
          <w:rFonts w:cstheme="minorHAnsi"/>
          <w:sz w:val="24"/>
          <w:szCs w:val="24"/>
        </w:rPr>
        <w:t xml:space="preserve">19(6), pp, 695-704. </w:t>
      </w:r>
      <w:hyperlink r:id="rId25" w:history="1">
        <w:r w:rsidRPr="00ED73B8">
          <w:rPr>
            <w:rStyle w:val="Hyperlink"/>
            <w:rFonts w:cstheme="minorHAnsi"/>
            <w:sz w:val="24"/>
            <w:szCs w:val="24"/>
          </w:rPr>
          <w:t>Leading questions and memory: Pragmatic constraints - ScienceDirect</w:t>
        </w:r>
      </w:hyperlink>
    </w:p>
    <w:p w14:paraId="306CC013" w14:textId="77777777" w:rsidR="00294E87" w:rsidRPr="00ED73B8" w:rsidRDefault="00294E87" w:rsidP="00294E87">
      <w:pPr>
        <w:rPr>
          <w:rFonts w:cstheme="minorHAnsi"/>
          <w:sz w:val="24"/>
          <w:szCs w:val="24"/>
        </w:rPr>
      </w:pPr>
    </w:p>
    <w:p w14:paraId="2AED5786" w14:textId="6E438C5D" w:rsidR="00294E87" w:rsidRPr="00ED73B8" w:rsidRDefault="00294E87" w:rsidP="00294E87">
      <w:pPr>
        <w:rPr>
          <w:rFonts w:cstheme="minorHAnsi"/>
          <w:sz w:val="24"/>
          <w:szCs w:val="24"/>
        </w:rPr>
      </w:pPr>
      <w:r w:rsidRPr="00ED73B8">
        <w:rPr>
          <w:rFonts w:cstheme="minorHAnsi"/>
          <w:sz w:val="24"/>
          <w:szCs w:val="24"/>
        </w:rPr>
        <w:t xml:space="preserve">Feist, A (1999). ‘The Effective Use of the Media in Serious Crime Investigations’. </w:t>
      </w:r>
      <w:r w:rsidRPr="00ED73B8">
        <w:rPr>
          <w:rFonts w:cstheme="minorHAnsi"/>
          <w:i/>
          <w:iCs/>
          <w:sz w:val="24"/>
          <w:szCs w:val="24"/>
        </w:rPr>
        <w:t xml:space="preserve">Policing and Reducing Crime Unit Paper 120. </w:t>
      </w:r>
      <w:hyperlink r:id="rId26" w:history="1">
        <w:r w:rsidRPr="00ED73B8">
          <w:rPr>
            <w:rStyle w:val="Hyperlink"/>
            <w:rFonts w:cstheme="minorHAnsi"/>
            <w:sz w:val="24"/>
            <w:szCs w:val="24"/>
          </w:rPr>
          <w:t>3435.pdf (politieacademie.nl)</w:t>
        </w:r>
      </w:hyperlink>
      <w:r w:rsidRPr="00ED73B8">
        <w:rPr>
          <w:rFonts w:cstheme="minorHAnsi"/>
          <w:sz w:val="24"/>
          <w:szCs w:val="24"/>
        </w:rPr>
        <w:t xml:space="preserve"> </w:t>
      </w:r>
    </w:p>
    <w:p w14:paraId="6039B4FA" w14:textId="77777777" w:rsidR="00AB46EB" w:rsidRPr="00ED73B8" w:rsidRDefault="00AB46EB" w:rsidP="00AE20CE">
      <w:pPr>
        <w:rPr>
          <w:rFonts w:cstheme="minorHAnsi"/>
          <w:sz w:val="24"/>
          <w:szCs w:val="24"/>
        </w:rPr>
      </w:pPr>
    </w:p>
    <w:p w14:paraId="4D305086" w14:textId="77777777" w:rsidR="00294E87" w:rsidRPr="00ED73B8" w:rsidRDefault="00294E87" w:rsidP="00294E87">
      <w:pPr>
        <w:rPr>
          <w:rStyle w:val="Hyperlink"/>
          <w:rFonts w:cstheme="minorHAnsi"/>
          <w:sz w:val="24"/>
          <w:szCs w:val="24"/>
        </w:rPr>
      </w:pPr>
      <w:r w:rsidRPr="00ED73B8">
        <w:rPr>
          <w:rFonts w:cstheme="minorHAnsi"/>
          <w:sz w:val="24"/>
          <w:szCs w:val="24"/>
        </w:rPr>
        <w:t xml:space="preserve">Graziano, L (2010). ‘Police Misconduct, Media Coverage, and Public Perceptions of Racial Profiling: An Experiment’. </w:t>
      </w:r>
      <w:r w:rsidRPr="00ED73B8">
        <w:rPr>
          <w:rFonts w:cstheme="minorHAnsi"/>
          <w:i/>
          <w:iCs/>
          <w:sz w:val="24"/>
          <w:szCs w:val="24"/>
        </w:rPr>
        <w:t xml:space="preserve"> Justice Quarterly, </w:t>
      </w:r>
      <w:r w:rsidRPr="00ED73B8">
        <w:rPr>
          <w:rFonts w:cstheme="minorHAnsi"/>
          <w:sz w:val="24"/>
          <w:szCs w:val="24"/>
        </w:rPr>
        <w:t xml:space="preserve">27(1), pp, 52-76. </w:t>
      </w:r>
      <w:hyperlink r:id="rId27" w:history="1">
        <w:r w:rsidRPr="00ED73B8">
          <w:rPr>
            <w:rStyle w:val="Hyperlink"/>
            <w:rFonts w:cstheme="minorHAnsi"/>
            <w:sz w:val="24"/>
            <w:szCs w:val="24"/>
          </w:rPr>
          <w:t>Police Misconduct, Media Coverage, and Public Perceptions of Racial Profiling: An Experiment: Justice Quarterly: Vol 27, No 1 (tandfonline.com)</w:t>
        </w:r>
      </w:hyperlink>
    </w:p>
    <w:p w14:paraId="1F6DAA70" w14:textId="77777777" w:rsidR="00294E87" w:rsidRPr="00ED73B8" w:rsidRDefault="00294E87" w:rsidP="00AE20CE">
      <w:pPr>
        <w:rPr>
          <w:rFonts w:cstheme="minorHAnsi"/>
          <w:sz w:val="24"/>
          <w:szCs w:val="24"/>
        </w:rPr>
      </w:pPr>
    </w:p>
    <w:p w14:paraId="6957209B" w14:textId="27B46440" w:rsidR="00AE20CE" w:rsidRPr="00ED73B8" w:rsidRDefault="00AE20CE" w:rsidP="00AE20CE">
      <w:pPr>
        <w:rPr>
          <w:rFonts w:cstheme="minorHAnsi"/>
          <w:sz w:val="24"/>
          <w:szCs w:val="24"/>
        </w:rPr>
      </w:pPr>
      <w:r w:rsidRPr="00ED73B8">
        <w:rPr>
          <w:rFonts w:cstheme="minorHAnsi"/>
          <w:sz w:val="24"/>
          <w:szCs w:val="24"/>
        </w:rPr>
        <w:t xml:space="preserve">Hanway, P and Hambly, O (2023). ‘Public perceptions of policing: A review of research and literature’. </w:t>
      </w:r>
      <w:r w:rsidR="00F324DA" w:rsidRPr="00ED73B8">
        <w:rPr>
          <w:rFonts w:cstheme="minorHAnsi"/>
          <w:i/>
          <w:iCs/>
          <w:sz w:val="24"/>
          <w:szCs w:val="24"/>
        </w:rPr>
        <w:t xml:space="preserve">Home Office. </w:t>
      </w:r>
      <w:hyperlink w:history="1">
        <w:r w:rsidR="00F324DA" w:rsidRPr="00ED73B8">
          <w:rPr>
            <w:rStyle w:val="Hyperlink"/>
            <w:rFonts w:cstheme="minorHAnsi"/>
            <w:sz w:val="24"/>
            <w:szCs w:val="24"/>
          </w:rPr>
          <w:t>Public perceptions of policing: A review of research and literature - GOV.UK (www.gov.uk)</w:t>
        </w:r>
      </w:hyperlink>
    </w:p>
    <w:p w14:paraId="5475A456" w14:textId="77777777" w:rsidR="00093FBD" w:rsidRPr="00ED73B8" w:rsidRDefault="00093FBD" w:rsidP="00093FBD">
      <w:pPr>
        <w:ind w:right="237"/>
        <w:rPr>
          <w:rFonts w:eastAsia="Arial" w:cstheme="minorHAnsi"/>
          <w:color w:val="000000" w:themeColor="text1"/>
          <w:sz w:val="24"/>
          <w:szCs w:val="24"/>
        </w:rPr>
      </w:pPr>
    </w:p>
    <w:p w14:paraId="647A671C" w14:textId="30414EB8" w:rsidR="00093FBD" w:rsidRPr="00ED73B8" w:rsidRDefault="00093FBD" w:rsidP="00093FBD">
      <w:pPr>
        <w:ind w:right="237"/>
        <w:rPr>
          <w:rFonts w:cstheme="minorHAnsi"/>
          <w:sz w:val="24"/>
          <w:szCs w:val="24"/>
        </w:rPr>
      </w:pPr>
      <w:r w:rsidRPr="00ED73B8">
        <w:rPr>
          <w:rFonts w:eastAsia="Arial" w:cstheme="minorHAnsi"/>
          <w:color w:val="000000" w:themeColor="text1"/>
          <w:sz w:val="24"/>
          <w:szCs w:val="24"/>
        </w:rPr>
        <w:t>Hays-</w:t>
      </w:r>
      <w:proofErr w:type="spellStart"/>
      <w:r w:rsidRPr="00ED73B8">
        <w:rPr>
          <w:rFonts w:eastAsia="Arial" w:cstheme="minorHAnsi"/>
          <w:color w:val="000000" w:themeColor="text1"/>
          <w:sz w:val="24"/>
          <w:szCs w:val="24"/>
        </w:rPr>
        <w:t>Grudo</w:t>
      </w:r>
      <w:proofErr w:type="spellEnd"/>
      <w:r w:rsidRPr="00ED73B8">
        <w:rPr>
          <w:rFonts w:eastAsia="Arial" w:cstheme="minorHAnsi"/>
          <w:color w:val="000000" w:themeColor="text1"/>
          <w:sz w:val="24"/>
          <w:szCs w:val="24"/>
        </w:rPr>
        <w:t>, J. and Morris, A.S. (2020) ‘</w:t>
      </w:r>
      <w:r w:rsidRPr="00ED73B8">
        <w:rPr>
          <w:rFonts w:eastAsia="Arial" w:cstheme="minorHAnsi"/>
          <w:i/>
          <w:iCs/>
          <w:color w:val="000000" w:themeColor="text1"/>
          <w:sz w:val="24"/>
          <w:szCs w:val="24"/>
        </w:rPr>
        <w:t>Adverse and protective childhood experiences: a developmental perspective</w:t>
      </w:r>
      <w:r w:rsidRPr="00ED73B8">
        <w:rPr>
          <w:rFonts w:eastAsia="Arial" w:cstheme="minorHAnsi"/>
          <w:color w:val="000000" w:themeColor="text1"/>
          <w:sz w:val="24"/>
          <w:szCs w:val="24"/>
        </w:rPr>
        <w:t>’. American Psychological Association.</w:t>
      </w:r>
      <w:r w:rsidRPr="00ED73B8">
        <w:rPr>
          <w:rFonts w:cstheme="minorHAnsi"/>
          <w:sz w:val="24"/>
          <w:szCs w:val="24"/>
        </w:rPr>
        <w:t xml:space="preserve"> </w:t>
      </w:r>
      <w:hyperlink r:id="rId28" w:history="1">
        <w:r w:rsidRPr="00ED73B8">
          <w:rPr>
            <w:rStyle w:val="Hyperlink"/>
            <w:rFonts w:cstheme="minorHAnsi"/>
            <w:sz w:val="24"/>
            <w:szCs w:val="24"/>
          </w:rPr>
          <w:t>Adverse and protective childhood experiences: A developmental perspective. (apa.org)</w:t>
        </w:r>
      </w:hyperlink>
    </w:p>
    <w:p w14:paraId="7CF3CFF9" w14:textId="77777777" w:rsidR="00AE20CE" w:rsidRPr="00ED73B8" w:rsidRDefault="00AE20CE" w:rsidP="00AE20CE">
      <w:pPr>
        <w:rPr>
          <w:rFonts w:cstheme="minorHAnsi"/>
          <w:sz w:val="24"/>
          <w:szCs w:val="24"/>
        </w:rPr>
      </w:pPr>
    </w:p>
    <w:p w14:paraId="7837C787" w14:textId="77777777" w:rsidR="00C921B6" w:rsidRPr="00ED73B8" w:rsidRDefault="00C921B6" w:rsidP="00AE20CE">
      <w:pPr>
        <w:rPr>
          <w:rFonts w:cstheme="minorHAnsi"/>
          <w:sz w:val="24"/>
          <w:szCs w:val="24"/>
        </w:rPr>
      </w:pPr>
      <w:r w:rsidRPr="00ED73B8">
        <w:rPr>
          <w:rFonts w:cstheme="minorHAnsi"/>
          <w:sz w:val="24"/>
          <w:szCs w:val="24"/>
        </w:rPr>
        <w:t>Hodgkinson et al (2021). ‘Psychological Resilience Interventions to Reduce Recidivism in Young People: A Systematic Review’</w:t>
      </w:r>
      <w:r w:rsidRPr="00ED73B8">
        <w:rPr>
          <w:rFonts w:cstheme="minorHAnsi"/>
          <w:i/>
          <w:iCs/>
          <w:sz w:val="24"/>
          <w:szCs w:val="24"/>
        </w:rPr>
        <w:t xml:space="preserve">. Adolescent Research Review. </w:t>
      </w:r>
      <w:r w:rsidRPr="00ED73B8">
        <w:rPr>
          <w:rFonts w:cstheme="minorHAnsi"/>
          <w:sz w:val="24"/>
          <w:szCs w:val="24"/>
        </w:rPr>
        <w:t xml:space="preserve">6, pp. 333-357. </w:t>
      </w:r>
      <w:hyperlink r:id="rId29" w:history="1">
        <w:r w:rsidRPr="00ED73B8">
          <w:rPr>
            <w:rStyle w:val="Hyperlink"/>
            <w:rFonts w:cstheme="minorHAnsi"/>
            <w:sz w:val="24"/>
            <w:szCs w:val="24"/>
          </w:rPr>
          <w:t>Psychological Resilience Interventions to Reduce Recidivism in Young People: A Systematic Review | Adolescent Research Review (springer.com)</w:t>
        </w:r>
      </w:hyperlink>
    </w:p>
    <w:p w14:paraId="25B962B8" w14:textId="727E7412" w:rsidR="00B319A2" w:rsidRPr="00ED73B8" w:rsidRDefault="00C921B6" w:rsidP="00AE20CE">
      <w:pPr>
        <w:rPr>
          <w:rFonts w:cstheme="minorHAnsi"/>
          <w:sz w:val="24"/>
          <w:szCs w:val="24"/>
        </w:rPr>
      </w:pPr>
      <w:r w:rsidRPr="00ED73B8">
        <w:rPr>
          <w:rFonts w:cstheme="minorHAnsi"/>
          <w:i/>
          <w:iCs/>
          <w:sz w:val="24"/>
          <w:szCs w:val="24"/>
        </w:rPr>
        <w:t xml:space="preserve"> </w:t>
      </w:r>
    </w:p>
    <w:p w14:paraId="0E230EA9" w14:textId="0257A12D" w:rsidR="00B319A2" w:rsidRPr="00ED73B8" w:rsidRDefault="00B319A2" w:rsidP="00AE20CE">
      <w:pPr>
        <w:rPr>
          <w:rFonts w:cstheme="minorHAnsi"/>
          <w:sz w:val="24"/>
          <w:szCs w:val="24"/>
        </w:rPr>
      </w:pPr>
      <w:r w:rsidRPr="00ED73B8">
        <w:rPr>
          <w:rFonts w:cstheme="minorHAnsi"/>
          <w:sz w:val="24"/>
          <w:szCs w:val="24"/>
        </w:rPr>
        <w:t xml:space="preserve">Home Office (2012). ‘Definition of policing by consent’. </w:t>
      </w:r>
      <w:hyperlink w:history="1">
        <w:r w:rsidRPr="00ED73B8">
          <w:rPr>
            <w:rStyle w:val="Hyperlink"/>
            <w:rFonts w:cstheme="minorHAnsi"/>
            <w:sz w:val="24"/>
            <w:szCs w:val="24"/>
          </w:rPr>
          <w:t>Definition of policing by consent - GOV.UK (www.gov.uk)</w:t>
        </w:r>
      </w:hyperlink>
    </w:p>
    <w:p w14:paraId="7ACF9048" w14:textId="77777777" w:rsidR="00B319A2" w:rsidRPr="00ED73B8" w:rsidRDefault="00B319A2" w:rsidP="00AE20CE">
      <w:pPr>
        <w:rPr>
          <w:rFonts w:cstheme="minorHAnsi"/>
          <w:sz w:val="24"/>
          <w:szCs w:val="24"/>
        </w:rPr>
      </w:pPr>
    </w:p>
    <w:p w14:paraId="72A9FDD8" w14:textId="540CE7BD" w:rsidR="00AE20CE" w:rsidRPr="00ED73B8" w:rsidRDefault="00AE20CE" w:rsidP="00AE20CE">
      <w:pPr>
        <w:rPr>
          <w:rFonts w:cstheme="minorHAnsi"/>
          <w:sz w:val="24"/>
          <w:szCs w:val="24"/>
        </w:rPr>
      </w:pPr>
      <w:r w:rsidRPr="00ED73B8">
        <w:rPr>
          <w:rFonts w:cstheme="minorHAnsi"/>
          <w:sz w:val="24"/>
          <w:szCs w:val="24"/>
        </w:rPr>
        <w:t xml:space="preserve">Home Office (2023). ‘Police powers and procedures: Stop and search and arrests, England and Wales, year ending 31 March 2023’. </w:t>
      </w:r>
      <w:hyperlink w:history="1">
        <w:r w:rsidRPr="00ED73B8">
          <w:rPr>
            <w:rStyle w:val="Hyperlink"/>
            <w:rFonts w:cstheme="minorHAnsi"/>
            <w:sz w:val="24"/>
            <w:szCs w:val="24"/>
          </w:rPr>
          <w:t>Police powers and procedures: Stop and search and arrests, England and Wales, year ending 31 March 2023 - GOV.UK (www.gov.uk)</w:t>
        </w:r>
      </w:hyperlink>
    </w:p>
    <w:p w14:paraId="679B6853" w14:textId="77777777" w:rsidR="00093FBD" w:rsidRPr="00ED73B8" w:rsidRDefault="00093FBD" w:rsidP="00093FBD">
      <w:pPr>
        <w:ind w:right="237"/>
        <w:rPr>
          <w:rFonts w:cstheme="minorHAnsi"/>
          <w:sz w:val="24"/>
          <w:szCs w:val="24"/>
        </w:rPr>
      </w:pPr>
    </w:p>
    <w:p w14:paraId="0411394E" w14:textId="0BBCDDF3" w:rsidR="00093FBD" w:rsidRPr="00ED73B8" w:rsidRDefault="00093FBD" w:rsidP="00093FBD">
      <w:pPr>
        <w:ind w:right="237"/>
        <w:rPr>
          <w:rFonts w:cstheme="minorHAnsi"/>
          <w:sz w:val="24"/>
          <w:szCs w:val="24"/>
        </w:rPr>
      </w:pPr>
      <w:r w:rsidRPr="00ED73B8">
        <w:rPr>
          <w:rFonts w:cstheme="minorHAnsi"/>
          <w:sz w:val="24"/>
          <w:szCs w:val="24"/>
        </w:rPr>
        <w:lastRenderedPageBreak/>
        <w:t>House of Commons (2012). ‘</w:t>
      </w:r>
      <w:r w:rsidRPr="00ED73B8">
        <w:rPr>
          <w:rFonts w:cstheme="minorHAnsi"/>
          <w:i/>
          <w:iCs/>
          <w:sz w:val="24"/>
          <w:szCs w:val="24"/>
        </w:rPr>
        <w:t xml:space="preserve">Reducing Reoffending: The “What Works” Debate’. </w:t>
      </w:r>
      <w:r w:rsidRPr="00ED73B8">
        <w:rPr>
          <w:rFonts w:cstheme="minorHAnsi"/>
          <w:sz w:val="24"/>
          <w:szCs w:val="24"/>
        </w:rPr>
        <w:t xml:space="preserve">House of Commons Research Paper 12/71. </w:t>
      </w:r>
      <w:hyperlink r:id="rId30" w:history="1">
        <w:r w:rsidRPr="00ED73B8">
          <w:rPr>
            <w:rStyle w:val="Hyperlink"/>
            <w:rFonts w:cstheme="minorHAnsi"/>
            <w:sz w:val="24"/>
            <w:szCs w:val="24"/>
          </w:rPr>
          <w:t>Reducing Reoffending: The 'What Works' Debate (ethz.ch)</w:t>
        </w:r>
      </w:hyperlink>
    </w:p>
    <w:p w14:paraId="7AA62EA8" w14:textId="77777777" w:rsidR="001A7FF4" w:rsidRPr="00ED73B8" w:rsidRDefault="001A7FF4" w:rsidP="00AE20CE">
      <w:pPr>
        <w:rPr>
          <w:rFonts w:cstheme="minorHAnsi"/>
          <w:sz w:val="24"/>
          <w:szCs w:val="24"/>
        </w:rPr>
      </w:pPr>
    </w:p>
    <w:p w14:paraId="7D032680" w14:textId="29F94B85" w:rsidR="00F324DA" w:rsidRPr="00ED73B8" w:rsidRDefault="00F324DA" w:rsidP="00AE20CE">
      <w:pPr>
        <w:rPr>
          <w:rFonts w:cstheme="minorHAnsi"/>
          <w:sz w:val="24"/>
          <w:szCs w:val="24"/>
        </w:rPr>
      </w:pPr>
      <w:r w:rsidRPr="00ED73B8">
        <w:rPr>
          <w:rFonts w:cstheme="minorHAnsi"/>
          <w:sz w:val="24"/>
          <w:szCs w:val="24"/>
        </w:rPr>
        <w:t xml:space="preserve">Independent Office for Police Conduct (2021). ‘Public feel confident police respond fairly and proportionately to incidents, but questions remain around use of stop and search’. </w:t>
      </w:r>
      <w:hyperlink r:id="rId31" w:history="1">
        <w:r w:rsidRPr="00ED73B8">
          <w:rPr>
            <w:rStyle w:val="Hyperlink"/>
            <w:rFonts w:cstheme="minorHAnsi"/>
            <w:sz w:val="24"/>
            <w:szCs w:val="24"/>
          </w:rPr>
          <w:t>Public feel confident police respond fairly and proportionately to incidents, but questions remain around use of stop and search | Independent Office for Police Conduct (IOPC)</w:t>
        </w:r>
      </w:hyperlink>
    </w:p>
    <w:p w14:paraId="47DAD151" w14:textId="77777777" w:rsidR="00F324DA" w:rsidRPr="00ED73B8" w:rsidRDefault="00F324DA" w:rsidP="00AE20CE">
      <w:pPr>
        <w:rPr>
          <w:rFonts w:cstheme="minorHAnsi"/>
          <w:sz w:val="24"/>
          <w:szCs w:val="24"/>
        </w:rPr>
      </w:pPr>
    </w:p>
    <w:p w14:paraId="14AB7940" w14:textId="77777777" w:rsidR="00AB46EB" w:rsidRPr="00ED73B8" w:rsidRDefault="00AB46EB" w:rsidP="00AB46EB">
      <w:pPr>
        <w:rPr>
          <w:rFonts w:cstheme="minorHAnsi"/>
          <w:sz w:val="24"/>
          <w:szCs w:val="24"/>
        </w:rPr>
      </w:pPr>
      <w:r w:rsidRPr="00ED73B8">
        <w:rPr>
          <w:rFonts w:cstheme="minorHAnsi"/>
          <w:sz w:val="24"/>
          <w:szCs w:val="24"/>
        </w:rPr>
        <w:t xml:space="preserve">Kebbell, M et al (1999). ‘The cognitive interview: A survey of its forensic effectiveness’. </w:t>
      </w:r>
      <w:r w:rsidRPr="00ED73B8">
        <w:rPr>
          <w:rFonts w:cstheme="minorHAnsi"/>
          <w:i/>
          <w:iCs/>
          <w:sz w:val="24"/>
          <w:szCs w:val="24"/>
        </w:rPr>
        <w:t xml:space="preserve">Psychology, Crime and Law, </w:t>
      </w:r>
      <w:r w:rsidRPr="00ED73B8">
        <w:rPr>
          <w:rFonts w:cstheme="minorHAnsi"/>
          <w:sz w:val="24"/>
          <w:szCs w:val="24"/>
        </w:rPr>
        <w:t xml:space="preserve">5(1-2), Pp, 101-115. </w:t>
      </w:r>
      <w:hyperlink r:id="rId32" w:history="1">
        <w:r w:rsidRPr="00ED73B8">
          <w:rPr>
            <w:rStyle w:val="Hyperlink"/>
            <w:rFonts w:cstheme="minorHAnsi"/>
            <w:sz w:val="24"/>
            <w:szCs w:val="24"/>
          </w:rPr>
          <w:t>The cognitive interview: A survey of its forensic effectiveness: Psychology, Crime &amp; Law: Vol 5, No 1-2 (tandfonline.com)</w:t>
        </w:r>
      </w:hyperlink>
    </w:p>
    <w:p w14:paraId="7EF4E96A" w14:textId="77777777" w:rsidR="00AB46EB" w:rsidRPr="00ED73B8" w:rsidRDefault="00AB46EB" w:rsidP="00AE20CE">
      <w:pPr>
        <w:rPr>
          <w:rFonts w:cstheme="minorHAnsi"/>
          <w:sz w:val="24"/>
          <w:szCs w:val="24"/>
        </w:rPr>
      </w:pPr>
    </w:p>
    <w:p w14:paraId="38CB12E2" w14:textId="77777777" w:rsidR="00093FBD" w:rsidRPr="00ED73B8" w:rsidRDefault="00093FBD" w:rsidP="00093FBD">
      <w:pPr>
        <w:ind w:right="237"/>
        <w:jc w:val="both"/>
        <w:rPr>
          <w:rStyle w:val="Hyperlink"/>
          <w:rFonts w:cstheme="minorHAnsi"/>
          <w:sz w:val="24"/>
          <w:szCs w:val="24"/>
        </w:rPr>
      </w:pPr>
      <w:r w:rsidRPr="00ED73B8">
        <w:rPr>
          <w:rFonts w:cstheme="minorHAnsi"/>
          <w:sz w:val="24"/>
          <w:szCs w:val="24"/>
        </w:rPr>
        <w:t xml:space="preserve">Liverpool CAHMS (2023). </w:t>
      </w:r>
      <w:r w:rsidRPr="00ED73B8">
        <w:rPr>
          <w:rFonts w:cstheme="minorHAnsi"/>
          <w:i/>
          <w:iCs/>
          <w:sz w:val="24"/>
          <w:szCs w:val="24"/>
        </w:rPr>
        <w:t xml:space="preserve">What are Adverse Childhood Experiences ACEs? </w:t>
      </w:r>
      <w:hyperlink r:id="rId33" w:history="1">
        <w:r w:rsidRPr="00ED73B8">
          <w:rPr>
            <w:rStyle w:val="Hyperlink"/>
            <w:rFonts w:cstheme="minorHAnsi"/>
            <w:sz w:val="24"/>
            <w:szCs w:val="24"/>
          </w:rPr>
          <w:t>What are Adverse Childhood Experiences ACEs? - Liverpool CAMHS</w:t>
        </w:r>
      </w:hyperlink>
    </w:p>
    <w:p w14:paraId="1FCA8E8A" w14:textId="77777777" w:rsidR="00093FBD" w:rsidRPr="00ED73B8" w:rsidRDefault="00093FBD" w:rsidP="00AE20CE">
      <w:pPr>
        <w:rPr>
          <w:rFonts w:cstheme="minorHAnsi"/>
          <w:sz w:val="24"/>
          <w:szCs w:val="24"/>
        </w:rPr>
      </w:pPr>
    </w:p>
    <w:p w14:paraId="302944DD" w14:textId="77777777" w:rsidR="00AB46EB" w:rsidRPr="00ED73B8" w:rsidRDefault="00AB46EB" w:rsidP="00AB46EB">
      <w:pPr>
        <w:rPr>
          <w:rFonts w:cstheme="minorHAnsi"/>
          <w:sz w:val="24"/>
          <w:szCs w:val="24"/>
        </w:rPr>
      </w:pPr>
      <w:r w:rsidRPr="00ED73B8">
        <w:rPr>
          <w:rFonts w:cstheme="minorHAnsi"/>
          <w:sz w:val="24"/>
          <w:szCs w:val="24"/>
        </w:rPr>
        <w:t xml:space="preserve">Loftus, E (1975). ‘Leading questions and the eyewitness report’. </w:t>
      </w:r>
      <w:r w:rsidRPr="00ED73B8">
        <w:rPr>
          <w:rFonts w:cstheme="minorHAnsi"/>
          <w:i/>
          <w:iCs/>
          <w:sz w:val="24"/>
          <w:szCs w:val="24"/>
        </w:rPr>
        <w:t xml:space="preserve">Cognitive Psychology, </w:t>
      </w:r>
      <w:r w:rsidRPr="00ED73B8">
        <w:rPr>
          <w:rFonts w:cstheme="minorHAnsi"/>
          <w:sz w:val="24"/>
          <w:szCs w:val="24"/>
        </w:rPr>
        <w:t xml:space="preserve">7(4), pp, 560-572. </w:t>
      </w:r>
      <w:hyperlink r:id="rId34" w:history="1">
        <w:r w:rsidRPr="00ED73B8">
          <w:rPr>
            <w:rStyle w:val="Hyperlink"/>
            <w:rFonts w:cstheme="minorHAnsi"/>
            <w:sz w:val="24"/>
            <w:szCs w:val="24"/>
          </w:rPr>
          <w:t>Leading questions and the eyewitness report - ScienceDirect</w:t>
        </w:r>
      </w:hyperlink>
    </w:p>
    <w:p w14:paraId="010822BC" w14:textId="77777777" w:rsidR="00AB46EB" w:rsidRPr="00ED73B8" w:rsidRDefault="00AB46EB" w:rsidP="00AE20CE">
      <w:pPr>
        <w:rPr>
          <w:rFonts w:cstheme="minorHAnsi"/>
          <w:sz w:val="24"/>
          <w:szCs w:val="24"/>
        </w:rPr>
      </w:pPr>
    </w:p>
    <w:p w14:paraId="71653E5E" w14:textId="77777777" w:rsidR="00294E87" w:rsidRPr="00ED73B8" w:rsidRDefault="00294E87" w:rsidP="00294E87">
      <w:pPr>
        <w:rPr>
          <w:rFonts w:cstheme="minorHAnsi"/>
          <w:sz w:val="24"/>
          <w:szCs w:val="24"/>
        </w:rPr>
      </w:pPr>
      <w:r w:rsidRPr="00ED73B8">
        <w:rPr>
          <w:rFonts w:cstheme="minorHAnsi"/>
          <w:sz w:val="24"/>
          <w:szCs w:val="24"/>
        </w:rPr>
        <w:t xml:space="preserve">Mawby, R (1999). ‘Visibility, transparency and police-media </w:t>
      </w:r>
      <w:proofErr w:type="gramStart"/>
      <w:r w:rsidRPr="00ED73B8">
        <w:rPr>
          <w:rFonts w:cstheme="minorHAnsi"/>
          <w:sz w:val="24"/>
          <w:szCs w:val="24"/>
        </w:rPr>
        <w:t>relations’</w:t>
      </w:r>
      <w:proofErr w:type="gramEnd"/>
      <w:r w:rsidRPr="00ED73B8">
        <w:rPr>
          <w:rFonts w:cstheme="minorHAnsi"/>
          <w:sz w:val="24"/>
          <w:szCs w:val="24"/>
        </w:rPr>
        <w:t xml:space="preserve">. </w:t>
      </w:r>
      <w:r w:rsidRPr="00ED73B8">
        <w:rPr>
          <w:rFonts w:cstheme="minorHAnsi"/>
          <w:i/>
          <w:iCs/>
          <w:sz w:val="24"/>
          <w:szCs w:val="24"/>
        </w:rPr>
        <w:t xml:space="preserve">Policing and Society: An international Journal of Research and Policy, </w:t>
      </w:r>
      <w:r w:rsidRPr="00ED73B8">
        <w:rPr>
          <w:rFonts w:cstheme="minorHAnsi"/>
          <w:sz w:val="24"/>
          <w:szCs w:val="24"/>
        </w:rPr>
        <w:t xml:space="preserve">9(3), pp, 263-286.  </w:t>
      </w:r>
      <w:hyperlink r:id="rId35" w:history="1">
        <w:r w:rsidRPr="00ED73B8">
          <w:rPr>
            <w:rStyle w:val="Hyperlink"/>
            <w:rFonts w:cstheme="minorHAnsi"/>
            <w:sz w:val="24"/>
            <w:szCs w:val="24"/>
          </w:rPr>
          <w:t>Visibility, transparency and police‐media relations (tandfonline.com)</w:t>
        </w:r>
      </w:hyperlink>
    </w:p>
    <w:p w14:paraId="2C987FA2" w14:textId="77777777" w:rsidR="00294E87" w:rsidRPr="00ED73B8" w:rsidRDefault="00294E87" w:rsidP="00AE20CE">
      <w:pPr>
        <w:rPr>
          <w:rFonts w:cstheme="minorHAnsi"/>
          <w:sz w:val="24"/>
          <w:szCs w:val="24"/>
        </w:rPr>
      </w:pPr>
    </w:p>
    <w:p w14:paraId="6F227652" w14:textId="6306AC11" w:rsidR="00C921B6" w:rsidRPr="00ED73B8" w:rsidRDefault="00C921B6" w:rsidP="00AE20CE">
      <w:pPr>
        <w:rPr>
          <w:rFonts w:cstheme="minorHAnsi"/>
          <w:sz w:val="24"/>
          <w:szCs w:val="24"/>
        </w:rPr>
      </w:pPr>
      <w:r w:rsidRPr="00ED73B8">
        <w:rPr>
          <w:rFonts w:cstheme="minorHAnsi"/>
          <w:sz w:val="24"/>
          <w:szCs w:val="24"/>
        </w:rPr>
        <w:t>Mc</w:t>
      </w:r>
      <w:r w:rsidR="007A7D22" w:rsidRPr="00ED73B8">
        <w:rPr>
          <w:rFonts w:cstheme="minorHAnsi"/>
          <w:sz w:val="24"/>
          <w:szCs w:val="24"/>
        </w:rPr>
        <w:t>N</w:t>
      </w:r>
      <w:r w:rsidRPr="00ED73B8">
        <w:rPr>
          <w:rFonts w:cstheme="minorHAnsi"/>
          <w:sz w:val="24"/>
          <w:szCs w:val="24"/>
        </w:rPr>
        <w:t xml:space="preserve">ally (2015). ‘Youth offending teams: making the difference for children and young people, victims and </w:t>
      </w:r>
      <w:proofErr w:type="gramStart"/>
      <w:r w:rsidRPr="00ED73B8">
        <w:rPr>
          <w:rFonts w:cstheme="minorHAnsi"/>
          <w:sz w:val="24"/>
          <w:szCs w:val="24"/>
        </w:rPr>
        <w:t>communities’</w:t>
      </w:r>
      <w:proofErr w:type="gramEnd"/>
      <w:r w:rsidRPr="00ED73B8">
        <w:rPr>
          <w:rFonts w:cstheme="minorHAnsi"/>
          <w:sz w:val="24"/>
          <w:szCs w:val="24"/>
        </w:rPr>
        <w:t xml:space="preserve">. </w:t>
      </w:r>
      <w:r w:rsidRPr="00ED73B8">
        <w:rPr>
          <w:rFonts w:cstheme="minorHAnsi"/>
          <w:i/>
          <w:iCs/>
          <w:sz w:val="24"/>
          <w:szCs w:val="24"/>
        </w:rPr>
        <w:t xml:space="preserve">Youth Justice Board Final Report. </w:t>
      </w:r>
      <w:hyperlink r:id="rId36" w:history="1">
        <w:r w:rsidRPr="00ED73B8">
          <w:rPr>
            <w:rStyle w:val="Hyperlink"/>
            <w:rFonts w:cstheme="minorHAnsi"/>
            <w:sz w:val="24"/>
            <w:szCs w:val="24"/>
          </w:rPr>
          <w:t>Board_Visits_Final_Report.pdf (publishing.service.gov.uk)</w:t>
        </w:r>
      </w:hyperlink>
    </w:p>
    <w:p w14:paraId="29C2F80D" w14:textId="77777777" w:rsidR="00C921B6" w:rsidRPr="00ED73B8" w:rsidRDefault="00C921B6" w:rsidP="00AE20CE">
      <w:pPr>
        <w:rPr>
          <w:rFonts w:cstheme="minorHAnsi"/>
          <w:i/>
          <w:iCs/>
          <w:sz w:val="24"/>
          <w:szCs w:val="24"/>
        </w:rPr>
      </w:pPr>
    </w:p>
    <w:p w14:paraId="304B6184" w14:textId="77777777" w:rsidR="001A7FF4" w:rsidRPr="00ED73B8" w:rsidRDefault="001A7FF4" w:rsidP="001A7FF4">
      <w:pPr>
        <w:rPr>
          <w:rFonts w:cstheme="minorHAnsi"/>
          <w:sz w:val="24"/>
          <w:szCs w:val="24"/>
        </w:rPr>
      </w:pPr>
      <w:r w:rsidRPr="00ED73B8">
        <w:rPr>
          <w:rFonts w:cstheme="minorHAnsi"/>
          <w:sz w:val="24"/>
          <w:szCs w:val="24"/>
        </w:rPr>
        <w:t xml:space="preserve">Melinder, A et al (2021). ‘What Is a Child-Appropriate Interview? Interaction Between Child Witnesses and Police Officers’. </w:t>
      </w:r>
      <w:r w:rsidRPr="00ED73B8">
        <w:rPr>
          <w:rFonts w:cstheme="minorHAnsi"/>
          <w:i/>
          <w:iCs/>
          <w:sz w:val="24"/>
          <w:szCs w:val="24"/>
        </w:rPr>
        <w:t xml:space="preserve">International Journal on Child </w:t>
      </w:r>
      <w:proofErr w:type="spellStart"/>
      <w:r w:rsidRPr="00ED73B8">
        <w:rPr>
          <w:rFonts w:cstheme="minorHAnsi"/>
          <w:i/>
          <w:iCs/>
          <w:sz w:val="24"/>
          <w:szCs w:val="24"/>
        </w:rPr>
        <w:t>Maltreatement</w:t>
      </w:r>
      <w:proofErr w:type="spellEnd"/>
      <w:r w:rsidRPr="00ED73B8">
        <w:rPr>
          <w:rFonts w:cstheme="minorHAnsi"/>
          <w:i/>
          <w:iCs/>
          <w:sz w:val="24"/>
          <w:szCs w:val="24"/>
        </w:rPr>
        <w:t xml:space="preserve">: Research, policy and Practice, </w:t>
      </w:r>
      <w:r w:rsidRPr="00ED73B8">
        <w:rPr>
          <w:rFonts w:cstheme="minorHAnsi"/>
          <w:sz w:val="24"/>
          <w:szCs w:val="24"/>
        </w:rPr>
        <w:t xml:space="preserve">3, pp 69-392. </w:t>
      </w:r>
      <w:hyperlink r:id="rId37" w:history="1">
        <w:r w:rsidRPr="00ED73B8">
          <w:rPr>
            <w:rStyle w:val="Hyperlink"/>
            <w:rFonts w:cstheme="minorHAnsi"/>
            <w:sz w:val="24"/>
            <w:szCs w:val="24"/>
          </w:rPr>
          <w:t>What Is a Child-Appropriate Interview? Interaction Between Child Witnesses and Police Officers | International Journal on Child Maltreatment: Research, Policy and Practice (springer.com)</w:t>
        </w:r>
      </w:hyperlink>
    </w:p>
    <w:p w14:paraId="4D253890" w14:textId="77777777" w:rsidR="009700D7" w:rsidRPr="00ED73B8" w:rsidRDefault="009700D7" w:rsidP="009700D7">
      <w:pPr>
        <w:rPr>
          <w:rFonts w:cstheme="minorHAnsi"/>
          <w:sz w:val="24"/>
          <w:szCs w:val="24"/>
        </w:rPr>
      </w:pPr>
    </w:p>
    <w:p w14:paraId="0247C5FF" w14:textId="16837B7D" w:rsidR="009700D7" w:rsidRPr="00ED73B8" w:rsidRDefault="009700D7" w:rsidP="009700D7">
      <w:pPr>
        <w:rPr>
          <w:rFonts w:cstheme="minorHAnsi"/>
          <w:sz w:val="24"/>
          <w:szCs w:val="24"/>
        </w:rPr>
      </w:pPr>
      <w:r w:rsidRPr="00ED73B8">
        <w:rPr>
          <w:rFonts w:cstheme="minorHAnsi"/>
          <w:sz w:val="24"/>
          <w:szCs w:val="24"/>
        </w:rPr>
        <w:t xml:space="preserve">Menkel-Meadow, C (2007). ‘Restorative Justice: What is it and does it work?’ </w:t>
      </w:r>
      <w:r w:rsidRPr="00ED73B8">
        <w:rPr>
          <w:rFonts w:cstheme="minorHAnsi"/>
          <w:i/>
          <w:iCs/>
          <w:sz w:val="24"/>
          <w:szCs w:val="24"/>
        </w:rPr>
        <w:t xml:space="preserve">Annual Review of Law and Social Science. </w:t>
      </w:r>
      <w:r w:rsidRPr="00ED73B8">
        <w:rPr>
          <w:rFonts w:cstheme="minorHAnsi"/>
          <w:sz w:val="24"/>
          <w:szCs w:val="24"/>
        </w:rPr>
        <w:t xml:space="preserve">3, pp 161-187.  </w:t>
      </w:r>
      <w:hyperlink r:id="rId38" w:history="1">
        <w:r w:rsidRPr="00ED73B8">
          <w:rPr>
            <w:rStyle w:val="Hyperlink"/>
            <w:rFonts w:cstheme="minorHAnsi"/>
            <w:sz w:val="24"/>
            <w:szCs w:val="24"/>
          </w:rPr>
          <w:t>Restorative Justice: What Is It and Does It Work? | Annual Review of Law and Social Science (annualreviews.org)</w:t>
        </w:r>
      </w:hyperlink>
    </w:p>
    <w:p w14:paraId="011FD712" w14:textId="5F854808" w:rsidR="001A7FF4" w:rsidRDefault="00FD6A2B" w:rsidP="001A7FF4">
      <w:r>
        <w:rPr>
          <w:rFonts w:cstheme="minorHAnsi"/>
          <w:sz w:val="24"/>
          <w:szCs w:val="24"/>
        </w:rPr>
        <w:lastRenderedPageBreak/>
        <w:t>Miller, J and D’Souza, A (2016). ‘</w:t>
      </w:r>
      <w:r w:rsidRPr="00FD6A2B">
        <w:rPr>
          <w:rFonts w:cstheme="minorHAnsi"/>
          <w:sz w:val="24"/>
          <w:szCs w:val="24"/>
        </w:rPr>
        <w:t>Indirect Effects of Police Searches on Community Attitudes to the Police: Resentment or Reassurance?</w:t>
      </w:r>
      <w:r>
        <w:rPr>
          <w:rFonts w:cstheme="minorHAnsi"/>
          <w:sz w:val="24"/>
          <w:szCs w:val="24"/>
        </w:rPr>
        <w:t xml:space="preserve">’. </w:t>
      </w:r>
      <w:r>
        <w:rPr>
          <w:rFonts w:cstheme="minorHAnsi"/>
          <w:i/>
          <w:iCs/>
          <w:sz w:val="24"/>
          <w:szCs w:val="24"/>
        </w:rPr>
        <w:t xml:space="preserve">The British Journal of Criminology. </w:t>
      </w:r>
      <w:r>
        <w:rPr>
          <w:rFonts w:cstheme="minorHAnsi"/>
          <w:sz w:val="24"/>
          <w:szCs w:val="24"/>
        </w:rPr>
        <w:t xml:space="preserve">56(30. Pp. 456-478. </w:t>
      </w:r>
      <w:hyperlink r:id="rId39" w:history="1">
        <w:r>
          <w:rPr>
            <w:rStyle w:val="Hyperlink"/>
          </w:rPr>
          <w:t>Indirect Effects of Police Searches on Community Attitudes to the Police: Resentment or Reassurance? | The British Journal of Criminology | Oxford Academic (oup.com)</w:t>
        </w:r>
      </w:hyperlink>
    </w:p>
    <w:p w14:paraId="22A2B785" w14:textId="77777777" w:rsidR="00FD6A2B" w:rsidRPr="00FD6A2B" w:rsidRDefault="00FD6A2B" w:rsidP="001A7FF4">
      <w:pPr>
        <w:rPr>
          <w:rFonts w:cstheme="minorHAnsi"/>
          <w:sz w:val="24"/>
          <w:szCs w:val="24"/>
        </w:rPr>
      </w:pPr>
    </w:p>
    <w:p w14:paraId="1CA208E9" w14:textId="02C07B95" w:rsidR="00C921B6" w:rsidRPr="00ED73B8" w:rsidRDefault="00C921B6" w:rsidP="001A7FF4">
      <w:pPr>
        <w:rPr>
          <w:rFonts w:cstheme="minorHAnsi"/>
          <w:sz w:val="24"/>
          <w:szCs w:val="24"/>
        </w:rPr>
      </w:pPr>
      <w:r w:rsidRPr="00ED73B8">
        <w:rPr>
          <w:rFonts w:cstheme="minorHAnsi"/>
          <w:sz w:val="24"/>
          <w:szCs w:val="24"/>
        </w:rPr>
        <w:t xml:space="preserve">Ministry of Justice (2022). ‘Achieving Best Evidence in Criminal proceedings: Guidance on Interviewing Victims and Witnesses, and Guidance on Using Special Measures’. </w:t>
      </w:r>
      <w:hyperlink r:id="rId40" w:history="1">
        <w:r w:rsidRPr="00ED73B8">
          <w:rPr>
            <w:rStyle w:val="Hyperlink"/>
            <w:rFonts w:cstheme="minorHAnsi"/>
            <w:sz w:val="24"/>
            <w:szCs w:val="24"/>
          </w:rPr>
          <w:t>Achieving Best Evidence in Criminal Proceedings (publishing.service.gov.uk)</w:t>
        </w:r>
      </w:hyperlink>
    </w:p>
    <w:p w14:paraId="3208334C" w14:textId="77777777" w:rsidR="00C921B6" w:rsidRPr="00ED73B8" w:rsidRDefault="00C921B6" w:rsidP="001A7FF4">
      <w:pPr>
        <w:rPr>
          <w:rFonts w:cstheme="minorHAnsi"/>
          <w:sz w:val="24"/>
          <w:szCs w:val="24"/>
        </w:rPr>
      </w:pPr>
    </w:p>
    <w:p w14:paraId="2ADADCCE" w14:textId="27705FB1" w:rsidR="00C921B6" w:rsidRPr="00ED73B8" w:rsidRDefault="00C921B6" w:rsidP="001A7FF4">
      <w:pPr>
        <w:rPr>
          <w:rFonts w:cstheme="minorHAnsi"/>
          <w:sz w:val="24"/>
          <w:szCs w:val="24"/>
        </w:rPr>
      </w:pPr>
      <w:r w:rsidRPr="00ED73B8">
        <w:rPr>
          <w:rFonts w:cstheme="minorHAnsi"/>
          <w:sz w:val="24"/>
          <w:szCs w:val="24"/>
        </w:rPr>
        <w:t xml:space="preserve">Odeyemi, T and </w:t>
      </w:r>
      <w:proofErr w:type="spellStart"/>
      <w:r w:rsidRPr="00ED73B8">
        <w:rPr>
          <w:rFonts w:cstheme="minorHAnsi"/>
          <w:sz w:val="24"/>
          <w:szCs w:val="24"/>
        </w:rPr>
        <w:t>Obiyan</w:t>
      </w:r>
      <w:proofErr w:type="spellEnd"/>
      <w:r w:rsidRPr="00ED73B8">
        <w:rPr>
          <w:rFonts w:cstheme="minorHAnsi"/>
          <w:sz w:val="24"/>
          <w:szCs w:val="24"/>
        </w:rPr>
        <w:t xml:space="preserve">, A (2018). ‘Digital policing technologies and democratic policing: Will the internet, social media and mobile phone enhance police accountability and police–citizen relations in Nigeria?’. </w:t>
      </w:r>
      <w:r w:rsidRPr="00ED73B8">
        <w:rPr>
          <w:rFonts w:cstheme="minorHAnsi"/>
          <w:i/>
          <w:iCs/>
          <w:sz w:val="24"/>
          <w:szCs w:val="24"/>
        </w:rPr>
        <w:t xml:space="preserve">International Journal of Police Science and Management. </w:t>
      </w:r>
      <w:r w:rsidRPr="00ED73B8">
        <w:rPr>
          <w:rFonts w:cstheme="minorHAnsi"/>
          <w:sz w:val="24"/>
          <w:szCs w:val="24"/>
        </w:rPr>
        <w:t xml:space="preserve">20 (2). </w:t>
      </w:r>
      <w:hyperlink r:id="rId41" w:history="1">
        <w:r w:rsidRPr="00ED73B8">
          <w:rPr>
            <w:rStyle w:val="Hyperlink"/>
            <w:rFonts w:cstheme="minorHAnsi"/>
            <w:sz w:val="24"/>
            <w:szCs w:val="24"/>
          </w:rPr>
          <w:t xml:space="preserve">Digital policing technologies and democratic policing: Will the internet, social media and mobile phone enhance police accountability and police–citizen relations in Nigeria? - Temitayo Isaac Odeyemi, A. Sat </w:t>
        </w:r>
        <w:proofErr w:type="spellStart"/>
        <w:r w:rsidRPr="00ED73B8">
          <w:rPr>
            <w:rStyle w:val="Hyperlink"/>
            <w:rFonts w:cstheme="minorHAnsi"/>
            <w:sz w:val="24"/>
            <w:szCs w:val="24"/>
          </w:rPr>
          <w:t>Obiyan</w:t>
        </w:r>
        <w:proofErr w:type="spellEnd"/>
        <w:r w:rsidRPr="00ED73B8">
          <w:rPr>
            <w:rStyle w:val="Hyperlink"/>
            <w:rFonts w:cstheme="minorHAnsi"/>
            <w:sz w:val="24"/>
            <w:szCs w:val="24"/>
          </w:rPr>
          <w:t>, 2018 (sagepub.com)</w:t>
        </w:r>
      </w:hyperlink>
    </w:p>
    <w:p w14:paraId="7DA22A65" w14:textId="77777777" w:rsidR="00ED73B8" w:rsidRPr="00ED73B8" w:rsidRDefault="00ED73B8" w:rsidP="001A7FF4">
      <w:pPr>
        <w:rPr>
          <w:rFonts w:cstheme="minorHAnsi"/>
          <w:sz w:val="24"/>
          <w:szCs w:val="24"/>
        </w:rPr>
      </w:pPr>
    </w:p>
    <w:p w14:paraId="303C282E" w14:textId="376A21DF" w:rsidR="001A7FF4" w:rsidRPr="00ED73B8" w:rsidRDefault="001A7FF4" w:rsidP="001A7FF4">
      <w:pPr>
        <w:rPr>
          <w:rFonts w:cstheme="minorHAnsi"/>
          <w:b/>
          <w:bCs/>
          <w:sz w:val="24"/>
          <w:szCs w:val="24"/>
        </w:rPr>
      </w:pPr>
      <w:r w:rsidRPr="00ED73B8">
        <w:rPr>
          <w:rFonts w:cstheme="minorHAnsi"/>
          <w:sz w:val="24"/>
          <w:szCs w:val="24"/>
        </w:rPr>
        <w:t xml:space="preserve">Padilla, J and Geiselman, R (1988). ‘Cognitive Interviewing with Child Witnesses’. </w:t>
      </w:r>
      <w:r w:rsidRPr="00ED73B8">
        <w:rPr>
          <w:rFonts w:cstheme="minorHAnsi"/>
          <w:i/>
          <w:iCs/>
          <w:sz w:val="24"/>
          <w:szCs w:val="24"/>
        </w:rPr>
        <w:t xml:space="preserve">Journal of Police Science and Administration, </w:t>
      </w:r>
      <w:r w:rsidRPr="00ED73B8">
        <w:rPr>
          <w:rFonts w:cstheme="minorHAnsi"/>
          <w:sz w:val="24"/>
          <w:szCs w:val="24"/>
        </w:rPr>
        <w:t xml:space="preserve">16(4), pp, 236-242. </w:t>
      </w:r>
      <w:hyperlink r:id="rId42" w:history="1">
        <w:r w:rsidRPr="00ED73B8">
          <w:rPr>
            <w:rStyle w:val="Hyperlink"/>
            <w:rFonts w:cstheme="minorHAnsi"/>
            <w:sz w:val="24"/>
            <w:szCs w:val="24"/>
          </w:rPr>
          <w:t xml:space="preserve">Cognitive Interviewing </w:t>
        </w:r>
        <w:proofErr w:type="gramStart"/>
        <w:r w:rsidRPr="00ED73B8">
          <w:rPr>
            <w:rStyle w:val="Hyperlink"/>
            <w:rFonts w:cstheme="minorHAnsi"/>
            <w:sz w:val="24"/>
            <w:szCs w:val="24"/>
          </w:rPr>
          <w:t>With</w:t>
        </w:r>
        <w:proofErr w:type="gramEnd"/>
        <w:r w:rsidRPr="00ED73B8">
          <w:rPr>
            <w:rStyle w:val="Hyperlink"/>
            <w:rFonts w:cstheme="minorHAnsi"/>
            <w:sz w:val="24"/>
            <w:szCs w:val="24"/>
          </w:rPr>
          <w:t xml:space="preserve"> Child Witnesses | Office of Justice Programs (ojp.gov)</w:t>
        </w:r>
      </w:hyperlink>
    </w:p>
    <w:p w14:paraId="11DBEA49" w14:textId="77777777" w:rsidR="009700D7" w:rsidRPr="00ED73B8" w:rsidRDefault="009700D7" w:rsidP="00093FBD">
      <w:pPr>
        <w:ind w:right="237"/>
        <w:jc w:val="both"/>
        <w:rPr>
          <w:rFonts w:cstheme="minorHAnsi"/>
          <w:sz w:val="24"/>
          <w:szCs w:val="24"/>
        </w:rPr>
      </w:pPr>
    </w:p>
    <w:p w14:paraId="6422838D" w14:textId="2A3A3D17" w:rsidR="00C921B6" w:rsidRPr="00ED73B8" w:rsidRDefault="00C921B6" w:rsidP="00093FBD">
      <w:pPr>
        <w:ind w:right="237"/>
        <w:jc w:val="both"/>
        <w:rPr>
          <w:rFonts w:cstheme="minorHAnsi"/>
          <w:sz w:val="24"/>
          <w:szCs w:val="24"/>
        </w:rPr>
      </w:pPr>
      <w:r w:rsidRPr="00ED73B8">
        <w:rPr>
          <w:rFonts w:cstheme="minorHAnsi"/>
          <w:sz w:val="24"/>
          <w:szCs w:val="24"/>
        </w:rPr>
        <w:t xml:space="preserve">Pitts, J (2022). ‘Justice or just us: media portrayals and the context of police violence’. </w:t>
      </w:r>
      <w:r w:rsidRPr="00ED73B8">
        <w:rPr>
          <w:rFonts w:cstheme="minorHAnsi"/>
          <w:i/>
          <w:iCs/>
          <w:sz w:val="24"/>
          <w:szCs w:val="24"/>
        </w:rPr>
        <w:t xml:space="preserve">Justice Policy Journal. </w:t>
      </w:r>
      <w:r w:rsidRPr="00ED73B8">
        <w:rPr>
          <w:rFonts w:cstheme="minorHAnsi"/>
          <w:sz w:val="24"/>
          <w:szCs w:val="24"/>
        </w:rPr>
        <w:t xml:space="preserve">19 (1). </w:t>
      </w:r>
      <w:hyperlink r:id="rId43" w:history="1">
        <w:r w:rsidRPr="00ED73B8">
          <w:rPr>
            <w:rStyle w:val="Hyperlink"/>
            <w:rFonts w:cstheme="minorHAnsi"/>
            <w:sz w:val="24"/>
            <w:szCs w:val="24"/>
          </w:rPr>
          <w:t>Microsoft Word - justice_or_just_us.docx (cjcj.org)</w:t>
        </w:r>
      </w:hyperlink>
    </w:p>
    <w:p w14:paraId="01E5F50D" w14:textId="77777777" w:rsidR="00C921B6" w:rsidRPr="00ED73B8" w:rsidRDefault="00C921B6" w:rsidP="00093FBD">
      <w:pPr>
        <w:ind w:right="237"/>
        <w:jc w:val="both"/>
        <w:rPr>
          <w:rFonts w:cstheme="minorHAnsi"/>
          <w:sz w:val="24"/>
          <w:szCs w:val="24"/>
        </w:rPr>
      </w:pPr>
    </w:p>
    <w:p w14:paraId="5888E25F" w14:textId="4F051AA4" w:rsidR="00093FBD" w:rsidRPr="00ED73B8" w:rsidRDefault="00093FBD" w:rsidP="00093FBD">
      <w:pPr>
        <w:ind w:right="237"/>
        <w:jc w:val="both"/>
        <w:rPr>
          <w:rFonts w:cstheme="minorHAnsi"/>
          <w:sz w:val="24"/>
          <w:szCs w:val="24"/>
        </w:rPr>
      </w:pPr>
      <w:r w:rsidRPr="00ED73B8">
        <w:rPr>
          <w:rFonts w:cstheme="minorHAnsi"/>
          <w:sz w:val="24"/>
          <w:szCs w:val="24"/>
        </w:rPr>
        <w:t xml:space="preserve">Public Health Scotland (2021). </w:t>
      </w:r>
      <w:r w:rsidRPr="00ED73B8">
        <w:rPr>
          <w:rFonts w:cstheme="minorHAnsi"/>
          <w:i/>
          <w:iCs/>
          <w:sz w:val="24"/>
          <w:szCs w:val="24"/>
        </w:rPr>
        <w:t>Adverse Childhood Experiences (ACEs)</w:t>
      </w:r>
      <w:r w:rsidRPr="00ED73B8">
        <w:rPr>
          <w:rFonts w:cstheme="minorHAnsi"/>
          <w:sz w:val="24"/>
          <w:szCs w:val="24"/>
        </w:rPr>
        <w:t>. (</w:t>
      </w:r>
      <w:hyperlink r:id="rId44" w:anchor=":~:text=Adverse%20Childhood%20Experiences%20(ACEs)%20are,%2C%20sexual%20and%2For%20emotional)" w:history="1">
        <w:r w:rsidRPr="00ED73B8">
          <w:rPr>
            <w:rStyle w:val="Hyperlink"/>
            <w:rFonts w:cstheme="minorHAnsi"/>
            <w:sz w:val="24"/>
            <w:szCs w:val="24"/>
          </w:rPr>
          <w:t>Overview of ACEs - Adverse Childhood Experiences (ACEs) - Children - Population groups - Public Health Scotland</w:t>
        </w:r>
      </w:hyperlink>
    </w:p>
    <w:p w14:paraId="1C422327" w14:textId="77777777" w:rsidR="001A7FF4" w:rsidRPr="00ED73B8" w:rsidRDefault="001A7FF4" w:rsidP="00AE20CE">
      <w:pPr>
        <w:rPr>
          <w:rFonts w:cstheme="minorHAnsi"/>
          <w:sz w:val="24"/>
          <w:szCs w:val="24"/>
        </w:rPr>
      </w:pPr>
    </w:p>
    <w:p w14:paraId="15B7A3FF" w14:textId="77777777" w:rsidR="0031110B" w:rsidRPr="00ED73B8" w:rsidRDefault="0031110B" w:rsidP="0031110B">
      <w:pPr>
        <w:rPr>
          <w:rStyle w:val="Hyperlink"/>
          <w:rFonts w:cstheme="minorHAnsi"/>
          <w:color w:val="auto"/>
          <w:sz w:val="24"/>
          <w:szCs w:val="24"/>
          <w:u w:val="none"/>
        </w:rPr>
      </w:pPr>
      <w:r w:rsidRPr="00ED73B8">
        <w:rPr>
          <w:rFonts w:cstheme="minorHAnsi"/>
          <w:sz w:val="24"/>
          <w:szCs w:val="24"/>
        </w:rPr>
        <w:t xml:space="preserve">Saywitz, K et al (1992). </w:t>
      </w:r>
      <w:r w:rsidRPr="00ED73B8">
        <w:rPr>
          <w:rFonts w:cstheme="minorHAnsi"/>
          <w:i/>
          <w:iCs/>
          <w:sz w:val="24"/>
          <w:szCs w:val="24"/>
        </w:rPr>
        <w:t xml:space="preserve">Journal of Applied Psychology, 77(5), pp, 744-756. </w:t>
      </w:r>
      <w:hyperlink r:id="rId45" w:history="1">
        <w:r w:rsidRPr="00ED73B8">
          <w:rPr>
            <w:rStyle w:val="Hyperlink"/>
            <w:rFonts w:cstheme="minorHAnsi"/>
            <w:sz w:val="24"/>
            <w:szCs w:val="24"/>
          </w:rPr>
          <w:t>Effects_of_cognitive_interviewing_and_practice_on_childrens_recall_performance.pdf (calio.org)</w:t>
        </w:r>
      </w:hyperlink>
    </w:p>
    <w:p w14:paraId="4D1E127A" w14:textId="77777777" w:rsidR="0031110B" w:rsidRPr="00ED73B8" w:rsidRDefault="0031110B" w:rsidP="00AE20CE">
      <w:pPr>
        <w:rPr>
          <w:rFonts w:cstheme="minorHAnsi"/>
          <w:sz w:val="24"/>
          <w:szCs w:val="24"/>
        </w:rPr>
      </w:pPr>
    </w:p>
    <w:p w14:paraId="4A62CFD7" w14:textId="77777777" w:rsidR="0031110B" w:rsidRPr="00ED73B8" w:rsidRDefault="0031110B" w:rsidP="0031110B">
      <w:pPr>
        <w:rPr>
          <w:rStyle w:val="Hyperlink"/>
          <w:rFonts w:cstheme="minorHAnsi"/>
          <w:sz w:val="24"/>
          <w:szCs w:val="24"/>
        </w:rPr>
      </w:pPr>
      <w:r w:rsidRPr="00ED73B8">
        <w:rPr>
          <w:rFonts w:cstheme="minorHAnsi"/>
          <w:sz w:val="24"/>
          <w:szCs w:val="24"/>
        </w:rPr>
        <w:t xml:space="preserve">Sharman, S and Powell, M (2011). ‘A Comparison of Adult Witnesses' Suggestibility Across Various Types of Leading Questions’. </w:t>
      </w:r>
      <w:r w:rsidRPr="00ED73B8">
        <w:rPr>
          <w:rFonts w:cstheme="minorHAnsi"/>
          <w:i/>
          <w:iCs/>
          <w:sz w:val="24"/>
          <w:szCs w:val="24"/>
        </w:rPr>
        <w:t>Applied Cognitive Psychology.</w:t>
      </w:r>
      <w:r w:rsidRPr="00ED73B8">
        <w:rPr>
          <w:rFonts w:cstheme="minorHAnsi"/>
          <w:sz w:val="24"/>
          <w:szCs w:val="24"/>
        </w:rPr>
        <w:t xml:space="preserve">  </w:t>
      </w:r>
      <w:hyperlink r:id="rId46" w:history="1">
        <w:r w:rsidRPr="00ED73B8">
          <w:rPr>
            <w:rStyle w:val="Hyperlink"/>
            <w:rFonts w:cstheme="minorHAnsi"/>
            <w:sz w:val="24"/>
            <w:szCs w:val="24"/>
          </w:rPr>
          <w:t>A Comparison of Adult Witnesses' Suggestibility Across Various Types of Leading Questions (wiley.com)</w:t>
        </w:r>
      </w:hyperlink>
    </w:p>
    <w:p w14:paraId="0D106E44" w14:textId="77777777" w:rsidR="0031110B" w:rsidRPr="00ED73B8" w:rsidRDefault="0031110B" w:rsidP="00AE20CE">
      <w:pPr>
        <w:rPr>
          <w:rFonts w:cstheme="minorHAnsi"/>
          <w:sz w:val="24"/>
          <w:szCs w:val="24"/>
        </w:rPr>
      </w:pPr>
    </w:p>
    <w:p w14:paraId="277F5977" w14:textId="179B023C" w:rsidR="007A3C64" w:rsidRPr="00ED73B8" w:rsidRDefault="007A3C64" w:rsidP="00AE20CE">
      <w:pPr>
        <w:rPr>
          <w:rFonts w:cstheme="minorHAnsi"/>
          <w:sz w:val="24"/>
          <w:szCs w:val="24"/>
        </w:rPr>
      </w:pPr>
      <w:r w:rsidRPr="00ED73B8">
        <w:rPr>
          <w:rFonts w:cstheme="minorHAnsi"/>
          <w:sz w:val="24"/>
          <w:szCs w:val="24"/>
        </w:rPr>
        <w:lastRenderedPageBreak/>
        <w:t xml:space="preserve">Sherman, L and Strang, H (2012). ‘Restorative Justice as Evidence-Based Sentencing’. </w:t>
      </w:r>
      <w:r w:rsidRPr="00ED73B8">
        <w:rPr>
          <w:rFonts w:cstheme="minorHAnsi"/>
          <w:i/>
          <w:iCs/>
          <w:sz w:val="24"/>
          <w:szCs w:val="24"/>
        </w:rPr>
        <w:t xml:space="preserve">The Oxford Handbook of Sentencing and Corrections. </w:t>
      </w:r>
      <w:r w:rsidRPr="00ED73B8">
        <w:rPr>
          <w:rFonts w:cstheme="minorHAnsi"/>
          <w:sz w:val="24"/>
          <w:szCs w:val="24"/>
        </w:rPr>
        <w:t xml:space="preserve">Pp 215-244. </w:t>
      </w:r>
      <w:hyperlink r:id="rId47" w:history="1">
        <w:r w:rsidRPr="00ED73B8">
          <w:rPr>
            <w:rStyle w:val="Hyperlink"/>
            <w:rFonts w:cstheme="minorHAnsi"/>
            <w:sz w:val="24"/>
            <w:szCs w:val="24"/>
          </w:rPr>
          <w:t>Restorative Justice as Evidence-Based Sentencing | The Oxford Handbook of Sentencing and Corrections | Oxford Academic (oup.com)</w:t>
        </w:r>
      </w:hyperlink>
    </w:p>
    <w:p w14:paraId="32DBF5D6" w14:textId="77777777" w:rsidR="000A448B" w:rsidRPr="00ED73B8" w:rsidRDefault="000A448B" w:rsidP="000A448B">
      <w:pPr>
        <w:rPr>
          <w:rFonts w:cstheme="minorHAnsi"/>
          <w:sz w:val="24"/>
          <w:szCs w:val="24"/>
        </w:rPr>
      </w:pPr>
    </w:p>
    <w:p w14:paraId="61067F32" w14:textId="514A84F8" w:rsidR="000A448B" w:rsidRPr="00ED73B8" w:rsidRDefault="000A448B" w:rsidP="000A448B">
      <w:pPr>
        <w:rPr>
          <w:rFonts w:cstheme="minorHAnsi"/>
          <w:sz w:val="24"/>
          <w:szCs w:val="24"/>
        </w:rPr>
      </w:pPr>
      <w:r w:rsidRPr="00ED73B8">
        <w:rPr>
          <w:rFonts w:cstheme="minorHAnsi"/>
          <w:sz w:val="24"/>
          <w:szCs w:val="24"/>
        </w:rPr>
        <w:t xml:space="preserve">Sherman, L et al (2015). ‘Are Restorative Justice Conferences Effective in Reducing Repeat Offending? Findings from a Campbell Systematic Review’. </w:t>
      </w:r>
      <w:r w:rsidRPr="00ED73B8">
        <w:rPr>
          <w:rFonts w:cstheme="minorHAnsi"/>
          <w:i/>
          <w:iCs/>
          <w:sz w:val="24"/>
          <w:szCs w:val="24"/>
        </w:rPr>
        <w:t xml:space="preserve">Journal of Quantitative Criminology. </w:t>
      </w:r>
      <w:r w:rsidRPr="00ED73B8">
        <w:rPr>
          <w:rFonts w:cstheme="minorHAnsi"/>
          <w:sz w:val="24"/>
          <w:szCs w:val="24"/>
        </w:rPr>
        <w:t xml:space="preserve">31, pp 1-24. </w:t>
      </w:r>
      <w:hyperlink r:id="rId48" w:history="1">
        <w:r w:rsidRPr="00ED73B8">
          <w:rPr>
            <w:rStyle w:val="Hyperlink"/>
            <w:rFonts w:cstheme="minorHAnsi"/>
            <w:sz w:val="24"/>
            <w:szCs w:val="24"/>
          </w:rPr>
          <w:t>Are Restorative Justice Conferences Effective in Reducing Repeat Offending? Findings from a Campbell Systematic Review | Journal of Quantitative Criminology (springer.com)</w:t>
        </w:r>
      </w:hyperlink>
    </w:p>
    <w:p w14:paraId="2569A031" w14:textId="77777777" w:rsidR="007A3C64" w:rsidRPr="00ED73B8" w:rsidRDefault="007A3C64" w:rsidP="00AE20CE">
      <w:pPr>
        <w:rPr>
          <w:rFonts w:cstheme="minorHAnsi"/>
          <w:sz w:val="24"/>
          <w:szCs w:val="24"/>
        </w:rPr>
      </w:pPr>
    </w:p>
    <w:p w14:paraId="4F9BEBC0" w14:textId="01567428" w:rsidR="00AE20CE" w:rsidRPr="00ED73B8" w:rsidRDefault="00AE20CE" w:rsidP="00AE20CE">
      <w:pPr>
        <w:rPr>
          <w:rStyle w:val="Hyperlink"/>
          <w:rFonts w:cstheme="minorHAnsi"/>
          <w:sz w:val="24"/>
          <w:szCs w:val="24"/>
        </w:rPr>
      </w:pPr>
      <w:r w:rsidRPr="00ED73B8">
        <w:rPr>
          <w:rFonts w:cstheme="minorHAnsi"/>
          <w:sz w:val="24"/>
          <w:szCs w:val="24"/>
        </w:rPr>
        <w:t xml:space="preserve">Simpson, R (2017). ‘The Police Officer Perception Project (POPP): An experimental evaluation of factors that impact perceptions of the police’. </w:t>
      </w:r>
      <w:r w:rsidRPr="00ED73B8">
        <w:rPr>
          <w:rFonts w:cstheme="minorHAnsi"/>
          <w:i/>
          <w:iCs/>
          <w:sz w:val="24"/>
          <w:szCs w:val="24"/>
        </w:rPr>
        <w:t xml:space="preserve">Journal of Experimental Criminology, </w:t>
      </w:r>
      <w:r w:rsidRPr="00ED73B8">
        <w:rPr>
          <w:rFonts w:cstheme="minorHAnsi"/>
          <w:sz w:val="24"/>
          <w:szCs w:val="24"/>
        </w:rPr>
        <w:t xml:space="preserve">13. Pp 393-415. </w:t>
      </w:r>
      <w:hyperlink r:id="rId49" w:history="1">
        <w:r w:rsidRPr="00ED73B8">
          <w:rPr>
            <w:rStyle w:val="Hyperlink"/>
            <w:rFonts w:cstheme="minorHAnsi"/>
            <w:sz w:val="24"/>
            <w:szCs w:val="24"/>
          </w:rPr>
          <w:t>The Police Officer Perception Project (POPP): An experimental evaluation of factors that impact perceptions of the police | Journal of Experimental Criminology (springer.com)</w:t>
        </w:r>
      </w:hyperlink>
    </w:p>
    <w:p w14:paraId="664D671B" w14:textId="77777777" w:rsidR="00F144D5" w:rsidRPr="00ED73B8" w:rsidRDefault="00F144D5" w:rsidP="00F144D5">
      <w:pPr>
        <w:rPr>
          <w:rFonts w:cstheme="minorHAnsi"/>
          <w:sz w:val="24"/>
          <w:szCs w:val="24"/>
        </w:rPr>
      </w:pPr>
    </w:p>
    <w:p w14:paraId="34EC374A" w14:textId="3DE3C6C6" w:rsidR="00F144D5" w:rsidRPr="00ED73B8" w:rsidRDefault="00F144D5" w:rsidP="00F144D5">
      <w:pPr>
        <w:rPr>
          <w:rFonts w:cstheme="minorHAnsi"/>
          <w:sz w:val="24"/>
          <w:szCs w:val="24"/>
        </w:rPr>
      </w:pPr>
      <w:r w:rsidRPr="00ED73B8">
        <w:rPr>
          <w:rFonts w:cstheme="minorHAnsi"/>
          <w:sz w:val="24"/>
          <w:szCs w:val="24"/>
        </w:rPr>
        <w:t xml:space="preserve">Statista (2023). ‘Crime rate per 1,000 population in the United Kingdom from 2002/03 to 2022/23, by jurisdiction’. </w:t>
      </w:r>
      <w:hyperlink r:id="rId50" w:history="1">
        <w:r w:rsidRPr="00ED73B8">
          <w:rPr>
            <w:rStyle w:val="Hyperlink"/>
            <w:rFonts w:cstheme="minorHAnsi"/>
            <w:sz w:val="24"/>
            <w:szCs w:val="24"/>
          </w:rPr>
          <w:t>UK crime rate by country 2023 | Statista</w:t>
        </w:r>
      </w:hyperlink>
    </w:p>
    <w:p w14:paraId="0F4B9101" w14:textId="77777777" w:rsidR="000A448B" w:rsidRPr="00ED73B8" w:rsidRDefault="000A448B" w:rsidP="00AE20CE">
      <w:pPr>
        <w:rPr>
          <w:rFonts w:cstheme="minorHAnsi"/>
          <w:sz w:val="24"/>
          <w:szCs w:val="24"/>
        </w:rPr>
      </w:pPr>
    </w:p>
    <w:p w14:paraId="3FC846F1" w14:textId="205245C6" w:rsidR="00AE20CE" w:rsidRPr="00ED73B8" w:rsidRDefault="007A3C64" w:rsidP="00AE20CE">
      <w:pPr>
        <w:rPr>
          <w:rFonts w:cstheme="minorHAnsi"/>
          <w:sz w:val="24"/>
          <w:szCs w:val="24"/>
        </w:rPr>
      </w:pPr>
      <w:r w:rsidRPr="00ED73B8">
        <w:rPr>
          <w:rFonts w:cstheme="minorHAnsi"/>
          <w:sz w:val="24"/>
          <w:szCs w:val="24"/>
        </w:rPr>
        <w:t xml:space="preserve">Strang, H et al (2013). ‘Restorative Justice Conferencing (RJC) Using Face-to-Face Meetings of Offenders and Victims: Effects on Offender Recidivism and Victim Satisfaction. A Systematic Review’. </w:t>
      </w:r>
      <w:r w:rsidRPr="00ED73B8">
        <w:rPr>
          <w:rFonts w:cstheme="minorHAnsi"/>
          <w:i/>
          <w:iCs/>
          <w:sz w:val="24"/>
          <w:szCs w:val="24"/>
        </w:rPr>
        <w:t xml:space="preserve">Campbell Systematic Reviews. </w:t>
      </w:r>
      <w:r w:rsidRPr="00ED73B8">
        <w:rPr>
          <w:rFonts w:cstheme="minorHAnsi"/>
          <w:sz w:val="24"/>
          <w:szCs w:val="24"/>
        </w:rPr>
        <w:t xml:space="preserve">9(1). Pp, 1-59. </w:t>
      </w:r>
      <w:hyperlink r:id="rId51" w:history="1">
        <w:r w:rsidRPr="00ED73B8">
          <w:rPr>
            <w:rStyle w:val="Hyperlink"/>
            <w:rFonts w:cstheme="minorHAnsi"/>
            <w:sz w:val="24"/>
            <w:szCs w:val="24"/>
          </w:rPr>
          <w:t>Restorative Justice Conferencing (RJC) Using Face‐to‐Face Meetings of Offenders and Victims: Effects on Offender Recidivism and Victim Satisfaction. A Systematic Review - Strang - 2013 - Campbell Systematic Reviews - Wiley Online Library</w:t>
        </w:r>
      </w:hyperlink>
    </w:p>
    <w:p w14:paraId="2BCF891D" w14:textId="77777777" w:rsidR="007A3C64" w:rsidRPr="00ED73B8" w:rsidRDefault="007A3C64" w:rsidP="00AE20CE">
      <w:pPr>
        <w:rPr>
          <w:rFonts w:cstheme="minorHAnsi"/>
          <w:sz w:val="24"/>
          <w:szCs w:val="24"/>
        </w:rPr>
      </w:pPr>
    </w:p>
    <w:p w14:paraId="17D14B6C" w14:textId="4E8AD989" w:rsidR="00AE20CE" w:rsidRPr="00ED73B8" w:rsidRDefault="00AE20CE" w:rsidP="00AE20CE">
      <w:pPr>
        <w:rPr>
          <w:rFonts w:cstheme="minorHAnsi"/>
          <w:sz w:val="24"/>
          <w:szCs w:val="24"/>
        </w:rPr>
      </w:pPr>
      <w:r w:rsidRPr="00ED73B8">
        <w:rPr>
          <w:rFonts w:cstheme="minorHAnsi"/>
          <w:sz w:val="24"/>
          <w:szCs w:val="24"/>
        </w:rPr>
        <w:t xml:space="preserve">Tyler, T (2015) et al. ‘The Consequences of Being an Object of Suspicion: Potential Pitfalls of Proactive Police Contact’. </w:t>
      </w:r>
      <w:r w:rsidRPr="00ED73B8">
        <w:rPr>
          <w:rFonts w:cstheme="minorHAnsi"/>
          <w:i/>
          <w:iCs/>
          <w:sz w:val="24"/>
          <w:szCs w:val="24"/>
        </w:rPr>
        <w:t xml:space="preserve">Journal of Empirical legal Studies, </w:t>
      </w:r>
      <w:r w:rsidRPr="00ED73B8">
        <w:rPr>
          <w:rFonts w:cstheme="minorHAnsi"/>
          <w:sz w:val="24"/>
          <w:szCs w:val="24"/>
        </w:rPr>
        <w:t>12(4). Pp. 602-636.</w:t>
      </w:r>
      <w:r w:rsidRPr="00ED73B8">
        <w:rPr>
          <w:rFonts w:cstheme="minorHAnsi"/>
          <w:i/>
          <w:iCs/>
          <w:sz w:val="24"/>
          <w:szCs w:val="24"/>
        </w:rPr>
        <w:t xml:space="preserve"> </w:t>
      </w:r>
      <w:hyperlink r:id="rId52" w:history="1">
        <w:r w:rsidRPr="00ED73B8">
          <w:rPr>
            <w:rStyle w:val="Hyperlink"/>
            <w:rFonts w:cstheme="minorHAnsi"/>
            <w:sz w:val="24"/>
            <w:szCs w:val="24"/>
          </w:rPr>
          <w:t>The Consequences of Being an Object of Suspicion: Potential Pitfalls of Proactive Police Contact - Tyler - 2015 - Journal of Empirical Legal Studies - Wiley Online Library</w:t>
        </w:r>
      </w:hyperlink>
    </w:p>
    <w:p w14:paraId="075548BF" w14:textId="77777777" w:rsidR="00AE20CE" w:rsidRPr="00ED73B8" w:rsidRDefault="00AE20CE">
      <w:pPr>
        <w:rPr>
          <w:rFonts w:cstheme="minorHAnsi"/>
          <w:sz w:val="24"/>
          <w:szCs w:val="24"/>
        </w:rPr>
      </w:pPr>
    </w:p>
    <w:p w14:paraId="39E3A95B" w14:textId="77777777" w:rsidR="00F144D5" w:rsidRPr="00ED73B8" w:rsidRDefault="00F144D5" w:rsidP="00F144D5">
      <w:pPr>
        <w:rPr>
          <w:rFonts w:cstheme="minorHAnsi"/>
          <w:sz w:val="24"/>
          <w:szCs w:val="24"/>
        </w:rPr>
      </w:pPr>
      <w:r w:rsidRPr="00ED73B8">
        <w:rPr>
          <w:rFonts w:cstheme="minorHAnsi"/>
          <w:sz w:val="24"/>
          <w:szCs w:val="24"/>
        </w:rPr>
        <w:t xml:space="preserve">Victim’s Commissioner (2021). ‘New survey reveals low victim confidence, as Victims’ Commissioner warns victims remain an “afterthought”’. </w:t>
      </w:r>
      <w:hyperlink r:id="rId53" w:history="1">
        <w:r w:rsidRPr="00ED73B8">
          <w:rPr>
            <w:rStyle w:val="Hyperlink"/>
            <w:rFonts w:cstheme="minorHAnsi"/>
            <w:sz w:val="24"/>
            <w:szCs w:val="24"/>
          </w:rPr>
          <w:t>New survey reveals low victim confidence, as Victims’ Commissioner warns victims remain an “afterthought” - Victims Commissioner</w:t>
        </w:r>
      </w:hyperlink>
    </w:p>
    <w:p w14:paraId="10E280F6" w14:textId="77777777" w:rsidR="00F144D5" w:rsidRPr="00ED73B8" w:rsidRDefault="00F144D5">
      <w:pPr>
        <w:rPr>
          <w:rFonts w:cstheme="minorHAnsi"/>
          <w:sz w:val="24"/>
          <w:szCs w:val="24"/>
        </w:rPr>
      </w:pPr>
    </w:p>
    <w:p w14:paraId="0CFFC9EA" w14:textId="457B0BFC" w:rsidR="001A7FF4" w:rsidRPr="00ED73B8" w:rsidRDefault="001A7FF4" w:rsidP="001A7FF4">
      <w:pPr>
        <w:rPr>
          <w:rFonts w:cstheme="minorHAnsi"/>
          <w:sz w:val="24"/>
          <w:szCs w:val="24"/>
        </w:rPr>
      </w:pPr>
      <w:r w:rsidRPr="00ED73B8">
        <w:rPr>
          <w:rFonts w:cstheme="minorHAnsi"/>
          <w:sz w:val="24"/>
          <w:szCs w:val="24"/>
        </w:rPr>
        <w:lastRenderedPageBreak/>
        <w:t xml:space="preserve">Wach, E and </w:t>
      </w:r>
      <w:proofErr w:type="spellStart"/>
      <w:r w:rsidRPr="00ED73B8">
        <w:rPr>
          <w:rFonts w:cstheme="minorHAnsi"/>
          <w:sz w:val="24"/>
          <w:szCs w:val="24"/>
        </w:rPr>
        <w:t>Jaśkiewicz-Obydzińska</w:t>
      </w:r>
      <w:proofErr w:type="spellEnd"/>
      <w:r w:rsidRPr="00ED73B8">
        <w:rPr>
          <w:rFonts w:cstheme="minorHAnsi"/>
          <w:sz w:val="24"/>
          <w:szCs w:val="24"/>
        </w:rPr>
        <w:t xml:space="preserve">, T. ‘The Cognitive Interview of Children’. </w:t>
      </w:r>
      <w:proofErr w:type="spellStart"/>
      <w:r w:rsidRPr="00ED73B8">
        <w:rPr>
          <w:rFonts w:cstheme="minorHAnsi"/>
          <w:i/>
          <w:iCs/>
          <w:sz w:val="24"/>
          <w:szCs w:val="24"/>
        </w:rPr>
        <w:t>Insitutte</w:t>
      </w:r>
      <w:proofErr w:type="spellEnd"/>
      <w:r w:rsidRPr="00ED73B8">
        <w:rPr>
          <w:rFonts w:cstheme="minorHAnsi"/>
          <w:i/>
          <w:iCs/>
          <w:sz w:val="24"/>
          <w:szCs w:val="24"/>
        </w:rPr>
        <w:t xml:space="preserve"> of Forensic Expert Opinions. </w:t>
      </w:r>
      <w:hyperlink r:id="rId54" w:history="1">
        <w:proofErr w:type="spellStart"/>
        <w:r w:rsidRPr="00ED73B8">
          <w:rPr>
            <w:rStyle w:val="Hyperlink"/>
            <w:rFonts w:cstheme="minorHAnsi"/>
            <w:sz w:val="24"/>
            <w:szCs w:val="24"/>
          </w:rPr>
          <w:t>skl_ang.qxd</w:t>
        </w:r>
        <w:proofErr w:type="spellEnd"/>
        <w:r w:rsidRPr="00ED73B8">
          <w:rPr>
            <w:rStyle w:val="Hyperlink"/>
            <w:rFonts w:cstheme="minorHAnsi"/>
            <w:sz w:val="24"/>
            <w:szCs w:val="24"/>
          </w:rPr>
          <w:t xml:space="preserve"> (canee.net)</w:t>
        </w:r>
      </w:hyperlink>
    </w:p>
    <w:p w14:paraId="63E2C080" w14:textId="77777777" w:rsidR="001A7FF4" w:rsidRDefault="001A7FF4">
      <w:pPr>
        <w:rPr>
          <w:rFonts w:cstheme="minorHAnsi"/>
          <w:sz w:val="24"/>
          <w:szCs w:val="24"/>
        </w:rPr>
      </w:pPr>
    </w:p>
    <w:p w14:paraId="29F3877B" w14:textId="15BAC338" w:rsidR="00FD6A2B" w:rsidRDefault="00FD6A2B">
      <w:r>
        <w:rPr>
          <w:rFonts w:cstheme="minorHAnsi"/>
          <w:sz w:val="24"/>
          <w:szCs w:val="24"/>
        </w:rPr>
        <w:t>Wedlock, E and Tapley, J (2016). ‘</w:t>
      </w:r>
      <w:r>
        <w:t xml:space="preserve">WHAT WORKS IN SUPPORTING VICTIMS OF CRIME: A RAPID EVIDENCE ASSESSMENT’. </w:t>
      </w:r>
      <w:r>
        <w:rPr>
          <w:i/>
          <w:iCs/>
        </w:rPr>
        <w:t xml:space="preserve">Victim’s Commissioner Report. </w:t>
      </w:r>
      <w:hyperlink r:id="rId55" w:history="1">
        <w:r>
          <w:rPr>
            <w:rStyle w:val="Hyperlink"/>
          </w:rPr>
          <w:t>What works in supporting victims of crime: A Rapid Evidence Assessment</w:t>
        </w:r>
      </w:hyperlink>
    </w:p>
    <w:p w14:paraId="0166C523" w14:textId="77777777" w:rsidR="00FD6A2B" w:rsidRPr="00FD6A2B" w:rsidRDefault="00FD6A2B">
      <w:pPr>
        <w:rPr>
          <w:rFonts w:cstheme="minorHAnsi"/>
          <w:i/>
          <w:iCs/>
          <w:sz w:val="24"/>
          <w:szCs w:val="24"/>
        </w:rPr>
      </w:pPr>
    </w:p>
    <w:p w14:paraId="5220742E" w14:textId="77777777" w:rsidR="00F144D5" w:rsidRPr="00ED73B8" w:rsidRDefault="00F144D5" w:rsidP="00F144D5">
      <w:pPr>
        <w:rPr>
          <w:rFonts w:cstheme="minorHAnsi"/>
          <w:sz w:val="24"/>
          <w:szCs w:val="24"/>
        </w:rPr>
      </w:pPr>
      <w:r w:rsidRPr="00ED73B8">
        <w:rPr>
          <w:rFonts w:cstheme="minorHAnsi"/>
          <w:sz w:val="24"/>
          <w:szCs w:val="24"/>
        </w:rPr>
        <w:t xml:space="preserve">Wolcott, M and </w:t>
      </w:r>
      <w:proofErr w:type="spellStart"/>
      <w:r w:rsidRPr="00ED73B8">
        <w:rPr>
          <w:rFonts w:cstheme="minorHAnsi"/>
          <w:sz w:val="24"/>
          <w:szCs w:val="24"/>
        </w:rPr>
        <w:t>Lobczowski</w:t>
      </w:r>
      <w:proofErr w:type="spellEnd"/>
      <w:r w:rsidRPr="00ED73B8">
        <w:rPr>
          <w:rFonts w:cstheme="minorHAnsi"/>
          <w:sz w:val="24"/>
          <w:szCs w:val="24"/>
        </w:rPr>
        <w:t xml:space="preserve">, N (2021). ‘Using cognitive interviews and think-aloud protocols to understand thought </w:t>
      </w:r>
      <w:proofErr w:type="gramStart"/>
      <w:r w:rsidRPr="00ED73B8">
        <w:rPr>
          <w:rFonts w:cstheme="minorHAnsi"/>
          <w:sz w:val="24"/>
          <w:szCs w:val="24"/>
        </w:rPr>
        <w:t>processes’</w:t>
      </w:r>
      <w:proofErr w:type="gramEnd"/>
      <w:r w:rsidRPr="00ED73B8">
        <w:rPr>
          <w:rFonts w:cstheme="minorHAnsi"/>
          <w:sz w:val="24"/>
          <w:szCs w:val="24"/>
        </w:rPr>
        <w:t xml:space="preserve">. </w:t>
      </w:r>
      <w:r w:rsidRPr="00ED73B8">
        <w:rPr>
          <w:rFonts w:cstheme="minorHAnsi"/>
          <w:i/>
          <w:iCs/>
          <w:sz w:val="24"/>
          <w:szCs w:val="24"/>
        </w:rPr>
        <w:t xml:space="preserve">Currents in Pharmacy Teaching and Learning, </w:t>
      </w:r>
      <w:r w:rsidRPr="00ED73B8">
        <w:rPr>
          <w:rFonts w:cstheme="minorHAnsi"/>
          <w:sz w:val="24"/>
          <w:szCs w:val="24"/>
        </w:rPr>
        <w:t>13(2). Pp, 181-188</w:t>
      </w:r>
      <w:r w:rsidRPr="00ED73B8">
        <w:rPr>
          <w:rFonts w:cstheme="minorHAnsi"/>
          <w:i/>
          <w:iCs/>
          <w:sz w:val="24"/>
          <w:szCs w:val="24"/>
        </w:rPr>
        <w:t xml:space="preserve"> </w:t>
      </w:r>
      <w:hyperlink r:id="rId56" w:history="1">
        <w:r w:rsidRPr="00ED73B8">
          <w:rPr>
            <w:rStyle w:val="Hyperlink"/>
            <w:rFonts w:cstheme="minorHAnsi"/>
            <w:sz w:val="24"/>
            <w:szCs w:val="24"/>
          </w:rPr>
          <w:t>Using cognitive interviews and think-aloud protocols to understand thought processes - ScienceDirect</w:t>
        </w:r>
      </w:hyperlink>
    </w:p>
    <w:p w14:paraId="439BFC07" w14:textId="77777777" w:rsidR="00F144D5" w:rsidRPr="00ED73B8" w:rsidRDefault="00F144D5">
      <w:pPr>
        <w:rPr>
          <w:rFonts w:cstheme="minorHAnsi"/>
          <w:sz w:val="24"/>
          <w:szCs w:val="24"/>
        </w:rPr>
      </w:pPr>
    </w:p>
    <w:p w14:paraId="12FD7105" w14:textId="77777777" w:rsidR="00F144D5" w:rsidRPr="00ED73B8" w:rsidRDefault="00F144D5" w:rsidP="00F144D5">
      <w:pPr>
        <w:rPr>
          <w:rFonts w:cstheme="minorHAnsi"/>
          <w:sz w:val="24"/>
          <w:szCs w:val="24"/>
        </w:rPr>
      </w:pPr>
      <w:r w:rsidRPr="00ED73B8">
        <w:rPr>
          <w:rFonts w:cstheme="minorHAnsi"/>
          <w:sz w:val="24"/>
          <w:szCs w:val="24"/>
        </w:rPr>
        <w:t xml:space="preserve">Wright, A and Holliday, R (2006). ‘Enhancing the recall of young, young–old and old–old adults with cognitive </w:t>
      </w:r>
      <w:proofErr w:type="gramStart"/>
      <w:r w:rsidRPr="00ED73B8">
        <w:rPr>
          <w:rFonts w:cstheme="minorHAnsi"/>
          <w:sz w:val="24"/>
          <w:szCs w:val="24"/>
        </w:rPr>
        <w:t>interviews’</w:t>
      </w:r>
      <w:proofErr w:type="gramEnd"/>
      <w:r w:rsidRPr="00ED73B8">
        <w:rPr>
          <w:rFonts w:cstheme="minorHAnsi"/>
          <w:sz w:val="24"/>
          <w:szCs w:val="24"/>
        </w:rPr>
        <w:t xml:space="preserve">. </w:t>
      </w:r>
      <w:r w:rsidRPr="00ED73B8">
        <w:rPr>
          <w:rFonts w:cstheme="minorHAnsi"/>
          <w:i/>
          <w:iCs/>
          <w:sz w:val="24"/>
          <w:szCs w:val="24"/>
        </w:rPr>
        <w:t xml:space="preserve">Applied Cognitive Psychology, </w:t>
      </w:r>
      <w:r w:rsidRPr="00ED73B8">
        <w:rPr>
          <w:rFonts w:cstheme="minorHAnsi"/>
          <w:sz w:val="24"/>
          <w:szCs w:val="24"/>
        </w:rPr>
        <w:t>21(1), Pp, 19-43.</w:t>
      </w:r>
      <w:r w:rsidRPr="00ED73B8">
        <w:rPr>
          <w:rFonts w:cstheme="minorHAnsi"/>
          <w:i/>
          <w:iCs/>
          <w:sz w:val="24"/>
          <w:szCs w:val="24"/>
        </w:rPr>
        <w:t xml:space="preserve"> </w:t>
      </w:r>
      <w:hyperlink r:id="rId57" w:history="1">
        <w:r w:rsidRPr="00ED73B8">
          <w:rPr>
            <w:rStyle w:val="Hyperlink"/>
            <w:rFonts w:cstheme="minorHAnsi"/>
            <w:sz w:val="24"/>
            <w:szCs w:val="24"/>
          </w:rPr>
          <w:t>Enhancing the recall of young, young–old and old–old adults with cognitive interviews - Wright - 2007 - Applied Cognitive Psychology - Wiley Online Library</w:t>
        </w:r>
      </w:hyperlink>
    </w:p>
    <w:p w14:paraId="672F0C72" w14:textId="77777777" w:rsidR="00F144D5" w:rsidRPr="00AE20CE" w:rsidRDefault="00F144D5"/>
    <w:sectPr w:rsidR="00F144D5" w:rsidRPr="00AE20CE">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7E2B2" w14:textId="77777777" w:rsidR="006A7B51" w:rsidRDefault="006A7B51" w:rsidP="006A7B51">
      <w:pPr>
        <w:spacing w:after="0" w:line="240" w:lineRule="auto"/>
      </w:pPr>
      <w:r>
        <w:separator/>
      </w:r>
    </w:p>
  </w:endnote>
  <w:endnote w:type="continuationSeparator" w:id="0">
    <w:p w14:paraId="77CAC660" w14:textId="77777777" w:rsidR="006A7B51" w:rsidRDefault="006A7B51" w:rsidP="006A7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1EA4F" w14:textId="77777777" w:rsidR="006A7B51" w:rsidRDefault="006A7B51" w:rsidP="006A7B51">
      <w:pPr>
        <w:spacing w:after="0" w:line="240" w:lineRule="auto"/>
      </w:pPr>
      <w:r>
        <w:separator/>
      </w:r>
    </w:p>
  </w:footnote>
  <w:footnote w:type="continuationSeparator" w:id="0">
    <w:p w14:paraId="73F73169" w14:textId="77777777" w:rsidR="006A7B51" w:rsidRDefault="006A7B51" w:rsidP="006A7B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80352" w14:textId="57F184DE" w:rsidR="006A7B51" w:rsidRDefault="006A7B51">
    <w:pPr>
      <w:pStyle w:val="Header"/>
    </w:pPr>
    <w:r>
      <w:t>2134497</w:t>
    </w:r>
    <w:r>
      <w:tab/>
    </w:r>
    <w:r>
      <w:tab/>
      <w:t>Daniel Davies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3948"/>
    <w:rsid w:val="00071B4B"/>
    <w:rsid w:val="00093FBD"/>
    <w:rsid w:val="00095981"/>
    <w:rsid w:val="000A448B"/>
    <w:rsid w:val="000A5173"/>
    <w:rsid w:val="000B5CA6"/>
    <w:rsid w:val="000B7548"/>
    <w:rsid w:val="00133A09"/>
    <w:rsid w:val="001360C4"/>
    <w:rsid w:val="001637F7"/>
    <w:rsid w:val="00193CBA"/>
    <w:rsid w:val="001A543B"/>
    <w:rsid w:val="001A7FF4"/>
    <w:rsid w:val="001C1D9B"/>
    <w:rsid w:val="001C38A9"/>
    <w:rsid w:val="001D4C0A"/>
    <w:rsid w:val="002743F4"/>
    <w:rsid w:val="00275098"/>
    <w:rsid w:val="0027579A"/>
    <w:rsid w:val="002940FF"/>
    <w:rsid w:val="00294E87"/>
    <w:rsid w:val="002B7481"/>
    <w:rsid w:val="002E4270"/>
    <w:rsid w:val="002F1DA5"/>
    <w:rsid w:val="00303938"/>
    <w:rsid w:val="0031110B"/>
    <w:rsid w:val="00340CAC"/>
    <w:rsid w:val="00355F6B"/>
    <w:rsid w:val="003672CA"/>
    <w:rsid w:val="0038621C"/>
    <w:rsid w:val="00391D8F"/>
    <w:rsid w:val="00396988"/>
    <w:rsid w:val="003A13C6"/>
    <w:rsid w:val="003A15DF"/>
    <w:rsid w:val="003B2083"/>
    <w:rsid w:val="003B798B"/>
    <w:rsid w:val="00401BAE"/>
    <w:rsid w:val="00465DEB"/>
    <w:rsid w:val="00482262"/>
    <w:rsid w:val="00536E1F"/>
    <w:rsid w:val="00560EF6"/>
    <w:rsid w:val="0057603E"/>
    <w:rsid w:val="005A0C4E"/>
    <w:rsid w:val="005D3A79"/>
    <w:rsid w:val="005F44C6"/>
    <w:rsid w:val="0060441E"/>
    <w:rsid w:val="00625601"/>
    <w:rsid w:val="00663BBC"/>
    <w:rsid w:val="0067353B"/>
    <w:rsid w:val="00673F0A"/>
    <w:rsid w:val="00681906"/>
    <w:rsid w:val="006A7B51"/>
    <w:rsid w:val="006D7E3A"/>
    <w:rsid w:val="007145EA"/>
    <w:rsid w:val="00730355"/>
    <w:rsid w:val="00733F89"/>
    <w:rsid w:val="0074170E"/>
    <w:rsid w:val="007420DE"/>
    <w:rsid w:val="007437EF"/>
    <w:rsid w:val="00750CB5"/>
    <w:rsid w:val="0076771D"/>
    <w:rsid w:val="007A3C64"/>
    <w:rsid w:val="007A7D22"/>
    <w:rsid w:val="007B196A"/>
    <w:rsid w:val="007B6895"/>
    <w:rsid w:val="007C0CC7"/>
    <w:rsid w:val="007C49F4"/>
    <w:rsid w:val="007D74C9"/>
    <w:rsid w:val="00812C81"/>
    <w:rsid w:val="00814BF2"/>
    <w:rsid w:val="00816C24"/>
    <w:rsid w:val="00835838"/>
    <w:rsid w:val="008544C1"/>
    <w:rsid w:val="00861547"/>
    <w:rsid w:val="00872539"/>
    <w:rsid w:val="00877D79"/>
    <w:rsid w:val="0089683B"/>
    <w:rsid w:val="00897054"/>
    <w:rsid w:val="008A2A8D"/>
    <w:rsid w:val="008A3F90"/>
    <w:rsid w:val="008C22CD"/>
    <w:rsid w:val="008F16AF"/>
    <w:rsid w:val="00913948"/>
    <w:rsid w:val="00932A8C"/>
    <w:rsid w:val="0094223F"/>
    <w:rsid w:val="0095170B"/>
    <w:rsid w:val="009700D7"/>
    <w:rsid w:val="00974B5C"/>
    <w:rsid w:val="00993947"/>
    <w:rsid w:val="009A30EF"/>
    <w:rsid w:val="009B76F9"/>
    <w:rsid w:val="00A125E0"/>
    <w:rsid w:val="00A1554D"/>
    <w:rsid w:val="00A34766"/>
    <w:rsid w:val="00A6699B"/>
    <w:rsid w:val="00A8359E"/>
    <w:rsid w:val="00A9448F"/>
    <w:rsid w:val="00AB11C1"/>
    <w:rsid w:val="00AB46EB"/>
    <w:rsid w:val="00AC7CB8"/>
    <w:rsid w:val="00AE0B85"/>
    <w:rsid w:val="00AE20CE"/>
    <w:rsid w:val="00B07DBB"/>
    <w:rsid w:val="00B30465"/>
    <w:rsid w:val="00B319A2"/>
    <w:rsid w:val="00B4422C"/>
    <w:rsid w:val="00B60050"/>
    <w:rsid w:val="00B60518"/>
    <w:rsid w:val="00B61392"/>
    <w:rsid w:val="00B70D5C"/>
    <w:rsid w:val="00BA39A5"/>
    <w:rsid w:val="00BC68E4"/>
    <w:rsid w:val="00BF3185"/>
    <w:rsid w:val="00C133CC"/>
    <w:rsid w:val="00C26820"/>
    <w:rsid w:val="00C310A3"/>
    <w:rsid w:val="00C32D8B"/>
    <w:rsid w:val="00C441F2"/>
    <w:rsid w:val="00C47BC5"/>
    <w:rsid w:val="00C52F36"/>
    <w:rsid w:val="00C646B4"/>
    <w:rsid w:val="00C66426"/>
    <w:rsid w:val="00C6741D"/>
    <w:rsid w:val="00C82AF7"/>
    <w:rsid w:val="00C921B6"/>
    <w:rsid w:val="00CA070A"/>
    <w:rsid w:val="00CF4FB2"/>
    <w:rsid w:val="00CF68D8"/>
    <w:rsid w:val="00D445CB"/>
    <w:rsid w:val="00D661B7"/>
    <w:rsid w:val="00D74786"/>
    <w:rsid w:val="00D86A71"/>
    <w:rsid w:val="00DD0A1D"/>
    <w:rsid w:val="00DD63D1"/>
    <w:rsid w:val="00E14570"/>
    <w:rsid w:val="00E239C8"/>
    <w:rsid w:val="00E26197"/>
    <w:rsid w:val="00E26D22"/>
    <w:rsid w:val="00E32118"/>
    <w:rsid w:val="00E45A9F"/>
    <w:rsid w:val="00E73114"/>
    <w:rsid w:val="00E74853"/>
    <w:rsid w:val="00E760A9"/>
    <w:rsid w:val="00E77EDF"/>
    <w:rsid w:val="00E824A6"/>
    <w:rsid w:val="00EB7E58"/>
    <w:rsid w:val="00ED73B8"/>
    <w:rsid w:val="00F144D5"/>
    <w:rsid w:val="00F324DA"/>
    <w:rsid w:val="00F62147"/>
    <w:rsid w:val="00F94961"/>
    <w:rsid w:val="00FD2D65"/>
    <w:rsid w:val="00FD6049"/>
    <w:rsid w:val="00FD6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59F87"/>
  <w15:docId w15:val="{EE3E3FDB-CD1A-4088-B01D-0C9DB2CE1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A125E0"/>
    <w:rPr>
      <w:color w:val="0000FF"/>
      <w:u w:val="single"/>
    </w:rPr>
  </w:style>
  <w:style w:type="character" w:styleId="FollowedHyperlink">
    <w:name w:val="FollowedHyperlink"/>
    <w:basedOn w:val="DefaultParagraphFont"/>
    <w:uiPriority w:val="99"/>
    <w:semiHidden/>
    <w:unhideWhenUsed/>
    <w:rsid w:val="00AE20CE"/>
    <w:rPr>
      <w:color w:val="954F72" w:themeColor="followedHyperlink"/>
      <w:u w:val="single"/>
    </w:rPr>
  </w:style>
  <w:style w:type="character" w:styleId="UnresolvedMention">
    <w:name w:val="Unresolved Mention"/>
    <w:basedOn w:val="DefaultParagraphFont"/>
    <w:uiPriority w:val="99"/>
    <w:semiHidden/>
    <w:unhideWhenUsed/>
    <w:rsid w:val="00AE20CE"/>
    <w:rPr>
      <w:color w:val="605E5C"/>
      <w:shd w:val="clear" w:color="auto" w:fill="E1DFDD"/>
    </w:rPr>
  </w:style>
  <w:style w:type="paragraph" w:customStyle="1" w:styleId="paragraph">
    <w:name w:val="paragraph"/>
    <w:basedOn w:val="Normal"/>
    <w:rsid w:val="00355F6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355F6B"/>
  </w:style>
  <w:style w:type="character" w:customStyle="1" w:styleId="normaltextrun">
    <w:name w:val="normaltextrun"/>
    <w:basedOn w:val="DefaultParagraphFont"/>
    <w:rsid w:val="00355F6B"/>
  </w:style>
  <w:style w:type="paragraph" w:styleId="Header">
    <w:name w:val="header"/>
    <w:basedOn w:val="Normal"/>
    <w:link w:val="HeaderChar"/>
    <w:uiPriority w:val="99"/>
    <w:unhideWhenUsed/>
    <w:rsid w:val="006A7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B51"/>
  </w:style>
  <w:style w:type="paragraph" w:styleId="Footer">
    <w:name w:val="footer"/>
    <w:basedOn w:val="Normal"/>
    <w:link w:val="FooterChar"/>
    <w:uiPriority w:val="99"/>
    <w:unhideWhenUsed/>
    <w:rsid w:val="006A7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B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850507">
      <w:bodyDiv w:val="1"/>
      <w:marLeft w:val="0"/>
      <w:marRight w:val="0"/>
      <w:marTop w:val="0"/>
      <w:marBottom w:val="0"/>
      <w:divBdr>
        <w:top w:val="none" w:sz="0" w:space="0" w:color="auto"/>
        <w:left w:val="none" w:sz="0" w:space="0" w:color="auto"/>
        <w:bottom w:val="none" w:sz="0" w:space="0" w:color="auto"/>
        <w:right w:val="none" w:sz="0" w:space="0" w:color="auto"/>
      </w:divBdr>
    </w:div>
    <w:div w:id="198128092">
      <w:bodyDiv w:val="1"/>
      <w:marLeft w:val="0"/>
      <w:marRight w:val="0"/>
      <w:marTop w:val="0"/>
      <w:marBottom w:val="0"/>
      <w:divBdr>
        <w:top w:val="none" w:sz="0" w:space="0" w:color="auto"/>
        <w:left w:val="none" w:sz="0" w:space="0" w:color="auto"/>
        <w:bottom w:val="none" w:sz="0" w:space="0" w:color="auto"/>
        <w:right w:val="none" w:sz="0" w:space="0" w:color="auto"/>
      </w:divBdr>
      <w:divsChild>
        <w:div w:id="1116675913">
          <w:marLeft w:val="0"/>
          <w:marRight w:val="0"/>
          <w:marTop w:val="0"/>
          <w:marBottom w:val="0"/>
          <w:divBdr>
            <w:top w:val="none" w:sz="0" w:space="0" w:color="auto"/>
            <w:left w:val="none" w:sz="0" w:space="0" w:color="auto"/>
            <w:bottom w:val="none" w:sz="0" w:space="0" w:color="auto"/>
            <w:right w:val="none" w:sz="0" w:space="0" w:color="auto"/>
          </w:divBdr>
        </w:div>
        <w:div w:id="1428425900">
          <w:marLeft w:val="0"/>
          <w:marRight w:val="0"/>
          <w:marTop w:val="0"/>
          <w:marBottom w:val="0"/>
          <w:divBdr>
            <w:top w:val="none" w:sz="0" w:space="0" w:color="auto"/>
            <w:left w:val="none" w:sz="0" w:space="0" w:color="auto"/>
            <w:bottom w:val="none" w:sz="0" w:space="0" w:color="auto"/>
            <w:right w:val="none" w:sz="0" w:space="0" w:color="auto"/>
          </w:divBdr>
        </w:div>
        <w:div w:id="971054872">
          <w:marLeft w:val="0"/>
          <w:marRight w:val="0"/>
          <w:marTop w:val="0"/>
          <w:marBottom w:val="0"/>
          <w:divBdr>
            <w:top w:val="none" w:sz="0" w:space="0" w:color="auto"/>
            <w:left w:val="none" w:sz="0" w:space="0" w:color="auto"/>
            <w:bottom w:val="none" w:sz="0" w:space="0" w:color="auto"/>
            <w:right w:val="none" w:sz="0" w:space="0" w:color="auto"/>
          </w:divBdr>
        </w:div>
        <w:div w:id="2134783580">
          <w:marLeft w:val="0"/>
          <w:marRight w:val="0"/>
          <w:marTop w:val="0"/>
          <w:marBottom w:val="0"/>
          <w:divBdr>
            <w:top w:val="none" w:sz="0" w:space="0" w:color="auto"/>
            <w:left w:val="none" w:sz="0" w:space="0" w:color="auto"/>
            <w:bottom w:val="none" w:sz="0" w:space="0" w:color="auto"/>
            <w:right w:val="none" w:sz="0" w:space="0" w:color="auto"/>
          </w:divBdr>
        </w:div>
        <w:div w:id="2024241546">
          <w:marLeft w:val="0"/>
          <w:marRight w:val="0"/>
          <w:marTop w:val="0"/>
          <w:marBottom w:val="0"/>
          <w:divBdr>
            <w:top w:val="none" w:sz="0" w:space="0" w:color="auto"/>
            <w:left w:val="none" w:sz="0" w:space="0" w:color="auto"/>
            <w:bottom w:val="none" w:sz="0" w:space="0" w:color="auto"/>
            <w:right w:val="none" w:sz="0" w:space="0" w:color="auto"/>
          </w:divBdr>
        </w:div>
        <w:div w:id="1296638271">
          <w:marLeft w:val="0"/>
          <w:marRight w:val="0"/>
          <w:marTop w:val="0"/>
          <w:marBottom w:val="0"/>
          <w:divBdr>
            <w:top w:val="none" w:sz="0" w:space="0" w:color="auto"/>
            <w:left w:val="none" w:sz="0" w:space="0" w:color="auto"/>
            <w:bottom w:val="none" w:sz="0" w:space="0" w:color="auto"/>
            <w:right w:val="none" w:sz="0" w:space="0" w:color="auto"/>
          </w:divBdr>
        </w:div>
        <w:div w:id="2056152000">
          <w:marLeft w:val="0"/>
          <w:marRight w:val="0"/>
          <w:marTop w:val="0"/>
          <w:marBottom w:val="0"/>
          <w:divBdr>
            <w:top w:val="none" w:sz="0" w:space="0" w:color="auto"/>
            <w:left w:val="none" w:sz="0" w:space="0" w:color="auto"/>
            <w:bottom w:val="none" w:sz="0" w:space="0" w:color="auto"/>
            <w:right w:val="none" w:sz="0" w:space="0" w:color="auto"/>
          </w:divBdr>
        </w:div>
        <w:div w:id="1944650037">
          <w:marLeft w:val="0"/>
          <w:marRight w:val="0"/>
          <w:marTop w:val="0"/>
          <w:marBottom w:val="0"/>
          <w:divBdr>
            <w:top w:val="none" w:sz="0" w:space="0" w:color="auto"/>
            <w:left w:val="none" w:sz="0" w:space="0" w:color="auto"/>
            <w:bottom w:val="none" w:sz="0" w:space="0" w:color="auto"/>
            <w:right w:val="none" w:sz="0" w:space="0" w:color="auto"/>
          </w:divBdr>
        </w:div>
        <w:div w:id="1598127516">
          <w:marLeft w:val="0"/>
          <w:marRight w:val="0"/>
          <w:marTop w:val="0"/>
          <w:marBottom w:val="0"/>
          <w:divBdr>
            <w:top w:val="none" w:sz="0" w:space="0" w:color="auto"/>
            <w:left w:val="none" w:sz="0" w:space="0" w:color="auto"/>
            <w:bottom w:val="none" w:sz="0" w:space="0" w:color="auto"/>
            <w:right w:val="none" w:sz="0" w:space="0" w:color="auto"/>
          </w:divBdr>
        </w:div>
        <w:div w:id="2057587047">
          <w:marLeft w:val="0"/>
          <w:marRight w:val="0"/>
          <w:marTop w:val="0"/>
          <w:marBottom w:val="0"/>
          <w:divBdr>
            <w:top w:val="none" w:sz="0" w:space="0" w:color="auto"/>
            <w:left w:val="none" w:sz="0" w:space="0" w:color="auto"/>
            <w:bottom w:val="none" w:sz="0" w:space="0" w:color="auto"/>
            <w:right w:val="none" w:sz="0" w:space="0" w:color="auto"/>
          </w:divBdr>
        </w:div>
      </w:divsChild>
    </w:div>
    <w:div w:id="474182284">
      <w:bodyDiv w:val="1"/>
      <w:marLeft w:val="0"/>
      <w:marRight w:val="0"/>
      <w:marTop w:val="0"/>
      <w:marBottom w:val="0"/>
      <w:divBdr>
        <w:top w:val="none" w:sz="0" w:space="0" w:color="auto"/>
        <w:left w:val="none" w:sz="0" w:space="0" w:color="auto"/>
        <w:bottom w:val="none" w:sz="0" w:space="0" w:color="auto"/>
        <w:right w:val="none" w:sz="0" w:space="0" w:color="auto"/>
      </w:divBdr>
    </w:div>
    <w:div w:id="490490859">
      <w:bodyDiv w:val="1"/>
      <w:marLeft w:val="0"/>
      <w:marRight w:val="0"/>
      <w:marTop w:val="0"/>
      <w:marBottom w:val="0"/>
      <w:divBdr>
        <w:top w:val="none" w:sz="0" w:space="0" w:color="auto"/>
        <w:left w:val="none" w:sz="0" w:space="0" w:color="auto"/>
        <w:bottom w:val="none" w:sz="0" w:space="0" w:color="auto"/>
        <w:right w:val="none" w:sz="0" w:space="0" w:color="auto"/>
      </w:divBdr>
    </w:div>
    <w:div w:id="589119418">
      <w:bodyDiv w:val="1"/>
      <w:marLeft w:val="0"/>
      <w:marRight w:val="0"/>
      <w:marTop w:val="0"/>
      <w:marBottom w:val="0"/>
      <w:divBdr>
        <w:top w:val="none" w:sz="0" w:space="0" w:color="auto"/>
        <w:left w:val="none" w:sz="0" w:space="0" w:color="auto"/>
        <w:bottom w:val="none" w:sz="0" w:space="0" w:color="auto"/>
        <w:right w:val="none" w:sz="0" w:space="0" w:color="auto"/>
      </w:divBdr>
    </w:div>
    <w:div w:id="914128808">
      <w:bodyDiv w:val="1"/>
      <w:marLeft w:val="0"/>
      <w:marRight w:val="0"/>
      <w:marTop w:val="0"/>
      <w:marBottom w:val="0"/>
      <w:divBdr>
        <w:top w:val="none" w:sz="0" w:space="0" w:color="auto"/>
        <w:left w:val="none" w:sz="0" w:space="0" w:color="auto"/>
        <w:bottom w:val="none" w:sz="0" w:space="0" w:color="auto"/>
        <w:right w:val="none" w:sz="0" w:space="0" w:color="auto"/>
      </w:divBdr>
      <w:divsChild>
        <w:div w:id="470250608">
          <w:marLeft w:val="0"/>
          <w:marRight w:val="0"/>
          <w:marTop w:val="0"/>
          <w:marBottom w:val="0"/>
          <w:divBdr>
            <w:top w:val="none" w:sz="0" w:space="0" w:color="auto"/>
            <w:left w:val="none" w:sz="0" w:space="0" w:color="auto"/>
            <w:bottom w:val="none" w:sz="0" w:space="0" w:color="auto"/>
            <w:right w:val="none" w:sz="0" w:space="0" w:color="auto"/>
          </w:divBdr>
        </w:div>
        <w:div w:id="87234462">
          <w:marLeft w:val="0"/>
          <w:marRight w:val="0"/>
          <w:marTop w:val="0"/>
          <w:marBottom w:val="0"/>
          <w:divBdr>
            <w:top w:val="none" w:sz="0" w:space="0" w:color="auto"/>
            <w:left w:val="none" w:sz="0" w:space="0" w:color="auto"/>
            <w:bottom w:val="none" w:sz="0" w:space="0" w:color="auto"/>
            <w:right w:val="none" w:sz="0" w:space="0" w:color="auto"/>
          </w:divBdr>
        </w:div>
        <w:div w:id="558323545">
          <w:marLeft w:val="0"/>
          <w:marRight w:val="0"/>
          <w:marTop w:val="0"/>
          <w:marBottom w:val="0"/>
          <w:divBdr>
            <w:top w:val="none" w:sz="0" w:space="0" w:color="auto"/>
            <w:left w:val="none" w:sz="0" w:space="0" w:color="auto"/>
            <w:bottom w:val="none" w:sz="0" w:space="0" w:color="auto"/>
            <w:right w:val="none" w:sz="0" w:space="0" w:color="auto"/>
          </w:divBdr>
        </w:div>
        <w:div w:id="145830265">
          <w:marLeft w:val="0"/>
          <w:marRight w:val="0"/>
          <w:marTop w:val="0"/>
          <w:marBottom w:val="0"/>
          <w:divBdr>
            <w:top w:val="none" w:sz="0" w:space="0" w:color="auto"/>
            <w:left w:val="none" w:sz="0" w:space="0" w:color="auto"/>
            <w:bottom w:val="none" w:sz="0" w:space="0" w:color="auto"/>
            <w:right w:val="none" w:sz="0" w:space="0" w:color="auto"/>
          </w:divBdr>
        </w:div>
        <w:div w:id="1992518812">
          <w:marLeft w:val="0"/>
          <w:marRight w:val="0"/>
          <w:marTop w:val="0"/>
          <w:marBottom w:val="0"/>
          <w:divBdr>
            <w:top w:val="none" w:sz="0" w:space="0" w:color="auto"/>
            <w:left w:val="none" w:sz="0" w:space="0" w:color="auto"/>
            <w:bottom w:val="none" w:sz="0" w:space="0" w:color="auto"/>
            <w:right w:val="none" w:sz="0" w:space="0" w:color="auto"/>
          </w:divBdr>
        </w:div>
        <w:div w:id="1143934843">
          <w:marLeft w:val="0"/>
          <w:marRight w:val="0"/>
          <w:marTop w:val="0"/>
          <w:marBottom w:val="0"/>
          <w:divBdr>
            <w:top w:val="none" w:sz="0" w:space="0" w:color="auto"/>
            <w:left w:val="none" w:sz="0" w:space="0" w:color="auto"/>
            <w:bottom w:val="none" w:sz="0" w:space="0" w:color="auto"/>
            <w:right w:val="none" w:sz="0" w:space="0" w:color="auto"/>
          </w:divBdr>
        </w:div>
        <w:div w:id="1634210593">
          <w:marLeft w:val="0"/>
          <w:marRight w:val="0"/>
          <w:marTop w:val="0"/>
          <w:marBottom w:val="0"/>
          <w:divBdr>
            <w:top w:val="none" w:sz="0" w:space="0" w:color="auto"/>
            <w:left w:val="none" w:sz="0" w:space="0" w:color="auto"/>
            <w:bottom w:val="none" w:sz="0" w:space="0" w:color="auto"/>
            <w:right w:val="none" w:sz="0" w:space="0" w:color="auto"/>
          </w:divBdr>
        </w:div>
        <w:div w:id="2025940487">
          <w:marLeft w:val="0"/>
          <w:marRight w:val="0"/>
          <w:marTop w:val="0"/>
          <w:marBottom w:val="0"/>
          <w:divBdr>
            <w:top w:val="none" w:sz="0" w:space="0" w:color="auto"/>
            <w:left w:val="none" w:sz="0" w:space="0" w:color="auto"/>
            <w:bottom w:val="none" w:sz="0" w:space="0" w:color="auto"/>
            <w:right w:val="none" w:sz="0" w:space="0" w:color="auto"/>
          </w:divBdr>
        </w:div>
      </w:divsChild>
    </w:div>
    <w:div w:id="1148857407">
      <w:bodyDiv w:val="1"/>
      <w:marLeft w:val="0"/>
      <w:marRight w:val="0"/>
      <w:marTop w:val="0"/>
      <w:marBottom w:val="0"/>
      <w:divBdr>
        <w:top w:val="none" w:sz="0" w:space="0" w:color="auto"/>
        <w:left w:val="none" w:sz="0" w:space="0" w:color="auto"/>
        <w:bottom w:val="none" w:sz="0" w:space="0" w:color="auto"/>
        <w:right w:val="none" w:sz="0" w:space="0" w:color="auto"/>
      </w:divBdr>
    </w:div>
    <w:div w:id="1191914930">
      <w:bodyDiv w:val="1"/>
      <w:marLeft w:val="0"/>
      <w:marRight w:val="0"/>
      <w:marTop w:val="0"/>
      <w:marBottom w:val="0"/>
      <w:divBdr>
        <w:top w:val="none" w:sz="0" w:space="0" w:color="auto"/>
        <w:left w:val="none" w:sz="0" w:space="0" w:color="auto"/>
        <w:bottom w:val="none" w:sz="0" w:space="0" w:color="auto"/>
        <w:right w:val="none" w:sz="0" w:space="0" w:color="auto"/>
      </w:divBdr>
    </w:div>
    <w:div w:id="1198156137">
      <w:bodyDiv w:val="1"/>
      <w:marLeft w:val="0"/>
      <w:marRight w:val="0"/>
      <w:marTop w:val="0"/>
      <w:marBottom w:val="0"/>
      <w:divBdr>
        <w:top w:val="none" w:sz="0" w:space="0" w:color="auto"/>
        <w:left w:val="none" w:sz="0" w:space="0" w:color="auto"/>
        <w:bottom w:val="none" w:sz="0" w:space="0" w:color="auto"/>
        <w:right w:val="none" w:sz="0" w:space="0" w:color="auto"/>
      </w:divBdr>
      <w:divsChild>
        <w:div w:id="443892393">
          <w:marLeft w:val="0"/>
          <w:marRight w:val="0"/>
          <w:marTop w:val="0"/>
          <w:marBottom w:val="0"/>
          <w:divBdr>
            <w:top w:val="none" w:sz="0" w:space="0" w:color="auto"/>
            <w:left w:val="none" w:sz="0" w:space="0" w:color="auto"/>
            <w:bottom w:val="none" w:sz="0" w:space="0" w:color="auto"/>
            <w:right w:val="none" w:sz="0" w:space="0" w:color="auto"/>
          </w:divBdr>
        </w:div>
        <w:div w:id="1986885267">
          <w:marLeft w:val="0"/>
          <w:marRight w:val="0"/>
          <w:marTop w:val="0"/>
          <w:marBottom w:val="0"/>
          <w:divBdr>
            <w:top w:val="none" w:sz="0" w:space="0" w:color="auto"/>
            <w:left w:val="none" w:sz="0" w:space="0" w:color="auto"/>
            <w:bottom w:val="none" w:sz="0" w:space="0" w:color="auto"/>
            <w:right w:val="none" w:sz="0" w:space="0" w:color="auto"/>
          </w:divBdr>
        </w:div>
        <w:div w:id="476920968">
          <w:marLeft w:val="0"/>
          <w:marRight w:val="0"/>
          <w:marTop w:val="0"/>
          <w:marBottom w:val="0"/>
          <w:divBdr>
            <w:top w:val="none" w:sz="0" w:space="0" w:color="auto"/>
            <w:left w:val="none" w:sz="0" w:space="0" w:color="auto"/>
            <w:bottom w:val="none" w:sz="0" w:space="0" w:color="auto"/>
            <w:right w:val="none" w:sz="0" w:space="0" w:color="auto"/>
          </w:divBdr>
        </w:div>
        <w:div w:id="1425567382">
          <w:marLeft w:val="0"/>
          <w:marRight w:val="0"/>
          <w:marTop w:val="0"/>
          <w:marBottom w:val="0"/>
          <w:divBdr>
            <w:top w:val="none" w:sz="0" w:space="0" w:color="auto"/>
            <w:left w:val="none" w:sz="0" w:space="0" w:color="auto"/>
            <w:bottom w:val="none" w:sz="0" w:space="0" w:color="auto"/>
            <w:right w:val="none" w:sz="0" w:space="0" w:color="auto"/>
          </w:divBdr>
        </w:div>
        <w:div w:id="637882234">
          <w:marLeft w:val="0"/>
          <w:marRight w:val="0"/>
          <w:marTop w:val="0"/>
          <w:marBottom w:val="0"/>
          <w:divBdr>
            <w:top w:val="none" w:sz="0" w:space="0" w:color="auto"/>
            <w:left w:val="none" w:sz="0" w:space="0" w:color="auto"/>
            <w:bottom w:val="none" w:sz="0" w:space="0" w:color="auto"/>
            <w:right w:val="none" w:sz="0" w:space="0" w:color="auto"/>
          </w:divBdr>
        </w:div>
        <w:div w:id="346062274">
          <w:marLeft w:val="0"/>
          <w:marRight w:val="0"/>
          <w:marTop w:val="0"/>
          <w:marBottom w:val="0"/>
          <w:divBdr>
            <w:top w:val="none" w:sz="0" w:space="0" w:color="auto"/>
            <w:left w:val="none" w:sz="0" w:space="0" w:color="auto"/>
            <w:bottom w:val="none" w:sz="0" w:space="0" w:color="auto"/>
            <w:right w:val="none" w:sz="0" w:space="0" w:color="auto"/>
          </w:divBdr>
        </w:div>
        <w:div w:id="449973739">
          <w:marLeft w:val="0"/>
          <w:marRight w:val="0"/>
          <w:marTop w:val="0"/>
          <w:marBottom w:val="0"/>
          <w:divBdr>
            <w:top w:val="none" w:sz="0" w:space="0" w:color="auto"/>
            <w:left w:val="none" w:sz="0" w:space="0" w:color="auto"/>
            <w:bottom w:val="none" w:sz="0" w:space="0" w:color="auto"/>
            <w:right w:val="none" w:sz="0" w:space="0" w:color="auto"/>
          </w:divBdr>
        </w:div>
        <w:div w:id="19861034">
          <w:marLeft w:val="0"/>
          <w:marRight w:val="0"/>
          <w:marTop w:val="0"/>
          <w:marBottom w:val="0"/>
          <w:divBdr>
            <w:top w:val="none" w:sz="0" w:space="0" w:color="auto"/>
            <w:left w:val="none" w:sz="0" w:space="0" w:color="auto"/>
            <w:bottom w:val="none" w:sz="0" w:space="0" w:color="auto"/>
            <w:right w:val="none" w:sz="0" w:space="0" w:color="auto"/>
          </w:divBdr>
        </w:div>
        <w:div w:id="2133740503">
          <w:marLeft w:val="0"/>
          <w:marRight w:val="0"/>
          <w:marTop w:val="0"/>
          <w:marBottom w:val="0"/>
          <w:divBdr>
            <w:top w:val="none" w:sz="0" w:space="0" w:color="auto"/>
            <w:left w:val="none" w:sz="0" w:space="0" w:color="auto"/>
            <w:bottom w:val="none" w:sz="0" w:space="0" w:color="auto"/>
            <w:right w:val="none" w:sz="0" w:space="0" w:color="auto"/>
          </w:divBdr>
        </w:div>
        <w:div w:id="354884819">
          <w:marLeft w:val="0"/>
          <w:marRight w:val="0"/>
          <w:marTop w:val="0"/>
          <w:marBottom w:val="0"/>
          <w:divBdr>
            <w:top w:val="none" w:sz="0" w:space="0" w:color="auto"/>
            <w:left w:val="none" w:sz="0" w:space="0" w:color="auto"/>
            <w:bottom w:val="none" w:sz="0" w:space="0" w:color="auto"/>
            <w:right w:val="none" w:sz="0" w:space="0" w:color="auto"/>
          </w:divBdr>
        </w:div>
        <w:div w:id="1311979817">
          <w:marLeft w:val="0"/>
          <w:marRight w:val="0"/>
          <w:marTop w:val="0"/>
          <w:marBottom w:val="0"/>
          <w:divBdr>
            <w:top w:val="none" w:sz="0" w:space="0" w:color="auto"/>
            <w:left w:val="none" w:sz="0" w:space="0" w:color="auto"/>
            <w:bottom w:val="none" w:sz="0" w:space="0" w:color="auto"/>
            <w:right w:val="none" w:sz="0" w:space="0" w:color="auto"/>
          </w:divBdr>
        </w:div>
        <w:div w:id="2010717855">
          <w:marLeft w:val="0"/>
          <w:marRight w:val="0"/>
          <w:marTop w:val="0"/>
          <w:marBottom w:val="0"/>
          <w:divBdr>
            <w:top w:val="none" w:sz="0" w:space="0" w:color="auto"/>
            <w:left w:val="none" w:sz="0" w:space="0" w:color="auto"/>
            <w:bottom w:val="none" w:sz="0" w:space="0" w:color="auto"/>
            <w:right w:val="none" w:sz="0" w:space="0" w:color="auto"/>
          </w:divBdr>
        </w:div>
      </w:divsChild>
    </w:div>
    <w:div w:id="1345598006">
      <w:bodyDiv w:val="1"/>
      <w:marLeft w:val="0"/>
      <w:marRight w:val="0"/>
      <w:marTop w:val="0"/>
      <w:marBottom w:val="0"/>
      <w:divBdr>
        <w:top w:val="none" w:sz="0" w:space="0" w:color="auto"/>
        <w:left w:val="none" w:sz="0" w:space="0" w:color="auto"/>
        <w:bottom w:val="none" w:sz="0" w:space="0" w:color="auto"/>
        <w:right w:val="none" w:sz="0" w:space="0" w:color="auto"/>
      </w:divBdr>
    </w:div>
    <w:div w:id="1348796555">
      <w:bodyDiv w:val="1"/>
      <w:marLeft w:val="0"/>
      <w:marRight w:val="0"/>
      <w:marTop w:val="0"/>
      <w:marBottom w:val="0"/>
      <w:divBdr>
        <w:top w:val="none" w:sz="0" w:space="0" w:color="auto"/>
        <w:left w:val="none" w:sz="0" w:space="0" w:color="auto"/>
        <w:bottom w:val="none" w:sz="0" w:space="0" w:color="auto"/>
        <w:right w:val="none" w:sz="0" w:space="0" w:color="auto"/>
      </w:divBdr>
    </w:div>
    <w:div w:id="1516843873">
      <w:bodyDiv w:val="1"/>
      <w:marLeft w:val="0"/>
      <w:marRight w:val="0"/>
      <w:marTop w:val="0"/>
      <w:marBottom w:val="0"/>
      <w:divBdr>
        <w:top w:val="none" w:sz="0" w:space="0" w:color="auto"/>
        <w:left w:val="none" w:sz="0" w:space="0" w:color="auto"/>
        <w:bottom w:val="none" w:sz="0" w:space="0" w:color="auto"/>
        <w:right w:val="none" w:sz="0" w:space="0" w:color="auto"/>
      </w:divBdr>
    </w:div>
    <w:div w:id="1626811446">
      <w:bodyDiv w:val="1"/>
      <w:marLeft w:val="0"/>
      <w:marRight w:val="0"/>
      <w:marTop w:val="0"/>
      <w:marBottom w:val="0"/>
      <w:divBdr>
        <w:top w:val="none" w:sz="0" w:space="0" w:color="auto"/>
        <w:left w:val="none" w:sz="0" w:space="0" w:color="auto"/>
        <w:bottom w:val="none" w:sz="0" w:space="0" w:color="auto"/>
        <w:right w:val="none" w:sz="0" w:space="0" w:color="auto"/>
      </w:divBdr>
    </w:div>
    <w:div w:id="19155080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10439463.2019.1691549" TargetMode="External"/><Relationship Id="rId18" Type="http://schemas.openxmlformats.org/officeDocument/2006/relationships/hyperlink" Target="https://www.college.police.uk/app/investigation/working-victims-and-witnesses" TargetMode="External"/><Relationship Id="rId26" Type="http://schemas.openxmlformats.org/officeDocument/2006/relationships/hyperlink" Target="https://www.politieacademie.nl/kennisenonderzoek/kennis/mediatheek/PDF/3435.pdf" TargetMode="External"/><Relationship Id="rId39" Type="http://schemas.openxmlformats.org/officeDocument/2006/relationships/hyperlink" Target="https://academic.oup.com/bjc/article-abstract/56/3/456/2462338" TargetMode="External"/><Relationship Id="rId21" Type="http://schemas.openxmlformats.org/officeDocument/2006/relationships/hyperlink" Target="https://www.college.police.uk/guidance/obtaining-initial-accounts/rapport-building" TargetMode="External"/><Relationship Id="rId34" Type="http://schemas.openxmlformats.org/officeDocument/2006/relationships/hyperlink" Target="https://www.sciencedirect.com/science/article/abs/pii/0010028575900237" TargetMode="External"/><Relationship Id="rId42" Type="http://schemas.openxmlformats.org/officeDocument/2006/relationships/hyperlink" Target="https://www.ojp.gov/ncjrs/virtual-library/abstracts/cognitive-interviewing-child-witnesses" TargetMode="External"/><Relationship Id="rId47" Type="http://schemas.openxmlformats.org/officeDocument/2006/relationships/hyperlink" Target="https://academic.oup.com/edited-volume/36315/chapter-abstract/318654215?redirectedFrom=fulltext&amp;login=false" TargetMode="External"/><Relationship Id="rId50" Type="http://schemas.openxmlformats.org/officeDocument/2006/relationships/hyperlink" Target="https://www.statista.com/statistics/1030625/crime-rate-uk/" TargetMode="External"/><Relationship Id="rId55" Type="http://schemas.openxmlformats.org/officeDocument/2006/relationships/hyperlink" Target="https://pure.port.ac.uk/ws/portalfiles/portal/3695582/What_works_in_supporting_victims_of_crime.pdf" TargetMode="External"/><Relationship Id="rId7" Type="http://schemas.openxmlformats.org/officeDocument/2006/relationships/hyperlink" Target="https://link.springer.com/article/10.1023/A:1022309423642" TargetMode="External"/><Relationship Id="rId2" Type="http://schemas.openxmlformats.org/officeDocument/2006/relationships/styles" Target="styles.xml"/><Relationship Id="rId16" Type="http://schemas.openxmlformats.org/officeDocument/2006/relationships/hyperlink" Target="https://www-tandfonline-com.ezproxy.uwtsd.ac.uk/doi/full/10.1080/10439463.2018.1532426" TargetMode="External"/><Relationship Id="rId29" Type="http://schemas.openxmlformats.org/officeDocument/2006/relationships/hyperlink" Target="https://link.springer.com/article/10.1007/s40894-020-00138-x" TargetMode="External"/><Relationship Id="rId11" Type="http://schemas.openxmlformats.org/officeDocument/2006/relationships/hyperlink" Target="https://link.springer.com/article/10.1007/s11896-020-09416-9" TargetMode="External"/><Relationship Id="rId24" Type="http://schemas.openxmlformats.org/officeDocument/2006/relationships/hyperlink" Target="https://www.tandfonline.com/doi/abs/10.1080/10439460903281513" TargetMode="External"/><Relationship Id="rId32" Type="http://schemas.openxmlformats.org/officeDocument/2006/relationships/hyperlink" Target="https://www.tandfonline.com/doi/abs/10.1080/10683169908414996" TargetMode="External"/><Relationship Id="rId37" Type="http://schemas.openxmlformats.org/officeDocument/2006/relationships/hyperlink" Target="https://link.springer.com/article/10.1007/s42448-020-00052-8" TargetMode="External"/><Relationship Id="rId40" Type="http://schemas.openxmlformats.org/officeDocument/2006/relationships/hyperlink" Target="https://assets.publishing.service.gov.uk/media/6492e26c103ca6001303a331/achieving-best-evidence-criminal-proceedings-2023.pdf" TargetMode="External"/><Relationship Id="rId45" Type="http://schemas.openxmlformats.org/officeDocument/2006/relationships/hyperlink" Target="https://calio.org/wp-content/uploads/2015/03/Effects_of_cognitive_interviewing_and_practice_on_childrens_recall_performance.pdf" TargetMode="External"/><Relationship Id="rId53" Type="http://schemas.openxmlformats.org/officeDocument/2006/relationships/hyperlink" Target="https://victimscommissioner.org.uk/news/2021-victim-survey/" TargetMode="External"/><Relationship Id="rId58" Type="http://schemas.openxmlformats.org/officeDocument/2006/relationships/header" Target="header1.xml"/><Relationship Id="rId5" Type="http://schemas.openxmlformats.org/officeDocument/2006/relationships/footnotes" Target="footnotes.xml"/><Relationship Id="rId19" Type="http://schemas.openxmlformats.org/officeDocument/2006/relationships/hyperlink" Target="https://www.college.police.uk/app/investigation/investigative-interviewing/investigative-interviewing" TargetMode="External"/><Relationship Id="rId4" Type="http://schemas.openxmlformats.org/officeDocument/2006/relationships/webSettings" Target="webSettings.xml"/><Relationship Id="rId9" Type="http://schemas.openxmlformats.org/officeDocument/2006/relationships/hyperlink" Target="https://pubmed.ncbi.nlm.nih.gov/33328338/" TargetMode="External"/><Relationship Id="rId14" Type="http://schemas.openxmlformats.org/officeDocument/2006/relationships/hyperlink" Target="https://www.cdc.gov/violenceprevention/aces/index.html" TargetMode="External"/><Relationship Id="rId22" Type="http://schemas.openxmlformats.org/officeDocument/2006/relationships/hyperlink" Target="https://www.college.police.uk/research/what-works-policing-reduce-crime/visible-police-patrol" TargetMode="External"/><Relationship Id="rId27" Type="http://schemas.openxmlformats.org/officeDocument/2006/relationships/hyperlink" Target="https://www.tandfonline.com/doi/abs/10.1080/07418820902763046" TargetMode="External"/><Relationship Id="rId30" Type="http://schemas.openxmlformats.org/officeDocument/2006/relationships/hyperlink" Target="https://www.files.ethz.ch/isn/157081/RP12-71.pdf" TargetMode="External"/><Relationship Id="rId35" Type="http://schemas.openxmlformats.org/officeDocument/2006/relationships/hyperlink" Target="https://www.tandfonline.com/doi/epdf/10.1080/10439463.1999.9964816?needAccess=true" TargetMode="External"/><Relationship Id="rId43" Type="http://schemas.openxmlformats.org/officeDocument/2006/relationships/hyperlink" Target="https://www.cjcj.org/media/justice_or_just_us.pdf" TargetMode="External"/><Relationship Id="rId48" Type="http://schemas.openxmlformats.org/officeDocument/2006/relationships/hyperlink" Target="https://link.springer.com/article/10.1007/S10940-014-9222-9" TargetMode="External"/><Relationship Id="rId56" Type="http://schemas.openxmlformats.org/officeDocument/2006/relationships/hyperlink" Target="https://www.sciencedirect.com/science/article/pii/S1877129720303026" TargetMode="External"/><Relationship Id="rId8" Type="http://schemas.openxmlformats.org/officeDocument/2006/relationships/hyperlink" Target="https://www.bbc.co.uk/news/uk-england-london-67214409" TargetMode="External"/><Relationship Id="rId51" Type="http://schemas.openxmlformats.org/officeDocument/2006/relationships/hyperlink" Target="https://onlinelibrary.wiley.com/doi/10.4073/csr.2013.12" TargetMode="External"/><Relationship Id="rId3" Type="http://schemas.openxmlformats.org/officeDocument/2006/relationships/settings" Target="settings.xml"/><Relationship Id="rId12" Type="http://schemas.openxmlformats.org/officeDocument/2006/relationships/hyperlink" Target="https://www.met.police.uk/SysSiteAssets/media/downloads/met/about-us/baroness-casey-review/update-march-2023/baroness-casey-review-march-2023a.pdf" TargetMode="External"/><Relationship Id="rId17" Type="http://schemas.openxmlformats.org/officeDocument/2006/relationships/hyperlink" Target="https://www.college.police.uk/app/major-investigation-and-public-protection" TargetMode="External"/><Relationship Id="rId25" Type="http://schemas.openxmlformats.org/officeDocument/2006/relationships/hyperlink" Target="https://www.sciencedirect.com/science/article/abs/pii/S0022537180903795" TargetMode="External"/><Relationship Id="rId33" Type="http://schemas.openxmlformats.org/officeDocument/2006/relationships/hyperlink" Target="https://www.liverpoolcamhs.com/aces/what-are-adverse-childhood-experiences/" TargetMode="External"/><Relationship Id="rId38" Type="http://schemas.openxmlformats.org/officeDocument/2006/relationships/hyperlink" Target="https://www.annualreviews.org/doi/pdf/10.1146/annurev.lawsocsci.2.081805.110005" TargetMode="External"/><Relationship Id="rId46" Type="http://schemas.openxmlformats.org/officeDocument/2006/relationships/hyperlink" Target="https://onlinelibrary.wiley.com/doi/epdf/10.1002/acp.1793?saml_referrer" TargetMode="External"/><Relationship Id="rId59" Type="http://schemas.openxmlformats.org/officeDocument/2006/relationships/fontTable" Target="fontTable.xml"/><Relationship Id="rId20" Type="http://schemas.openxmlformats.org/officeDocument/2006/relationships/hyperlink" Target="https://www.college.police.uk/app/engagement-and-communication/media-relations" TargetMode="External"/><Relationship Id="rId41" Type="http://schemas.openxmlformats.org/officeDocument/2006/relationships/hyperlink" Target="https://journals.sagepub.com/doi/full/10.1177/1461355718763448" TargetMode="External"/><Relationship Id="rId54" Type="http://schemas.openxmlformats.org/officeDocument/2006/relationships/hyperlink" Target="https://www.canee.net/files/The%20Cognitive%20Interview%20of%20Children.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statista.com/statistics/303963/uk-police-officer-numbers/" TargetMode="External"/><Relationship Id="rId23" Type="http://schemas.openxmlformats.org/officeDocument/2006/relationships/hyperlink" Target="https://www.college.police.uk/guidance/restorative-justice/evidence-briefing" TargetMode="External"/><Relationship Id="rId28" Type="http://schemas.openxmlformats.org/officeDocument/2006/relationships/hyperlink" Target="https://psycnet.apa.org/record/2020-14999-000" TargetMode="External"/><Relationship Id="rId36" Type="http://schemas.openxmlformats.org/officeDocument/2006/relationships/hyperlink" Target="https://assets.publishing.service.gov.uk/media/5a7f8dcbed915d74e33f725e/Board_Visits_Final_Report.pdf" TargetMode="External"/><Relationship Id="rId49" Type="http://schemas.openxmlformats.org/officeDocument/2006/relationships/hyperlink" Target="https://link.springer.com/article/10.1007/s11292-017-9292-4" TargetMode="External"/><Relationship Id="rId57" Type="http://schemas.openxmlformats.org/officeDocument/2006/relationships/hyperlink" Target="https://onlinelibrary.wiley.com/doi/abs/10.1002/acp.1260" TargetMode="External"/><Relationship Id="rId10" Type="http://schemas.openxmlformats.org/officeDocument/2006/relationships/hyperlink" Target="http://johnbraithwaite.com/wp-content/uploads/2016/03/EvidenceForRestorativeJustice.pdf" TargetMode="External"/><Relationship Id="rId31" Type="http://schemas.openxmlformats.org/officeDocument/2006/relationships/hyperlink" Target="https://www.policeconduct.gov.uk/news/public-feel-confident-police-respond-fairly-and-proportionately-incidents-questions-remain" TargetMode="External"/><Relationship Id="rId44" Type="http://schemas.openxmlformats.org/officeDocument/2006/relationships/hyperlink" Target="https://www.healthscotland.scot/population-groups/children/adverse-childhood-experiences-aces/overview-of-aces" TargetMode="External"/><Relationship Id="rId52" Type="http://schemas.openxmlformats.org/officeDocument/2006/relationships/hyperlink" Target="https://onlinelibrary.wiley.com/doi/abs/10.1111/jels.12086"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199CE-214B-43FE-B79B-E6964D180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4703</TotalTime>
  <Pages>16</Pages>
  <Words>6782</Words>
  <Characters>38661</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Davies,Daniel swp8378</dc:creator>
  <cp:keywords/>
  <dc:description/>
  <cp:lastModifiedBy>Davies,Daniel swp8378</cp:lastModifiedBy>
  <cp:revision>82</cp:revision>
  <dcterms:created xsi:type="dcterms:W3CDTF">2024-01-29T13:21:00Z</dcterms:created>
  <dcterms:modified xsi:type="dcterms:W3CDTF">2024-04-07T16:16:00Z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2024-01-29T13:38:11Z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59c83b60-8a59-47c6-a4e5-3a244101eda7</vt:lpwstr>
  </property>
  <property fmtid="{D5CDD505-2E9C-101B-9397-08002B2CF9AE}" pid="8" name="MSIP_Label_66cf8fe5-b7b7-4df7-b38d-1c61ac2f6639_ContentBits">
    <vt:lpwstr>0</vt:lpwstr>
  </property>
</Properties>
</file>