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aps/>
        </w:rPr>
        <w:id w:val="10838290"/>
        <w:docPartObj>
          <w:docPartGallery w:val="Cover Pages"/>
          <w:docPartUnique/>
        </w:docPartObj>
      </w:sdtPr>
      <w:sdtEndPr>
        <w:rPr>
          <w:rFonts w:asciiTheme="minorHAnsi" w:eastAsiaTheme="minorHAnsi" w:hAnsiTheme="minorHAnsi" w:cstheme="minorBidi"/>
          <w:b/>
          <w:bCs/>
          <w:caps w:val="0"/>
        </w:rPr>
      </w:sdtEndPr>
      <w:sdtContent>
        <w:tbl>
          <w:tblPr>
            <w:tblW w:w="5000" w:type="pct"/>
            <w:jc w:val="center"/>
            <w:tblLook w:val="04A0" w:firstRow="1" w:lastRow="0" w:firstColumn="1" w:lastColumn="0" w:noHBand="0" w:noVBand="1"/>
          </w:tblPr>
          <w:tblGrid>
            <w:gridCol w:w="9576"/>
          </w:tblGrid>
          <w:tr w:rsidR="0015093B">
            <w:trPr>
              <w:trHeight w:val="2880"/>
              <w:jc w:val="center"/>
            </w:trPr>
            <w:tc>
              <w:tcPr>
                <w:tcW w:w="5000" w:type="pct"/>
              </w:tcPr>
              <w:p w:rsidR="0015093B" w:rsidRDefault="0015093B" w:rsidP="00E01888">
                <w:pPr>
                  <w:pStyle w:val="NoSpacing"/>
                  <w:rPr>
                    <w:rFonts w:asciiTheme="majorHAnsi" w:eastAsiaTheme="majorEastAsia" w:hAnsiTheme="majorHAnsi" w:cstheme="majorBidi"/>
                    <w:caps/>
                  </w:rPr>
                </w:pPr>
              </w:p>
              <w:p w:rsidR="001378D8" w:rsidRDefault="001378D8" w:rsidP="00E01888">
                <w:pPr>
                  <w:pStyle w:val="NoSpacing"/>
                  <w:rPr>
                    <w:rFonts w:asciiTheme="majorHAnsi" w:eastAsiaTheme="majorEastAsia" w:hAnsiTheme="majorHAnsi" w:cstheme="majorBidi"/>
                    <w:caps/>
                  </w:rPr>
                </w:pPr>
              </w:p>
              <w:p w:rsidR="001378D8" w:rsidRDefault="001378D8" w:rsidP="00E01888">
                <w:pPr>
                  <w:pStyle w:val="NoSpacing"/>
                  <w:rPr>
                    <w:rFonts w:asciiTheme="majorHAnsi" w:eastAsiaTheme="majorEastAsia" w:hAnsiTheme="majorHAnsi" w:cstheme="majorBidi"/>
                    <w:caps/>
                  </w:rPr>
                </w:pPr>
              </w:p>
              <w:p w:rsidR="001378D8" w:rsidRDefault="001378D8" w:rsidP="00E01888">
                <w:pPr>
                  <w:pStyle w:val="NoSpacing"/>
                  <w:rPr>
                    <w:rFonts w:asciiTheme="majorHAnsi" w:eastAsiaTheme="majorEastAsia" w:hAnsiTheme="majorHAnsi" w:cstheme="majorBidi"/>
                    <w:caps/>
                  </w:rPr>
                </w:pPr>
              </w:p>
              <w:p w:rsidR="001378D8" w:rsidRDefault="001378D8" w:rsidP="00E01888">
                <w:pPr>
                  <w:pStyle w:val="NoSpacing"/>
                  <w:rPr>
                    <w:rFonts w:asciiTheme="majorHAnsi" w:eastAsiaTheme="majorEastAsia" w:hAnsiTheme="majorHAnsi" w:cstheme="majorBidi"/>
                    <w:caps/>
                  </w:rPr>
                </w:pPr>
              </w:p>
              <w:p w:rsidR="001378D8" w:rsidRPr="001378D8" w:rsidRDefault="001378D8" w:rsidP="00026DCA">
                <w:pPr>
                  <w:jc w:val="center"/>
                  <w:rPr>
                    <w:b/>
                    <w:sz w:val="40"/>
                    <w:u w:val="single"/>
                  </w:rPr>
                </w:pPr>
                <w:r>
                  <w:rPr>
                    <w:b/>
                    <w:sz w:val="40"/>
                    <w:u w:val="single"/>
                  </w:rPr>
                  <w:t>FINANCIAL MANAGEMENT</w:t>
                </w:r>
              </w:p>
              <w:p w:rsidR="001378D8" w:rsidRPr="00FE03F8" w:rsidRDefault="001378D8" w:rsidP="001378D8">
                <w:pPr>
                  <w:jc w:val="center"/>
                  <w:rPr>
                    <w:sz w:val="36"/>
                  </w:rPr>
                </w:pPr>
                <w:r w:rsidRPr="00FE03F8">
                  <w:rPr>
                    <w:sz w:val="36"/>
                  </w:rPr>
                  <w:t>ASSIGNMENT</w:t>
                </w:r>
              </w:p>
              <w:p w:rsidR="001378D8" w:rsidRDefault="001378D8" w:rsidP="001378D8">
                <w:pPr>
                  <w:jc w:val="center"/>
                  <w:rPr>
                    <w:sz w:val="36"/>
                  </w:rPr>
                </w:pPr>
                <w:r w:rsidRPr="00FE03F8">
                  <w:rPr>
                    <w:sz w:val="36"/>
                  </w:rPr>
                  <w:t>ON</w:t>
                </w:r>
              </w:p>
              <w:p w:rsidR="001378D8" w:rsidRPr="001378D8" w:rsidRDefault="001378D8" w:rsidP="001378D8">
                <w:pPr>
                  <w:jc w:val="center"/>
                  <w:rPr>
                    <w:sz w:val="28"/>
                  </w:rPr>
                </w:pPr>
                <w:r>
                  <w:rPr>
                    <w:sz w:val="36"/>
                  </w:rPr>
                  <w:t>FINANCIAL RATIO ANALYSIS</w:t>
                </w:r>
              </w:p>
              <w:p w:rsidR="001378D8" w:rsidRDefault="001378D8" w:rsidP="001378D8">
                <w:pPr>
                  <w:jc w:val="center"/>
                  <w:rPr>
                    <w:sz w:val="36"/>
                  </w:rPr>
                </w:pPr>
                <w:r>
                  <w:rPr>
                    <w:sz w:val="36"/>
                  </w:rPr>
                  <w:t>OF</w:t>
                </w:r>
              </w:p>
              <w:p w:rsidR="001378D8" w:rsidRDefault="001378D8" w:rsidP="001378D8">
                <w:pPr>
                  <w:jc w:val="center"/>
                  <w:rPr>
                    <w:sz w:val="36"/>
                  </w:rPr>
                </w:pPr>
                <w:r>
                  <w:rPr>
                    <w:sz w:val="36"/>
                  </w:rPr>
                  <w:t xml:space="preserve">William Hill Plc and Paddy Power Betfair Plc </w:t>
                </w:r>
              </w:p>
              <w:p w:rsidR="001378D8" w:rsidRDefault="001378D8" w:rsidP="001378D8">
                <w:pPr>
                  <w:jc w:val="center"/>
                  <w:rPr>
                    <w:sz w:val="36"/>
                  </w:rPr>
                </w:pPr>
                <w:r>
                  <w:rPr>
                    <w:sz w:val="36"/>
                  </w:rPr>
                  <w:t>Submitted to</w:t>
                </w:r>
              </w:p>
              <w:p w:rsidR="001378D8" w:rsidRPr="00FE03F8" w:rsidRDefault="001378D8" w:rsidP="001378D8">
                <w:pPr>
                  <w:jc w:val="center"/>
                  <w:rPr>
                    <w:b/>
                    <w:sz w:val="36"/>
                    <w:u w:val="single"/>
                  </w:rPr>
                </w:pPr>
                <w:r w:rsidRPr="00FE03F8">
                  <w:rPr>
                    <w:b/>
                    <w:sz w:val="36"/>
                    <w:u w:val="single"/>
                  </w:rPr>
                  <w:t>University of Wales Trinity Saint David</w:t>
                </w:r>
              </w:p>
              <w:p w:rsidR="001378D8" w:rsidRDefault="001378D8" w:rsidP="001378D8">
                <w:pPr>
                  <w:jc w:val="center"/>
                  <w:rPr>
                    <w:sz w:val="36"/>
                  </w:rPr>
                </w:pPr>
                <w:r>
                  <w:rPr>
                    <w:sz w:val="36"/>
                  </w:rPr>
                  <w:t>Under guidance of</w:t>
                </w:r>
              </w:p>
              <w:p w:rsidR="001378D8" w:rsidRPr="00FE03F8" w:rsidRDefault="00026DCA" w:rsidP="00026DCA">
                <w:pPr>
                  <w:jc w:val="center"/>
                  <w:rPr>
                    <w:b/>
                    <w:sz w:val="36"/>
                    <w:u w:val="single"/>
                  </w:rPr>
                </w:pPr>
                <w:r w:rsidRPr="00026DCA">
                  <w:rPr>
                    <w:b/>
                    <w:sz w:val="36"/>
                    <w:u w:val="single"/>
                  </w:rPr>
                  <w:t xml:space="preserve">Prof. </w:t>
                </w:r>
                <w:r w:rsidRPr="00026DCA">
                  <w:rPr>
                    <w:b/>
                    <w:bCs/>
                    <w:sz w:val="40"/>
                    <w:u w:val="single"/>
                  </w:rPr>
                  <w:t xml:space="preserve">Isaiah Oino </w:t>
                </w:r>
              </w:p>
              <w:p w:rsidR="001378D8" w:rsidRPr="00FE03F8" w:rsidRDefault="001378D8" w:rsidP="001378D8">
                <w:pPr>
                  <w:jc w:val="center"/>
                  <w:rPr>
                    <w:sz w:val="36"/>
                  </w:rPr>
                </w:pPr>
                <w:r>
                  <w:rPr>
                    <w:sz w:val="36"/>
                  </w:rPr>
                  <w:t>Submitted by</w:t>
                </w:r>
              </w:p>
              <w:p w:rsidR="001378D8" w:rsidRPr="00FE03F8" w:rsidRDefault="001378D8" w:rsidP="001378D8">
                <w:pPr>
                  <w:jc w:val="center"/>
                  <w:rPr>
                    <w:b/>
                    <w:sz w:val="36"/>
                    <w:u w:val="single"/>
                  </w:rPr>
                </w:pPr>
                <w:r w:rsidRPr="00FE03F8">
                  <w:rPr>
                    <w:b/>
                    <w:sz w:val="36"/>
                    <w:u w:val="single"/>
                  </w:rPr>
                  <w:t>HARDIK JAYANTIBHAI PATEL</w:t>
                </w:r>
              </w:p>
              <w:p w:rsidR="001378D8" w:rsidRDefault="001378D8" w:rsidP="001378D8">
                <w:pPr>
                  <w:jc w:val="center"/>
                  <w:rPr>
                    <w:sz w:val="36"/>
                  </w:rPr>
                </w:pPr>
                <w:r>
                  <w:rPr>
                    <w:sz w:val="36"/>
                  </w:rPr>
                  <w:t>STUDENT ID</w:t>
                </w:r>
                <w:r w:rsidRPr="008A6F6B">
                  <w:rPr>
                    <w:sz w:val="36"/>
                  </w:rPr>
                  <w:t xml:space="preserve"> – 1710830</w:t>
                </w:r>
              </w:p>
              <w:p w:rsidR="001378D8" w:rsidRPr="001378D8" w:rsidRDefault="001378D8" w:rsidP="001378D8">
                <w:pPr>
                  <w:jc w:val="center"/>
                  <w:rPr>
                    <w:sz w:val="36"/>
                  </w:rPr>
                </w:pPr>
                <w:r>
                  <w:rPr>
                    <w:sz w:val="36"/>
                  </w:rPr>
                  <w:t>MODULE CODE – SBMA7100</w:t>
                </w:r>
              </w:p>
              <w:p w:rsidR="001378D8" w:rsidRDefault="001378D8" w:rsidP="00E01888">
                <w:pPr>
                  <w:pStyle w:val="NoSpacing"/>
                  <w:rPr>
                    <w:rFonts w:asciiTheme="majorHAnsi" w:eastAsiaTheme="majorEastAsia" w:hAnsiTheme="majorHAnsi" w:cstheme="majorBidi"/>
                    <w:caps/>
                  </w:rPr>
                </w:pPr>
              </w:p>
              <w:p w:rsidR="001378D8" w:rsidRDefault="001378D8" w:rsidP="00E01888">
                <w:pPr>
                  <w:pStyle w:val="NoSpacing"/>
                  <w:rPr>
                    <w:rFonts w:asciiTheme="majorHAnsi" w:eastAsiaTheme="majorEastAsia" w:hAnsiTheme="majorHAnsi" w:cstheme="majorBidi"/>
                    <w:caps/>
                  </w:rPr>
                </w:pPr>
              </w:p>
              <w:p w:rsidR="001378D8" w:rsidRDefault="001378D8" w:rsidP="00E01888">
                <w:pPr>
                  <w:pStyle w:val="NoSpacing"/>
                  <w:rPr>
                    <w:rFonts w:asciiTheme="majorHAnsi" w:eastAsiaTheme="majorEastAsia" w:hAnsiTheme="majorHAnsi" w:cstheme="majorBidi"/>
                    <w:caps/>
                  </w:rPr>
                </w:pPr>
              </w:p>
              <w:p w:rsidR="001378D8" w:rsidRDefault="001378D8" w:rsidP="00E01888">
                <w:pPr>
                  <w:pStyle w:val="NoSpacing"/>
                  <w:rPr>
                    <w:rFonts w:asciiTheme="majorHAnsi" w:eastAsiaTheme="majorEastAsia" w:hAnsiTheme="majorHAnsi" w:cstheme="majorBidi"/>
                    <w:caps/>
                  </w:rPr>
                </w:pPr>
              </w:p>
              <w:p w:rsidR="001378D8" w:rsidRDefault="001378D8" w:rsidP="00E01888">
                <w:pPr>
                  <w:pStyle w:val="NoSpacing"/>
                  <w:rPr>
                    <w:rFonts w:asciiTheme="majorHAnsi" w:eastAsiaTheme="majorEastAsia" w:hAnsiTheme="majorHAnsi" w:cstheme="majorBidi"/>
                    <w:caps/>
                  </w:rPr>
                </w:pPr>
              </w:p>
              <w:p w:rsidR="001378D8" w:rsidRDefault="001378D8" w:rsidP="00E01888">
                <w:pPr>
                  <w:pStyle w:val="NoSpacing"/>
                  <w:rPr>
                    <w:rFonts w:asciiTheme="majorHAnsi" w:eastAsiaTheme="majorEastAsia" w:hAnsiTheme="majorHAnsi" w:cstheme="majorBidi"/>
                    <w:caps/>
                  </w:rPr>
                </w:pPr>
              </w:p>
            </w:tc>
          </w:tr>
        </w:tbl>
        <w:p w:rsidR="0015093B" w:rsidRDefault="006D4586"/>
      </w:sdtContent>
    </w:sdt>
    <w:sdt>
      <w:sdtPr>
        <w:rPr>
          <w:rFonts w:asciiTheme="minorHAnsi" w:eastAsiaTheme="minorHAnsi" w:hAnsiTheme="minorHAnsi" w:cstheme="minorBidi"/>
          <w:b w:val="0"/>
          <w:bCs w:val="0"/>
          <w:color w:val="auto"/>
          <w:sz w:val="22"/>
          <w:szCs w:val="22"/>
        </w:rPr>
        <w:id w:val="10838282"/>
        <w:docPartObj>
          <w:docPartGallery w:val="Table of Contents"/>
          <w:docPartUnique/>
        </w:docPartObj>
      </w:sdtPr>
      <w:sdtEndPr/>
      <w:sdtContent>
        <w:p w:rsidR="0015093B" w:rsidRDefault="0015093B" w:rsidP="001378D8">
          <w:pPr>
            <w:pStyle w:val="TOCHeading"/>
            <w:jc w:val="both"/>
          </w:pPr>
          <w:r>
            <w:t>Contents</w:t>
          </w:r>
        </w:p>
        <w:p w:rsidR="0015093B" w:rsidRPr="0015093B" w:rsidRDefault="0015093B" w:rsidP="001378D8">
          <w:pPr>
            <w:pStyle w:val="TOC1"/>
            <w:tabs>
              <w:tab w:val="right" w:leader="dot" w:pos="9350"/>
            </w:tabs>
            <w:jc w:val="both"/>
            <w:rPr>
              <w:rFonts w:ascii="Times New Roman" w:eastAsiaTheme="minorEastAsia" w:hAnsi="Times New Roman" w:cs="Times New Roman"/>
              <w:noProof/>
              <w:sz w:val="24"/>
              <w:szCs w:val="24"/>
            </w:rPr>
          </w:pPr>
          <w:r w:rsidRPr="0015093B">
            <w:rPr>
              <w:rFonts w:ascii="Times New Roman" w:hAnsi="Times New Roman" w:cs="Times New Roman"/>
              <w:sz w:val="24"/>
              <w:szCs w:val="24"/>
            </w:rPr>
            <w:fldChar w:fldCharType="begin"/>
          </w:r>
          <w:r w:rsidRPr="0015093B">
            <w:rPr>
              <w:rFonts w:ascii="Times New Roman" w:hAnsi="Times New Roman" w:cs="Times New Roman"/>
              <w:sz w:val="24"/>
              <w:szCs w:val="24"/>
            </w:rPr>
            <w:instrText xml:space="preserve"> TOC \o "1-3" \h \z \u </w:instrText>
          </w:r>
          <w:r w:rsidRPr="0015093B">
            <w:rPr>
              <w:rFonts w:ascii="Times New Roman" w:hAnsi="Times New Roman" w:cs="Times New Roman"/>
              <w:sz w:val="24"/>
              <w:szCs w:val="24"/>
            </w:rPr>
            <w:fldChar w:fldCharType="separate"/>
          </w:r>
          <w:hyperlink w:anchor="_Toc512017331" w:history="1">
            <w:r w:rsidRPr="0015093B">
              <w:rPr>
                <w:rStyle w:val="Hyperlink"/>
                <w:rFonts w:ascii="Times New Roman" w:hAnsi="Times New Roman" w:cs="Times New Roman"/>
                <w:noProof/>
                <w:sz w:val="24"/>
                <w:szCs w:val="24"/>
              </w:rPr>
              <w:t>Introduction:</w:t>
            </w:r>
            <w:r w:rsidRPr="0015093B">
              <w:rPr>
                <w:rFonts w:ascii="Times New Roman" w:hAnsi="Times New Roman" w:cs="Times New Roman"/>
                <w:noProof/>
                <w:webHidden/>
                <w:sz w:val="24"/>
                <w:szCs w:val="24"/>
              </w:rPr>
              <w:tab/>
            </w:r>
            <w:r w:rsidRPr="0015093B">
              <w:rPr>
                <w:rFonts w:ascii="Times New Roman" w:hAnsi="Times New Roman" w:cs="Times New Roman"/>
                <w:noProof/>
                <w:webHidden/>
                <w:sz w:val="24"/>
                <w:szCs w:val="24"/>
              </w:rPr>
              <w:fldChar w:fldCharType="begin"/>
            </w:r>
            <w:r w:rsidRPr="0015093B">
              <w:rPr>
                <w:rFonts w:ascii="Times New Roman" w:hAnsi="Times New Roman" w:cs="Times New Roman"/>
                <w:noProof/>
                <w:webHidden/>
                <w:sz w:val="24"/>
                <w:szCs w:val="24"/>
              </w:rPr>
              <w:instrText xml:space="preserve"> PAGEREF _Toc512017331 \h </w:instrText>
            </w:r>
            <w:r w:rsidRPr="0015093B">
              <w:rPr>
                <w:rFonts w:ascii="Times New Roman" w:hAnsi="Times New Roman" w:cs="Times New Roman"/>
                <w:noProof/>
                <w:webHidden/>
                <w:sz w:val="24"/>
                <w:szCs w:val="24"/>
              </w:rPr>
            </w:r>
            <w:r w:rsidRPr="0015093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15093B">
              <w:rPr>
                <w:rFonts w:ascii="Times New Roman" w:hAnsi="Times New Roman" w:cs="Times New Roman"/>
                <w:noProof/>
                <w:webHidden/>
                <w:sz w:val="24"/>
                <w:szCs w:val="24"/>
              </w:rPr>
              <w:fldChar w:fldCharType="end"/>
            </w:r>
          </w:hyperlink>
        </w:p>
        <w:p w:rsidR="0015093B" w:rsidRPr="0015093B" w:rsidRDefault="006D4586" w:rsidP="001378D8">
          <w:pPr>
            <w:pStyle w:val="TOC1"/>
            <w:tabs>
              <w:tab w:val="right" w:leader="dot" w:pos="9350"/>
            </w:tabs>
            <w:jc w:val="both"/>
            <w:rPr>
              <w:rFonts w:ascii="Times New Roman" w:eastAsiaTheme="minorEastAsia" w:hAnsi="Times New Roman" w:cs="Times New Roman"/>
              <w:noProof/>
              <w:sz w:val="24"/>
              <w:szCs w:val="24"/>
            </w:rPr>
          </w:pPr>
          <w:hyperlink w:anchor="_Toc512017332" w:history="1">
            <w:r w:rsidR="0015093B" w:rsidRPr="0015093B">
              <w:rPr>
                <w:rStyle w:val="Hyperlink"/>
                <w:rFonts w:ascii="Times New Roman" w:hAnsi="Times New Roman" w:cs="Times New Roman"/>
                <w:noProof/>
                <w:sz w:val="24"/>
                <w:szCs w:val="24"/>
              </w:rPr>
              <w:t>Analysis of the Share Price movement of William Hill plc:</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_Toc512017332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4</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1"/>
            <w:tabs>
              <w:tab w:val="right" w:leader="dot" w:pos="9350"/>
            </w:tabs>
            <w:jc w:val="both"/>
            <w:rPr>
              <w:rFonts w:ascii="Times New Roman" w:eastAsiaTheme="minorEastAsia" w:hAnsi="Times New Roman" w:cs="Times New Roman"/>
              <w:noProof/>
              <w:sz w:val="24"/>
              <w:szCs w:val="24"/>
            </w:rPr>
          </w:pPr>
          <w:hyperlink w:anchor="_Toc512017333" w:history="1">
            <w:r w:rsidR="0015093B" w:rsidRPr="0015093B">
              <w:rPr>
                <w:rStyle w:val="Hyperlink"/>
                <w:rFonts w:ascii="Times New Roman" w:hAnsi="Times New Roman" w:cs="Times New Roman"/>
                <w:noProof/>
                <w:sz w:val="24"/>
                <w:szCs w:val="24"/>
              </w:rPr>
              <w:t>Analysis of Dividend payment history of William Hill plc:</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_Toc512017333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5</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1"/>
            <w:tabs>
              <w:tab w:val="right" w:leader="dot" w:pos="9350"/>
            </w:tabs>
            <w:jc w:val="both"/>
            <w:rPr>
              <w:rFonts w:ascii="Times New Roman" w:eastAsiaTheme="minorEastAsia" w:hAnsi="Times New Roman" w:cs="Times New Roman"/>
              <w:noProof/>
              <w:sz w:val="24"/>
              <w:szCs w:val="24"/>
            </w:rPr>
          </w:pPr>
          <w:hyperlink w:anchor="_Toc512017334" w:history="1">
            <w:r w:rsidR="0015093B" w:rsidRPr="0015093B">
              <w:rPr>
                <w:rStyle w:val="Hyperlink"/>
                <w:rFonts w:ascii="Times New Roman" w:hAnsi="Times New Roman" w:cs="Times New Roman"/>
                <w:noProof/>
                <w:sz w:val="24"/>
                <w:szCs w:val="24"/>
              </w:rPr>
              <w:t>Analysis of the Share Price movement of paddy Power Betfair Plc:</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_Toc512017334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6</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1"/>
            <w:tabs>
              <w:tab w:val="right" w:leader="dot" w:pos="9350"/>
            </w:tabs>
            <w:jc w:val="both"/>
            <w:rPr>
              <w:rFonts w:ascii="Times New Roman" w:eastAsiaTheme="minorEastAsia" w:hAnsi="Times New Roman" w:cs="Times New Roman"/>
              <w:noProof/>
              <w:sz w:val="24"/>
              <w:szCs w:val="24"/>
            </w:rPr>
          </w:pPr>
          <w:hyperlink w:anchor="_Toc512017335" w:history="1">
            <w:r w:rsidR="0015093B" w:rsidRPr="0015093B">
              <w:rPr>
                <w:rStyle w:val="Hyperlink"/>
                <w:rFonts w:ascii="Times New Roman" w:hAnsi="Times New Roman" w:cs="Times New Roman"/>
                <w:noProof/>
                <w:sz w:val="24"/>
                <w:szCs w:val="24"/>
              </w:rPr>
              <w:t>Part a: Financial Analysis with the help of Ratio Analysis:</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_Toc512017335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7</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1"/>
            <w:tabs>
              <w:tab w:val="right" w:leader="dot" w:pos="9350"/>
            </w:tabs>
            <w:jc w:val="both"/>
            <w:rPr>
              <w:rFonts w:ascii="Times New Roman" w:eastAsiaTheme="minorEastAsia" w:hAnsi="Times New Roman" w:cs="Times New Roman"/>
              <w:noProof/>
              <w:sz w:val="24"/>
              <w:szCs w:val="24"/>
            </w:rPr>
          </w:pPr>
          <w:hyperlink w:anchor="_Toc512017336" w:history="1">
            <w:r w:rsidR="0015093B" w:rsidRPr="0015093B">
              <w:rPr>
                <w:rStyle w:val="Hyperlink"/>
                <w:rFonts w:ascii="Times New Roman" w:hAnsi="Times New Roman" w:cs="Times New Roman"/>
                <w:noProof/>
                <w:sz w:val="24"/>
                <w:szCs w:val="24"/>
              </w:rPr>
              <w:t>Profitability Analysis:</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_Toc512017336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7</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2"/>
            <w:tabs>
              <w:tab w:val="right" w:leader="dot" w:pos="9350"/>
            </w:tabs>
            <w:ind w:left="0"/>
            <w:jc w:val="both"/>
            <w:rPr>
              <w:rFonts w:ascii="Times New Roman" w:eastAsiaTheme="minorEastAsia" w:hAnsi="Times New Roman" w:cs="Times New Roman"/>
              <w:noProof/>
              <w:sz w:val="24"/>
              <w:szCs w:val="24"/>
            </w:rPr>
          </w:pPr>
          <w:hyperlink w:anchor="_Toc512017337" w:history="1">
            <w:r w:rsidR="0015093B" w:rsidRPr="0015093B">
              <w:rPr>
                <w:rStyle w:val="Hyperlink"/>
                <w:rFonts w:ascii="Times New Roman" w:hAnsi="Times New Roman" w:cs="Times New Roman"/>
                <w:noProof/>
                <w:sz w:val="24"/>
                <w:szCs w:val="24"/>
              </w:rPr>
              <w:t>Analysis of the Revenue growth and  Gross profit margin of William Hill Plc and paddy Power Betfair Plc:</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_Toc512017337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7</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2"/>
            <w:tabs>
              <w:tab w:val="right" w:leader="dot" w:pos="9350"/>
            </w:tabs>
            <w:ind w:left="0"/>
            <w:jc w:val="both"/>
            <w:rPr>
              <w:rFonts w:ascii="Times New Roman" w:eastAsiaTheme="minorEastAsia" w:hAnsi="Times New Roman" w:cs="Times New Roman"/>
              <w:noProof/>
              <w:sz w:val="24"/>
              <w:szCs w:val="24"/>
            </w:rPr>
          </w:pPr>
          <w:hyperlink w:anchor="_Toc512017338" w:history="1">
            <w:r w:rsidR="0015093B" w:rsidRPr="0015093B">
              <w:rPr>
                <w:rStyle w:val="Hyperlink"/>
                <w:rFonts w:ascii="Times New Roman" w:hAnsi="Times New Roman" w:cs="Times New Roman"/>
                <w:noProof/>
                <w:sz w:val="24"/>
                <w:szCs w:val="24"/>
              </w:rPr>
              <w:t>Analysis of the Net Profit before Interest and Tax (PBIT) margin of William Hill Plc and Paddy Power Betfair plc:</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_Toc512017338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7</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2"/>
            <w:tabs>
              <w:tab w:val="right" w:leader="dot" w:pos="9350"/>
            </w:tabs>
            <w:ind w:left="0"/>
            <w:jc w:val="both"/>
            <w:rPr>
              <w:rFonts w:ascii="Times New Roman" w:eastAsiaTheme="minorEastAsia" w:hAnsi="Times New Roman" w:cs="Times New Roman"/>
              <w:noProof/>
              <w:sz w:val="24"/>
              <w:szCs w:val="24"/>
            </w:rPr>
          </w:pPr>
          <w:hyperlink w:anchor="_Toc512017339" w:history="1">
            <w:r w:rsidR="0015093B" w:rsidRPr="0015093B">
              <w:rPr>
                <w:rStyle w:val="Hyperlink"/>
                <w:rFonts w:ascii="Times New Roman" w:hAnsi="Times New Roman" w:cs="Times New Roman"/>
                <w:noProof/>
                <w:sz w:val="24"/>
                <w:szCs w:val="24"/>
              </w:rPr>
              <w:t>Analysis of Liquidity of William Hill Plc and Paddy Power Betfair plc:</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_Toc512017339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8</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1"/>
            <w:tabs>
              <w:tab w:val="right" w:leader="dot" w:pos="9350"/>
            </w:tabs>
            <w:jc w:val="both"/>
            <w:rPr>
              <w:rFonts w:ascii="Times New Roman" w:eastAsiaTheme="minorEastAsia" w:hAnsi="Times New Roman" w:cs="Times New Roman"/>
              <w:noProof/>
              <w:sz w:val="24"/>
              <w:szCs w:val="24"/>
            </w:rPr>
          </w:pPr>
          <w:hyperlink w:anchor="_Toc512017340" w:history="1">
            <w:r w:rsidR="0015093B" w:rsidRPr="0015093B">
              <w:rPr>
                <w:rStyle w:val="Hyperlink"/>
                <w:rFonts w:ascii="Times New Roman" w:hAnsi="Times New Roman" w:cs="Times New Roman"/>
                <w:noProof/>
                <w:sz w:val="24"/>
                <w:szCs w:val="24"/>
              </w:rPr>
              <w:t>Analysis of the Asset Utilization:</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_Toc512017340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9</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2"/>
            <w:tabs>
              <w:tab w:val="right" w:leader="dot" w:pos="9350"/>
            </w:tabs>
            <w:ind w:left="0"/>
            <w:jc w:val="both"/>
            <w:rPr>
              <w:rFonts w:ascii="Times New Roman" w:eastAsiaTheme="minorEastAsia" w:hAnsi="Times New Roman" w:cs="Times New Roman"/>
              <w:noProof/>
              <w:sz w:val="24"/>
              <w:szCs w:val="24"/>
            </w:rPr>
          </w:pPr>
          <w:hyperlink w:anchor="_Toc512017341" w:history="1">
            <w:r w:rsidR="0015093B" w:rsidRPr="0015093B">
              <w:rPr>
                <w:rStyle w:val="Hyperlink"/>
                <w:rFonts w:ascii="Times New Roman" w:hAnsi="Times New Roman" w:cs="Times New Roman"/>
                <w:noProof/>
                <w:sz w:val="24"/>
                <w:szCs w:val="24"/>
              </w:rPr>
              <w:t>Analysis of the investor ratios:</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_Toc512017341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9</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1"/>
            <w:tabs>
              <w:tab w:val="right" w:leader="dot" w:pos="9350"/>
            </w:tabs>
            <w:jc w:val="both"/>
            <w:rPr>
              <w:rFonts w:ascii="Times New Roman" w:eastAsiaTheme="minorEastAsia" w:hAnsi="Times New Roman" w:cs="Times New Roman"/>
              <w:noProof/>
              <w:sz w:val="24"/>
              <w:szCs w:val="24"/>
            </w:rPr>
          </w:pPr>
          <w:hyperlink w:anchor="_Toc512017342" w:history="1">
            <w:r w:rsidR="0015093B" w:rsidRPr="0015093B">
              <w:rPr>
                <w:rStyle w:val="Hyperlink"/>
                <w:rFonts w:ascii="Times New Roman" w:hAnsi="Times New Roman" w:cs="Times New Roman"/>
                <w:noProof/>
                <w:sz w:val="24"/>
                <w:szCs w:val="24"/>
              </w:rPr>
              <w:t>Part b:</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_Toc512017342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13</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1"/>
            <w:tabs>
              <w:tab w:val="right" w:leader="dot" w:pos="9350"/>
            </w:tabs>
            <w:jc w:val="both"/>
            <w:rPr>
              <w:rFonts w:ascii="Times New Roman" w:eastAsiaTheme="minorEastAsia" w:hAnsi="Times New Roman" w:cs="Times New Roman"/>
              <w:noProof/>
              <w:sz w:val="24"/>
              <w:szCs w:val="24"/>
            </w:rPr>
          </w:pPr>
          <w:hyperlink w:anchor="_Toc512017343" w:history="1">
            <w:r w:rsidR="0015093B" w:rsidRPr="0015093B">
              <w:rPr>
                <w:rStyle w:val="Hyperlink"/>
                <w:rFonts w:ascii="Times New Roman" w:hAnsi="Times New Roman" w:cs="Times New Roman"/>
                <w:noProof/>
                <w:sz w:val="24"/>
                <w:szCs w:val="24"/>
              </w:rPr>
              <w:t>Recommending appropriate company for investment based on Tim risk appetite and results obtained from financial ratio analysis:</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_Toc512017343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13</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1"/>
            <w:tabs>
              <w:tab w:val="right" w:leader="dot" w:pos="9350"/>
            </w:tabs>
            <w:jc w:val="both"/>
            <w:rPr>
              <w:rFonts w:ascii="Times New Roman" w:eastAsiaTheme="minorEastAsia" w:hAnsi="Times New Roman" w:cs="Times New Roman"/>
              <w:noProof/>
              <w:sz w:val="24"/>
              <w:szCs w:val="24"/>
            </w:rPr>
          </w:pPr>
          <w:hyperlink w:anchor="_Toc512017344" w:history="1">
            <w:r w:rsidR="0015093B" w:rsidRPr="0015093B">
              <w:rPr>
                <w:rStyle w:val="Hyperlink"/>
                <w:rFonts w:ascii="Times New Roman" w:hAnsi="Times New Roman" w:cs="Times New Roman"/>
                <w:noProof/>
                <w:sz w:val="24"/>
                <w:szCs w:val="24"/>
              </w:rPr>
              <w:t>References:</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_Toc512017344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15</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1"/>
            <w:tabs>
              <w:tab w:val="right" w:leader="dot" w:pos="9350"/>
            </w:tabs>
            <w:jc w:val="both"/>
            <w:rPr>
              <w:rFonts w:ascii="Times New Roman" w:eastAsiaTheme="minorEastAsia" w:hAnsi="Times New Roman" w:cs="Times New Roman"/>
              <w:noProof/>
              <w:sz w:val="24"/>
              <w:szCs w:val="24"/>
            </w:rPr>
          </w:pPr>
          <w:hyperlink w:anchor="_Toc512017345" w:history="1">
            <w:r w:rsidR="0015093B" w:rsidRPr="0015093B">
              <w:rPr>
                <w:rStyle w:val="Hyperlink"/>
                <w:rFonts w:ascii="Times New Roman" w:hAnsi="Times New Roman" w:cs="Times New Roman"/>
                <w:noProof/>
                <w:sz w:val="24"/>
                <w:szCs w:val="24"/>
              </w:rPr>
              <w:t>Appendix:</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_Toc512017345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16</w:t>
            </w:r>
            <w:r w:rsidR="0015093B" w:rsidRPr="0015093B">
              <w:rPr>
                <w:rFonts w:ascii="Times New Roman" w:hAnsi="Times New Roman" w:cs="Times New Roman"/>
                <w:noProof/>
                <w:webHidden/>
                <w:sz w:val="24"/>
                <w:szCs w:val="24"/>
              </w:rPr>
              <w:fldChar w:fldCharType="end"/>
            </w:r>
          </w:hyperlink>
        </w:p>
        <w:p w:rsidR="0015093B" w:rsidRPr="0015093B" w:rsidRDefault="006D4586" w:rsidP="001378D8">
          <w:pPr>
            <w:pStyle w:val="TOC1"/>
            <w:tabs>
              <w:tab w:val="right" w:leader="dot" w:pos="9350"/>
            </w:tabs>
            <w:jc w:val="both"/>
            <w:rPr>
              <w:rFonts w:ascii="Times New Roman" w:eastAsiaTheme="minorEastAsia" w:hAnsi="Times New Roman" w:cs="Times New Roman"/>
              <w:noProof/>
              <w:sz w:val="24"/>
              <w:szCs w:val="24"/>
            </w:rPr>
          </w:pPr>
          <w:hyperlink w:anchor="_Toc512017346" w:history="1">
            <w:r w:rsidR="0015093B" w:rsidRPr="0015093B">
              <w:rPr>
                <w:rStyle w:val="Hyperlink"/>
                <w:rFonts w:ascii="Times New Roman" w:hAnsi="Times New Roman" w:cs="Times New Roman"/>
                <w:noProof/>
                <w:sz w:val="24"/>
                <w:szCs w:val="24"/>
              </w:rPr>
              <w:t>Calculation of Different Financial ratios:</w:t>
            </w:r>
            <w:r w:rsidR="0015093B" w:rsidRPr="0015093B">
              <w:rPr>
                <w:rFonts w:ascii="Times New Roman" w:hAnsi="Times New Roman" w:cs="Times New Roman"/>
                <w:noProof/>
                <w:webHidden/>
                <w:sz w:val="24"/>
                <w:szCs w:val="24"/>
              </w:rPr>
              <w:tab/>
            </w:r>
            <w:r w:rsidR="0015093B" w:rsidRPr="0015093B">
              <w:rPr>
                <w:rFonts w:ascii="Times New Roman" w:hAnsi="Times New Roman" w:cs="Times New Roman"/>
                <w:noProof/>
                <w:webHidden/>
                <w:sz w:val="24"/>
                <w:szCs w:val="24"/>
              </w:rPr>
              <w:fldChar w:fldCharType="begin"/>
            </w:r>
            <w:r w:rsidR="0015093B" w:rsidRPr="0015093B">
              <w:rPr>
                <w:rFonts w:ascii="Times New Roman" w:hAnsi="Times New Roman" w:cs="Times New Roman"/>
                <w:noProof/>
                <w:webHidden/>
                <w:sz w:val="24"/>
                <w:szCs w:val="24"/>
              </w:rPr>
              <w:instrText xml:space="preserve"> PAGEREF _Toc512017346 \h </w:instrText>
            </w:r>
            <w:r w:rsidR="0015093B" w:rsidRPr="0015093B">
              <w:rPr>
                <w:rFonts w:ascii="Times New Roman" w:hAnsi="Times New Roman" w:cs="Times New Roman"/>
                <w:noProof/>
                <w:webHidden/>
                <w:sz w:val="24"/>
                <w:szCs w:val="24"/>
              </w:rPr>
            </w:r>
            <w:r w:rsidR="0015093B" w:rsidRPr="0015093B">
              <w:rPr>
                <w:rFonts w:ascii="Times New Roman" w:hAnsi="Times New Roman" w:cs="Times New Roman"/>
                <w:noProof/>
                <w:webHidden/>
                <w:sz w:val="24"/>
                <w:szCs w:val="24"/>
              </w:rPr>
              <w:fldChar w:fldCharType="separate"/>
            </w:r>
            <w:r w:rsidR="0015093B">
              <w:rPr>
                <w:rFonts w:ascii="Times New Roman" w:hAnsi="Times New Roman" w:cs="Times New Roman"/>
                <w:noProof/>
                <w:webHidden/>
                <w:sz w:val="24"/>
                <w:szCs w:val="24"/>
              </w:rPr>
              <w:t>16</w:t>
            </w:r>
            <w:r w:rsidR="0015093B" w:rsidRPr="0015093B">
              <w:rPr>
                <w:rFonts w:ascii="Times New Roman" w:hAnsi="Times New Roman" w:cs="Times New Roman"/>
                <w:noProof/>
                <w:webHidden/>
                <w:sz w:val="24"/>
                <w:szCs w:val="24"/>
              </w:rPr>
              <w:fldChar w:fldCharType="end"/>
            </w:r>
          </w:hyperlink>
        </w:p>
        <w:p w:rsidR="001378D8" w:rsidRDefault="0015093B" w:rsidP="001378D8">
          <w:pPr>
            <w:jc w:val="both"/>
          </w:pPr>
          <w:r w:rsidRPr="0015093B">
            <w:rPr>
              <w:rFonts w:ascii="Times New Roman" w:hAnsi="Times New Roman" w:cs="Times New Roman"/>
              <w:sz w:val="24"/>
              <w:szCs w:val="24"/>
            </w:rPr>
            <w:fldChar w:fldCharType="end"/>
          </w:r>
        </w:p>
      </w:sdtContent>
    </w:sdt>
    <w:bookmarkStart w:id="0" w:name="_Toc512017331" w:displacedByCustomXml="prev"/>
    <w:p w:rsidR="00241AB1" w:rsidRDefault="00241AB1" w:rsidP="005B7C16">
      <w:pPr>
        <w:pStyle w:val="Heading1"/>
        <w:spacing w:line="360" w:lineRule="auto"/>
      </w:pPr>
    </w:p>
    <w:p w:rsidR="00241AB1" w:rsidRDefault="00241AB1" w:rsidP="005B7C16">
      <w:pPr>
        <w:pStyle w:val="Heading1"/>
        <w:spacing w:line="360" w:lineRule="auto"/>
      </w:pPr>
    </w:p>
    <w:p w:rsidR="00241AB1" w:rsidRPr="00241AB1" w:rsidRDefault="00241AB1" w:rsidP="00241AB1"/>
    <w:p w:rsidR="00250F59" w:rsidRPr="005B7C16" w:rsidRDefault="00250F59" w:rsidP="005B7C16">
      <w:pPr>
        <w:pStyle w:val="Heading1"/>
        <w:spacing w:line="360" w:lineRule="auto"/>
      </w:pPr>
      <w:r w:rsidRPr="005B7C16">
        <w:lastRenderedPageBreak/>
        <w:t>Introduction:</w:t>
      </w:r>
      <w:bookmarkEnd w:id="0"/>
    </w:p>
    <w:p w:rsidR="00250F59" w:rsidRDefault="005B7C16" w:rsidP="005B7C16">
      <w:pPr>
        <w:spacing w:line="360" w:lineRule="auto"/>
        <w:jc w:val="both"/>
        <w:rPr>
          <w:rFonts w:ascii="Times New Roman" w:hAnsi="Times New Roman" w:cs="Times New Roman"/>
          <w:sz w:val="24"/>
          <w:szCs w:val="24"/>
        </w:rPr>
      </w:pPr>
      <w:r w:rsidRPr="005B7C16">
        <w:rPr>
          <w:rFonts w:ascii="Times New Roman" w:hAnsi="Times New Roman" w:cs="Times New Roman"/>
          <w:sz w:val="24"/>
          <w:szCs w:val="24"/>
        </w:rPr>
        <w:t>Tim F</w:t>
      </w:r>
      <w:r w:rsidR="00250F59" w:rsidRPr="005B7C16">
        <w:rPr>
          <w:rFonts w:ascii="Times New Roman" w:hAnsi="Times New Roman" w:cs="Times New Roman"/>
          <w:sz w:val="24"/>
          <w:szCs w:val="24"/>
        </w:rPr>
        <w:t xml:space="preserve">arrow is </w:t>
      </w:r>
      <w:r w:rsidR="001378D8" w:rsidRPr="005B7C16">
        <w:rPr>
          <w:rFonts w:ascii="Times New Roman" w:hAnsi="Times New Roman" w:cs="Times New Roman"/>
          <w:sz w:val="24"/>
          <w:szCs w:val="24"/>
        </w:rPr>
        <w:t>a</w:t>
      </w:r>
      <w:r w:rsidR="00250F59" w:rsidRPr="005B7C16">
        <w:rPr>
          <w:rFonts w:ascii="Times New Roman" w:hAnsi="Times New Roman" w:cs="Times New Roman"/>
          <w:sz w:val="24"/>
          <w:szCs w:val="24"/>
        </w:rPr>
        <w:t xml:space="preserve"> risk averse wealthy investor and </w:t>
      </w:r>
      <w:r w:rsidRPr="005B7C16">
        <w:rPr>
          <w:rFonts w:ascii="Times New Roman" w:hAnsi="Times New Roman" w:cs="Times New Roman"/>
          <w:sz w:val="24"/>
          <w:szCs w:val="24"/>
        </w:rPr>
        <w:t>who has been a client of wealth management firm World Wealth management. Mr. Tim has a large portfolio and off</w:t>
      </w:r>
      <w:r w:rsidR="001378D8">
        <w:rPr>
          <w:rFonts w:ascii="Times New Roman" w:hAnsi="Times New Roman" w:cs="Times New Roman"/>
          <w:sz w:val="24"/>
          <w:szCs w:val="24"/>
        </w:rPr>
        <w:t xml:space="preserve"> </w:t>
      </w:r>
      <w:r w:rsidRPr="005B7C16">
        <w:rPr>
          <w:rFonts w:ascii="Times New Roman" w:hAnsi="Times New Roman" w:cs="Times New Roman"/>
          <w:sz w:val="24"/>
          <w:szCs w:val="24"/>
        </w:rPr>
        <w:t xml:space="preserve">late he has been willing to invest in a </w:t>
      </w:r>
      <w:r>
        <w:rPr>
          <w:rFonts w:ascii="Times New Roman" w:hAnsi="Times New Roman" w:cs="Times New Roman"/>
          <w:sz w:val="24"/>
          <w:szCs w:val="24"/>
        </w:rPr>
        <w:t xml:space="preserve">quality stocks in the </w:t>
      </w:r>
      <w:r w:rsidR="001378D8">
        <w:rPr>
          <w:rFonts w:ascii="Times New Roman" w:hAnsi="Times New Roman" w:cs="Times New Roman"/>
          <w:sz w:val="24"/>
          <w:szCs w:val="24"/>
        </w:rPr>
        <w:t>UK’s</w:t>
      </w:r>
      <w:r>
        <w:rPr>
          <w:rFonts w:ascii="Times New Roman" w:hAnsi="Times New Roman" w:cs="Times New Roman"/>
          <w:sz w:val="24"/>
          <w:szCs w:val="24"/>
        </w:rPr>
        <w:t xml:space="preserve"> Travel and leisure industry. It is for this reason he has chosen two stocks namely William Hill Plc and Paddy Power Betfair </w:t>
      </w:r>
      <w:r w:rsidR="001378D8">
        <w:rPr>
          <w:rFonts w:ascii="Times New Roman" w:hAnsi="Times New Roman" w:cs="Times New Roman"/>
          <w:sz w:val="24"/>
          <w:szCs w:val="24"/>
        </w:rPr>
        <w:t xml:space="preserve">Plc. </w:t>
      </w:r>
      <w:r>
        <w:rPr>
          <w:rFonts w:ascii="Times New Roman" w:hAnsi="Times New Roman" w:cs="Times New Roman"/>
          <w:sz w:val="24"/>
          <w:szCs w:val="24"/>
        </w:rPr>
        <w:t xml:space="preserve">It is important that before investing in any stock, it is extremely essential to analyze the fundamental of the company. Therefore in order to analyze the fundamentals of the company from the financial standpoint, the company’s financial ratio must be evaluated which will enable to provide a comprehensive view regarding the company in which  the investor is willing to invest. </w:t>
      </w:r>
    </w:p>
    <w:p w:rsidR="005B7C16" w:rsidRDefault="005B7C16" w:rsidP="005B7C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essentially portrays a comprehensive financial analysis. The financial analysis is carried out with the help of various ratios from the aspect of profitability, liquidity, working capital efficiency, inventory management, asset utilization and </w:t>
      </w:r>
      <w:r w:rsidR="008B1D3B">
        <w:rPr>
          <w:rFonts w:ascii="Times New Roman" w:hAnsi="Times New Roman" w:cs="Times New Roman"/>
          <w:sz w:val="24"/>
          <w:szCs w:val="24"/>
        </w:rPr>
        <w:t>investor’s</w:t>
      </w:r>
      <w:r>
        <w:rPr>
          <w:rFonts w:ascii="Times New Roman" w:hAnsi="Times New Roman" w:cs="Times New Roman"/>
          <w:sz w:val="24"/>
          <w:szCs w:val="24"/>
        </w:rPr>
        <w:t xml:space="preserve"> ratio. It is also important to mention that various ratios from the above mentioned perspective will be </w:t>
      </w:r>
      <w:r w:rsidR="00B14096">
        <w:rPr>
          <w:rFonts w:ascii="Times New Roman" w:hAnsi="Times New Roman" w:cs="Times New Roman"/>
          <w:sz w:val="24"/>
          <w:szCs w:val="24"/>
        </w:rPr>
        <w:t>analyzed and all the ratio will be calculated from available published data from the financial statement of both the companies for last 3 financial year. It is in addition to it, the share price movement and the dividend payments to the shareholders of William Hill Plc and Paddy Power Betfair Plc will also be considered for a holistic financial analysis.</w:t>
      </w:r>
    </w:p>
    <w:p w:rsidR="00B14096" w:rsidRPr="002D64B1" w:rsidRDefault="00B324BE" w:rsidP="005B7C16">
      <w:pPr>
        <w:spacing w:line="360" w:lineRule="auto"/>
        <w:jc w:val="both"/>
        <w:rPr>
          <w:rFonts w:ascii="Times New Roman" w:hAnsi="Times New Roman" w:cs="Times New Roman"/>
          <w:b/>
          <w:sz w:val="24"/>
          <w:szCs w:val="24"/>
          <w:u w:val="single"/>
        </w:rPr>
      </w:pPr>
      <w:r w:rsidRPr="002D64B1">
        <w:rPr>
          <w:rFonts w:ascii="Times New Roman" w:hAnsi="Times New Roman" w:cs="Times New Roman"/>
          <w:b/>
          <w:sz w:val="24"/>
          <w:szCs w:val="24"/>
          <w:u w:val="single"/>
        </w:rPr>
        <w:t>Overview of William Hill Plc:</w:t>
      </w:r>
    </w:p>
    <w:p w:rsidR="003105F3" w:rsidRPr="0015093B" w:rsidRDefault="003105F3" w:rsidP="0015093B">
      <w:pPr>
        <w:spacing w:line="360" w:lineRule="auto"/>
        <w:jc w:val="both"/>
        <w:rPr>
          <w:rFonts w:ascii="Times New Roman" w:hAnsi="Times New Roman" w:cs="Times New Roman"/>
          <w:b/>
          <w:sz w:val="24"/>
          <w:szCs w:val="24"/>
        </w:rPr>
      </w:pPr>
      <w:r w:rsidRPr="0015093B">
        <w:rPr>
          <w:rFonts w:ascii="Times New Roman" w:hAnsi="Times New Roman" w:cs="Times New Roman"/>
          <w:sz w:val="24"/>
          <w:szCs w:val="24"/>
        </w:rPr>
        <w:t>William Hill PLC is a company based in London which deals with licensed betting operated globally. The company has been listed in the London Stock Exchange. It has also been part of the FTSE 250 index. The company has a working strength of about 1600 employees only in the head office itself. The head office of the organization is situated at the Republic of Ireland and Gibraltar. Many tele-betting centres in UK and abroad are part of this company. The business of this company is as huge spread as a quarter of the total betting industry of United Kingdom.</w:t>
      </w:r>
    </w:p>
    <w:p w:rsidR="003105F3" w:rsidRPr="003105F3" w:rsidRDefault="00242D47" w:rsidP="003105F3">
      <w:pPr>
        <w:jc w:val="both"/>
        <w:rPr>
          <w:rFonts w:ascii="Times New Roman" w:hAnsi="Times New Roman" w:cs="Times New Roman"/>
          <w:b/>
          <w:sz w:val="24"/>
          <w:szCs w:val="24"/>
          <w:u w:val="single"/>
          <w:lang w:val="en-GB"/>
        </w:rPr>
      </w:pPr>
      <w:r w:rsidRPr="003105F3">
        <w:rPr>
          <w:rFonts w:ascii="Times New Roman" w:hAnsi="Times New Roman" w:cs="Times New Roman"/>
          <w:b/>
          <w:sz w:val="24"/>
          <w:szCs w:val="24"/>
          <w:u w:val="single"/>
        </w:rPr>
        <w:t xml:space="preserve">Overview of </w:t>
      </w:r>
      <w:r w:rsidR="003105F3" w:rsidRPr="003105F3">
        <w:rPr>
          <w:rFonts w:ascii="Times New Roman" w:hAnsi="Times New Roman" w:cs="Times New Roman"/>
          <w:b/>
          <w:sz w:val="24"/>
          <w:szCs w:val="24"/>
          <w:u w:val="single"/>
          <w:lang w:val="en-GB"/>
        </w:rPr>
        <w:t>Paddy Power Betfair PLC</w:t>
      </w:r>
    </w:p>
    <w:p w:rsidR="003105F3" w:rsidRPr="00403F7A" w:rsidRDefault="001378D8" w:rsidP="0015093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company was formed </w:t>
      </w:r>
      <w:r w:rsidR="003105F3">
        <w:rPr>
          <w:rFonts w:ascii="Times New Roman" w:hAnsi="Times New Roman" w:cs="Times New Roman"/>
          <w:sz w:val="24"/>
          <w:szCs w:val="24"/>
          <w:lang w:val="en-GB"/>
        </w:rPr>
        <w:t xml:space="preserve">in 2016 having the headquarters in Dublin, Ireland as fact of </w:t>
      </w:r>
      <w:r>
        <w:rPr>
          <w:rFonts w:ascii="Times New Roman" w:hAnsi="Times New Roman" w:cs="Times New Roman"/>
          <w:sz w:val="24"/>
          <w:szCs w:val="24"/>
          <w:lang w:val="en-GB"/>
        </w:rPr>
        <w:t xml:space="preserve">merger between paddy Power and </w:t>
      </w:r>
      <w:r w:rsidR="003105F3">
        <w:rPr>
          <w:rFonts w:ascii="Times New Roman" w:hAnsi="Times New Roman" w:cs="Times New Roman"/>
          <w:sz w:val="24"/>
          <w:szCs w:val="24"/>
          <w:lang w:val="en-GB"/>
        </w:rPr>
        <w:t xml:space="preserve">Betfair. In the merger the Paddy Power owns 52% of shareholdings and the Betfair owns the rest. The betting company has a workforce of more than 7500 as per the last reports. In Ireland and UK the company has about 6oo retailing outlets. Some operations of </w:t>
      </w:r>
      <w:r w:rsidR="003105F3">
        <w:rPr>
          <w:rFonts w:ascii="Times New Roman" w:hAnsi="Times New Roman" w:cs="Times New Roman"/>
          <w:sz w:val="24"/>
          <w:szCs w:val="24"/>
          <w:lang w:val="en-GB"/>
        </w:rPr>
        <w:lastRenderedPageBreak/>
        <w:t xml:space="preserve">betting are also performed online. Licensed sports bets are done by this company in Australia. The brands associated with the Paddy Power Betfair PLC are like the Paddy Power, Betfair, TVG and Sportsbet. </w:t>
      </w:r>
    </w:p>
    <w:p w:rsidR="002D64B1" w:rsidRDefault="002D64B1" w:rsidP="005B7C16">
      <w:pPr>
        <w:spacing w:line="360" w:lineRule="auto"/>
        <w:jc w:val="both"/>
        <w:rPr>
          <w:rFonts w:ascii="Times New Roman" w:hAnsi="Times New Roman" w:cs="Times New Roman"/>
          <w:sz w:val="24"/>
          <w:szCs w:val="24"/>
        </w:rPr>
      </w:pPr>
    </w:p>
    <w:p w:rsidR="00B324BE" w:rsidRDefault="00B324BE" w:rsidP="002D64B1">
      <w:pPr>
        <w:pStyle w:val="Heading1"/>
      </w:pPr>
      <w:bookmarkStart w:id="1" w:name="_Toc512017332"/>
      <w:r>
        <w:t>Analysis of the Share Price movement of William Hill plc:</w:t>
      </w:r>
      <w:bookmarkEnd w:id="1"/>
    </w:p>
    <w:p w:rsidR="00B324BE" w:rsidRDefault="00605136" w:rsidP="005B7C16">
      <w:pPr>
        <w:spacing w:line="360" w:lineRule="auto"/>
        <w:jc w:val="both"/>
        <w:rPr>
          <w:rFonts w:ascii="Times New Roman" w:hAnsi="Times New Roman" w:cs="Times New Roman"/>
          <w:sz w:val="24"/>
          <w:szCs w:val="24"/>
        </w:rPr>
      </w:pPr>
      <w:r>
        <w:rPr>
          <w:rFonts w:ascii="Times New Roman" w:hAnsi="Times New Roman" w:cs="Times New Roman"/>
          <w:sz w:val="24"/>
          <w:szCs w:val="24"/>
        </w:rPr>
        <w:t>In this section, the share price of William hill has been portrayed below for the period of 15</w:t>
      </w:r>
      <w:r w:rsidRPr="0060513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2015 </w:t>
      </w:r>
      <w:r w:rsidR="001378D8">
        <w:rPr>
          <w:rFonts w:ascii="Times New Roman" w:hAnsi="Times New Roman" w:cs="Times New Roman"/>
          <w:sz w:val="24"/>
          <w:szCs w:val="24"/>
        </w:rPr>
        <w:t xml:space="preserve"> </w:t>
      </w:r>
      <w:r>
        <w:rPr>
          <w:rFonts w:ascii="Times New Roman" w:hAnsi="Times New Roman" w:cs="Times New Roman"/>
          <w:sz w:val="24"/>
          <w:szCs w:val="24"/>
        </w:rPr>
        <w:t xml:space="preserve"> to 15</w:t>
      </w:r>
      <w:r w:rsidRPr="0060513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rsidR="00605136" w:rsidRDefault="00605136" w:rsidP="005B7C16">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37885" cy="2861945"/>
            <wp:effectExtent l="38100" t="57150" r="120015" b="908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37885" cy="2861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05136" w:rsidRPr="002D64B1" w:rsidRDefault="00605136" w:rsidP="002D64B1">
      <w:pPr>
        <w:spacing w:line="360" w:lineRule="auto"/>
        <w:jc w:val="center"/>
        <w:rPr>
          <w:rFonts w:ascii="Times New Roman" w:hAnsi="Times New Roman" w:cs="Times New Roman"/>
          <w:b/>
          <w:sz w:val="24"/>
          <w:szCs w:val="24"/>
        </w:rPr>
      </w:pPr>
      <w:r w:rsidRPr="002D64B1">
        <w:rPr>
          <w:rFonts w:ascii="Times New Roman" w:hAnsi="Times New Roman" w:cs="Times New Roman"/>
          <w:b/>
          <w:sz w:val="24"/>
          <w:szCs w:val="24"/>
        </w:rPr>
        <w:t>Figure: Share Price movement of William Hill plc for last 3 years (Source: London Stock Exchange)</w:t>
      </w:r>
    </w:p>
    <w:p w:rsidR="00605136" w:rsidRDefault="00605136" w:rsidP="005B7C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[Note: price is in </w:t>
      </w:r>
      <w:r>
        <w:rPr>
          <w:rFonts w:ascii="Calibri" w:hAnsi="Calibri" w:cs="Calibri"/>
          <w:sz w:val="24"/>
          <w:szCs w:val="24"/>
        </w:rPr>
        <w:t>£]</w:t>
      </w:r>
    </w:p>
    <w:p w:rsidR="00605136" w:rsidRDefault="00605136" w:rsidP="005B7C16">
      <w:pPr>
        <w:spacing w:line="360" w:lineRule="auto"/>
        <w:jc w:val="both"/>
        <w:rPr>
          <w:rFonts w:ascii="Times New Roman" w:hAnsi="Times New Roman" w:cs="Times New Roman"/>
          <w:sz w:val="24"/>
          <w:szCs w:val="24"/>
        </w:rPr>
      </w:pPr>
      <w:r>
        <w:rPr>
          <w:rFonts w:ascii="Times New Roman" w:hAnsi="Times New Roman" w:cs="Times New Roman"/>
          <w:sz w:val="24"/>
          <w:szCs w:val="24"/>
        </w:rPr>
        <w:t>It is observed that the share price of stock of William Hill plc as on 15</w:t>
      </w:r>
      <w:r w:rsidRPr="0060513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2015 was </w:t>
      </w:r>
      <w:r>
        <w:rPr>
          <w:rFonts w:ascii="Calibri" w:hAnsi="Calibri" w:cs="Calibri"/>
          <w:sz w:val="24"/>
          <w:szCs w:val="24"/>
        </w:rPr>
        <w:t>£</w:t>
      </w:r>
      <w:r>
        <w:rPr>
          <w:rFonts w:ascii="Times New Roman" w:hAnsi="Times New Roman" w:cs="Times New Roman"/>
          <w:sz w:val="24"/>
          <w:szCs w:val="24"/>
        </w:rPr>
        <w:t>371.5 and that on 15</w:t>
      </w:r>
      <w:r w:rsidRPr="00605136">
        <w:rPr>
          <w:rFonts w:ascii="Times New Roman" w:hAnsi="Times New Roman" w:cs="Times New Roman"/>
          <w:sz w:val="24"/>
          <w:szCs w:val="24"/>
          <w:vertAlign w:val="superscript"/>
        </w:rPr>
        <w:t>th</w:t>
      </w:r>
      <w:r w:rsidR="001378D8">
        <w:rPr>
          <w:rFonts w:ascii="Times New Roman" w:hAnsi="Times New Roman" w:cs="Times New Roman"/>
          <w:sz w:val="24"/>
          <w:szCs w:val="24"/>
        </w:rPr>
        <w:t xml:space="preserve"> </w:t>
      </w:r>
      <w:r w:rsidR="007F0F60">
        <w:rPr>
          <w:rFonts w:ascii="Times New Roman" w:hAnsi="Times New Roman" w:cs="Times New Roman"/>
          <w:sz w:val="24"/>
          <w:szCs w:val="24"/>
        </w:rPr>
        <w:t>April,</w:t>
      </w:r>
      <w:r>
        <w:rPr>
          <w:rFonts w:ascii="Times New Roman" w:hAnsi="Times New Roman" w:cs="Times New Roman"/>
          <w:sz w:val="24"/>
          <w:szCs w:val="24"/>
        </w:rPr>
        <w:t xml:space="preserve"> 2018 is </w:t>
      </w:r>
      <w:r>
        <w:rPr>
          <w:rFonts w:ascii="Calibri" w:hAnsi="Calibri" w:cs="Calibri"/>
          <w:sz w:val="24"/>
          <w:szCs w:val="24"/>
        </w:rPr>
        <w:t>£</w:t>
      </w:r>
      <w:r>
        <w:rPr>
          <w:rFonts w:ascii="Times New Roman" w:hAnsi="Times New Roman" w:cs="Times New Roman"/>
          <w:sz w:val="24"/>
          <w:szCs w:val="24"/>
        </w:rPr>
        <w:t xml:space="preserve">329.8. So it can be rightly evaluated that share price of the stock has declined in absolute terms by 12.68% in last 3 years. It can be observed from the above </w:t>
      </w:r>
      <w:r w:rsidR="002D64B1">
        <w:rPr>
          <w:rFonts w:ascii="Times New Roman" w:hAnsi="Times New Roman" w:cs="Times New Roman"/>
          <w:sz w:val="24"/>
          <w:szCs w:val="24"/>
        </w:rPr>
        <w:t xml:space="preserve">share price movement of the betting or bookmaking company </w:t>
      </w:r>
      <w:r>
        <w:rPr>
          <w:rFonts w:ascii="Times New Roman" w:hAnsi="Times New Roman" w:cs="Times New Roman"/>
          <w:sz w:val="24"/>
          <w:szCs w:val="24"/>
        </w:rPr>
        <w:t xml:space="preserve">  that the share price of the company has </w:t>
      </w:r>
      <w:r w:rsidR="002D64B1">
        <w:rPr>
          <w:rFonts w:ascii="Times New Roman" w:hAnsi="Times New Roman" w:cs="Times New Roman"/>
          <w:sz w:val="24"/>
          <w:szCs w:val="24"/>
        </w:rPr>
        <w:t xml:space="preserve">declined sharply during the period of January 2016 and July 2016 from the </w:t>
      </w:r>
      <w:r w:rsidR="002D64B1">
        <w:rPr>
          <w:rFonts w:ascii="Calibri" w:hAnsi="Calibri" w:cs="Calibri"/>
          <w:sz w:val="24"/>
          <w:szCs w:val="24"/>
        </w:rPr>
        <w:t>£</w:t>
      </w:r>
      <w:r w:rsidR="002D64B1">
        <w:rPr>
          <w:rFonts w:ascii="Times New Roman" w:hAnsi="Times New Roman" w:cs="Times New Roman"/>
          <w:sz w:val="24"/>
          <w:szCs w:val="24"/>
        </w:rPr>
        <w:t xml:space="preserve">400 levels to a almost </w:t>
      </w:r>
      <w:r w:rsidR="002D64B1">
        <w:rPr>
          <w:rFonts w:ascii="Calibri" w:hAnsi="Calibri" w:cs="Calibri"/>
          <w:sz w:val="24"/>
          <w:szCs w:val="24"/>
        </w:rPr>
        <w:t>£</w:t>
      </w:r>
      <w:r w:rsidR="002D64B1">
        <w:rPr>
          <w:rFonts w:ascii="Times New Roman" w:hAnsi="Times New Roman" w:cs="Times New Roman"/>
          <w:sz w:val="24"/>
          <w:szCs w:val="24"/>
        </w:rPr>
        <w:t xml:space="preserve">220. So there has been a 50% decline in the valuation in the stock. The main reason of </w:t>
      </w:r>
      <w:r w:rsidR="002D64B1">
        <w:rPr>
          <w:rFonts w:ascii="Times New Roman" w:hAnsi="Times New Roman" w:cs="Times New Roman"/>
          <w:sz w:val="24"/>
          <w:szCs w:val="24"/>
        </w:rPr>
        <w:lastRenderedPageBreak/>
        <w:t xml:space="preserve">this sharp decline is partially due to bad global outlook and also due to some series of unfavorable events. Like imposition of hefty fines and closure of business in few international locations. </w:t>
      </w:r>
    </w:p>
    <w:p w:rsidR="002D64B1" w:rsidRDefault="002D64B1" w:rsidP="005B7C16">
      <w:pPr>
        <w:spacing w:line="360" w:lineRule="auto"/>
        <w:jc w:val="both"/>
        <w:rPr>
          <w:rFonts w:ascii="Times New Roman" w:hAnsi="Times New Roman" w:cs="Times New Roman"/>
          <w:sz w:val="24"/>
          <w:szCs w:val="24"/>
        </w:rPr>
      </w:pPr>
    </w:p>
    <w:p w:rsidR="002D64B1" w:rsidRDefault="002D64B1" w:rsidP="002D64B1">
      <w:pPr>
        <w:pStyle w:val="Heading1"/>
      </w:pPr>
      <w:bookmarkStart w:id="2" w:name="_Toc512017333"/>
      <w:r>
        <w:t>Analysis of Dividend payment history of William Hill plc:</w:t>
      </w:r>
      <w:bookmarkEnd w:id="2"/>
      <w:r>
        <w:t xml:space="preserve"> </w:t>
      </w:r>
    </w:p>
    <w:p w:rsidR="002D64B1" w:rsidRDefault="002D64B1" w:rsidP="005B7C16">
      <w:pPr>
        <w:spacing w:line="360" w:lineRule="auto"/>
        <w:jc w:val="both"/>
        <w:rPr>
          <w:rFonts w:ascii="Times New Roman" w:hAnsi="Times New Roman" w:cs="Times New Roman"/>
          <w:sz w:val="24"/>
          <w:szCs w:val="24"/>
        </w:rPr>
      </w:pPr>
    </w:p>
    <w:p w:rsidR="008240CF" w:rsidRDefault="008240CF" w:rsidP="005B7C16">
      <w:pPr>
        <w:spacing w:line="360" w:lineRule="auto"/>
        <w:jc w:val="both"/>
        <w:rPr>
          <w:rFonts w:ascii="Times New Roman" w:hAnsi="Times New Roman" w:cs="Times New Roman"/>
          <w:sz w:val="24"/>
          <w:szCs w:val="24"/>
        </w:rPr>
      </w:pPr>
      <w:r>
        <w:rPr>
          <w:rFonts w:ascii="Times New Roman" w:hAnsi="Times New Roman" w:cs="Times New Roman"/>
          <w:sz w:val="24"/>
          <w:szCs w:val="24"/>
        </w:rPr>
        <w:t>In this part of this report, the dividend payments that has been</w:t>
      </w:r>
      <w:r w:rsidR="001378D8">
        <w:rPr>
          <w:rFonts w:ascii="Times New Roman" w:hAnsi="Times New Roman" w:cs="Times New Roman"/>
          <w:sz w:val="24"/>
          <w:szCs w:val="24"/>
        </w:rPr>
        <w:t xml:space="preserve"> </w:t>
      </w:r>
      <w:r>
        <w:rPr>
          <w:rFonts w:ascii="Times New Roman" w:hAnsi="Times New Roman" w:cs="Times New Roman"/>
          <w:sz w:val="24"/>
          <w:szCs w:val="24"/>
        </w:rPr>
        <w:t xml:space="preserve">announced by the management </w:t>
      </w:r>
      <w:r w:rsidR="000F7603">
        <w:rPr>
          <w:rFonts w:ascii="Times New Roman" w:hAnsi="Times New Roman" w:cs="Times New Roman"/>
          <w:sz w:val="24"/>
          <w:szCs w:val="24"/>
        </w:rPr>
        <w:t>of company</w:t>
      </w:r>
      <w:r>
        <w:rPr>
          <w:rFonts w:ascii="Times New Roman" w:hAnsi="Times New Roman" w:cs="Times New Roman"/>
          <w:sz w:val="24"/>
          <w:szCs w:val="24"/>
        </w:rPr>
        <w:t xml:space="preserve"> in the last 3 years has been depicted below. </w:t>
      </w:r>
    </w:p>
    <w:p w:rsidR="002D64B1" w:rsidRDefault="002D64B1" w:rsidP="005B7C16">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37885" cy="3740785"/>
            <wp:effectExtent l="38100" t="57150" r="120015" b="8826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37885" cy="37407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E6F93" w:rsidRDefault="008240CF" w:rsidP="00DE6F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could be rightly observed from the above figure that the company has been providing continuous dividends to the shareholders. The dividends that is provided by the company is in the form of interim and final dividend. The payment of dividend reflects the fact that management continuously wants to share a part of profitability with the shareholders. </w:t>
      </w:r>
    </w:p>
    <w:p w:rsidR="008240CF" w:rsidRPr="00DE6F93" w:rsidRDefault="008240CF" w:rsidP="00DE6F93">
      <w:pPr>
        <w:pStyle w:val="Heading1"/>
        <w:rPr>
          <w:rFonts w:ascii="Times New Roman" w:hAnsi="Times New Roman" w:cs="Times New Roman"/>
          <w:sz w:val="24"/>
          <w:szCs w:val="24"/>
        </w:rPr>
      </w:pPr>
      <w:bookmarkStart w:id="3" w:name="_Toc512017334"/>
      <w:r>
        <w:lastRenderedPageBreak/>
        <w:t xml:space="preserve">Analysis of the Share Price movement of </w:t>
      </w:r>
      <w:r w:rsidR="00AD07D8">
        <w:t>paddy Power Betfair Plc:</w:t>
      </w:r>
      <w:bookmarkEnd w:id="3"/>
      <w:r w:rsidR="00AD07D8">
        <w:t xml:space="preserve"> </w:t>
      </w:r>
    </w:p>
    <w:p w:rsidR="00AD07D8" w:rsidRPr="00AD07D8" w:rsidRDefault="00AD07D8" w:rsidP="00AD07D8"/>
    <w:p w:rsidR="008240CF" w:rsidRDefault="00AD07D8" w:rsidP="005B7C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w:t>
      </w:r>
      <w:r w:rsidR="002B3ECA">
        <w:rPr>
          <w:rFonts w:ascii="Times New Roman" w:hAnsi="Times New Roman" w:cs="Times New Roman"/>
          <w:sz w:val="24"/>
          <w:szCs w:val="24"/>
        </w:rPr>
        <w:t>particular section, the share price movement of paddy Power Betfair Plc has been provided below:</w:t>
      </w:r>
    </w:p>
    <w:p w:rsidR="002B3ECA" w:rsidRDefault="002B3ECA" w:rsidP="005B7C16">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13755" cy="2766695"/>
            <wp:effectExtent l="38100" t="57150" r="106045" b="9080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5913755" cy="27666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B3ECA" w:rsidRDefault="002B3ECA" w:rsidP="005B7C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Paddy Power </w:t>
      </w:r>
      <w:r w:rsidR="000925E8">
        <w:rPr>
          <w:rFonts w:ascii="Times New Roman" w:hAnsi="Times New Roman" w:cs="Times New Roman"/>
          <w:sz w:val="24"/>
          <w:szCs w:val="24"/>
        </w:rPr>
        <w:t>Betfair</w:t>
      </w:r>
      <w:r w:rsidR="00675AE2">
        <w:rPr>
          <w:rFonts w:ascii="Times New Roman" w:hAnsi="Times New Roman" w:cs="Times New Roman"/>
          <w:sz w:val="24"/>
          <w:szCs w:val="24"/>
        </w:rPr>
        <w:t xml:space="preserve"> Plc is </w:t>
      </w:r>
      <w:r w:rsidR="000925E8">
        <w:rPr>
          <w:rFonts w:ascii="Times New Roman" w:hAnsi="Times New Roman" w:cs="Times New Roman"/>
          <w:sz w:val="24"/>
          <w:szCs w:val="24"/>
        </w:rPr>
        <w:t>formed</w:t>
      </w:r>
      <w:r w:rsidR="00675AE2">
        <w:rPr>
          <w:rFonts w:ascii="Times New Roman" w:hAnsi="Times New Roman" w:cs="Times New Roman"/>
          <w:sz w:val="24"/>
          <w:szCs w:val="24"/>
        </w:rPr>
        <w:t xml:space="preserve"> as merger of Paddy Power and Betfair and the merger process was completed on 2</w:t>
      </w:r>
      <w:r w:rsidR="00675AE2" w:rsidRPr="00675AE2">
        <w:rPr>
          <w:rFonts w:ascii="Times New Roman" w:hAnsi="Times New Roman" w:cs="Times New Roman"/>
          <w:sz w:val="24"/>
          <w:szCs w:val="24"/>
          <w:vertAlign w:val="superscript"/>
        </w:rPr>
        <w:t>nd</w:t>
      </w:r>
      <w:r w:rsidR="00675AE2">
        <w:rPr>
          <w:rFonts w:ascii="Times New Roman" w:hAnsi="Times New Roman" w:cs="Times New Roman"/>
          <w:sz w:val="24"/>
          <w:szCs w:val="24"/>
        </w:rPr>
        <w:t xml:space="preserve"> February 2016. So share price data of the merged company was available from 2</w:t>
      </w:r>
      <w:r w:rsidR="00675AE2" w:rsidRPr="00675AE2">
        <w:rPr>
          <w:rFonts w:ascii="Times New Roman" w:hAnsi="Times New Roman" w:cs="Times New Roman"/>
          <w:sz w:val="24"/>
          <w:szCs w:val="24"/>
          <w:vertAlign w:val="superscript"/>
        </w:rPr>
        <w:t>nd</w:t>
      </w:r>
      <w:r w:rsidR="00675AE2">
        <w:rPr>
          <w:rFonts w:ascii="Times New Roman" w:hAnsi="Times New Roman" w:cs="Times New Roman"/>
          <w:sz w:val="24"/>
          <w:szCs w:val="24"/>
        </w:rPr>
        <w:t xml:space="preserve"> February 2016. It is observed that the company’s share price has reduced to a significant </w:t>
      </w:r>
      <w:r w:rsidR="00575FA0">
        <w:rPr>
          <w:rFonts w:ascii="Times New Roman" w:hAnsi="Times New Roman" w:cs="Times New Roman"/>
          <w:sz w:val="24"/>
          <w:szCs w:val="24"/>
        </w:rPr>
        <w:t>ex</w:t>
      </w:r>
      <w:r w:rsidR="00073C62">
        <w:rPr>
          <w:rFonts w:ascii="Times New Roman" w:hAnsi="Times New Roman" w:cs="Times New Roman"/>
          <w:sz w:val="24"/>
          <w:szCs w:val="24"/>
        </w:rPr>
        <w:t>tent in the last 2 years period. The main decline in the share price took place in</w:t>
      </w:r>
      <w:r w:rsidR="00217C14">
        <w:rPr>
          <w:rFonts w:ascii="Times New Roman" w:hAnsi="Times New Roman" w:cs="Times New Roman"/>
          <w:sz w:val="24"/>
          <w:szCs w:val="24"/>
        </w:rPr>
        <w:t xml:space="preserve"> the period from April 2016 to J</w:t>
      </w:r>
      <w:r w:rsidR="00073C62">
        <w:rPr>
          <w:rFonts w:ascii="Times New Roman" w:hAnsi="Times New Roman" w:cs="Times New Roman"/>
          <w:sz w:val="24"/>
          <w:szCs w:val="24"/>
        </w:rPr>
        <w:t xml:space="preserve">uly 2016 and then another decline tool place </w:t>
      </w:r>
      <w:r w:rsidR="00217C14">
        <w:rPr>
          <w:rFonts w:ascii="Times New Roman" w:hAnsi="Times New Roman" w:cs="Times New Roman"/>
          <w:sz w:val="24"/>
          <w:szCs w:val="24"/>
        </w:rPr>
        <w:t xml:space="preserve">from the period between November </w:t>
      </w:r>
      <w:r w:rsidR="000925E8">
        <w:rPr>
          <w:rFonts w:ascii="Times New Roman" w:hAnsi="Times New Roman" w:cs="Times New Roman"/>
          <w:sz w:val="24"/>
          <w:szCs w:val="24"/>
        </w:rPr>
        <w:t xml:space="preserve"> </w:t>
      </w:r>
      <w:r w:rsidR="00217C14">
        <w:rPr>
          <w:rFonts w:ascii="Times New Roman" w:hAnsi="Times New Roman" w:cs="Times New Roman"/>
          <w:sz w:val="24"/>
          <w:szCs w:val="24"/>
        </w:rPr>
        <w:t xml:space="preserve">2017 to March 2018. </w:t>
      </w:r>
    </w:p>
    <w:p w:rsidR="0015093B" w:rsidRDefault="0015093B" w:rsidP="005B7C16">
      <w:pPr>
        <w:spacing w:line="360" w:lineRule="auto"/>
        <w:jc w:val="both"/>
        <w:rPr>
          <w:rFonts w:ascii="Times New Roman" w:hAnsi="Times New Roman" w:cs="Times New Roman"/>
          <w:sz w:val="24"/>
          <w:szCs w:val="24"/>
        </w:rPr>
      </w:pPr>
    </w:p>
    <w:p w:rsidR="0015093B" w:rsidRDefault="0015093B" w:rsidP="005B7C16">
      <w:pPr>
        <w:spacing w:line="360" w:lineRule="auto"/>
        <w:jc w:val="both"/>
        <w:rPr>
          <w:rFonts w:ascii="Times New Roman" w:hAnsi="Times New Roman" w:cs="Times New Roman"/>
          <w:sz w:val="24"/>
          <w:szCs w:val="24"/>
        </w:rPr>
      </w:pPr>
    </w:p>
    <w:p w:rsidR="0015093B" w:rsidRDefault="0015093B" w:rsidP="005B7C16">
      <w:pPr>
        <w:spacing w:line="360" w:lineRule="auto"/>
        <w:jc w:val="both"/>
        <w:rPr>
          <w:rFonts w:ascii="Times New Roman" w:hAnsi="Times New Roman" w:cs="Times New Roman"/>
          <w:sz w:val="24"/>
          <w:szCs w:val="24"/>
        </w:rPr>
      </w:pPr>
    </w:p>
    <w:p w:rsidR="00810D3E" w:rsidRDefault="0015093B" w:rsidP="00864A70">
      <w:pPr>
        <w:pStyle w:val="Heading1"/>
        <w:jc w:val="both"/>
      </w:pPr>
      <w:bookmarkStart w:id="4" w:name="_Toc512017335"/>
      <w:r>
        <w:lastRenderedPageBreak/>
        <w:t xml:space="preserve">Part a: </w:t>
      </w:r>
      <w:r w:rsidR="00575FA0">
        <w:t>Financial Analysis with the help of Ratio Analysis:</w:t>
      </w:r>
      <w:bookmarkEnd w:id="4"/>
      <w:r w:rsidR="00575FA0">
        <w:t xml:space="preserve"> </w:t>
      </w:r>
    </w:p>
    <w:p w:rsidR="00864A70" w:rsidRDefault="00864A70" w:rsidP="00864A70">
      <w:pPr>
        <w:pStyle w:val="Heading1"/>
      </w:pPr>
      <w:bookmarkStart w:id="5" w:name="_Toc512017336"/>
      <w:r>
        <w:t>Profitability Analysis:</w:t>
      </w:r>
      <w:bookmarkEnd w:id="5"/>
      <w:r>
        <w:t xml:space="preserve"> </w:t>
      </w:r>
    </w:p>
    <w:p w:rsidR="00E84BC6" w:rsidRDefault="00E84BC6" w:rsidP="00864A70">
      <w:pPr>
        <w:pStyle w:val="Heading2"/>
      </w:pPr>
      <w:bookmarkStart w:id="6" w:name="_Toc512017337"/>
      <w:r w:rsidRPr="00E84BC6">
        <w:t>Analysis of the</w:t>
      </w:r>
      <w:r w:rsidR="00864A70">
        <w:t xml:space="preserve"> Revenue growth and</w:t>
      </w:r>
      <w:r w:rsidR="000925E8">
        <w:t xml:space="preserve"> </w:t>
      </w:r>
      <w:r w:rsidR="00864A70">
        <w:t xml:space="preserve"> </w:t>
      </w:r>
      <w:r w:rsidRPr="00E84BC6">
        <w:t xml:space="preserve"> Gross profit margin of William Hill Plc and paddy Power Betfair Plc:</w:t>
      </w:r>
      <w:bookmarkEnd w:id="6"/>
      <w:r w:rsidRPr="00E84BC6">
        <w:t xml:space="preserve"> </w:t>
      </w:r>
    </w:p>
    <w:p w:rsidR="00DE6F93" w:rsidRPr="00DE6F93" w:rsidRDefault="00DE6F93" w:rsidP="00DE6F93"/>
    <w:p w:rsidR="00575FA0" w:rsidRDefault="00575FA0" w:rsidP="00864A70">
      <w:pPr>
        <w:spacing w:line="360" w:lineRule="auto"/>
        <w:jc w:val="both"/>
        <w:rPr>
          <w:rFonts w:ascii="Times New Roman" w:hAnsi="Times New Roman" w:cs="Times New Roman"/>
          <w:sz w:val="24"/>
          <w:szCs w:val="24"/>
        </w:rPr>
      </w:pPr>
      <w:r w:rsidRPr="00073C62">
        <w:rPr>
          <w:rFonts w:ascii="Times New Roman" w:hAnsi="Times New Roman" w:cs="Times New Roman"/>
          <w:color w:val="000000" w:themeColor="text1"/>
          <w:sz w:val="24"/>
          <w:szCs w:val="24"/>
        </w:rPr>
        <w:t xml:space="preserve">It could be assessed that the revenue of the company William hill Plc has grew from a consistently over the last 3 years for </w:t>
      </w:r>
      <w:r w:rsidR="000F7603" w:rsidRPr="00073C62">
        <w:rPr>
          <w:rFonts w:ascii="Times New Roman" w:hAnsi="Times New Roman" w:cs="Times New Roman"/>
          <w:sz w:val="24"/>
          <w:szCs w:val="24"/>
        </w:rPr>
        <w:t>the</w:t>
      </w:r>
      <w:r w:rsidR="000F7603">
        <w:rPr>
          <w:rFonts w:ascii="Times New Roman" w:hAnsi="Times New Roman" w:cs="Times New Roman"/>
          <w:sz w:val="24"/>
          <w:szCs w:val="24"/>
        </w:rPr>
        <w:t xml:space="preserve"> </w:t>
      </w:r>
      <w:r w:rsidR="000F7603" w:rsidRPr="00073C62">
        <w:rPr>
          <w:rFonts w:ascii="Times New Roman" w:hAnsi="Times New Roman" w:cs="Times New Roman"/>
          <w:sz w:val="24"/>
          <w:szCs w:val="24"/>
        </w:rPr>
        <w:t>from</w:t>
      </w:r>
      <w:r w:rsidR="00073C62" w:rsidRPr="00073C62">
        <w:rPr>
          <w:rFonts w:ascii="Times New Roman" w:hAnsi="Times New Roman" w:cs="Times New Roman"/>
          <w:sz w:val="24"/>
          <w:szCs w:val="24"/>
        </w:rPr>
        <w:t xml:space="preserve"> </w:t>
      </w:r>
      <w:r w:rsidR="00217C14">
        <w:rPr>
          <w:rFonts w:ascii="Calibri" w:hAnsi="Calibri" w:cs="Calibri"/>
          <w:sz w:val="24"/>
          <w:szCs w:val="24"/>
        </w:rPr>
        <w:t>£</w:t>
      </w:r>
      <w:r w:rsidR="00217C14">
        <w:rPr>
          <w:rFonts w:ascii="Times New Roman" w:hAnsi="Times New Roman" w:cs="Times New Roman"/>
          <w:sz w:val="24"/>
          <w:szCs w:val="24"/>
        </w:rPr>
        <w:t xml:space="preserve">1590.9 </w:t>
      </w:r>
      <w:r w:rsidR="00073C62" w:rsidRPr="00073C62">
        <w:rPr>
          <w:rFonts w:ascii="Times New Roman" w:hAnsi="Times New Roman" w:cs="Times New Roman"/>
          <w:sz w:val="24"/>
          <w:szCs w:val="24"/>
        </w:rPr>
        <w:t xml:space="preserve">million in 2015 to </w:t>
      </w:r>
      <w:r w:rsidR="00217C14">
        <w:rPr>
          <w:rFonts w:ascii="Calibri" w:hAnsi="Calibri" w:cs="Calibri"/>
          <w:sz w:val="24"/>
          <w:szCs w:val="24"/>
        </w:rPr>
        <w:t>£</w:t>
      </w:r>
      <w:r w:rsidR="00073C62" w:rsidRPr="00073C62">
        <w:rPr>
          <w:rFonts w:ascii="Times New Roman" w:hAnsi="Times New Roman" w:cs="Times New Roman"/>
          <w:sz w:val="24"/>
          <w:szCs w:val="24"/>
        </w:rPr>
        <w:t>1711.1</w:t>
      </w:r>
      <w:r w:rsidR="00073C62">
        <w:rPr>
          <w:rFonts w:ascii="Times New Roman" w:hAnsi="Times New Roman" w:cs="Times New Roman"/>
          <w:sz w:val="24"/>
          <w:szCs w:val="24"/>
        </w:rPr>
        <w:t>mill</w:t>
      </w:r>
      <w:r w:rsidR="00217C14">
        <w:rPr>
          <w:rFonts w:ascii="Times New Roman" w:hAnsi="Times New Roman" w:cs="Times New Roman"/>
          <w:sz w:val="24"/>
          <w:szCs w:val="24"/>
        </w:rPr>
        <w:t>ion in 2017. So it could be analyzed that the revenue of the company has grown considerably by almost by 7.9% over the last 3 years. Though there has been increase in the revenue of the company, but gross profit margin</w:t>
      </w:r>
      <w:r w:rsidR="000925E8">
        <w:rPr>
          <w:rFonts w:ascii="Times New Roman" w:hAnsi="Times New Roman" w:cs="Times New Roman"/>
          <w:sz w:val="24"/>
          <w:szCs w:val="24"/>
        </w:rPr>
        <w:t xml:space="preserve"> </w:t>
      </w:r>
      <w:r w:rsidR="00217C14">
        <w:rPr>
          <w:rFonts w:ascii="Times New Roman" w:hAnsi="Times New Roman" w:cs="Times New Roman"/>
          <w:sz w:val="24"/>
          <w:szCs w:val="24"/>
        </w:rPr>
        <w:t xml:space="preserve">  of the company reduced from 76.25% in 2015 to 74.75% in 2017. The main reason for the decline in the Gross profit margin can be attributed to the increase in the cost of sales of the company to a substantial extent. Therefore it can be rightly said that </w:t>
      </w:r>
      <w:r w:rsidR="000F7603">
        <w:rPr>
          <w:rFonts w:ascii="Times New Roman" w:hAnsi="Times New Roman" w:cs="Times New Roman"/>
          <w:sz w:val="24"/>
          <w:szCs w:val="24"/>
        </w:rPr>
        <w:t xml:space="preserve">the </w:t>
      </w:r>
      <w:bookmarkStart w:id="7" w:name="_GoBack"/>
      <w:bookmarkEnd w:id="7"/>
      <w:r w:rsidR="000F7603">
        <w:rPr>
          <w:rFonts w:ascii="Times New Roman" w:hAnsi="Times New Roman" w:cs="Times New Roman"/>
          <w:sz w:val="24"/>
          <w:szCs w:val="24"/>
        </w:rPr>
        <w:t>it</w:t>
      </w:r>
      <w:r w:rsidR="00E84BC6">
        <w:rPr>
          <w:rFonts w:ascii="Times New Roman" w:hAnsi="Times New Roman" w:cs="Times New Roman"/>
          <w:sz w:val="24"/>
          <w:szCs w:val="24"/>
        </w:rPr>
        <w:t xml:space="preserve"> is due to the rise in the basic cost of operation for revenue generation, there has been a decline in the gross profit of the company by almost 1.5% over the last 3 financial year.</w:t>
      </w:r>
    </w:p>
    <w:p w:rsidR="001A0B50" w:rsidRDefault="00E84BC6" w:rsidP="00864A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contrast to William Hill plc, its competitor Paddy Power Betfair Plc has enormously increased its revenue from </w:t>
      </w:r>
      <w:r>
        <w:rPr>
          <w:rFonts w:ascii="Calibri" w:hAnsi="Calibri" w:cs="Calibri"/>
          <w:sz w:val="24"/>
          <w:szCs w:val="24"/>
        </w:rPr>
        <w:t>£</w:t>
      </w:r>
      <w:r>
        <w:rPr>
          <w:rFonts w:ascii="Times New Roman" w:hAnsi="Times New Roman" w:cs="Times New Roman"/>
          <w:sz w:val="24"/>
          <w:szCs w:val="24"/>
        </w:rPr>
        <w:t xml:space="preserve">1500.8 million in 2016 to </w:t>
      </w:r>
      <w:r>
        <w:rPr>
          <w:rFonts w:ascii="Calibri" w:hAnsi="Calibri" w:cs="Calibri"/>
          <w:sz w:val="24"/>
          <w:szCs w:val="24"/>
        </w:rPr>
        <w:t>£</w:t>
      </w:r>
      <w:r>
        <w:rPr>
          <w:rFonts w:ascii="Times New Roman" w:hAnsi="Times New Roman" w:cs="Times New Roman"/>
          <w:sz w:val="24"/>
          <w:szCs w:val="24"/>
        </w:rPr>
        <w:t xml:space="preserve"> 1754.4 </w:t>
      </w:r>
      <w:r w:rsidR="000F7603">
        <w:rPr>
          <w:rFonts w:ascii="Times New Roman" w:hAnsi="Times New Roman" w:cs="Times New Roman"/>
          <w:sz w:val="24"/>
          <w:szCs w:val="24"/>
        </w:rPr>
        <w:t xml:space="preserve">million. </w:t>
      </w:r>
      <w:r w:rsidR="001A0B50">
        <w:rPr>
          <w:rFonts w:ascii="Times New Roman" w:hAnsi="Times New Roman" w:cs="Times New Roman"/>
          <w:sz w:val="24"/>
          <w:szCs w:val="24"/>
        </w:rPr>
        <w:t xml:space="preserve">So it can be evaluated that there has been a revenue growth of Paddy Power Betfair Plc by almost 16.89%. Though there is a growth in the revenue, there has been significant increase in the cost of sales which has lowered the </w:t>
      </w:r>
      <w:r w:rsidR="00864A70">
        <w:rPr>
          <w:rFonts w:ascii="Times New Roman" w:hAnsi="Times New Roman" w:cs="Times New Roman"/>
          <w:sz w:val="24"/>
          <w:szCs w:val="24"/>
        </w:rPr>
        <w:t xml:space="preserve">gross profit margin from 76.91% </w:t>
      </w:r>
      <w:r w:rsidR="000925E8">
        <w:rPr>
          <w:rFonts w:ascii="Times New Roman" w:hAnsi="Times New Roman" w:cs="Times New Roman"/>
          <w:sz w:val="24"/>
          <w:szCs w:val="24"/>
        </w:rPr>
        <w:t xml:space="preserve"> </w:t>
      </w:r>
      <w:r w:rsidR="00864A70">
        <w:rPr>
          <w:rFonts w:ascii="Times New Roman" w:hAnsi="Times New Roman" w:cs="Times New Roman"/>
          <w:sz w:val="24"/>
          <w:szCs w:val="24"/>
        </w:rPr>
        <w:t xml:space="preserve"> in 2016 to 76.38% in 2017. </w:t>
      </w:r>
    </w:p>
    <w:p w:rsidR="00864A70" w:rsidRDefault="00864A70" w:rsidP="00864A70">
      <w:pPr>
        <w:spacing w:line="360" w:lineRule="auto"/>
        <w:jc w:val="both"/>
        <w:rPr>
          <w:rFonts w:ascii="Times New Roman" w:hAnsi="Times New Roman" w:cs="Times New Roman"/>
          <w:sz w:val="24"/>
          <w:szCs w:val="24"/>
        </w:rPr>
      </w:pPr>
      <w:r>
        <w:rPr>
          <w:rFonts w:ascii="Times New Roman" w:hAnsi="Times New Roman" w:cs="Times New Roman"/>
          <w:sz w:val="24"/>
          <w:szCs w:val="24"/>
        </w:rPr>
        <w:t>So it Is evaluated that both the bookmaking company of UK</w:t>
      </w:r>
      <w:r w:rsidR="000925E8">
        <w:rPr>
          <w:rFonts w:ascii="Times New Roman" w:hAnsi="Times New Roman" w:cs="Times New Roman"/>
          <w:sz w:val="24"/>
          <w:szCs w:val="24"/>
        </w:rPr>
        <w:t xml:space="preserve"> </w:t>
      </w:r>
      <w:r>
        <w:rPr>
          <w:rFonts w:ascii="Times New Roman" w:hAnsi="Times New Roman" w:cs="Times New Roman"/>
          <w:sz w:val="24"/>
          <w:szCs w:val="24"/>
        </w:rPr>
        <w:t xml:space="preserve">  has a high cost of sales in the recent past in the financial year 2017 which has essentially lowered the gross profit margin in 2017. So these bookmaking companies must lower the cost sales through efficient management of the costs for increasing the gross profit margin.</w:t>
      </w:r>
    </w:p>
    <w:p w:rsidR="00864A70" w:rsidRPr="00864A70" w:rsidRDefault="00864A70" w:rsidP="00864A70">
      <w:pPr>
        <w:pStyle w:val="Heading2"/>
        <w:jc w:val="both"/>
        <w:rPr>
          <w:rFonts w:ascii="Times New Roman" w:hAnsi="Times New Roman" w:cs="Times New Roman"/>
          <w:sz w:val="24"/>
          <w:szCs w:val="24"/>
          <w:u w:val="single"/>
        </w:rPr>
      </w:pPr>
      <w:bookmarkStart w:id="8" w:name="_Toc512017338"/>
      <w:r w:rsidRPr="00864A70">
        <w:rPr>
          <w:rFonts w:ascii="Times New Roman" w:hAnsi="Times New Roman" w:cs="Times New Roman"/>
          <w:sz w:val="24"/>
          <w:szCs w:val="24"/>
          <w:u w:val="single"/>
        </w:rPr>
        <w:t>Analysis of the Net Profit before Interest and Tax (PBIT) margin of William Hill Plc and Paddy Power Betfair plc:</w:t>
      </w:r>
      <w:bookmarkEnd w:id="8"/>
    </w:p>
    <w:p w:rsidR="00864A70" w:rsidRDefault="00864A70" w:rsidP="00864A70">
      <w:pPr>
        <w:jc w:val="both"/>
      </w:pPr>
    </w:p>
    <w:p w:rsidR="00864A70" w:rsidRPr="00A33713" w:rsidRDefault="00A33713" w:rsidP="00A33713">
      <w:pPr>
        <w:spacing w:line="360" w:lineRule="auto"/>
        <w:jc w:val="both"/>
        <w:rPr>
          <w:rFonts w:ascii="Times New Roman" w:hAnsi="Times New Roman" w:cs="Times New Roman"/>
          <w:sz w:val="24"/>
          <w:szCs w:val="24"/>
        </w:rPr>
      </w:pPr>
      <w:r w:rsidRPr="00A33713">
        <w:rPr>
          <w:rFonts w:ascii="Times New Roman" w:hAnsi="Times New Roman" w:cs="Times New Roman"/>
          <w:sz w:val="24"/>
          <w:szCs w:val="24"/>
        </w:rPr>
        <w:t xml:space="preserve">It is observed from the calculation of the Net Profit before interest and Tax margin of William Hill Plc that the </w:t>
      </w:r>
      <w:r>
        <w:rPr>
          <w:rFonts w:ascii="Times New Roman" w:hAnsi="Times New Roman" w:cs="Times New Roman"/>
          <w:sz w:val="24"/>
          <w:szCs w:val="24"/>
        </w:rPr>
        <w:t>PBIT</w:t>
      </w:r>
      <w:r w:rsidRPr="00A33713">
        <w:rPr>
          <w:rFonts w:ascii="Times New Roman" w:hAnsi="Times New Roman" w:cs="Times New Roman"/>
          <w:sz w:val="24"/>
          <w:szCs w:val="24"/>
        </w:rPr>
        <w:t xml:space="preserve"> margin of the company has reduced from 14.10% in 2015 to -2.55% in </w:t>
      </w:r>
      <w:r w:rsidRPr="00A33713">
        <w:rPr>
          <w:rFonts w:ascii="Times New Roman" w:hAnsi="Times New Roman" w:cs="Times New Roman"/>
          <w:sz w:val="24"/>
          <w:szCs w:val="24"/>
        </w:rPr>
        <w:lastRenderedPageBreak/>
        <w:t xml:space="preserve">2017. The main reason of a negative </w:t>
      </w:r>
      <w:r>
        <w:rPr>
          <w:rFonts w:ascii="Times New Roman" w:hAnsi="Times New Roman" w:cs="Times New Roman"/>
          <w:sz w:val="24"/>
          <w:szCs w:val="24"/>
        </w:rPr>
        <w:t xml:space="preserve">PBIT margin in 2017  is because of a significant high other operational cost in tune of </w:t>
      </w:r>
      <w:r>
        <w:rPr>
          <w:rFonts w:ascii="Calibri" w:hAnsi="Calibri" w:cs="Calibri"/>
          <w:sz w:val="24"/>
          <w:szCs w:val="24"/>
        </w:rPr>
        <w:t>£</w:t>
      </w:r>
      <w:r w:rsidR="008A3571">
        <w:rPr>
          <w:rFonts w:ascii="Times New Roman" w:hAnsi="Times New Roman" w:cs="Times New Roman"/>
          <w:sz w:val="24"/>
          <w:szCs w:val="24"/>
        </w:rPr>
        <w:t xml:space="preserve">1336.8 million. This has essentially reduced the Profit before interest and tax margin of the company. </w:t>
      </w:r>
    </w:p>
    <w:p w:rsidR="00864A70" w:rsidRDefault="008A3571" w:rsidP="00864A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contrast, it can be analyzed that the PBIT margin of Paddy Power Betfair Plc has increased substantially from 0.79% in 2016 to almost 14.06% in 2017. The main reason being a substantial extent of sales revenue that the company has generated. </w:t>
      </w:r>
    </w:p>
    <w:p w:rsidR="008A3571" w:rsidRDefault="008A3571" w:rsidP="00864A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it can be evaluated that revenue has increased for both the companies, but Paddy Power Betfair has been able to manage the operational cost better which has resulted in better PBIT margin. </w:t>
      </w:r>
    </w:p>
    <w:p w:rsidR="008A3571" w:rsidRPr="008A3571" w:rsidRDefault="008A3571" w:rsidP="008A3571">
      <w:pPr>
        <w:pStyle w:val="Heading2"/>
      </w:pPr>
      <w:bookmarkStart w:id="9" w:name="_Toc512017339"/>
      <w:r w:rsidRPr="008A3571">
        <w:t>Analysis of Liquidity of William Hill Plc and Paddy Power Betfair plc:</w:t>
      </w:r>
      <w:bookmarkEnd w:id="9"/>
    </w:p>
    <w:p w:rsidR="008A3571" w:rsidRDefault="008A3571" w:rsidP="008A3571">
      <w:pPr>
        <w:jc w:val="both"/>
      </w:pPr>
    </w:p>
    <w:p w:rsidR="003B3F53" w:rsidRDefault="000925E8" w:rsidP="003B3F53">
      <w:pPr>
        <w:spacing w:line="360" w:lineRule="auto"/>
        <w:jc w:val="both"/>
        <w:rPr>
          <w:rFonts w:ascii="Times New Roman" w:hAnsi="Times New Roman" w:cs="Times New Roman"/>
          <w:sz w:val="24"/>
          <w:szCs w:val="24"/>
        </w:rPr>
      </w:pPr>
      <w:r>
        <w:rPr>
          <w:rFonts w:ascii="Times New Roman" w:hAnsi="Times New Roman" w:cs="Times New Roman"/>
          <w:sz w:val="24"/>
          <w:szCs w:val="24"/>
        </w:rPr>
        <w:t>The liquidity</w:t>
      </w:r>
      <w:r w:rsidR="003B3F53" w:rsidRPr="003B3F53">
        <w:rPr>
          <w:rFonts w:ascii="Times New Roman" w:hAnsi="Times New Roman" w:cs="Times New Roman"/>
          <w:sz w:val="24"/>
          <w:szCs w:val="24"/>
        </w:rPr>
        <w:t xml:space="preserve"> of the both the companies has been measured with the help of Current ratio. Acid Test ratio is considered as both the companies being inventories does not hold any form of inventory or very negligible amount of inventories. Current ratio is basically a measure of </w:t>
      </w:r>
      <w:r w:rsidR="003B3F53">
        <w:rPr>
          <w:rFonts w:ascii="Times New Roman" w:hAnsi="Times New Roman" w:cs="Times New Roman"/>
          <w:sz w:val="24"/>
          <w:szCs w:val="24"/>
        </w:rPr>
        <w:t xml:space="preserve">current assets to the current liabilities of the firm, it helps to find the ability of firm to pay short term liabilities from the short term assets of the firm. </w:t>
      </w:r>
      <w:r w:rsidR="00296798">
        <w:rPr>
          <w:rFonts w:ascii="Times New Roman" w:hAnsi="Times New Roman" w:cs="Times New Roman"/>
          <w:sz w:val="24"/>
          <w:szCs w:val="24"/>
        </w:rPr>
        <w:t xml:space="preserve"> A current ratio value of atleast 1 is high desirable as it reflects that fact that the company possess a more current assets as compared to the current liability of the firm. </w:t>
      </w:r>
    </w:p>
    <w:p w:rsidR="00296798" w:rsidRDefault="00296798" w:rsidP="003B3F53">
      <w:pPr>
        <w:spacing w:line="360" w:lineRule="auto"/>
        <w:jc w:val="both"/>
        <w:rPr>
          <w:rFonts w:ascii="Times New Roman" w:hAnsi="Times New Roman" w:cs="Times New Roman"/>
          <w:sz w:val="24"/>
          <w:szCs w:val="24"/>
        </w:rPr>
      </w:pPr>
      <w:r>
        <w:rPr>
          <w:rFonts w:ascii="Times New Roman" w:hAnsi="Times New Roman" w:cs="Times New Roman"/>
          <w:sz w:val="24"/>
          <w:szCs w:val="24"/>
        </w:rPr>
        <w:t>It is observed from the calculation of the current ratio of William Hill plc that the company has a current ratio of 0.83, 0.71 and 0.52 in 2017, 2016 and 2015 respectively. Though the current ratio of this boo</w:t>
      </w:r>
      <w:r w:rsidR="000925E8">
        <w:rPr>
          <w:rFonts w:ascii="Times New Roman" w:hAnsi="Times New Roman" w:cs="Times New Roman"/>
          <w:sz w:val="24"/>
          <w:szCs w:val="24"/>
        </w:rPr>
        <w:t>kmaking</w:t>
      </w:r>
      <w:r>
        <w:rPr>
          <w:rFonts w:ascii="Times New Roman" w:hAnsi="Times New Roman" w:cs="Times New Roman"/>
          <w:sz w:val="24"/>
          <w:szCs w:val="24"/>
        </w:rPr>
        <w:t xml:space="preserve"> company has increased but in all the last three financial years, the company has current ratio less than 1. So it can be evaluated that William Hill plc has more short term obligations than short term assets to finance those obligations. </w:t>
      </w:r>
    </w:p>
    <w:p w:rsidR="00296798" w:rsidRDefault="00296798" w:rsidP="003B3F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Paddy power Betfair Plc has a current ratio value of 0.12 and 0.99 in 2017 and 2016. It is evident from the current ratio value that the company has rightly enabled to increase the current ratio for better working capital management. </w:t>
      </w:r>
    </w:p>
    <w:p w:rsidR="00296798" w:rsidRDefault="00296798" w:rsidP="003B3F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from a comparative assessment of the liquidity position, it can be evaluated that paddy power Betfair Plc has a better </w:t>
      </w:r>
      <w:r w:rsidR="000925E8">
        <w:rPr>
          <w:rFonts w:ascii="Times New Roman" w:hAnsi="Times New Roman" w:cs="Times New Roman"/>
          <w:sz w:val="24"/>
          <w:szCs w:val="24"/>
        </w:rPr>
        <w:t>liquidity</w:t>
      </w:r>
      <w:r>
        <w:rPr>
          <w:rFonts w:ascii="Times New Roman" w:hAnsi="Times New Roman" w:cs="Times New Roman"/>
          <w:sz w:val="24"/>
          <w:szCs w:val="24"/>
        </w:rPr>
        <w:t xml:space="preserve"> offlate than William Hill Plc. </w:t>
      </w:r>
    </w:p>
    <w:p w:rsidR="00296798" w:rsidRDefault="00296798" w:rsidP="003B3F53">
      <w:pPr>
        <w:spacing w:line="360" w:lineRule="auto"/>
        <w:jc w:val="both"/>
        <w:rPr>
          <w:rFonts w:ascii="Times New Roman" w:hAnsi="Times New Roman" w:cs="Times New Roman"/>
          <w:sz w:val="24"/>
          <w:szCs w:val="24"/>
        </w:rPr>
      </w:pPr>
    </w:p>
    <w:p w:rsidR="00296798" w:rsidRDefault="00296798" w:rsidP="003105F3">
      <w:pPr>
        <w:pStyle w:val="Heading1"/>
        <w:spacing w:line="360" w:lineRule="auto"/>
      </w:pPr>
      <w:bookmarkStart w:id="10" w:name="_Toc512017340"/>
      <w:r>
        <w:t>Analysis of the Asset Utilization:</w:t>
      </w:r>
      <w:bookmarkEnd w:id="10"/>
    </w:p>
    <w:p w:rsidR="007C190D" w:rsidRDefault="00296798" w:rsidP="003105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Asset utilization of the book making companies has been evaluated using the Fixed Asset Turnover ratio. Fixed Asset Turnover ratio as a ratio </w:t>
      </w:r>
      <w:r w:rsidR="007C190D">
        <w:rPr>
          <w:rFonts w:ascii="Times New Roman" w:hAnsi="Times New Roman" w:cs="Times New Roman"/>
          <w:sz w:val="24"/>
          <w:szCs w:val="24"/>
        </w:rPr>
        <w:t xml:space="preserve">help in determining the amount of revenue that is generated </w:t>
      </w:r>
      <w:r w:rsidR="000925E8">
        <w:rPr>
          <w:rFonts w:ascii="Times New Roman" w:hAnsi="Times New Roman" w:cs="Times New Roman"/>
          <w:sz w:val="24"/>
          <w:szCs w:val="24"/>
        </w:rPr>
        <w:t>from the fixed assets like plant</w:t>
      </w:r>
      <w:r w:rsidR="007C190D">
        <w:rPr>
          <w:rFonts w:ascii="Times New Roman" w:hAnsi="Times New Roman" w:cs="Times New Roman"/>
          <w:sz w:val="24"/>
          <w:szCs w:val="24"/>
        </w:rPr>
        <w:t xml:space="preserve"> , machineries and immovable properties of the firm.  So it is desirable to have a high amount of fixed asset turnover which will indicate a better asset utilization efficiency. </w:t>
      </w:r>
    </w:p>
    <w:p w:rsidR="00296798" w:rsidRDefault="007C190D" w:rsidP="003105F3">
      <w:pPr>
        <w:spacing w:line="360" w:lineRule="auto"/>
        <w:jc w:val="both"/>
        <w:rPr>
          <w:rFonts w:ascii="Times New Roman" w:hAnsi="Times New Roman" w:cs="Times New Roman"/>
          <w:sz w:val="24"/>
          <w:szCs w:val="24"/>
        </w:rPr>
      </w:pPr>
      <w:r>
        <w:rPr>
          <w:rFonts w:ascii="Times New Roman" w:hAnsi="Times New Roman" w:cs="Times New Roman"/>
          <w:sz w:val="24"/>
          <w:szCs w:val="24"/>
        </w:rPr>
        <w:t>It can be observed from the calculati</w:t>
      </w:r>
      <w:r w:rsidR="000925E8">
        <w:rPr>
          <w:rFonts w:ascii="Times New Roman" w:hAnsi="Times New Roman" w:cs="Times New Roman"/>
          <w:sz w:val="24"/>
          <w:szCs w:val="24"/>
        </w:rPr>
        <w:t>on of the fixed assets turnover</w:t>
      </w:r>
      <w:r>
        <w:rPr>
          <w:rFonts w:ascii="Times New Roman" w:hAnsi="Times New Roman" w:cs="Times New Roman"/>
          <w:sz w:val="24"/>
          <w:szCs w:val="24"/>
        </w:rPr>
        <w:t xml:space="preserve"> of the company, that William Hill plc has a fixed asset turnover of 7.48, 6.44 and 6.40 in 2017, 2016 and 2015 respectively. Therefore it can be evaluated that fixed asset turnover of the company has increased substantially over the last 3 years due to a decline in total fixed asset of the company and in addition with an increase revenue level of the bookmaking firm. </w:t>
      </w:r>
    </w:p>
    <w:p w:rsidR="007C190D" w:rsidRDefault="007C190D" w:rsidP="003105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Paddy Power Betfair Plc has a fixed asset turnover of 12.54 and 11.96 in 2017 and 2016 respectively. So for this company also the fixed asset turnover company has increased over the last year. </w:t>
      </w:r>
    </w:p>
    <w:p w:rsidR="003105F3" w:rsidRDefault="007C190D" w:rsidP="00864A70">
      <w:pPr>
        <w:spacing w:line="360" w:lineRule="auto"/>
        <w:jc w:val="both"/>
        <w:rPr>
          <w:rFonts w:ascii="Times New Roman" w:hAnsi="Times New Roman" w:cs="Times New Roman"/>
          <w:sz w:val="24"/>
          <w:szCs w:val="24"/>
        </w:rPr>
      </w:pPr>
      <w:r>
        <w:rPr>
          <w:rFonts w:ascii="Times New Roman" w:hAnsi="Times New Roman" w:cs="Times New Roman"/>
          <w:sz w:val="24"/>
          <w:szCs w:val="24"/>
        </w:rPr>
        <w:t>Considering a comparative assessment</w:t>
      </w:r>
      <w:r w:rsidR="003105F3">
        <w:rPr>
          <w:rFonts w:ascii="Times New Roman" w:hAnsi="Times New Roman" w:cs="Times New Roman"/>
          <w:sz w:val="24"/>
          <w:szCs w:val="24"/>
        </w:rPr>
        <w:t xml:space="preserve"> of the fixed turnover ratio of both the book making company  </w:t>
      </w:r>
      <w:r>
        <w:rPr>
          <w:rFonts w:ascii="Times New Roman" w:hAnsi="Times New Roman" w:cs="Times New Roman"/>
          <w:sz w:val="24"/>
          <w:szCs w:val="24"/>
        </w:rPr>
        <w:t xml:space="preserve">, it </w:t>
      </w:r>
      <w:r w:rsidR="003105F3">
        <w:rPr>
          <w:rFonts w:ascii="Times New Roman" w:hAnsi="Times New Roman" w:cs="Times New Roman"/>
          <w:sz w:val="24"/>
          <w:szCs w:val="24"/>
        </w:rPr>
        <w:t xml:space="preserve">is evident Paddy Power Betfair Plc has a far better fixed asset turnover as compared to William Hill plc. This indicates the fact that Paddy Power Betfair Plc has been utilizing the fixed assets well to fetch more revenue considering the asset base it possess. </w:t>
      </w:r>
    </w:p>
    <w:p w:rsidR="003105F3" w:rsidRDefault="003105F3" w:rsidP="003105F3">
      <w:pPr>
        <w:pStyle w:val="Heading2"/>
        <w:spacing w:line="360" w:lineRule="auto"/>
      </w:pPr>
      <w:bookmarkStart w:id="11" w:name="_Toc512017341"/>
      <w:r>
        <w:t>Analysis of the investor ratios:</w:t>
      </w:r>
      <w:bookmarkEnd w:id="11"/>
    </w:p>
    <w:p w:rsidR="003105F3" w:rsidRPr="003105F3" w:rsidRDefault="003105F3" w:rsidP="003105F3">
      <w:pPr>
        <w:spacing w:line="360" w:lineRule="auto"/>
        <w:rPr>
          <w:rFonts w:ascii="Times New Roman" w:hAnsi="Times New Roman" w:cs="Times New Roman"/>
          <w:i/>
          <w:sz w:val="24"/>
          <w:szCs w:val="24"/>
          <w:u w:val="single"/>
        </w:rPr>
      </w:pPr>
      <w:r w:rsidRPr="003105F3">
        <w:rPr>
          <w:rFonts w:ascii="Times New Roman" w:hAnsi="Times New Roman" w:cs="Times New Roman"/>
          <w:i/>
          <w:sz w:val="24"/>
          <w:szCs w:val="24"/>
          <w:u w:val="single"/>
        </w:rPr>
        <w:t>P/E Ratio:</w:t>
      </w:r>
    </w:p>
    <w:p w:rsidR="003105F3" w:rsidRPr="003105F3" w:rsidRDefault="003105F3" w:rsidP="003105F3">
      <w:pPr>
        <w:spacing w:line="360" w:lineRule="auto"/>
        <w:jc w:val="both"/>
        <w:rPr>
          <w:rFonts w:ascii="Times New Roman" w:hAnsi="Times New Roman" w:cs="Times New Roman"/>
          <w:sz w:val="24"/>
          <w:szCs w:val="24"/>
        </w:rPr>
      </w:pPr>
      <w:r w:rsidRPr="003105F3">
        <w:rPr>
          <w:rFonts w:ascii="Times New Roman" w:hAnsi="Times New Roman" w:cs="Times New Roman"/>
          <w:sz w:val="24"/>
          <w:szCs w:val="24"/>
        </w:rPr>
        <w:t xml:space="preserve">The price to earnings ratio refers to the ratio of the prices and earnings for the purpose of calculation of stock’s market value with respect to the share’s earnings. This helps in clarifying the interest of market after analysis of the earnings and profits earned by a company’s share. `this also is beneficial to determine the fair market value of stocks in the future. This also proceeds depending on the current earnings of the shares of the company. Thus the investors can decide on how much to invest in a particular share by analysis of the current earnings of the share. Hence </w:t>
      </w:r>
      <w:r w:rsidRPr="003105F3">
        <w:rPr>
          <w:rFonts w:ascii="Times New Roman" w:hAnsi="Times New Roman" w:cs="Times New Roman"/>
          <w:sz w:val="24"/>
          <w:szCs w:val="24"/>
        </w:rPr>
        <w:lastRenderedPageBreak/>
        <w:t>the P/E ratio is also known as the earnings multiple due to which the investors get a brief idea of how much the investor must invest or is allowed to offer to buy the shares of the business organization.</w:t>
      </w:r>
    </w:p>
    <w:tbl>
      <w:tblPr>
        <w:tblStyle w:val="LightGrid-Accent3"/>
        <w:tblW w:w="8208" w:type="dxa"/>
        <w:tblLook w:val="04A0" w:firstRow="1" w:lastRow="0" w:firstColumn="1" w:lastColumn="0" w:noHBand="0" w:noVBand="1"/>
      </w:tblPr>
      <w:tblGrid>
        <w:gridCol w:w="3648"/>
        <w:gridCol w:w="1704"/>
        <w:gridCol w:w="2856"/>
      </w:tblGrid>
      <w:tr w:rsidR="003105F3" w:rsidRPr="003105F3" w:rsidTr="003105F3">
        <w:trPr>
          <w:cnfStyle w:val="100000000000" w:firstRow="1" w:lastRow="0" w:firstColumn="0" w:lastColumn="0" w:oddVBand="0" w:evenVBand="0" w:oddHBand="0"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3648" w:type="dxa"/>
            <w:noWrap/>
            <w:hideMark/>
          </w:tcPr>
          <w:p w:rsidR="003105F3" w:rsidRPr="003105F3" w:rsidRDefault="003105F3" w:rsidP="003105F3">
            <w:pPr>
              <w:spacing w:line="360" w:lineRule="auto"/>
              <w:rPr>
                <w:rFonts w:ascii="Times New Roman" w:eastAsia="Times New Roman" w:hAnsi="Times New Roman" w:cs="Times New Roman"/>
                <w:sz w:val="24"/>
                <w:szCs w:val="24"/>
              </w:rPr>
            </w:pPr>
            <w:r w:rsidRPr="003105F3">
              <w:rPr>
                <w:rFonts w:ascii="Times New Roman" w:eastAsia="Times New Roman" w:hAnsi="Times New Roman" w:cs="Times New Roman"/>
                <w:sz w:val="24"/>
                <w:szCs w:val="24"/>
              </w:rPr>
              <w:t> </w:t>
            </w:r>
          </w:p>
        </w:tc>
        <w:tc>
          <w:tcPr>
            <w:tcW w:w="1704" w:type="dxa"/>
            <w:noWrap/>
            <w:hideMark/>
          </w:tcPr>
          <w:p w:rsidR="003105F3" w:rsidRPr="003105F3" w:rsidRDefault="003105F3" w:rsidP="003105F3">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3105F3">
              <w:rPr>
                <w:rFonts w:ascii="Times New Roman" w:eastAsia="Times New Roman" w:hAnsi="Times New Roman" w:cs="Times New Roman"/>
                <w:sz w:val="24"/>
                <w:szCs w:val="24"/>
              </w:rPr>
              <w:t>2017</w:t>
            </w:r>
          </w:p>
        </w:tc>
        <w:tc>
          <w:tcPr>
            <w:tcW w:w="2856" w:type="dxa"/>
            <w:noWrap/>
            <w:hideMark/>
          </w:tcPr>
          <w:p w:rsidR="003105F3" w:rsidRPr="003105F3" w:rsidRDefault="003105F3" w:rsidP="003105F3">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3105F3">
              <w:rPr>
                <w:rFonts w:ascii="Times New Roman" w:eastAsia="Times New Roman" w:hAnsi="Times New Roman" w:cs="Times New Roman"/>
                <w:sz w:val="24"/>
                <w:szCs w:val="24"/>
              </w:rPr>
              <w:t>2017</w:t>
            </w:r>
          </w:p>
        </w:tc>
      </w:tr>
      <w:tr w:rsidR="003105F3" w:rsidRPr="003105F3" w:rsidTr="003105F3">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3648" w:type="dxa"/>
            <w:noWrap/>
            <w:hideMark/>
          </w:tcPr>
          <w:p w:rsidR="003105F3" w:rsidRPr="003105F3" w:rsidRDefault="003105F3" w:rsidP="003105F3">
            <w:pPr>
              <w:spacing w:line="360" w:lineRule="auto"/>
              <w:rPr>
                <w:rFonts w:ascii="Times New Roman" w:eastAsia="Times New Roman" w:hAnsi="Times New Roman" w:cs="Times New Roman"/>
                <w:sz w:val="24"/>
                <w:szCs w:val="24"/>
              </w:rPr>
            </w:pPr>
            <w:r w:rsidRPr="003105F3">
              <w:rPr>
                <w:rFonts w:ascii="Times New Roman" w:eastAsia="Times New Roman" w:hAnsi="Times New Roman" w:cs="Times New Roman"/>
                <w:sz w:val="24"/>
                <w:szCs w:val="24"/>
              </w:rPr>
              <w:t> </w:t>
            </w:r>
          </w:p>
        </w:tc>
        <w:tc>
          <w:tcPr>
            <w:tcW w:w="1704" w:type="dxa"/>
            <w:noWrap/>
            <w:hideMark/>
          </w:tcPr>
          <w:p w:rsidR="003105F3" w:rsidRPr="003105F3" w:rsidRDefault="003105F3" w:rsidP="003105F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3105F3">
              <w:rPr>
                <w:rFonts w:ascii="Times New Roman" w:eastAsia="Times New Roman" w:hAnsi="Times New Roman" w:cs="Times New Roman"/>
                <w:sz w:val="24"/>
                <w:szCs w:val="24"/>
              </w:rPr>
              <w:t>William hill plc</w:t>
            </w:r>
          </w:p>
        </w:tc>
        <w:tc>
          <w:tcPr>
            <w:tcW w:w="2856" w:type="dxa"/>
            <w:noWrap/>
            <w:hideMark/>
          </w:tcPr>
          <w:p w:rsidR="003105F3" w:rsidRPr="003105F3" w:rsidRDefault="003105F3" w:rsidP="003105F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3105F3">
              <w:rPr>
                <w:rFonts w:ascii="Times New Roman" w:eastAsia="Times New Roman" w:hAnsi="Times New Roman" w:cs="Times New Roman"/>
                <w:sz w:val="24"/>
                <w:szCs w:val="24"/>
              </w:rPr>
              <w:t>Paddy Power Betfair PLC</w:t>
            </w:r>
          </w:p>
        </w:tc>
      </w:tr>
      <w:tr w:rsidR="003105F3" w:rsidRPr="003105F3" w:rsidTr="003105F3">
        <w:trPr>
          <w:cnfStyle w:val="000000010000" w:firstRow="0" w:lastRow="0" w:firstColumn="0" w:lastColumn="0" w:oddVBand="0" w:evenVBand="0" w:oddHBand="0" w:evenHBand="1"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3648" w:type="dxa"/>
            <w:noWrap/>
            <w:hideMark/>
          </w:tcPr>
          <w:p w:rsidR="003105F3" w:rsidRPr="003105F3" w:rsidRDefault="003105F3" w:rsidP="003105F3">
            <w:pPr>
              <w:spacing w:line="360" w:lineRule="auto"/>
              <w:rPr>
                <w:rFonts w:ascii="Times New Roman" w:eastAsia="Times New Roman" w:hAnsi="Times New Roman" w:cs="Times New Roman"/>
                <w:sz w:val="24"/>
                <w:szCs w:val="24"/>
              </w:rPr>
            </w:pPr>
            <w:r w:rsidRPr="003105F3">
              <w:rPr>
                <w:rFonts w:ascii="Times New Roman" w:eastAsia="Times New Roman" w:hAnsi="Times New Roman" w:cs="Times New Roman"/>
                <w:sz w:val="24"/>
                <w:szCs w:val="24"/>
              </w:rPr>
              <w:t>Investors Ratio</w:t>
            </w:r>
          </w:p>
        </w:tc>
        <w:tc>
          <w:tcPr>
            <w:tcW w:w="1704" w:type="dxa"/>
            <w:noWrap/>
            <w:hideMark/>
          </w:tcPr>
          <w:p w:rsidR="003105F3" w:rsidRPr="003105F3" w:rsidRDefault="003105F3" w:rsidP="003105F3">
            <w:pPr>
              <w:spacing w:line="360" w:lineRule="auto"/>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3105F3">
              <w:rPr>
                <w:rFonts w:ascii="Times New Roman" w:eastAsia="Times New Roman" w:hAnsi="Times New Roman" w:cs="Times New Roman"/>
                <w:sz w:val="24"/>
                <w:szCs w:val="24"/>
              </w:rPr>
              <w:t> </w:t>
            </w:r>
          </w:p>
        </w:tc>
        <w:tc>
          <w:tcPr>
            <w:tcW w:w="2856" w:type="dxa"/>
            <w:noWrap/>
            <w:hideMark/>
          </w:tcPr>
          <w:p w:rsidR="003105F3" w:rsidRPr="003105F3" w:rsidRDefault="003105F3" w:rsidP="003105F3">
            <w:pPr>
              <w:spacing w:line="360" w:lineRule="auto"/>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sidRPr="003105F3">
              <w:rPr>
                <w:rFonts w:ascii="Times New Roman" w:eastAsia="Times New Roman" w:hAnsi="Times New Roman" w:cs="Times New Roman"/>
                <w:sz w:val="24"/>
                <w:szCs w:val="24"/>
              </w:rPr>
              <w:t> </w:t>
            </w:r>
          </w:p>
        </w:tc>
      </w:tr>
      <w:tr w:rsidR="003105F3" w:rsidRPr="003105F3" w:rsidTr="003105F3">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3648" w:type="dxa"/>
            <w:noWrap/>
            <w:hideMark/>
          </w:tcPr>
          <w:p w:rsidR="003105F3" w:rsidRPr="003105F3" w:rsidRDefault="003105F3" w:rsidP="003105F3">
            <w:pPr>
              <w:spacing w:line="360" w:lineRule="auto"/>
              <w:rPr>
                <w:rFonts w:ascii="Times New Roman" w:eastAsia="Times New Roman" w:hAnsi="Times New Roman" w:cs="Times New Roman"/>
                <w:sz w:val="24"/>
                <w:szCs w:val="24"/>
              </w:rPr>
            </w:pPr>
            <w:r w:rsidRPr="003105F3">
              <w:rPr>
                <w:rFonts w:ascii="Times New Roman" w:eastAsia="Times New Roman" w:hAnsi="Times New Roman" w:cs="Times New Roman"/>
                <w:sz w:val="24"/>
                <w:szCs w:val="24"/>
              </w:rPr>
              <w:t>P/E [Price per share/EPS]</w:t>
            </w:r>
          </w:p>
        </w:tc>
        <w:tc>
          <w:tcPr>
            <w:tcW w:w="1704" w:type="dxa"/>
            <w:noWrap/>
            <w:hideMark/>
          </w:tcPr>
          <w:p w:rsidR="003105F3" w:rsidRPr="003105F3" w:rsidRDefault="003105F3" w:rsidP="003105F3">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3105F3">
              <w:rPr>
                <w:rFonts w:ascii="Times New Roman" w:eastAsia="Times New Roman" w:hAnsi="Times New Roman" w:cs="Times New Roman"/>
                <w:sz w:val="24"/>
                <w:szCs w:val="24"/>
              </w:rPr>
              <w:t>1178</w:t>
            </w:r>
          </w:p>
        </w:tc>
        <w:tc>
          <w:tcPr>
            <w:tcW w:w="2856" w:type="dxa"/>
            <w:noWrap/>
            <w:hideMark/>
          </w:tcPr>
          <w:p w:rsidR="003105F3" w:rsidRPr="003105F3" w:rsidRDefault="003105F3" w:rsidP="003105F3">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3105F3">
              <w:rPr>
                <w:rFonts w:ascii="Times New Roman" w:eastAsia="Times New Roman" w:hAnsi="Times New Roman" w:cs="Times New Roman"/>
                <w:sz w:val="24"/>
                <w:szCs w:val="24"/>
              </w:rPr>
              <w:t>28</w:t>
            </w:r>
          </w:p>
        </w:tc>
      </w:tr>
      <w:tr w:rsidR="003105F3" w:rsidRPr="003105F3" w:rsidTr="003105F3">
        <w:trPr>
          <w:cnfStyle w:val="000000010000" w:firstRow="0" w:lastRow="0" w:firstColumn="0" w:lastColumn="0" w:oddVBand="0" w:evenVBand="0" w:oddHBand="0" w:evenHBand="1"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3648" w:type="dxa"/>
            <w:noWrap/>
            <w:hideMark/>
          </w:tcPr>
          <w:p w:rsidR="003105F3" w:rsidRPr="003105F3" w:rsidRDefault="003105F3" w:rsidP="003105F3">
            <w:pPr>
              <w:spacing w:line="360" w:lineRule="auto"/>
              <w:rPr>
                <w:rFonts w:ascii="Times New Roman" w:eastAsia="Times New Roman" w:hAnsi="Times New Roman" w:cs="Times New Roman"/>
                <w:sz w:val="24"/>
                <w:szCs w:val="24"/>
              </w:rPr>
            </w:pPr>
          </w:p>
        </w:tc>
        <w:tc>
          <w:tcPr>
            <w:tcW w:w="1704" w:type="dxa"/>
            <w:noWrap/>
            <w:hideMark/>
          </w:tcPr>
          <w:p w:rsidR="003105F3" w:rsidRPr="003105F3" w:rsidRDefault="003105F3" w:rsidP="003105F3">
            <w:pPr>
              <w:spacing w:line="360" w:lineRule="auto"/>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p>
        </w:tc>
        <w:tc>
          <w:tcPr>
            <w:tcW w:w="2856" w:type="dxa"/>
            <w:noWrap/>
            <w:hideMark/>
          </w:tcPr>
          <w:p w:rsidR="003105F3" w:rsidRPr="003105F3" w:rsidRDefault="003105F3" w:rsidP="003105F3">
            <w:pPr>
              <w:spacing w:line="360" w:lineRule="auto"/>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p>
        </w:tc>
      </w:tr>
    </w:tbl>
    <w:p w:rsidR="003105F3" w:rsidRPr="003105F3" w:rsidRDefault="003105F3" w:rsidP="003105F3">
      <w:pPr>
        <w:spacing w:line="360" w:lineRule="auto"/>
        <w:jc w:val="both"/>
        <w:rPr>
          <w:rFonts w:ascii="Times New Roman" w:hAnsi="Times New Roman" w:cs="Times New Roman"/>
          <w:sz w:val="24"/>
          <w:szCs w:val="24"/>
        </w:rPr>
      </w:pPr>
    </w:p>
    <w:p w:rsidR="003105F3" w:rsidRPr="003105F3" w:rsidRDefault="003105F3" w:rsidP="003105F3">
      <w:pPr>
        <w:spacing w:line="360" w:lineRule="auto"/>
        <w:jc w:val="both"/>
        <w:rPr>
          <w:rFonts w:ascii="Times New Roman" w:hAnsi="Times New Roman" w:cs="Times New Roman"/>
          <w:sz w:val="24"/>
          <w:szCs w:val="24"/>
        </w:rPr>
      </w:pPr>
      <w:r w:rsidRPr="003105F3">
        <w:rPr>
          <w:rFonts w:ascii="Times New Roman" w:hAnsi="Times New Roman" w:cs="Times New Roman"/>
          <w:sz w:val="24"/>
          <w:szCs w:val="24"/>
        </w:rPr>
        <w:t>The table presented above represents the P/E ratio of Paddy Power Betfair PLC and William Hill Plc according to the data of the table it can be said that the P/E ratio of William Hill plc is more than the Paddy Power Betfair PLC which clearly directs us to the conclusion that William Hill plc has more promising performance in the future. Hence the risk-averse investors must choose William Hill Plc for the purpose of future investments. This is because the William Hill Plc shows higher economic performance in the future as indicated by the P/E ratio.</w:t>
      </w:r>
    </w:p>
    <w:p w:rsidR="003105F3" w:rsidRPr="003105F3" w:rsidRDefault="003105F3" w:rsidP="003105F3">
      <w:pPr>
        <w:spacing w:line="360" w:lineRule="auto"/>
        <w:jc w:val="both"/>
        <w:rPr>
          <w:rFonts w:ascii="Times New Roman" w:hAnsi="Times New Roman" w:cs="Times New Roman"/>
          <w:i/>
          <w:sz w:val="24"/>
          <w:szCs w:val="24"/>
          <w:u w:val="single"/>
        </w:rPr>
      </w:pPr>
      <w:r w:rsidRPr="003105F3">
        <w:rPr>
          <w:rFonts w:ascii="Times New Roman" w:hAnsi="Times New Roman" w:cs="Times New Roman"/>
          <w:i/>
          <w:sz w:val="24"/>
          <w:szCs w:val="24"/>
          <w:u w:val="single"/>
        </w:rPr>
        <w:t>P/S Ratio:</w:t>
      </w:r>
    </w:p>
    <w:p w:rsidR="003105F3" w:rsidRPr="003105F3" w:rsidRDefault="003105F3" w:rsidP="003105F3">
      <w:pPr>
        <w:spacing w:line="360" w:lineRule="auto"/>
        <w:jc w:val="both"/>
        <w:rPr>
          <w:rFonts w:ascii="Times New Roman" w:hAnsi="Times New Roman" w:cs="Times New Roman"/>
          <w:sz w:val="24"/>
          <w:szCs w:val="24"/>
        </w:rPr>
      </w:pPr>
      <w:r w:rsidRPr="003105F3">
        <w:rPr>
          <w:rFonts w:ascii="Times New Roman" w:hAnsi="Times New Roman" w:cs="Times New Roman"/>
          <w:sz w:val="24"/>
          <w:szCs w:val="24"/>
        </w:rPr>
        <w:t>The price and stock ratio or P/S ratio of two companies help in comparison of the relative values of their stocks. This ratio considers a more reliable aspect which is sales figures and not the overall earnings as in P/S ratio. Thus it can be said that the P/S ratio is a more reliable and relevant comparison ratio.</w:t>
      </w:r>
    </w:p>
    <w:tbl>
      <w:tblPr>
        <w:tblStyle w:val="LightGrid-Accent3"/>
        <w:tblW w:w="8770" w:type="dxa"/>
        <w:tblLook w:val="04A0" w:firstRow="1" w:lastRow="0" w:firstColumn="1" w:lastColumn="0" w:noHBand="0" w:noVBand="1"/>
      </w:tblPr>
      <w:tblGrid>
        <w:gridCol w:w="3898"/>
        <w:gridCol w:w="1821"/>
        <w:gridCol w:w="3051"/>
      </w:tblGrid>
      <w:tr w:rsidR="003105F3" w:rsidRPr="003105F3" w:rsidTr="003105F3">
        <w:trPr>
          <w:cnfStyle w:val="100000000000" w:firstRow="1" w:lastRow="0" w:firstColumn="0" w:lastColumn="0" w:oddVBand="0" w:evenVBand="0" w:oddHBand="0" w:evenHBand="0" w:firstRowFirstColumn="0" w:firstRowLastColumn="0" w:lastRowFirstColumn="0" w:lastRowLastColumn="0"/>
          <w:trHeight w:val="229"/>
        </w:trPr>
        <w:tc>
          <w:tcPr>
            <w:cnfStyle w:val="001000000000" w:firstRow="0" w:lastRow="0" w:firstColumn="1" w:lastColumn="0" w:oddVBand="0" w:evenVBand="0" w:oddHBand="0" w:evenHBand="0" w:firstRowFirstColumn="0" w:firstRowLastColumn="0" w:lastRowFirstColumn="0" w:lastRowLastColumn="0"/>
            <w:tcW w:w="3898" w:type="dxa"/>
            <w:noWrap/>
            <w:hideMark/>
          </w:tcPr>
          <w:p w:rsidR="003105F3" w:rsidRPr="003105F3" w:rsidRDefault="003105F3" w:rsidP="003105F3">
            <w:pPr>
              <w:spacing w:line="360" w:lineRule="auto"/>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c>
          <w:tcPr>
            <w:tcW w:w="1821" w:type="dxa"/>
            <w:noWrap/>
            <w:hideMark/>
          </w:tcPr>
          <w:p w:rsidR="003105F3" w:rsidRPr="003105F3" w:rsidRDefault="003105F3" w:rsidP="003105F3">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2017</w:t>
            </w:r>
          </w:p>
        </w:tc>
        <w:tc>
          <w:tcPr>
            <w:tcW w:w="3051" w:type="dxa"/>
            <w:noWrap/>
            <w:hideMark/>
          </w:tcPr>
          <w:p w:rsidR="003105F3" w:rsidRPr="003105F3" w:rsidRDefault="003105F3" w:rsidP="003105F3">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2017</w:t>
            </w:r>
          </w:p>
        </w:tc>
      </w:tr>
      <w:tr w:rsidR="003105F3" w:rsidRPr="003105F3" w:rsidTr="003105F3">
        <w:trPr>
          <w:cnfStyle w:val="000000100000" w:firstRow="0" w:lastRow="0" w:firstColumn="0" w:lastColumn="0" w:oddVBand="0" w:evenVBand="0" w:oddHBand="1" w:evenHBand="0" w:firstRowFirstColumn="0" w:firstRowLastColumn="0" w:lastRowFirstColumn="0" w:lastRowLastColumn="0"/>
          <w:trHeight w:val="229"/>
        </w:trPr>
        <w:tc>
          <w:tcPr>
            <w:cnfStyle w:val="001000000000" w:firstRow="0" w:lastRow="0" w:firstColumn="1" w:lastColumn="0" w:oddVBand="0" w:evenVBand="0" w:oddHBand="0" w:evenHBand="0" w:firstRowFirstColumn="0" w:firstRowLastColumn="0" w:lastRowFirstColumn="0" w:lastRowLastColumn="0"/>
            <w:tcW w:w="3898" w:type="dxa"/>
            <w:noWrap/>
            <w:hideMark/>
          </w:tcPr>
          <w:p w:rsidR="003105F3" w:rsidRPr="003105F3" w:rsidRDefault="003105F3" w:rsidP="003105F3">
            <w:pPr>
              <w:spacing w:line="360" w:lineRule="auto"/>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c>
          <w:tcPr>
            <w:tcW w:w="1821" w:type="dxa"/>
            <w:noWrap/>
            <w:hideMark/>
          </w:tcPr>
          <w:p w:rsidR="003105F3" w:rsidRPr="003105F3" w:rsidRDefault="003105F3" w:rsidP="003105F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William hill plc</w:t>
            </w:r>
          </w:p>
        </w:tc>
        <w:tc>
          <w:tcPr>
            <w:tcW w:w="3051" w:type="dxa"/>
            <w:noWrap/>
            <w:hideMark/>
          </w:tcPr>
          <w:p w:rsidR="003105F3" w:rsidRPr="003105F3" w:rsidRDefault="003105F3" w:rsidP="003105F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Paddy Power Betfair PLC</w:t>
            </w:r>
          </w:p>
        </w:tc>
      </w:tr>
      <w:tr w:rsidR="003105F3" w:rsidRPr="003105F3" w:rsidTr="003105F3">
        <w:trPr>
          <w:cnfStyle w:val="000000010000" w:firstRow="0" w:lastRow="0" w:firstColumn="0" w:lastColumn="0" w:oddVBand="0" w:evenVBand="0" w:oddHBand="0" w:evenHBand="1" w:firstRowFirstColumn="0" w:firstRowLastColumn="0" w:lastRowFirstColumn="0" w:lastRowLastColumn="0"/>
          <w:trHeight w:val="229"/>
        </w:trPr>
        <w:tc>
          <w:tcPr>
            <w:cnfStyle w:val="001000000000" w:firstRow="0" w:lastRow="0" w:firstColumn="1" w:lastColumn="0" w:oddVBand="0" w:evenVBand="0" w:oddHBand="0" w:evenHBand="0" w:firstRowFirstColumn="0" w:firstRowLastColumn="0" w:lastRowFirstColumn="0" w:lastRowLastColumn="0"/>
            <w:tcW w:w="3898" w:type="dxa"/>
            <w:noWrap/>
            <w:hideMark/>
          </w:tcPr>
          <w:p w:rsidR="003105F3" w:rsidRPr="003105F3" w:rsidRDefault="003105F3" w:rsidP="003105F3">
            <w:pPr>
              <w:spacing w:line="360" w:lineRule="auto"/>
              <w:rPr>
                <w:rFonts w:ascii="Times New Roman" w:eastAsia="Times New Roman" w:hAnsi="Times New Roman" w:cs="Times New Roman"/>
                <w:color w:val="000000"/>
                <w:sz w:val="24"/>
                <w:szCs w:val="24"/>
              </w:rPr>
            </w:pPr>
          </w:p>
        </w:tc>
        <w:tc>
          <w:tcPr>
            <w:tcW w:w="1821" w:type="dxa"/>
            <w:noWrap/>
            <w:hideMark/>
          </w:tcPr>
          <w:p w:rsidR="003105F3" w:rsidRPr="003105F3" w:rsidRDefault="003105F3" w:rsidP="003105F3">
            <w:pPr>
              <w:spacing w:line="360" w:lineRule="auto"/>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c>
          <w:tcPr>
            <w:tcW w:w="3051" w:type="dxa"/>
            <w:noWrap/>
            <w:hideMark/>
          </w:tcPr>
          <w:p w:rsidR="003105F3" w:rsidRPr="003105F3" w:rsidRDefault="003105F3" w:rsidP="003105F3">
            <w:pPr>
              <w:spacing w:line="360" w:lineRule="auto"/>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r>
      <w:tr w:rsidR="003105F3" w:rsidRPr="003105F3" w:rsidTr="003105F3">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3898" w:type="dxa"/>
            <w:hideMark/>
          </w:tcPr>
          <w:p w:rsidR="003105F3" w:rsidRPr="003105F3" w:rsidRDefault="003105F3" w:rsidP="003105F3">
            <w:pPr>
              <w:spacing w:line="360" w:lineRule="auto"/>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Price-to-Sales Ratio[ Price per Share / Annual Sales Per Share]</w:t>
            </w:r>
          </w:p>
        </w:tc>
        <w:tc>
          <w:tcPr>
            <w:tcW w:w="1821" w:type="dxa"/>
            <w:noWrap/>
            <w:hideMark/>
          </w:tcPr>
          <w:p w:rsidR="003105F3" w:rsidRPr="003105F3" w:rsidRDefault="003105F3" w:rsidP="003105F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57.3</w:t>
            </w:r>
          </w:p>
        </w:tc>
        <w:tc>
          <w:tcPr>
            <w:tcW w:w="3051" w:type="dxa"/>
            <w:noWrap/>
            <w:hideMark/>
          </w:tcPr>
          <w:p w:rsidR="003105F3" w:rsidRPr="003105F3" w:rsidRDefault="003105F3" w:rsidP="003105F3">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3.4</w:t>
            </w:r>
          </w:p>
        </w:tc>
      </w:tr>
    </w:tbl>
    <w:p w:rsidR="003105F3" w:rsidRDefault="003105F3" w:rsidP="003105F3">
      <w:pPr>
        <w:spacing w:line="360" w:lineRule="auto"/>
        <w:jc w:val="both"/>
        <w:rPr>
          <w:rFonts w:ascii="Times New Roman" w:hAnsi="Times New Roman" w:cs="Times New Roman"/>
          <w:sz w:val="24"/>
          <w:szCs w:val="24"/>
        </w:rPr>
      </w:pPr>
    </w:p>
    <w:p w:rsidR="003105F3" w:rsidRPr="003105F3" w:rsidRDefault="003105F3" w:rsidP="003105F3">
      <w:pPr>
        <w:spacing w:line="360" w:lineRule="auto"/>
        <w:jc w:val="both"/>
        <w:rPr>
          <w:rFonts w:ascii="Times New Roman" w:hAnsi="Times New Roman" w:cs="Times New Roman"/>
          <w:sz w:val="24"/>
          <w:szCs w:val="24"/>
        </w:rPr>
      </w:pPr>
      <w:r w:rsidRPr="003105F3">
        <w:rPr>
          <w:rFonts w:ascii="Times New Roman" w:hAnsi="Times New Roman" w:cs="Times New Roman"/>
          <w:sz w:val="24"/>
          <w:szCs w:val="24"/>
        </w:rPr>
        <w:lastRenderedPageBreak/>
        <w:t xml:space="preserve">The figures presented in the above table show the P/S ratios of William Hill plc and Paddy Power Betfair plc in which the investors are more interested in investing in former company over the latter.  This is evident from the figures which state that the investors are ready to pay as high as 57.e pounds for a pound sale of William Hill PLC while they are hardly offering 3.4 pounds against a pound sale of Paddy Power Betfair PLC. </w:t>
      </w:r>
      <w:r w:rsidR="000925E8" w:rsidRPr="003105F3">
        <w:rPr>
          <w:rFonts w:ascii="Times New Roman" w:hAnsi="Times New Roman" w:cs="Times New Roman"/>
          <w:sz w:val="24"/>
          <w:szCs w:val="24"/>
        </w:rPr>
        <w:t>The</w:t>
      </w:r>
      <w:r w:rsidRPr="003105F3">
        <w:rPr>
          <w:rFonts w:ascii="Times New Roman" w:hAnsi="Times New Roman" w:cs="Times New Roman"/>
          <w:sz w:val="24"/>
          <w:szCs w:val="24"/>
        </w:rPr>
        <w:t xml:space="preserve"> P/S ratio analysis indicates that the investors are more interested in buying shares of the William Hill Plc because of their promising financial future performances. The investors do not care to pay as high as 57.3 pounds for 1 pound in sale because of their future expectations of higher profits when associated with William Hill plc rather than to buy shares of Paddy Power Betfair plc.</w:t>
      </w:r>
    </w:p>
    <w:p w:rsidR="003105F3" w:rsidRPr="003105F3" w:rsidRDefault="003105F3" w:rsidP="003105F3">
      <w:pPr>
        <w:spacing w:line="360" w:lineRule="auto"/>
        <w:jc w:val="both"/>
        <w:rPr>
          <w:rFonts w:ascii="Times New Roman" w:hAnsi="Times New Roman" w:cs="Times New Roman"/>
          <w:i/>
          <w:sz w:val="24"/>
          <w:szCs w:val="24"/>
          <w:u w:val="single"/>
        </w:rPr>
      </w:pPr>
      <w:r w:rsidRPr="003105F3">
        <w:rPr>
          <w:rFonts w:ascii="Times New Roman" w:hAnsi="Times New Roman" w:cs="Times New Roman"/>
          <w:i/>
          <w:sz w:val="24"/>
          <w:szCs w:val="24"/>
          <w:u w:val="single"/>
        </w:rPr>
        <w:t>Dividend yield:</w:t>
      </w:r>
    </w:p>
    <w:p w:rsidR="003105F3" w:rsidRPr="003105F3" w:rsidRDefault="003105F3" w:rsidP="003105F3">
      <w:pPr>
        <w:spacing w:line="360" w:lineRule="auto"/>
        <w:jc w:val="both"/>
        <w:rPr>
          <w:rFonts w:ascii="Times New Roman" w:hAnsi="Times New Roman" w:cs="Times New Roman"/>
          <w:sz w:val="24"/>
          <w:szCs w:val="24"/>
        </w:rPr>
      </w:pPr>
      <w:r w:rsidRPr="003105F3">
        <w:rPr>
          <w:rFonts w:ascii="Times New Roman" w:hAnsi="Times New Roman" w:cs="Times New Roman"/>
          <w:sz w:val="24"/>
          <w:szCs w:val="24"/>
        </w:rPr>
        <w:t>Dividend yield is the amount of cash which has been d</w:t>
      </w:r>
      <w:r w:rsidR="000925E8">
        <w:rPr>
          <w:rFonts w:ascii="Times New Roman" w:hAnsi="Times New Roman" w:cs="Times New Roman"/>
          <w:sz w:val="24"/>
          <w:szCs w:val="24"/>
        </w:rPr>
        <w:t>ivided between the common share</w:t>
      </w:r>
      <w:r w:rsidRPr="003105F3">
        <w:rPr>
          <w:rFonts w:ascii="Times New Roman" w:hAnsi="Times New Roman" w:cs="Times New Roman"/>
          <w:sz w:val="24"/>
          <w:szCs w:val="24"/>
        </w:rPr>
        <w:t>holders based on the market value of each share. The market value of the share is determined by the earnings and profits per share. The divided ratio analysis helps to understand the patterns of earnings generated by the investments on the stocks of any company. This can be in the form of cash earned by increased value of asset or share or in the form of dividends. Higher the value of dividend yield ratio will indicate higher distribution of the surplus earnings of the company because the profits earned are divided among the shareholders of the same stock. This also indicates that the scopes of reinvestments are reduced so the further expansion of business is hindered. The investors are offered income stocks in which the surplus earnings are evenly distributed between the investors.</w:t>
      </w:r>
    </w:p>
    <w:tbl>
      <w:tblPr>
        <w:tblStyle w:val="LightGrid-Accent3"/>
        <w:tblW w:w="6840" w:type="dxa"/>
        <w:tblLook w:val="04A0" w:firstRow="1" w:lastRow="0" w:firstColumn="1" w:lastColumn="0" w:noHBand="0" w:noVBand="1"/>
      </w:tblPr>
      <w:tblGrid>
        <w:gridCol w:w="3040"/>
        <w:gridCol w:w="1420"/>
        <w:gridCol w:w="2380"/>
      </w:tblGrid>
      <w:tr w:rsidR="003105F3" w:rsidRPr="003105F3" w:rsidTr="003105F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40" w:type="dxa"/>
            <w:noWrap/>
            <w:hideMark/>
          </w:tcPr>
          <w:p w:rsidR="003105F3" w:rsidRPr="003105F3" w:rsidRDefault="003105F3" w:rsidP="003105F3">
            <w:pPr>
              <w:spacing w:line="360" w:lineRule="auto"/>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c>
          <w:tcPr>
            <w:tcW w:w="1420" w:type="dxa"/>
            <w:noWrap/>
            <w:hideMark/>
          </w:tcPr>
          <w:p w:rsidR="003105F3" w:rsidRPr="003105F3" w:rsidRDefault="003105F3" w:rsidP="003105F3">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2017</w:t>
            </w:r>
          </w:p>
        </w:tc>
        <w:tc>
          <w:tcPr>
            <w:tcW w:w="2380" w:type="dxa"/>
            <w:noWrap/>
            <w:hideMark/>
          </w:tcPr>
          <w:p w:rsidR="003105F3" w:rsidRPr="003105F3" w:rsidRDefault="003105F3" w:rsidP="003105F3">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2017</w:t>
            </w:r>
          </w:p>
        </w:tc>
      </w:tr>
      <w:tr w:rsidR="003105F3" w:rsidRPr="003105F3" w:rsidTr="003105F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40" w:type="dxa"/>
            <w:noWrap/>
            <w:hideMark/>
          </w:tcPr>
          <w:p w:rsidR="003105F3" w:rsidRPr="003105F3" w:rsidRDefault="003105F3" w:rsidP="003105F3">
            <w:pPr>
              <w:spacing w:line="360" w:lineRule="auto"/>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c>
          <w:tcPr>
            <w:tcW w:w="1420" w:type="dxa"/>
            <w:noWrap/>
            <w:hideMark/>
          </w:tcPr>
          <w:p w:rsidR="003105F3" w:rsidRPr="003105F3" w:rsidRDefault="003105F3" w:rsidP="003105F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William hill plc</w:t>
            </w:r>
          </w:p>
        </w:tc>
        <w:tc>
          <w:tcPr>
            <w:tcW w:w="2380" w:type="dxa"/>
            <w:noWrap/>
            <w:hideMark/>
          </w:tcPr>
          <w:p w:rsidR="003105F3" w:rsidRPr="003105F3" w:rsidRDefault="003105F3" w:rsidP="003105F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Paddy Power Betfair PLC</w:t>
            </w:r>
          </w:p>
        </w:tc>
      </w:tr>
      <w:tr w:rsidR="003105F3" w:rsidRPr="003105F3" w:rsidTr="003105F3">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40" w:type="dxa"/>
            <w:noWrap/>
            <w:hideMark/>
          </w:tcPr>
          <w:p w:rsidR="003105F3" w:rsidRPr="003105F3" w:rsidRDefault="003105F3" w:rsidP="003105F3">
            <w:pPr>
              <w:spacing w:line="360" w:lineRule="auto"/>
              <w:rPr>
                <w:rFonts w:ascii="Times New Roman" w:eastAsia="Times New Roman" w:hAnsi="Times New Roman" w:cs="Times New Roman"/>
                <w:color w:val="000000"/>
                <w:sz w:val="24"/>
                <w:szCs w:val="24"/>
              </w:rPr>
            </w:pPr>
          </w:p>
        </w:tc>
        <w:tc>
          <w:tcPr>
            <w:tcW w:w="1420" w:type="dxa"/>
            <w:noWrap/>
            <w:hideMark/>
          </w:tcPr>
          <w:p w:rsidR="003105F3" w:rsidRPr="003105F3" w:rsidRDefault="003105F3" w:rsidP="003105F3">
            <w:pPr>
              <w:spacing w:line="360" w:lineRule="auto"/>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c>
          <w:tcPr>
            <w:tcW w:w="2380" w:type="dxa"/>
            <w:noWrap/>
            <w:hideMark/>
          </w:tcPr>
          <w:p w:rsidR="003105F3" w:rsidRPr="003105F3" w:rsidRDefault="003105F3" w:rsidP="003105F3">
            <w:pPr>
              <w:spacing w:line="360" w:lineRule="auto"/>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r>
      <w:tr w:rsidR="003105F3" w:rsidRPr="003105F3" w:rsidTr="003105F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40" w:type="dxa"/>
            <w:noWrap/>
            <w:hideMark/>
          </w:tcPr>
          <w:p w:rsidR="003105F3" w:rsidRPr="003105F3" w:rsidRDefault="003105F3" w:rsidP="003105F3">
            <w:pPr>
              <w:spacing w:line="360" w:lineRule="auto"/>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c>
          <w:tcPr>
            <w:tcW w:w="1420" w:type="dxa"/>
            <w:noWrap/>
            <w:hideMark/>
          </w:tcPr>
          <w:p w:rsidR="003105F3" w:rsidRPr="003105F3" w:rsidRDefault="003105F3" w:rsidP="003105F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c>
          <w:tcPr>
            <w:tcW w:w="2380" w:type="dxa"/>
            <w:noWrap/>
            <w:hideMark/>
          </w:tcPr>
          <w:p w:rsidR="003105F3" w:rsidRPr="003105F3" w:rsidRDefault="003105F3" w:rsidP="003105F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r>
      <w:tr w:rsidR="003105F3" w:rsidRPr="003105F3" w:rsidTr="003105F3">
        <w:trPr>
          <w:cnfStyle w:val="000000010000" w:firstRow="0" w:lastRow="0" w:firstColumn="0" w:lastColumn="0" w:oddVBand="0" w:evenVBand="0" w:oddHBand="0" w:evenHBand="1"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3040" w:type="dxa"/>
            <w:hideMark/>
          </w:tcPr>
          <w:p w:rsidR="003105F3" w:rsidRPr="003105F3" w:rsidRDefault="003105F3" w:rsidP="003105F3">
            <w:pPr>
              <w:spacing w:line="360" w:lineRule="auto"/>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Dividend yield[dividend per share / Earnings per share](£)</w:t>
            </w:r>
          </w:p>
        </w:tc>
        <w:tc>
          <w:tcPr>
            <w:tcW w:w="1420" w:type="dxa"/>
            <w:noWrap/>
            <w:hideMark/>
          </w:tcPr>
          <w:p w:rsidR="003105F3" w:rsidRPr="003105F3" w:rsidRDefault="003105F3" w:rsidP="003105F3">
            <w:pPr>
              <w:spacing w:line="360" w:lineRule="auto"/>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0.46</w:t>
            </w:r>
          </w:p>
        </w:tc>
        <w:tc>
          <w:tcPr>
            <w:tcW w:w="2380" w:type="dxa"/>
            <w:noWrap/>
            <w:hideMark/>
          </w:tcPr>
          <w:p w:rsidR="003105F3" w:rsidRPr="003105F3" w:rsidRDefault="003105F3" w:rsidP="003105F3">
            <w:pPr>
              <w:spacing w:line="360" w:lineRule="auto"/>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0.77</w:t>
            </w:r>
          </w:p>
        </w:tc>
      </w:tr>
    </w:tbl>
    <w:p w:rsidR="003105F3" w:rsidRPr="003105F3" w:rsidRDefault="003105F3" w:rsidP="003105F3">
      <w:pPr>
        <w:spacing w:line="360" w:lineRule="auto"/>
        <w:jc w:val="both"/>
        <w:rPr>
          <w:rFonts w:ascii="Times New Roman" w:hAnsi="Times New Roman" w:cs="Times New Roman"/>
          <w:sz w:val="24"/>
          <w:szCs w:val="24"/>
        </w:rPr>
      </w:pPr>
    </w:p>
    <w:p w:rsidR="003105F3" w:rsidRPr="003105F3" w:rsidRDefault="003105F3" w:rsidP="003105F3">
      <w:pPr>
        <w:spacing w:line="360" w:lineRule="auto"/>
        <w:jc w:val="both"/>
        <w:rPr>
          <w:rFonts w:ascii="Times New Roman" w:hAnsi="Times New Roman" w:cs="Times New Roman"/>
          <w:sz w:val="24"/>
          <w:szCs w:val="24"/>
        </w:rPr>
      </w:pPr>
      <w:r w:rsidRPr="003105F3">
        <w:rPr>
          <w:rFonts w:ascii="Times New Roman" w:hAnsi="Times New Roman" w:cs="Times New Roman"/>
          <w:sz w:val="24"/>
          <w:szCs w:val="24"/>
        </w:rPr>
        <w:lastRenderedPageBreak/>
        <w:t>The above table represents the dividend yield ratio of William Hill PLC and Paddy Power Betfair PLC in which the ratio is higher in the latter. This indicates that the William Hill PLC are likely to offer dividend income to the investors while the Paddy Power Betfair PLC will offer income stocks. Hence according to the dividend yield ratio, the Paddy Power Betfair PLC will attract more investors in this respect.</w:t>
      </w:r>
    </w:p>
    <w:p w:rsidR="003105F3" w:rsidRPr="003105F3" w:rsidRDefault="003105F3" w:rsidP="003105F3">
      <w:pPr>
        <w:spacing w:line="360" w:lineRule="auto"/>
        <w:jc w:val="both"/>
        <w:rPr>
          <w:rFonts w:ascii="Times New Roman" w:hAnsi="Times New Roman" w:cs="Times New Roman"/>
          <w:i/>
          <w:sz w:val="24"/>
          <w:szCs w:val="24"/>
          <w:u w:val="single"/>
        </w:rPr>
      </w:pPr>
      <w:r w:rsidRPr="003105F3">
        <w:rPr>
          <w:rFonts w:ascii="Times New Roman" w:hAnsi="Times New Roman" w:cs="Times New Roman"/>
          <w:i/>
          <w:sz w:val="24"/>
          <w:szCs w:val="24"/>
          <w:u w:val="single"/>
        </w:rPr>
        <w:t>Dividend payout ratio:</w:t>
      </w:r>
    </w:p>
    <w:p w:rsidR="003105F3" w:rsidRPr="003105F3" w:rsidRDefault="003105F3" w:rsidP="003105F3">
      <w:pPr>
        <w:spacing w:line="360" w:lineRule="auto"/>
        <w:jc w:val="both"/>
        <w:rPr>
          <w:rFonts w:ascii="Times New Roman" w:hAnsi="Times New Roman" w:cs="Times New Roman"/>
          <w:sz w:val="24"/>
          <w:szCs w:val="24"/>
        </w:rPr>
      </w:pPr>
      <w:r w:rsidRPr="003105F3">
        <w:rPr>
          <w:rFonts w:ascii="Times New Roman" w:hAnsi="Times New Roman" w:cs="Times New Roman"/>
          <w:sz w:val="24"/>
          <w:szCs w:val="24"/>
        </w:rPr>
        <w:t>The dividend payout ratio refers to the proportion of total income which has been distributed between the shareholders in the form of dividends. This will essentially help the investors to know the paying trends of the company to the dividends. According to this ratio, the investors can also analyze the proportion of the income which is used up for reinvestment in the company and the proportion of income which becomes available for division among the investors of the company. Hence increasing the efficiency of the organization will ensure that the profits earned by the organization are high. This also indicates that the sum available for the distribution among the dividends will also be higher incurring higher proportions to the dividends.</w:t>
      </w:r>
    </w:p>
    <w:tbl>
      <w:tblPr>
        <w:tblStyle w:val="LightGrid-Accent3"/>
        <w:tblW w:w="9032" w:type="dxa"/>
        <w:tblLook w:val="04A0" w:firstRow="1" w:lastRow="0" w:firstColumn="1" w:lastColumn="0" w:noHBand="0" w:noVBand="1"/>
      </w:tblPr>
      <w:tblGrid>
        <w:gridCol w:w="4014"/>
        <w:gridCol w:w="1875"/>
        <w:gridCol w:w="3143"/>
      </w:tblGrid>
      <w:tr w:rsidR="003105F3" w:rsidRPr="003105F3" w:rsidTr="001200B6">
        <w:trPr>
          <w:cnfStyle w:val="100000000000" w:firstRow="1" w:lastRow="0" w:firstColumn="0" w:lastColumn="0" w:oddVBand="0" w:evenVBand="0" w:oddHBand="0"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014" w:type="dxa"/>
            <w:noWrap/>
            <w:hideMark/>
          </w:tcPr>
          <w:p w:rsidR="003105F3" w:rsidRPr="003105F3" w:rsidRDefault="003105F3" w:rsidP="003105F3">
            <w:pPr>
              <w:spacing w:line="360" w:lineRule="auto"/>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c>
          <w:tcPr>
            <w:tcW w:w="1875" w:type="dxa"/>
            <w:noWrap/>
            <w:hideMark/>
          </w:tcPr>
          <w:p w:rsidR="003105F3" w:rsidRPr="003105F3" w:rsidRDefault="003105F3" w:rsidP="003105F3">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2017</w:t>
            </w:r>
          </w:p>
        </w:tc>
        <w:tc>
          <w:tcPr>
            <w:tcW w:w="3143" w:type="dxa"/>
            <w:noWrap/>
            <w:hideMark/>
          </w:tcPr>
          <w:p w:rsidR="003105F3" w:rsidRPr="003105F3" w:rsidRDefault="003105F3" w:rsidP="003105F3">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2017</w:t>
            </w:r>
          </w:p>
        </w:tc>
      </w:tr>
      <w:tr w:rsidR="003105F3" w:rsidRPr="003105F3" w:rsidTr="001200B6">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014" w:type="dxa"/>
            <w:noWrap/>
            <w:hideMark/>
          </w:tcPr>
          <w:p w:rsidR="003105F3" w:rsidRPr="003105F3" w:rsidRDefault="003105F3" w:rsidP="003105F3">
            <w:pPr>
              <w:spacing w:line="360" w:lineRule="auto"/>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c>
          <w:tcPr>
            <w:tcW w:w="1875" w:type="dxa"/>
            <w:noWrap/>
            <w:hideMark/>
          </w:tcPr>
          <w:p w:rsidR="003105F3" w:rsidRPr="003105F3" w:rsidRDefault="003105F3" w:rsidP="003105F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William hill plc</w:t>
            </w:r>
          </w:p>
        </w:tc>
        <w:tc>
          <w:tcPr>
            <w:tcW w:w="3143" w:type="dxa"/>
            <w:noWrap/>
            <w:hideMark/>
          </w:tcPr>
          <w:p w:rsidR="003105F3" w:rsidRPr="003105F3" w:rsidRDefault="003105F3" w:rsidP="003105F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Paddy Power Betfair PLC</w:t>
            </w:r>
          </w:p>
        </w:tc>
      </w:tr>
      <w:tr w:rsidR="003105F3" w:rsidRPr="003105F3" w:rsidTr="001200B6">
        <w:trPr>
          <w:cnfStyle w:val="000000010000" w:firstRow="0" w:lastRow="0" w:firstColumn="0" w:lastColumn="0" w:oddVBand="0" w:evenVBand="0" w:oddHBand="0" w:evenHBand="1"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014" w:type="dxa"/>
            <w:noWrap/>
            <w:hideMark/>
          </w:tcPr>
          <w:p w:rsidR="003105F3" w:rsidRPr="003105F3" w:rsidRDefault="003105F3" w:rsidP="003105F3">
            <w:pPr>
              <w:spacing w:line="360" w:lineRule="auto"/>
              <w:rPr>
                <w:rFonts w:ascii="Times New Roman" w:eastAsia="Times New Roman" w:hAnsi="Times New Roman" w:cs="Times New Roman"/>
                <w:color w:val="000000"/>
                <w:sz w:val="24"/>
                <w:szCs w:val="24"/>
              </w:rPr>
            </w:pPr>
          </w:p>
        </w:tc>
        <w:tc>
          <w:tcPr>
            <w:tcW w:w="1875" w:type="dxa"/>
            <w:noWrap/>
            <w:hideMark/>
          </w:tcPr>
          <w:p w:rsidR="003105F3" w:rsidRPr="003105F3" w:rsidRDefault="003105F3" w:rsidP="003105F3">
            <w:pPr>
              <w:spacing w:line="360" w:lineRule="auto"/>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c>
          <w:tcPr>
            <w:tcW w:w="3143" w:type="dxa"/>
            <w:noWrap/>
            <w:hideMark/>
          </w:tcPr>
          <w:p w:rsidR="003105F3" w:rsidRPr="003105F3" w:rsidRDefault="003105F3" w:rsidP="003105F3">
            <w:pPr>
              <w:spacing w:line="360" w:lineRule="auto"/>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 </w:t>
            </w:r>
          </w:p>
        </w:tc>
      </w:tr>
      <w:tr w:rsidR="003105F3" w:rsidRPr="003105F3" w:rsidTr="001200B6">
        <w:trPr>
          <w:cnfStyle w:val="000000100000" w:firstRow="0" w:lastRow="0" w:firstColumn="0" w:lastColumn="0" w:oddVBand="0" w:evenVBand="0" w:oddHBand="1" w:evenHBand="0" w:firstRowFirstColumn="0" w:firstRowLastColumn="0" w:lastRowFirstColumn="0" w:lastRowLastColumn="0"/>
          <w:trHeight w:val="849"/>
        </w:trPr>
        <w:tc>
          <w:tcPr>
            <w:cnfStyle w:val="001000000000" w:firstRow="0" w:lastRow="0" w:firstColumn="1" w:lastColumn="0" w:oddVBand="0" w:evenVBand="0" w:oddHBand="0" w:evenHBand="0" w:firstRowFirstColumn="0" w:firstRowLastColumn="0" w:lastRowFirstColumn="0" w:lastRowLastColumn="0"/>
            <w:tcW w:w="4014" w:type="dxa"/>
            <w:hideMark/>
          </w:tcPr>
          <w:p w:rsidR="003105F3" w:rsidRPr="003105F3" w:rsidRDefault="003105F3" w:rsidP="003105F3">
            <w:pPr>
              <w:spacing w:line="360" w:lineRule="auto"/>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Dividend pay-out ratio[Dividend/net income or profit]</w:t>
            </w:r>
          </w:p>
        </w:tc>
        <w:tc>
          <w:tcPr>
            <w:tcW w:w="1875" w:type="dxa"/>
            <w:noWrap/>
            <w:hideMark/>
          </w:tcPr>
          <w:p w:rsidR="003105F3" w:rsidRPr="003105F3" w:rsidRDefault="003105F3" w:rsidP="003105F3">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46%</w:t>
            </w:r>
          </w:p>
        </w:tc>
        <w:tc>
          <w:tcPr>
            <w:tcW w:w="3143" w:type="dxa"/>
            <w:noWrap/>
            <w:hideMark/>
          </w:tcPr>
          <w:p w:rsidR="003105F3" w:rsidRPr="003105F3" w:rsidRDefault="003105F3" w:rsidP="003105F3">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3105F3">
              <w:rPr>
                <w:rFonts w:ascii="Times New Roman" w:eastAsia="Times New Roman" w:hAnsi="Times New Roman" w:cs="Times New Roman"/>
                <w:color w:val="000000"/>
                <w:sz w:val="24"/>
                <w:szCs w:val="24"/>
              </w:rPr>
              <w:t>78%</w:t>
            </w:r>
          </w:p>
        </w:tc>
      </w:tr>
    </w:tbl>
    <w:p w:rsidR="003105F3" w:rsidRPr="003105F3" w:rsidRDefault="003105F3" w:rsidP="003105F3">
      <w:pPr>
        <w:spacing w:line="360" w:lineRule="auto"/>
        <w:jc w:val="both"/>
        <w:rPr>
          <w:rFonts w:ascii="Times New Roman" w:hAnsi="Times New Roman" w:cs="Times New Roman"/>
          <w:sz w:val="24"/>
          <w:szCs w:val="24"/>
        </w:rPr>
      </w:pPr>
    </w:p>
    <w:p w:rsidR="004E6296" w:rsidRPr="00073C62" w:rsidRDefault="003105F3" w:rsidP="003105F3">
      <w:pPr>
        <w:spacing w:line="360" w:lineRule="auto"/>
        <w:jc w:val="both"/>
        <w:rPr>
          <w:rFonts w:ascii="Times New Roman" w:hAnsi="Times New Roman" w:cs="Times New Roman"/>
          <w:sz w:val="24"/>
          <w:szCs w:val="24"/>
        </w:rPr>
      </w:pPr>
      <w:r w:rsidRPr="003105F3">
        <w:rPr>
          <w:rFonts w:ascii="Times New Roman" w:hAnsi="Times New Roman" w:cs="Times New Roman"/>
          <w:sz w:val="24"/>
          <w:szCs w:val="24"/>
        </w:rPr>
        <w:t>From the table above, the dividend payout ratios of the William Hill PLC and Paddy Power Betfair PLC depicts that in William Hill PLC the proportion available for distribution among the dividends is 46% of the profit while the Paddy Power Betfair PLC has 78% profit proportion. Thus the Paddy Power Betfair PLC is seen to distribute more proportion of profits to the dividends than the William Hill PLC. This is because they are intending to keep their investors by offering them higher shares of profits. The investors looking for getting regular shares of income in high amounts must prefer investing in Paddy Power Betfair PLC than William Hill PLC.</w:t>
      </w:r>
    </w:p>
    <w:p w:rsidR="003105F3" w:rsidRDefault="003105F3" w:rsidP="003105F3">
      <w:pPr>
        <w:pStyle w:val="Heading1"/>
      </w:pPr>
      <w:bookmarkStart w:id="12" w:name="_Toc512017342"/>
      <w:r>
        <w:lastRenderedPageBreak/>
        <w:t>Part b:</w:t>
      </w:r>
      <w:bookmarkEnd w:id="12"/>
      <w:r>
        <w:t xml:space="preserve"> </w:t>
      </w:r>
    </w:p>
    <w:p w:rsidR="0033781D" w:rsidRDefault="003105F3" w:rsidP="003105F3">
      <w:pPr>
        <w:pStyle w:val="Heading1"/>
      </w:pPr>
      <w:bookmarkStart w:id="13" w:name="_Toc512017343"/>
      <w:r>
        <w:t>Recommending appropriate company for investment based on Tim risk appetite and results obtained from financial ratio analysis:</w:t>
      </w:r>
      <w:bookmarkEnd w:id="13"/>
    </w:p>
    <w:p w:rsidR="003105F3" w:rsidRDefault="003105F3" w:rsidP="003105F3">
      <w:pPr>
        <w:spacing w:line="360" w:lineRule="auto"/>
        <w:jc w:val="both"/>
        <w:rPr>
          <w:rFonts w:ascii="Times New Roman" w:hAnsi="Times New Roman" w:cs="Times New Roman"/>
          <w:sz w:val="24"/>
          <w:szCs w:val="24"/>
        </w:rPr>
      </w:pPr>
    </w:p>
    <w:p w:rsidR="0033781D" w:rsidRDefault="001200B6" w:rsidP="004E629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essential to point out that Tim </w:t>
      </w:r>
      <w:r w:rsidR="0015093B">
        <w:rPr>
          <w:rFonts w:ascii="Times New Roman" w:hAnsi="Times New Roman" w:cs="Times New Roman"/>
          <w:sz w:val="24"/>
          <w:szCs w:val="24"/>
        </w:rPr>
        <w:t>is absolutely</w:t>
      </w:r>
      <w:r>
        <w:rPr>
          <w:rFonts w:ascii="Times New Roman" w:hAnsi="Times New Roman" w:cs="Times New Roman"/>
          <w:sz w:val="24"/>
          <w:szCs w:val="24"/>
        </w:rPr>
        <w:t xml:space="preserve"> a risk averse </w:t>
      </w:r>
      <w:r w:rsidR="0015093B">
        <w:rPr>
          <w:rFonts w:ascii="Times New Roman" w:hAnsi="Times New Roman" w:cs="Times New Roman"/>
          <w:sz w:val="24"/>
          <w:szCs w:val="24"/>
        </w:rPr>
        <w:t>investor.</w:t>
      </w:r>
      <w:r>
        <w:rPr>
          <w:rFonts w:ascii="Times New Roman" w:hAnsi="Times New Roman" w:cs="Times New Roman"/>
          <w:sz w:val="24"/>
          <w:szCs w:val="24"/>
        </w:rPr>
        <w:t xml:space="preserve"> </w:t>
      </w:r>
      <w:r w:rsidR="0015093B">
        <w:rPr>
          <w:rFonts w:ascii="Times New Roman" w:hAnsi="Times New Roman" w:cs="Times New Roman"/>
          <w:sz w:val="24"/>
          <w:szCs w:val="24"/>
        </w:rPr>
        <w:t xml:space="preserve"> Therefore,</w:t>
      </w:r>
      <w:r>
        <w:rPr>
          <w:rFonts w:ascii="Times New Roman" w:hAnsi="Times New Roman" w:cs="Times New Roman"/>
          <w:sz w:val="24"/>
          <w:szCs w:val="24"/>
        </w:rPr>
        <w:t xml:space="preserve"> it is important to recommend a stock which would act as a  better investment proposition with very low amount of risk.   It could be evaluated from the calculation of probability ratio, it could be rightly analyzed that </w:t>
      </w:r>
      <w:r w:rsidR="004E6296">
        <w:rPr>
          <w:rFonts w:ascii="Times New Roman" w:hAnsi="Times New Roman" w:cs="Times New Roman"/>
          <w:sz w:val="24"/>
          <w:szCs w:val="24"/>
        </w:rPr>
        <w:t xml:space="preserve">Paddy Power Betfair plc has a better gross profit margin marginally as compared to William Hill plc. Moreover, the former has a also a better PBIt margin as compared to William Hill off late in 2017. So from the aspect of profitability, paddy Power Betfair has outperformed William plc. </w:t>
      </w:r>
    </w:p>
    <w:p w:rsidR="004E6296" w:rsidRDefault="004E6296" w:rsidP="004E629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 aspect of liquidity, it is also evident from the above mentioned analysis of liquidity, that Paddy Power Betfair Plc has a better current ratio value indicating good efficiency of the company. Whereas William Hill has been struggling to make good liquidity. On the other hand, in terms of asset utilization, it could be evaluated that Paddy Power Betfair Plc has outperformed William Hill. It is evident from the analysis performed in the above financial ratio analysis section, that fixed asset utilization rate is also most double for Paddy Power Betfair Plc in comparison with William Hill Plc for the financial year 2017. </w:t>
      </w:r>
    </w:p>
    <w:p w:rsidR="004E6296" w:rsidRDefault="004E6296" w:rsidP="004E629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Moreover, from the aspect of investors ratio, it could analyzed that P/E of the William Hill Pls is very high indicating the  share price are highly overvalued for this company. In addition to the above, dividend yield of the Paddy Power Betfair Plc is also better than William Hill. Additionally, it could also be evaluated that </w:t>
      </w:r>
      <w:r w:rsidR="0015093B">
        <w:rPr>
          <w:rFonts w:ascii="Times New Roman" w:hAnsi="Times New Roman" w:cs="Times New Roman"/>
          <w:sz w:val="24"/>
          <w:szCs w:val="24"/>
        </w:rPr>
        <w:t>dividend</w:t>
      </w:r>
      <w:r>
        <w:rPr>
          <w:rFonts w:ascii="Times New Roman" w:hAnsi="Times New Roman" w:cs="Times New Roman"/>
          <w:sz w:val="24"/>
          <w:szCs w:val="24"/>
        </w:rPr>
        <w:t xml:space="preserve"> payout ratio of Paddy Power Betfair Plc is much higher at 78% as compared to 46% of William hill. This indicates the fact shareholders are </w:t>
      </w:r>
      <w:r>
        <w:rPr>
          <w:rFonts w:ascii="Times New Roman" w:hAnsi="Times New Roman" w:cs="Times New Roman"/>
          <w:sz w:val="24"/>
          <w:szCs w:val="24"/>
        </w:rPr>
        <w:lastRenderedPageBreak/>
        <w:t xml:space="preserve">obtaining a better </w:t>
      </w:r>
      <w:r w:rsidR="0015093B">
        <w:rPr>
          <w:rFonts w:ascii="Times New Roman" w:hAnsi="Times New Roman" w:cs="Times New Roman"/>
          <w:sz w:val="24"/>
          <w:szCs w:val="24"/>
        </w:rPr>
        <w:t xml:space="preserve">dividends from the profits which is also acting as a source of income for the shareholders. Moreover, with a considerable low P/E value for Paddy Power Betfair Plc , it could be inferred that there is high chance of increase in value of share furthermore from the present share price. </w:t>
      </w:r>
    </w:p>
    <w:p w:rsidR="0015093B" w:rsidRDefault="0015093B" w:rsidP="004E629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could also be analyzed from the movement of the share price of both the companies, that both the bookmaking  stocks has been highly volatile and value of the stock declined significantly in last financial year. </w:t>
      </w:r>
    </w:p>
    <w:p w:rsidR="0015093B" w:rsidRDefault="0015093B" w:rsidP="004E629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 considering all the factors including the share price movement and performing a comprehensive financial ratio analysis from different perspective such </w:t>
      </w:r>
      <w:r w:rsidR="000925E8">
        <w:rPr>
          <w:rFonts w:ascii="Times New Roman" w:hAnsi="Times New Roman" w:cs="Times New Roman"/>
          <w:sz w:val="24"/>
          <w:szCs w:val="24"/>
        </w:rPr>
        <w:t xml:space="preserve">as </w:t>
      </w:r>
      <w:r>
        <w:rPr>
          <w:rFonts w:ascii="Times New Roman" w:hAnsi="Times New Roman" w:cs="Times New Roman"/>
          <w:sz w:val="24"/>
          <w:szCs w:val="24"/>
        </w:rPr>
        <w:t xml:space="preserve">liquidity, profitability, asset utilization and investors ratios; it is recommended that Tim </w:t>
      </w:r>
      <w:r w:rsidR="000925E8">
        <w:rPr>
          <w:rFonts w:ascii="Times New Roman" w:hAnsi="Times New Roman" w:cs="Times New Roman"/>
          <w:sz w:val="24"/>
          <w:szCs w:val="24"/>
        </w:rPr>
        <w:t>Farrow</w:t>
      </w:r>
      <w:r>
        <w:rPr>
          <w:rFonts w:ascii="Times New Roman" w:hAnsi="Times New Roman" w:cs="Times New Roman"/>
          <w:sz w:val="24"/>
          <w:szCs w:val="24"/>
        </w:rPr>
        <w:t xml:space="preserve"> must invest in the stock of Paddy Power Betfair Plc. It is mainly because of high fundamentals and current lower value of the stock. </w:t>
      </w:r>
    </w:p>
    <w:p w:rsidR="004E6296" w:rsidRDefault="004E6296" w:rsidP="004E6296">
      <w:pPr>
        <w:spacing w:line="480" w:lineRule="auto"/>
        <w:jc w:val="both"/>
        <w:rPr>
          <w:rFonts w:ascii="Times New Roman" w:hAnsi="Times New Roman" w:cs="Times New Roman"/>
          <w:sz w:val="24"/>
          <w:szCs w:val="24"/>
        </w:rPr>
      </w:pPr>
    </w:p>
    <w:p w:rsidR="004E6296" w:rsidRDefault="004E6296" w:rsidP="004E6296">
      <w:pPr>
        <w:spacing w:line="480" w:lineRule="auto"/>
        <w:jc w:val="both"/>
        <w:rPr>
          <w:rFonts w:ascii="Times New Roman" w:hAnsi="Times New Roman" w:cs="Times New Roman"/>
          <w:sz w:val="24"/>
          <w:szCs w:val="24"/>
        </w:rPr>
      </w:pPr>
    </w:p>
    <w:p w:rsidR="0015093B" w:rsidRDefault="0015093B" w:rsidP="004E6296">
      <w:pPr>
        <w:spacing w:line="480" w:lineRule="auto"/>
        <w:jc w:val="both"/>
        <w:rPr>
          <w:rFonts w:ascii="Times New Roman" w:hAnsi="Times New Roman" w:cs="Times New Roman"/>
          <w:sz w:val="24"/>
          <w:szCs w:val="24"/>
        </w:rPr>
      </w:pPr>
    </w:p>
    <w:p w:rsidR="0015093B" w:rsidRDefault="0015093B" w:rsidP="004E6296">
      <w:pPr>
        <w:spacing w:line="480" w:lineRule="auto"/>
        <w:jc w:val="both"/>
        <w:rPr>
          <w:rFonts w:ascii="Times New Roman" w:hAnsi="Times New Roman" w:cs="Times New Roman"/>
          <w:sz w:val="24"/>
          <w:szCs w:val="24"/>
        </w:rPr>
      </w:pPr>
    </w:p>
    <w:p w:rsidR="0015093B" w:rsidRDefault="0015093B" w:rsidP="004E6296">
      <w:pPr>
        <w:spacing w:line="480" w:lineRule="auto"/>
        <w:jc w:val="both"/>
        <w:rPr>
          <w:rFonts w:ascii="Times New Roman" w:hAnsi="Times New Roman" w:cs="Times New Roman"/>
          <w:sz w:val="24"/>
          <w:szCs w:val="24"/>
        </w:rPr>
      </w:pPr>
    </w:p>
    <w:p w:rsidR="0015093B" w:rsidRDefault="0015093B" w:rsidP="004E6296">
      <w:pPr>
        <w:spacing w:line="480" w:lineRule="auto"/>
        <w:jc w:val="both"/>
        <w:rPr>
          <w:rFonts w:ascii="Times New Roman" w:hAnsi="Times New Roman" w:cs="Times New Roman"/>
          <w:sz w:val="24"/>
          <w:szCs w:val="24"/>
        </w:rPr>
      </w:pPr>
    </w:p>
    <w:p w:rsidR="004E6296" w:rsidRDefault="004E6296" w:rsidP="0015093B">
      <w:pPr>
        <w:pStyle w:val="Heading1"/>
      </w:pPr>
      <w:bookmarkStart w:id="14" w:name="_Toc512017344"/>
      <w:r>
        <w:lastRenderedPageBreak/>
        <w:t>References:</w:t>
      </w:r>
      <w:bookmarkEnd w:id="14"/>
      <w:r w:rsidR="0015093B">
        <w:tab/>
      </w:r>
    </w:p>
    <w:p w:rsidR="0015093B" w:rsidRPr="004E6296" w:rsidRDefault="0015093B" w:rsidP="0015093B">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4E6296">
        <w:rPr>
          <w:rFonts w:ascii="Times New Roman" w:eastAsia="Times New Roman" w:hAnsi="Times New Roman" w:cs="Times New Roman"/>
          <w:color w:val="222222"/>
          <w:sz w:val="24"/>
          <w:szCs w:val="24"/>
          <w:shd w:val="clear" w:color="auto" w:fill="FFFFFF"/>
        </w:rPr>
        <w:t>Brigham, E. F., Ehrhardt, M. C., Nason, R. R., &amp; Gessaroli, J. (2016). </w:t>
      </w:r>
      <w:r w:rsidRPr="004E6296">
        <w:rPr>
          <w:rFonts w:ascii="Times New Roman" w:eastAsia="Times New Roman" w:hAnsi="Times New Roman" w:cs="Times New Roman"/>
          <w:i/>
          <w:iCs/>
          <w:color w:val="222222"/>
          <w:sz w:val="24"/>
          <w:szCs w:val="24"/>
          <w:shd w:val="clear" w:color="auto" w:fill="FFFFFF"/>
        </w:rPr>
        <w:t xml:space="preserve">Financial </w:t>
      </w:r>
      <w:r w:rsidR="000925E8" w:rsidRPr="004E6296">
        <w:rPr>
          <w:rFonts w:ascii="Times New Roman" w:eastAsia="Times New Roman" w:hAnsi="Times New Roman" w:cs="Times New Roman"/>
          <w:i/>
          <w:iCs/>
          <w:color w:val="222222"/>
          <w:sz w:val="24"/>
          <w:szCs w:val="24"/>
          <w:shd w:val="clear" w:color="auto" w:fill="FFFFFF"/>
        </w:rPr>
        <w:t>Management</w:t>
      </w:r>
      <w:r w:rsidRPr="004E6296">
        <w:rPr>
          <w:rFonts w:ascii="Times New Roman" w:eastAsia="Times New Roman" w:hAnsi="Times New Roman" w:cs="Times New Roman"/>
          <w:i/>
          <w:iCs/>
          <w:color w:val="222222"/>
          <w:sz w:val="24"/>
          <w:szCs w:val="24"/>
          <w:shd w:val="clear" w:color="auto" w:fill="FFFFFF"/>
        </w:rPr>
        <w:t xml:space="preserve">: Theory </w:t>
      </w:r>
      <w:r w:rsidR="000925E8" w:rsidRPr="004E6296">
        <w:rPr>
          <w:rFonts w:ascii="Times New Roman" w:eastAsia="Times New Roman" w:hAnsi="Times New Roman" w:cs="Times New Roman"/>
          <w:i/>
          <w:iCs/>
          <w:color w:val="222222"/>
          <w:sz w:val="24"/>
          <w:szCs w:val="24"/>
          <w:shd w:val="clear" w:color="auto" w:fill="FFFFFF"/>
        </w:rPr>
        <w:t>and</w:t>
      </w:r>
      <w:r w:rsidRPr="004E6296">
        <w:rPr>
          <w:rFonts w:ascii="Times New Roman" w:eastAsia="Times New Roman" w:hAnsi="Times New Roman" w:cs="Times New Roman"/>
          <w:i/>
          <w:iCs/>
          <w:color w:val="222222"/>
          <w:sz w:val="24"/>
          <w:szCs w:val="24"/>
          <w:shd w:val="clear" w:color="auto" w:fill="FFFFFF"/>
        </w:rPr>
        <w:t xml:space="preserve"> Practice, Canadian Edition</w:t>
      </w:r>
      <w:r w:rsidRPr="004E6296">
        <w:rPr>
          <w:rFonts w:ascii="Times New Roman" w:eastAsia="Times New Roman" w:hAnsi="Times New Roman" w:cs="Times New Roman"/>
          <w:color w:val="222222"/>
          <w:sz w:val="24"/>
          <w:szCs w:val="24"/>
          <w:shd w:val="clear" w:color="auto" w:fill="FFFFFF"/>
        </w:rPr>
        <w:t>. Nelson Education.</w:t>
      </w:r>
      <w:r w:rsidRPr="004E6296">
        <w:rPr>
          <w:rFonts w:ascii="Times New Roman" w:eastAsia="Times New Roman" w:hAnsi="Times New Roman" w:cs="Times New Roman"/>
          <w:color w:val="222222"/>
          <w:sz w:val="24"/>
          <w:szCs w:val="24"/>
        </w:rPr>
        <w:t> </w:t>
      </w:r>
    </w:p>
    <w:p w:rsidR="0015093B" w:rsidRPr="004E6296" w:rsidRDefault="0015093B" w:rsidP="0015093B">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4E6296">
        <w:rPr>
          <w:rFonts w:ascii="Times New Roman" w:eastAsia="Times New Roman" w:hAnsi="Times New Roman" w:cs="Times New Roman"/>
          <w:color w:val="222222"/>
          <w:sz w:val="24"/>
          <w:szCs w:val="24"/>
        </w:rPr>
        <w:t>Chen, C. W., Collins, D. W., Kravet, T. D., &amp; Mergenthaler, R. D. (2018). Financial statement comparability and the efficiency of acquisition decisions. </w:t>
      </w:r>
      <w:r w:rsidRPr="004E6296">
        <w:rPr>
          <w:rFonts w:ascii="Times New Roman" w:eastAsia="Times New Roman" w:hAnsi="Times New Roman" w:cs="Times New Roman"/>
          <w:i/>
          <w:iCs/>
          <w:color w:val="222222"/>
          <w:sz w:val="24"/>
          <w:szCs w:val="24"/>
        </w:rPr>
        <w:t>Contemporary Accounting Research</w:t>
      </w:r>
      <w:r w:rsidRPr="004E6296">
        <w:rPr>
          <w:rFonts w:ascii="Times New Roman" w:eastAsia="Times New Roman" w:hAnsi="Times New Roman" w:cs="Times New Roman"/>
          <w:color w:val="222222"/>
          <w:sz w:val="24"/>
          <w:szCs w:val="24"/>
        </w:rPr>
        <w:t>, </w:t>
      </w:r>
      <w:r w:rsidRPr="004E6296">
        <w:rPr>
          <w:rFonts w:ascii="Times New Roman" w:eastAsia="Times New Roman" w:hAnsi="Times New Roman" w:cs="Times New Roman"/>
          <w:i/>
          <w:iCs/>
          <w:color w:val="222222"/>
          <w:sz w:val="24"/>
          <w:szCs w:val="24"/>
        </w:rPr>
        <w:t>35</w:t>
      </w:r>
      <w:r w:rsidRPr="004E6296">
        <w:rPr>
          <w:rFonts w:ascii="Times New Roman" w:eastAsia="Times New Roman" w:hAnsi="Times New Roman" w:cs="Times New Roman"/>
          <w:color w:val="222222"/>
          <w:sz w:val="24"/>
          <w:szCs w:val="24"/>
        </w:rPr>
        <w:t>(1), 164-202. </w:t>
      </w:r>
    </w:p>
    <w:p w:rsidR="0015093B" w:rsidRPr="004E6296" w:rsidRDefault="0015093B" w:rsidP="004E6296">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4E6296">
        <w:rPr>
          <w:rFonts w:ascii="Times New Roman" w:eastAsia="Times New Roman" w:hAnsi="Times New Roman" w:cs="Times New Roman"/>
          <w:color w:val="222222"/>
          <w:sz w:val="24"/>
          <w:szCs w:val="24"/>
        </w:rPr>
        <w:t>Easton, P. D., McAnally, M. L., Sommers, G. A., &amp; Zhang, X. J. (2018). </w:t>
      </w:r>
      <w:r w:rsidRPr="004E6296">
        <w:rPr>
          <w:rFonts w:ascii="Times New Roman" w:eastAsia="Times New Roman" w:hAnsi="Times New Roman" w:cs="Times New Roman"/>
          <w:i/>
          <w:iCs/>
          <w:color w:val="222222"/>
          <w:sz w:val="24"/>
          <w:szCs w:val="24"/>
        </w:rPr>
        <w:t>Financial statement analysis &amp; valuation</w:t>
      </w:r>
      <w:r w:rsidRPr="004E6296">
        <w:rPr>
          <w:rFonts w:ascii="Times New Roman" w:eastAsia="Times New Roman" w:hAnsi="Times New Roman" w:cs="Times New Roman"/>
          <w:color w:val="222222"/>
          <w:sz w:val="24"/>
          <w:szCs w:val="24"/>
        </w:rPr>
        <w:t>. Cambridge Business Publishers. </w:t>
      </w:r>
    </w:p>
    <w:p w:rsidR="0015093B" w:rsidRPr="004E6296" w:rsidRDefault="0015093B" w:rsidP="0015093B">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4E6296">
        <w:rPr>
          <w:rFonts w:ascii="Times New Roman" w:eastAsia="Times New Roman" w:hAnsi="Times New Roman" w:cs="Times New Roman"/>
          <w:color w:val="222222"/>
          <w:sz w:val="24"/>
          <w:szCs w:val="24"/>
        </w:rPr>
        <w:t>Grant, R. M. (2016). </w:t>
      </w:r>
      <w:r w:rsidRPr="004E6296">
        <w:rPr>
          <w:rFonts w:ascii="Times New Roman" w:eastAsia="Times New Roman" w:hAnsi="Times New Roman" w:cs="Times New Roman"/>
          <w:i/>
          <w:iCs/>
          <w:color w:val="222222"/>
          <w:sz w:val="24"/>
          <w:szCs w:val="24"/>
        </w:rPr>
        <w:t>Contemporary strategy analysis: Text and cases edition</w:t>
      </w:r>
      <w:r w:rsidRPr="004E6296">
        <w:rPr>
          <w:rFonts w:ascii="Times New Roman" w:eastAsia="Times New Roman" w:hAnsi="Times New Roman" w:cs="Times New Roman"/>
          <w:color w:val="222222"/>
          <w:sz w:val="24"/>
          <w:szCs w:val="24"/>
        </w:rPr>
        <w:t>. John Wiley &amp; Sons. </w:t>
      </w:r>
    </w:p>
    <w:p w:rsidR="0015093B" w:rsidRPr="004E6296" w:rsidRDefault="0015093B" w:rsidP="0015093B">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4E6296">
        <w:rPr>
          <w:rFonts w:ascii="Times New Roman" w:eastAsia="Times New Roman" w:hAnsi="Times New Roman" w:cs="Times New Roman"/>
          <w:color w:val="222222"/>
          <w:sz w:val="24"/>
          <w:szCs w:val="24"/>
          <w:shd w:val="clear" w:color="auto" w:fill="FFFFFF"/>
        </w:rPr>
        <w:t>Grant, R. M. (2016). </w:t>
      </w:r>
      <w:r w:rsidRPr="004E6296">
        <w:rPr>
          <w:rFonts w:ascii="Times New Roman" w:eastAsia="Times New Roman" w:hAnsi="Times New Roman" w:cs="Times New Roman"/>
          <w:i/>
          <w:iCs/>
          <w:color w:val="222222"/>
          <w:sz w:val="24"/>
          <w:szCs w:val="24"/>
          <w:shd w:val="clear" w:color="auto" w:fill="FFFFFF"/>
        </w:rPr>
        <w:t>Contemporary strategy analysis: Text and cases edition</w:t>
      </w:r>
      <w:r w:rsidRPr="004E6296">
        <w:rPr>
          <w:rFonts w:ascii="Times New Roman" w:eastAsia="Times New Roman" w:hAnsi="Times New Roman" w:cs="Times New Roman"/>
          <w:color w:val="222222"/>
          <w:sz w:val="24"/>
          <w:szCs w:val="24"/>
          <w:shd w:val="clear" w:color="auto" w:fill="FFFFFF"/>
        </w:rPr>
        <w:t>. John Wiley &amp; Sons.</w:t>
      </w:r>
      <w:r w:rsidRPr="004E6296">
        <w:rPr>
          <w:rFonts w:ascii="Times New Roman" w:eastAsia="Times New Roman" w:hAnsi="Times New Roman" w:cs="Times New Roman"/>
          <w:color w:val="222222"/>
          <w:sz w:val="24"/>
          <w:szCs w:val="24"/>
        </w:rPr>
        <w:t> </w:t>
      </w:r>
    </w:p>
    <w:p w:rsidR="0015093B" w:rsidRPr="004E6296" w:rsidRDefault="0015093B" w:rsidP="0015093B">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4E6296">
        <w:rPr>
          <w:rFonts w:ascii="Times New Roman" w:eastAsia="Times New Roman" w:hAnsi="Times New Roman" w:cs="Times New Roman"/>
          <w:color w:val="222222"/>
          <w:sz w:val="24"/>
          <w:szCs w:val="24"/>
          <w:shd w:val="clear" w:color="auto" w:fill="FFFFFF"/>
        </w:rPr>
        <w:t>Jordan, B. (2014). </w:t>
      </w:r>
      <w:r w:rsidRPr="004E6296">
        <w:rPr>
          <w:rFonts w:ascii="Times New Roman" w:eastAsia="Times New Roman" w:hAnsi="Times New Roman" w:cs="Times New Roman"/>
          <w:i/>
          <w:iCs/>
          <w:color w:val="222222"/>
          <w:sz w:val="24"/>
          <w:szCs w:val="24"/>
          <w:shd w:val="clear" w:color="auto" w:fill="FFFFFF"/>
        </w:rPr>
        <w:t>Fundamentals of investments</w:t>
      </w:r>
      <w:r w:rsidRPr="004E6296">
        <w:rPr>
          <w:rFonts w:ascii="Times New Roman" w:eastAsia="Times New Roman" w:hAnsi="Times New Roman" w:cs="Times New Roman"/>
          <w:color w:val="222222"/>
          <w:sz w:val="24"/>
          <w:szCs w:val="24"/>
          <w:shd w:val="clear" w:color="auto" w:fill="FFFFFF"/>
        </w:rPr>
        <w:t>. McGraw-Hill Higher Education.</w:t>
      </w:r>
      <w:r w:rsidRPr="004E6296">
        <w:rPr>
          <w:rFonts w:ascii="Times New Roman" w:eastAsia="Times New Roman" w:hAnsi="Times New Roman" w:cs="Times New Roman"/>
          <w:color w:val="222222"/>
          <w:sz w:val="24"/>
          <w:szCs w:val="24"/>
        </w:rPr>
        <w:t> </w:t>
      </w:r>
    </w:p>
    <w:p w:rsidR="0015093B" w:rsidRPr="004E6296" w:rsidRDefault="0015093B" w:rsidP="004E6296">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4E6296">
        <w:rPr>
          <w:rFonts w:ascii="Times New Roman" w:eastAsia="Times New Roman" w:hAnsi="Times New Roman" w:cs="Times New Roman"/>
          <w:color w:val="222222"/>
          <w:sz w:val="24"/>
          <w:szCs w:val="24"/>
        </w:rPr>
        <w:t>Robinson, T. R., Henry, E., Pirie, W. L., &amp; Broihahn, M. A. (2015). </w:t>
      </w:r>
      <w:r w:rsidRPr="004E6296">
        <w:rPr>
          <w:rFonts w:ascii="Times New Roman" w:eastAsia="Times New Roman" w:hAnsi="Times New Roman" w:cs="Times New Roman"/>
          <w:i/>
          <w:iCs/>
          <w:color w:val="222222"/>
          <w:sz w:val="24"/>
          <w:szCs w:val="24"/>
        </w:rPr>
        <w:t>International financial statement analysis</w:t>
      </w:r>
      <w:r w:rsidRPr="004E6296">
        <w:rPr>
          <w:rFonts w:ascii="Times New Roman" w:eastAsia="Times New Roman" w:hAnsi="Times New Roman" w:cs="Times New Roman"/>
          <w:color w:val="222222"/>
          <w:sz w:val="24"/>
          <w:szCs w:val="24"/>
        </w:rPr>
        <w:t>. John Wiley &amp; Sons. </w:t>
      </w:r>
    </w:p>
    <w:p w:rsidR="0015093B" w:rsidRPr="004E6296" w:rsidRDefault="0015093B" w:rsidP="004E6296">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4E6296">
        <w:rPr>
          <w:rFonts w:ascii="Times New Roman" w:eastAsia="Times New Roman" w:hAnsi="Times New Roman" w:cs="Times New Roman"/>
          <w:color w:val="222222"/>
          <w:sz w:val="24"/>
          <w:szCs w:val="24"/>
        </w:rPr>
        <w:t>Ross, S. A., Bianchi, R., Christensen, M., Drew, M., Westerfield, R., &amp; Jordan, B. D. (2014). </w:t>
      </w:r>
      <w:r w:rsidRPr="004E6296">
        <w:rPr>
          <w:rFonts w:ascii="Times New Roman" w:eastAsia="Times New Roman" w:hAnsi="Times New Roman" w:cs="Times New Roman"/>
          <w:i/>
          <w:iCs/>
          <w:color w:val="222222"/>
          <w:sz w:val="24"/>
          <w:szCs w:val="24"/>
        </w:rPr>
        <w:t xml:space="preserve">Fundamentals of Corporate Finance: Introduction to corporate finance </w:t>
      </w:r>
      <w:r w:rsidRPr="004E6296">
        <w:rPr>
          <w:rFonts w:ascii="Times New Roman" w:eastAsia="Times New Roman" w:hAnsi="Times New Roman" w:cs="Times New Roman"/>
          <w:color w:val="222222"/>
          <w:sz w:val="24"/>
          <w:szCs w:val="24"/>
        </w:rPr>
        <w:t>McGraw-Hill Education (Australia). </w:t>
      </w:r>
    </w:p>
    <w:p w:rsidR="0015093B" w:rsidRPr="004E6296" w:rsidRDefault="0015093B" w:rsidP="0015093B">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4E6296">
        <w:rPr>
          <w:rFonts w:ascii="Times New Roman" w:eastAsia="Times New Roman" w:hAnsi="Times New Roman" w:cs="Times New Roman"/>
          <w:color w:val="222222"/>
          <w:sz w:val="24"/>
          <w:szCs w:val="24"/>
        </w:rPr>
        <w:t>Tjia, J. (2018). </w:t>
      </w:r>
      <w:r w:rsidRPr="004E6296">
        <w:rPr>
          <w:rFonts w:ascii="Times New Roman" w:eastAsia="Times New Roman" w:hAnsi="Times New Roman" w:cs="Times New Roman"/>
          <w:i/>
          <w:iCs/>
          <w:color w:val="222222"/>
          <w:sz w:val="24"/>
          <w:szCs w:val="24"/>
        </w:rPr>
        <w:t>Building Financial Models: The Complete Guide to Designing, Building, and Applying Projection Models</w:t>
      </w:r>
      <w:r w:rsidRPr="004E6296">
        <w:rPr>
          <w:rFonts w:ascii="Times New Roman" w:eastAsia="Times New Roman" w:hAnsi="Times New Roman" w:cs="Times New Roman"/>
          <w:color w:val="222222"/>
          <w:sz w:val="24"/>
          <w:szCs w:val="24"/>
        </w:rPr>
        <w:t>. McGraw Hill Professional. </w:t>
      </w:r>
    </w:p>
    <w:p w:rsidR="0015093B" w:rsidRPr="004E6296" w:rsidRDefault="0015093B" w:rsidP="004E6296">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4E6296">
        <w:rPr>
          <w:rFonts w:ascii="Times New Roman" w:eastAsia="Times New Roman" w:hAnsi="Times New Roman" w:cs="Times New Roman"/>
          <w:color w:val="222222"/>
          <w:sz w:val="24"/>
          <w:szCs w:val="24"/>
        </w:rPr>
        <w:t>Wahlen, J., Baginski, S., &amp; Bradshaw, M. (2014). </w:t>
      </w:r>
      <w:r w:rsidRPr="004E6296">
        <w:rPr>
          <w:rFonts w:ascii="Times New Roman" w:eastAsia="Times New Roman" w:hAnsi="Times New Roman" w:cs="Times New Roman"/>
          <w:i/>
          <w:iCs/>
          <w:color w:val="222222"/>
          <w:sz w:val="24"/>
          <w:szCs w:val="24"/>
        </w:rPr>
        <w:t>Financial reporting, financial statement analysis and valuation</w:t>
      </w:r>
      <w:r w:rsidRPr="004E6296">
        <w:rPr>
          <w:rFonts w:ascii="Times New Roman" w:eastAsia="Times New Roman" w:hAnsi="Times New Roman" w:cs="Times New Roman"/>
          <w:color w:val="222222"/>
          <w:sz w:val="24"/>
          <w:szCs w:val="24"/>
        </w:rPr>
        <w:t>. Nelson Education. </w:t>
      </w:r>
    </w:p>
    <w:p w:rsidR="004E6296" w:rsidRPr="004E6296" w:rsidRDefault="004E6296" w:rsidP="000925E8">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sidRPr="004E6296">
        <w:rPr>
          <w:rFonts w:ascii="Times New Roman" w:eastAsia="Times New Roman" w:hAnsi="Times New Roman" w:cs="Times New Roman"/>
          <w:color w:val="222222"/>
          <w:sz w:val="24"/>
          <w:szCs w:val="24"/>
        </w:rPr>
        <w:t>Paddypowerbetfair.com. (2018).</w:t>
      </w:r>
      <w:r w:rsidRPr="004E6296">
        <w:rPr>
          <w:rFonts w:ascii="Times New Roman" w:eastAsia="Times New Roman" w:hAnsi="Times New Roman" w:cs="Times New Roman"/>
          <w:color w:val="000000"/>
          <w:sz w:val="24"/>
          <w:szCs w:val="24"/>
        </w:rPr>
        <w:t> </w:t>
      </w:r>
      <w:r w:rsidRPr="004E6296">
        <w:rPr>
          <w:rFonts w:ascii="Times New Roman" w:eastAsia="Times New Roman" w:hAnsi="Times New Roman" w:cs="Times New Roman"/>
          <w:i/>
          <w:iCs/>
          <w:color w:val="000000"/>
          <w:sz w:val="24"/>
          <w:szCs w:val="24"/>
        </w:rPr>
        <w:t>Annual reports</w:t>
      </w:r>
      <w:r w:rsidRPr="004E6296">
        <w:rPr>
          <w:rFonts w:ascii="Times New Roman" w:eastAsia="Times New Roman" w:hAnsi="Times New Roman" w:cs="Times New Roman"/>
          <w:color w:val="000000"/>
          <w:sz w:val="24"/>
          <w:szCs w:val="24"/>
        </w:rPr>
        <w:t>. [</w:t>
      </w:r>
      <w:r w:rsidR="000925E8" w:rsidRPr="004E6296">
        <w:rPr>
          <w:rFonts w:ascii="Times New Roman" w:eastAsia="Times New Roman" w:hAnsi="Times New Roman" w:cs="Times New Roman"/>
          <w:color w:val="000000"/>
          <w:sz w:val="24"/>
          <w:szCs w:val="24"/>
        </w:rPr>
        <w:t>Online</w:t>
      </w:r>
      <w:r w:rsidRPr="004E6296">
        <w:rPr>
          <w:rFonts w:ascii="Times New Roman" w:eastAsia="Times New Roman" w:hAnsi="Times New Roman" w:cs="Times New Roman"/>
          <w:color w:val="000000"/>
          <w:sz w:val="24"/>
          <w:szCs w:val="24"/>
        </w:rPr>
        <w:t>] Available at: </w:t>
      </w:r>
      <w:hyperlink r:id="rId11" w:tgtFrame="_blank" w:history="1">
        <w:r w:rsidRPr="004E6296">
          <w:rPr>
            <w:rFonts w:ascii="Times New Roman" w:eastAsia="Times New Roman" w:hAnsi="Times New Roman" w:cs="Times New Roman"/>
            <w:color w:val="1155CC"/>
            <w:sz w:val="24"/>
            <w:szCs w:val="24"/>
            <w:u w:val="single"/>
          </w:rPr>
          <w:t>https://www.paddypowerbetfair.com/investor-relations/annual-reports/2017</w:t>
        </w:r>
      </w:hyperlink>
      <w:r w:rsidRPr="004E6296">
        <w:rPr>
          <w:rFonts w:ascii="Times New Roman" w:eastAsia="Times New Roman" w:hAnsi="Times New Roman" w:cs="Times New Roman"/>
          <w:color w:val="000000"/>
          <w:sz w:val="24"/>
          <w:szCs w:val="24"/>
        </w:rPr>
        <w:t> [Accessed 20 Apr. 2018].</w:t>
      </w:r>
    </w:p>
    <w:p w:rsidR="004E6296" w:rsidRPr="004E6296" w:rsidRDefault="000925E8" w:rsidP="000925E8">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William </w:t>
      </w:r>
      <w:r w:rsidR="004E6296" w:rsidRPr="004E6296">
        <w:rPr>
          <w:rFonts w:ascii="Times New Roman" w:eastAsia="Times New Roman" w:hAnsi="Times New Roman" w:cs="Times New Roman"/>
          <w:color w:val="222222"/>
          <w:sz w:val="24"/>
          <w:szCs w:val="24"/>
        </w:rPr>
        <w:t>Hill Plc. (2018).</w:t>
      </w:r>
      <w:r w:rsidR="004E6296" w:rsidRPr="004E6296">
        <w:rPr>
          <w:rFonts w:ascii="Times New Roman" w:eastAsia="Times New Roman" w:hAnsi="Times New Roman" w:cs="Times New Roman"/>
          <w:color w:val="000000"/>
          <w:sz w:val="24"/>
          <w:szCs w:val="24"/>
        </w:rPr>
        <w:t> </w:t>
      </w:r>
      <w:r w:rsidR="004E6296" w:rsidRPr="004E6296">
        <w:rPr>
          <w:rFonts w:ascii="Times New Roman" w:eastAsia="Times New Roman" w:hAnsi="Times New Roman" w:cs="Times New Roman"/>
          <w:i/>
          <w:iCs/>
          <w:color w:val="000000"/>
          <w:sz w:val="24"/>
          <w:szCs w:val="24"/>
        </w:rPr>
        <w:t>2017 Final Results</w:t>
      </w:r>
      <w:r w:rsidR="004E6296" w:rsidRPr="004E6296">
        <w:rPr>
          <w:rFonts w:ascii="Times New Roman" w:eastAsia="Times New Roman" w:hAnsi="Times New Roman" w:cs="Times New Roman"/>
          <w:color w:val="000000"/>
          <w:sz w:val="24"/>
          <w:szCs w:val="24"/>
        </w:rPr>
        <w:t>. [</w:t>
      </w:r>
      <w:r w:rsidRPr="004E6296">
        <w:rPr>
          <w:rFonts w:ascii="Times New Roman" w:eastAsia="Times New Roman" w:hAnsi="Times New Roman" w:cs="Times New Roman"/>
          <w:color w:val="000000"/>
          <w:sz w:val="24"/>
          <w:szCs w:val="24"/>
        </w:rPr>
        <w:t>Online</w:t>
      </w:r>
      <w:r w:rsidR="004E6296" w:rsidRPr="004E6296">
        <w:rPr>
          <w:rFonts w:ascii="Times New Roman" w:eastAsia="Times New Roman" w:hAnsi="Times New Roman" w:cs="Times New Roman"/>
          <w:color w:val="000000"/>
          <w:sz w:val="24"/>
          <w:szCs w:val="24"/>
        </w:rPr>
        <w:t>] Available at: </w:t>
      </w:r>
      <w:hyperlink r:id="rId12" w:tgtFrame="_blank" w:history="1">
        <w:r w:rsidR="004E6296" w:rsidRPr="004E6296">
          <w:rPr>
            <w:rFonts w:ascii="Times New Roman" w:eastAsia="Times New Roman" w:hAnsi="Times New Roman" w:cs="Times New Roman"/>
            <w:color w:val="1155CC"/>
            <w:sz w:val="24"/>
            <w:szCs w:val="24"/>
            <w:u w:val="single"/>
          </w:rPr>
          <w:t>https://www.williamhillplc.com/newsmedia/newsroom/corporate-news/2018/2017-final-results/</w:t>
        </w:r>
      </w:hyperlink>
      <w:r w:rsidR="004E6296" w:rsidRPr="004E6296">
        <w:rPr>
          <w:rFonts w:ascii="Times New Roman" w:eastAsia="Times New Roman" w:hAnsi="Times New Roman" w:cs="Times New Roman"/>
          <w:color w:val="000000"/>
          <w:sz w:val="24"/>
          <w:szCs w:val="24"/>
        </w:rPr>
        <w:t> [Accessed 20 Apr. 2018].</w:t>
      </w:r>
    </w:p>
    <w:p w:rsidR="004E6296" w:rsidRDefault="004E6296" w:rsidP="004E6296">
      <w:pPr>
        <w:spacing w:line="480" w:lineRule="auto"/>
        <w:jc w:val="both"/>
        <w:rPr>
          <w:rFonts w:ascii="Times New Roman" w:hAnsi="Times New Roman" w:cs="Times New Roman"/>
          <w:sz w:val="24"/>
          <w:szCs w:val="24"/>
        </w:rPr>
      </w:pPr>
    </w:p>
    <w:p w:rsidR="0015093B" w:rsidRDefault="0015093B" w:rsidP="004E6296">
      <w:pPr>
        <w:spacing w:line="480" w:lineRule="auto"/>
        <w:jc w:val="both"/>
        <w:rPr>
          <w:rFonts w:ascii="Times New Roman" w:hAnsi="Times New Roman" w:cs="Times New Roman"/>
          <w:sz w:val="24"/>
          <w:szCs w:val="24"/>
        </w:rPr>
      </w:pPr>
    </w:p>
    <w:p w:rsidR="0015093B" w:rsidRPr="0015093B" w:rsidRDefault="0015093B" w:rsidP="0015093B">
      <w:pPr>
        <w:pStyle w:val="Heading1"/>
      </w:pPr>
      <w:bookmarkStart w:id="15" w:name="_Toc512017345"/>
      <w:r w:rsidRPr="0015093B">
        <w:rPr>
          <w:szCs w:val="24"/>
        </w:rPr>
        <w:lastRenderedPageBreak/>
        <w:t>Appendix:</w:t>
      </w:r>
      <w:bookmarkEnd w:id="15"/>
    </w:p>
    <w:p w:rsidR="0015093B" w:rsidRPr="0015093B" w:rsidRDefault="0015093B" w:rsidP="0015093B">
      <w:pPr>
        <w:pStyle w:val="Heading1"/>
      </w:pPr>
      <w:bookmarkStart w:id="16" w:name="_Toc512017346"/>
      <w:r>
        <w:t>Calculation of Different Financial ratios:</w:t>
      </w:r>
      <w:bookmarkEnd w:id="16"/>
      <w:r>
        <w:t xml:space="preserve"> </w:t>
      </w:r>
    </w:p>
    <w:p w:rsidR="0015093B" w:rsidRPr="00C41589" w:rsidRDefault="0015093B" w:rsidP="0015093B">
      <w:pPr>
        <w:spacing w:line="360" w:lineRule="auto"/>
        <w:jc w:val="both"/>
        <w:rPr>
          <w:rFonts w:ascii="Times New Roman" w:hAnsi="Times New Roman" w:cs="Times New Roman"/>
          <w:sz w:val="24"/>
          <w:szCs w:val="24"/>
        </w:rPr>
      </w:pPr>
    </w:p>
    <w:tbl>
      <w:tblPr>
        <w:tblW w:w="8906" w:type="dxa"/>
        <w:tblInd w:w="89" w:type="dxa"/>
        <w:tblLook w:val="04A0" w:firstRow="1" w:lastRow="0" w:firstColumn="1" w:lastColumn="0" w:noHBand="0" w:noVBand="1"/>
      </w:tblPr>
      <w:tblGrid>
        <w:gridCol w:w="4805"/>
        <w:gridCol w:w="1367"/>
        <w:gridCol w:w="1367"/>
        <w:gridCol w:w="1367"/>
      </w:tblGrid>
      <w:tr w:rsidR="0015093B" w:rsidRPr="00217C14" w:rsidTr="007D6A03">
        <w:trPr>
          <w:trHeight w:val="424"/>
        </w:trPr>
        <w:tc>
          <w:tcPr>
            <w:tcW w:w="8905"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center"/>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 xml:space="preserve">Gross profit margin of William Hill plc </w:t>
            </w:r>
          </w:p>
        </w:tc>
      </w:tr>
      <w:tr w:rsidR="0015093B" w:rsidRPr="00217C14" w:rsidTr="007D6A03">
        <w:trPr>
          <w:trHeight w:val="424"/>
        </w:trPr>
        <w:tc>
          <w:tcPr>
            <w:tcW w:w="8905"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center"/>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Gross profit margin (in %)= (Gross Profit/ Revenue)*100</w:t>
            </w:r>
          </w:p>
        </w:tc>
      </w:tr>
      <w:tr w:rsidR="0015093B" w:rsidRPr="00217C14" w:rsidTr="007D6A03">
        <w:trPr>
          <w:trHeight w:val="424"/>
        </w:trPr>
        <w:tc>
          <w:tcPr>
            <w:tcW w:w="4805" w:type="dxa"/>
            <w:tcBorders>
              <w:top w:val="nil"/>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Year</w:t>
            </w:r>
          </w:p>
        </w:tc>
        <w:tc>
          <w:tcPr>
            <w:tcW w:w="1367"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2017</w:t>
            </w:r>
          </w:p>
        </w:tc>
        <w:tc>
          <w:tcPr>
            <w:tcW w:w="1367"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2016</w:t>
            </w:r>
          </w:p>
        </w:tc>
        <w:tc>
          <w:tcPr>
            <w:tcW w:w="1367"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2015</w:t>
            </w:r>
          </w:p>
        </w:tc>
      </w:tr>
      <w:tr w:rsidR="0015093B" w:rsidRPr="00217C14" w:rsidTr="007D6A03">
        <w:trPr>
          <w:trHeight w:val="424"/>
        </w:trPr>
        <w:tc>
          <w:tcPr>
            <w:tcW w:w="4805" w:type="dxa"/>
            <w:tcBorders>
              <w:top w:val="nil"/>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Revenue (in £ million)</w:t>
            </w:r>
          </w:p>
        </w:tc>
        <w:tc>
          <w:tcPr>
            <w:tcW w:w="1367"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1711.1</w:t>
            </w:r>
          </w:p>
        </w:tc>
        <w:tc>
          <w:tcPr>
            <w:tcW w:w="1367"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1603.8</w:t>
            </w:r>
          </w:p>
        </w:tc>
        <w:tc>
          <w:tcPr>
            <w:tcW w:w="1367"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1590.9</w:t>
            </w:r>
          </w:p>
        </w:tc>
      </w:tr>
      <w:tr w:rsidR="0015093B" w:rsidRPr="00217C14" w:rsidTr="007D6A03">
        <w:trPr>
          <w:trHeight w:val="424"/>
        </w:trPr>
        <w:tc>
          <w:tcPr>
            <w:tcW w:w="4805" w:type="dxa"/>
            <w:tcBorders>
              <w:top w:val="nil"/>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Gross Profit (in million)</w:t>
            </w:r>
          </w:p>
        </w:tc>
        <w:tc>
          <w:tcPr>
            <w:tcW w:w="1367"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1279.1</w:t>
            </w:r>
          </w:p>
        </w:tc>
        <w:tc>
          <w:tcPr>
            <w:tcW w:w="1367"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1221.6</w:t>
            </w:r>
          </w:p>
        </w:tc>
        <w:tc>
          <w:tcPr>
            <w:tcW w:w="1367"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1213</w:t>
            </w:r>
          </w:p>
        </w:tc>
      </w:tr>
      <w:tr w:rsidR="0015093B" w:rsidRPr="00217C14" w:rsidTr="007D6A03">
        <w:trPr>
          <w:trHeight w:val="424"/>
        </w:trPr>
        <w:tc>
          <w:tcPr>
            <w:tcW w:w="4805" w:type="dxa"/>
            <w:tcBorders>
              <w:top w:val="nil"/>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Gross profit margin (in %)</w:t>
            </w:r>
          </w:p>
        </w:tc>
        <w:tc>
          <w:tcPr>
            <w:tcW w:w="1367"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74.75</w:t>
            </w:r>
          </w:p>
        </w:tc>
        <w:tc>
          <w:tcPr>
            <w:tcW w:w="1367"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76.17</w:t>
            </w:r>
          </w:p>
        </w:tc>
        <w:tc>
          <w:tcPr>
            <w:tcW w:w="1367"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76.25</w:t>
            </w:r>
          </w:p>
        </w:tc>
      </w:tr>
    </w:tbl>
    <w:p w:rsidR="0015093B" w:rsidRPr="00C41589" w:rsidRDefault="0015093B" w:rsidP="0015093B">
      <w:pPr>
        <w:spacing w:line="360" w:lineRule="auto"/>
        <w:jc w:val="both"/>
        <w:rPr>
          <w:rFonts w:ascii="Times New Roman" w:hAnsi="Times New Roman" w:cs="Times New Roman"/>
          <w:sz w:val="24"/>
          <w:szCs w:val="24"/>
        </w:rPr>
      </w:pPr>
    </w:p>
    <w:p w:rsidR="0015093B" w:rsidRPr="00C41589" w:rsidRDefault="0015093B" w:rsidP="0015093B">
      <w:pPr>
        <w:spacing w:line="360" w:lineRule="auto"/>
        <w:jc w:val="both"/>
        <w:rPr>
          <w:rFonts w:ascii="Times New Roman" w:hAnsi="Times New Roman" w:cs="Times New Roman"/>
          <w:sz w:val="24"/>
          <w:szCs w:val="24"/>
        </w:rPr>
      </w:pPr>
    </w:p>
    <w:tbl>
      <w:tblPr>
        <w:tblStyle w:val="LightGrid-Accent3"/>
        <w:tblW w:w="9098" w:type="dxa"/>
        <w:tblLook w:val="04A0" w:firstRow="1" w:lastRow="0" w:firstColumn="1" w:lastColumn="0" w:noHBand="0" w:noVBand="1"/>
      </w:tblPr>
      <w:tblGrid>
        <w:gridCol w:w="5798"/>
        <w:gridCol w:w="1650"/>
        <w:gridCol w:w="1650"/>
      </w:tblGrid>
      <w:tr w:rsidR="0015093B" w:rsidRPr="00242D47" w:rsidTr="007D6A03">
        <w:trPr>
          <w:cnfStyle w:val="100000000000" w:firstRow="1" w:lastRow="0" w:firstColumn="0" w:lastColumn="0" w:oddVBand="0" w:evenVBand="0" w:oddHBand="0"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9097" w:type="dxa"/>
            <w:gridSpan w:val="3"/>
            <w:noWrap/>
            <w:hideMark/>
          </w:tcPr>
          <w:p w:rsidR="0015093B" w:rsidRPr="00242D47" w:rsidRDefault="0015093B" w:rsidP="007D6A03">
            <w:pPr>
              <w:jc w:val="center"/>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Gros</w:t>
            </w:r>
            <w:r w:rsidRPr="00C41589">
              <w:rPr>
                <w:rFonts w:ascii="Times New Roman" w:eastAsia="Times New Roman" w:hAnsi="Times New Roman" w:cs="Times New Roman"/>
                <w:color w:val="000000"/>
                <w:sz w:val="24"/>
                <w:szCs w:val="24"/>
              </w:rPr>
              <w:t>s profit margin of Paddy Power B</w:t>
            </w:r>
            <w:r w:rsidRPr="00242D47">
              <w:rPr>
                <w:rFonts w:ascii="Times New Roman" w:eastAsia="Times New Roman" w:hAnsi="Times New Roman" w:cs="Times New Roman"/>
                <w:color w:val="000000"/>
                <w:sz w:val="24"/>
                <w:szCs w:val="24"/>
              </w:rPr>
              <w:t xml:space="preserve">etfair plc </w:t>
            </w:r>
          </w:p>
        </w:tc>
      </w:tr>
      <w:tr w:rsidR="0015093B" w:rsidRPr="00242D47" w:rsidTr="007D6A03">
        <w:trPr>
          <w:cnfStyle w:val="000000100000" w:firstRow="0" w:lastRow="0" w:firstColumn="0" w:lastColumn="0" w:oddVBand="0" w:evenVBand="0" w:oddHBand="1"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9097" w:type="dxa"/>
            <w:gridSpan w:val="3"/>
            <w:noWrap/>
            <w:hideMark/>
          </w:tcPr>
          <w:p w:rsidR="0015093B" w:rsidRPr="00242D47" w:rsidRDefault="0015093B" w:rsidP="007D6A03">
            <w:pPr>
              <w:jc w:val="center"/>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Gross profit margin (in %)= (Gross Profit/ Revenue)*100</w:t>
            </w:r>
          </w:p>
        </w:tc>
      </w:tr>
      <w:tr w:rsidR="0015093B" w:rsidRPr="00242D47" w:rsidTr="007D6A03">
        <w:trPr>
          <w:cnfStyle w:val="000000010000" w:firstRow="0" w:lastRow="0" w:firstColumn="0" w:lastColumn="0" w:oddVBand="0" w:evenVBand="0" w:oddHBand="0" w:evenHBand="1"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5798" w:type="dxa"/>
            <w:noWrap/>
            <w:hideMark/>
          </w:tcPr>
          <w:p w:rsidR="0015093B" w:rsidRPr="00242D47" w:rsidRDefault="0015093B" w:rsidP="007D6A03">
            <w:pPr>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Year</w:t>
            </w:r>
          </w:p>
        </w:tc>
        <w:tc>
          <w:tcPr>
            <w:tcW w:w="1650" w:type="dxa"/>
            <w:noWrap/>
            <w:hideMark/>
          </w:tcPr>
          <w:p w:rsidR="0015093B" w:rsidRPr="00242D47"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2017</w:t>
            </w:r>
          </w:p>
        </w:tc>
        <w:tc>
          <w:tcPr>
            <w:tcW w:w="1650" w:type="dxa"/>
            <w:noWrap/>
            <w:hideMark/>
          </w:tcPr>
          <w:p w:rsidR="0015093B" w:rsidRPr="00242D47"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2016</w:t>
            </w:r>
          </w:p>
        </w:tc>
      </w:tr>
      <w:tr w:rsidR="0015093B" w:rsidRPr="00242D47" w:rsidTr="007D6A03">
        <w:trPr>
          <w:cnfStyle w:val="000000100000" w:firstRow="0" w:lastRow="0" w:firstColumn="0" w:lastColumn="0" w:oddVBand="0" w:evenVBand="0" w:oddHBand="1"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5798" w:type="dxa"/>
            <w:noWrap/>
            <w:hideMark/>
          </w:tcPr>
          <w:p w:rsidR="0015093B" w:rsidRPr="00242D47" w:rsidRDefault="0015093B" w:rsidP="007D6A03">
            <w:pPr>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Revenue (in £ million)</w:t>
            </w:r>
          </w:p>
        </w:tc>
        <w:tc>
          <w:tcPr>
            <w:tcW w:w="1650" w:type="dxa"/>
            <w:noWrap/>
            <w:hideMark/>
          </w:tcPr>
          <w:p w:rsidR="0015093B" w:rsidRPr="00242D47"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1754.4</w:t>
            </w:r>
          </w:p>
        </w:tc>
        <w:tc>
          <w:tcPr>
            <w:tcW w:w="1650" w:type="dxa"/>
            <w:noWrap/>
            <w:hideMark/>
          </w:tcPr>
          <w:p w:rsidR="0015093B" w:rsidRPr="00242D47"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1500.8</w:t>
            </w:r>
          </w:p>
        </w:tc>
      </w:tr>
      <w:tr w:rsidR="0015093B" w:rsidRPr="00242D47" w:rsidTr="007D6A03">
        <w:trPr>
          <w:cnfStyle w:val="000000010000" w:firstRow="0" w:lastRow="0" w:firstColumn="0" w:lastColumn="0" w:oddVBand="0" w:evenVBand="0" w:oddHBand="0" w:evenHBand="1"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5798" w:type="dxa"/>
            <w:noWrap/>
            <w:hideMark/>
          </w:tcPr>
          <w:p w:rsidR="0015093B" w:rsidRPr="00242D47" w:rsidRDefault="0015093B" w:rsidP="007D6A03">
            <w:pPr>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Gross Profit (in million)</w:t>
            </w:r>
          </w:p>
        </w:tc>
        <w:tc>
          <w:tcPr>
            <w:tcW w:w="1650" w:type="dxa"/>
            <w:noWrap/>
            <w:hideMark/>
          </w:tcPr>
          <w:p w:rsidR="0015093B" w:rsidRPr="00242D47"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1340</w:t>
            </w:r>
          </w:p>
        </w:tc>
        <w:tc>
          <w:tcPr>
            <w:tcW w:w="1650" w:type="dxa"/>
            <w:noWrap/>
            <w:hideMark/>
          </w:tcPr>
          <w:p w:rsidR="0015093B" w:rsidRPr="00242D47"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1154.3</w:t>
            </w:r>
          </w:p>
        </w:tc>
      </w:tr>
      <w:tr w:rsidR="0015093B" w:rsidRPr="00242D47" w:rsidTr="007D6A03">
        <w:trPr>
          <w:cnfStyle w:val="000000100000" w:firstRow="0" w:lastRow="0" w:firstColumn="0" w:lastColumn="0" w:oddVBand="0" w:evenVBand="0" w:oddHBand="1"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5798" w:type="dxa"/>
            <w:noWrap/>
            <w:hideMark/>
          </w:tcPr>
          <w:p w:rsidR="0015093B" w:rsidRPr="00242D47" w:rsidRDefault="0015093B" w:rsidP="007D6A03">
            <w:pPr>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Gross profit margin (in %)</w:t>
            </w:r>
          </w:p>
        </w:tc>
        <w:tc>
          <w:tcPr>
            <w:tcW w:w="1650" w:type="dxa"/>
            <w:noWrap/>
            <w:hideMark/>
          </w:tcPr>
          <w:p w:rsidR="0015093B" w:rsidRPr="00242D47"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76.38</w:t>
            </w:r>
          </w:p>
        </w:tc>
        <w:tc>
          <w:tcPr>
            <w:tcW w:w="1650" w:type="dxa"/>
            <w:noWrap/>
            <w:hideMark/>
          </w:tcPr>
          <w:p w:rsidR="0015093B" w:rsidRPr="00242D47"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76.91</w:t>
            </w:r>
          </w:p>
        </w:tc>
      </w:tr>
    </w:tbl>
    <w:p w:rsidR="0015093B" w:rsidRPr="00C41589" w:rsidRDefault="0015093B" w:rsidP="0015093B">
      <w:pPr>
        <w:spacing w:line="360" w:lineRule="auto"/>
        <w:jc w:val="both"/>
        <w:rPr>
          <w:rFonts w:ascii="Times New Roman" w:hAnsi="Times New Roman" w:cs="Times New Roman"/>
          <w:sz w:val="24"/>
          <w:szCs w:val="24"/>
        </w:rPr>
      </w:pPr>
    </w:p>
    <w:p w:rsidR="0015093B" w:rsidRPr="00C41589" w:rsidRDefault="0015093B" w:rsidP="0015093B">
      <w:pPr>
        <w:spacing w:line="360" w:lineRule="auto"/>
        <w:jc w:val="both"/>
        <w:rPr>
          <w:rFonts w:ascii="Times New Roman" w:hAnsi="Times New Roman" w:cs="Times New Roman"/>
          <w:sz w:val="24"/>
          <w:szCs w:val="24"/>
        </w:rPr>
      </w:pPr>
    </w:p>
    <w:tbl>
      <w:tblPr>
        <w:tblW w:w="9562" w:type="dxa"/>
        <w:tblInd w:w="89" w:type="dxa"/>
        <w:tblLook w:val="04A0" w:firstRow="1" w:lastRow="0" w:firstColumn="1" w:lastColumn="0" w:noHBand="0" w:noVBand="1"/>
      </w:tblPr>
      <w:tblGrid>
        <w:gridCol w:w="6586"/>
        <w:gridCol w:w="992"/>
        <w:gridCol w:w="992"/>
        <w:gridCol w:w="992"/>
      </w:tblGrid>
      <w:tr w:rsidR="0015093B" w:rsidRPr="00217C14" w:rsidTr="007D6A03">
        <w:trPr>
          <w:trHeight w:val="430"/>
        </w:trPr>
        <w:tc>
          <w:tcPr>
            <w:tcW w:w="9561" w:type="dxa"/>
            <w:gridSpan w:val="4"/>
            <w:tcBorders>
              <w:top w:val="single" w:sz="4" w:space="0" w:color="auto"/>
              <w:left w:val="single" w:sz="4" w:space="0" w:color="auto"/>
              <w:bottom w:val="single" w:sz="4" w:space="0" w:color="auto"/>
              <w:right w:val="nil"/>
            </w:tcBorders>
            <w:shd w:val="clear" w:color="auto" w:fill="auto"/>
            <w:noWrap/>
            <w:vAlign w:val="bottom"/>
            <w:hideMark/>
          </w:tcPr>
          <w:p w:rsidR="0015093B" w:rsidRPr="00217C14" w:rsidRDefault="0015093B" w:rsidP="007D6A03">
            <w:pPr>
              <w:spacing w:after="0" w:line="240" w:lineRule="auto"/>
              <w:jc w:val="center"/>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 xml:space="preserve">Net PBIT  margin of William Hill plc </w:t>
            </w:r>
          </w:p>
        </w:tc>
      </w:tr>
      <w:tr w:rsidR="0015093B" w:rsidRPr="00217C14" w:rsidTr="007D6A03">
        <w:trPr>
          <w:trHeight w:val="430"/>
        </w:trPr>
        <w:tc>
          <w:tcPr>
            <w:tcW w:w="9561" w:type="dxa"/>
            <w:gridSpan w:val="4"/>
            <w:tcBorders>
              <w:top w:val="single" w:sz="4" w:space="0" w:color="auto"/>
              <w:left w:val="single" w:sz="4" w:space="0" w:color="auto"/>
              <w:bottom w:val="single" w:sz="4" w:space="0" w:color="auto"/>
              <w:right w:val="nil"/>
            </w:tcBorders>
            <w:shd w:val="clear" w:color="auto" w:fill="auto"/>
            <w:noWrap/>
            <w:vAlign w:val="bottom"/>
            <w:hideMark/>
          </w:tcPr>
          <w:p w:rsidR="0015093B" w:rsidRPr="00217C14" w:rsidRDefault="0015093B" w:rsidP="007D6A03">
            <w:pPr>
              <w:spacing w:after="0" w:line="240" w:lineRule="auto"/>
              <w:jc w:val="center"/>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Net PBIT margin (in %)= (Net Profit/ Revenue)*100</w:t>
            </w:r>
          </w:p>
        </w:tc>
      </w:tr>
      <w:tr w:rsidR="0015093B" w:rsidRPr="00217C14" w:rsidTr="007D6A03">
        <w:trPr>
          <w:trHeight w:val="430"/>
        </w:trPr>
        <w:tc>
          <w:tcPr>
            <w:tcW w:w="6586" w:type="dxa"/>
            <w:tcBorders>
              <w:top w:val="nil"/>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Year</w:t>
            </w:r>
          </w:p>
        </w:tc>
        <w:tc>
          <w:tcPr>
            <w:tcW w:w="992"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2017</w:t>
            </w:r>
          </w:p>
        </w:tc>
        <w:tc>
          <w:tcPr>
            <w:tcW w:w="992"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2016</w:t>
            </w:r>
          </w:p>
        </w:tc>
        <w:tc>
          <w:tcPr>
            <w:tcW w:w="992"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2015</w:t>
            </w:r>
          </w:p>
        </w:tc>
      </w:tr>
      <w:tr w:rsidR="0015093B" w:rsidRPr="00217C14" w:rsidTr="007D6A03">
        <w:trPr>
          <w:trHeight w:val="430"/>
        </w:trPr>
        <w:tc>
          <w:tcPr>
            <w:tcW w:w="6586" w:type="dxa"/>
            <w:tcBorders>
              <w:top w:val="nil"/>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Revenue (in £ million)</w:t>
            </w:r>
          </w:p>
        </w:tc>
        <w:tc>
          <w:tcPr>
            <w:tcW w:w="992"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1711.1</w:t>
            </w:r>
          </w:p>
        </w:tc>
        <w:tc>
          <w:tcPr>
            <w:tcW w:w="992"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1603.8</w:t>
            </w:r>
          </w:p>
        </w:tc>
        <w:tc>
          <w:tcPr>
            <w:tcW w:w="992"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1590.9</w:t>
            </w:r>
          </w:p>
        </w:tc>
      </w:tr>
      <w:tr w:rsidR="0015093B" w:rsidRPr="00217C14" w:rsidTr="007D6A03">
        <w:trPr>
          <w:trHeight w:val="430"/>
        </w:trPr>
        <w:tc>
          <w:tcPr>
            <w:tcW w:w="6586" w:type="dxa"/>
            <w:tcBorders>
              <w:top w:val="nil"/>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Profit before Interest and Tax (PBIT  (in £ million)</w:t>
            </w:r>
          </w:p>
        </w:tc>
        <w:tc>
          <w:tcPr>
            <w:tcW w:w="992"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-43.7</w:t>
            </w:r>
          </w:p>
        </w:tc>
        <w:tc>
          <w:tcPr>
            <w:tcW w:w="992"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225.6</w:t>
            </w:r>
          </w:p>
        </w:tc>
        <w:tc>
          <w:tcPr>
            <w:tcW w:w="992"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224.3</w:t>
            </w:r>
          </w:p>
        </w:tc>
      </w:tr>
      <w:tr w:rsidR="0015093B" w:rsidRPr="00217C14" w:rsidTr="007D6A03">
        <w:trPr>
          <w:trHeight w:val="430"/>
        </w:trPr>
        <w:tc>
          <w:tcPr>
            <w:tcW w:w="6586" w:type="dxa"/>
            <w:tcBorders>
              <w:top w:val="nil"/>
              <w:left w:val="single" w:sz="4" w:space="0" w:color="auto"/>
              <w:bottom w:val="single" w:sz="4" w:space="0" w:color="auto"/>
              <w:right w:val="single" w:sz="4" w:space="0" w:color="auto"/>
            </w:tcBorders>
            <w:shd w:val="clear" w:color="auto" w:fill="auto"/>
            <w:noWrap/>
            <w:vAlign w:val="bottom"/>
            <w:hideMark/>
          </w:tcPr>
          <w:p w:rsidR="0015093B" w:rsidRPr="00217C14" w:rsidRDefault="000925E8" w:rsidP="007D6A03">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Net PBIT margin</w:t>
            </w:r>
            <w:r w:rsidR="0015093B" w:rsidRPr="00217C14">
              <w:rPr>
                <w:rFonts w:ascii="Times New Roman" w:eastAsia="Times New Roman" w:hAnsi="Times New Roman" w:cs="Times New Roman"/>
                <w:color w:val="000000"/>
                <w:sz w:val="24"/>
                <w:szCs w:val="24"/>
              </w:rPr>
              <w:t xml:space="preserve"> (in %)</w:t>
            </w:r>
          </w:p>
        </w:tc>
        <w:tc>
          <w:tcPr>
            <w:tcW w:w="992"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-2.55</w:t>
            </w:r>
          </w:p>
        </w:tc>
        <w:tc>
          <w:tcPr>
            <w:tcW w:w="992"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14.07</w:t>
            </w:r>
          </w:p>
        </w:tc>
        <w:tc>
          <w:tcPr>
            <w:tcW w:w="992"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14.10</w:t>
            </w:r>
          </w:p>
        </w:tc>
      </w:tr>
    </w:tbl>
    <w:p w:rsidR="0015093B" w:rsidRPr="00C41589" w:rsidRDefault="0015093B" w:rsidP="0015093B">
      <w:pPr>
        <w:spacing w:line="360" w:lineRule="auto"/>
        <w:jc w:val="both"/>
        <w:rPr>
          <w:rFonts w:ascii="Times New Roman" w:hAnsi="Times New Roman" w:cs="Times New Roman"/>
          <w:sz w:val="24"/>
          <w:szCs w:val="24"/>
        </w:rPr>
      </w:pPr>
    </w:p>
    <w:tbl>
      <w:tblPr>
        <w:tblW w:w="9436" w:type="dxa"/>
        <w:tblInd w:w="89" w:type="dxa"/>
        <w:tblLook w:val="04A0" w:firstRow="1" w:lastRow="0" w:firstColumn="1" w:lastColumn="0" w:noHBand="0" w:noVBand="1"/>
      </w:tblPr>
      <w:tblGrid>
        <w:gridCol w:w="7251"/>
        <w:gridCol w:w="1092"/>
        <w:gridCol w:w="1093"/>
      </w:tblGrid>
      <w:tr w:rsidR="0015093B" w:rsidRPr="00242D47" w:rsidTr="007D6A03">
        <w:trPr>
          <w:trHeight w:val="312"/>
        </w:trPr>
        <w:tc>
          <w:tcPr>
            <w:tcW w:w="943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jc w:val="center"/>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lastRenderedPageBreak/>
              <w:t xml:space="preserve">Net PBIT  margin of Paddy Power betfair plc  </w:t>
            </w:r>
          </w:p>
        </w:tc>
      </w:tr>
      <w:tr w:rsidR="0015093B" w:rsidRPr="00242D47" w:rsidTr="007D6A03">
        <w:trPr>
          <w:trHeight w:val="312"/>
        </w:trPr>
        <w:tc>
          <w:tcPr>
            <w:tcW w:w="943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jc w:val="center"/>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Net PBIT margin (in %)= (Net Profit/ Revenue)*100</w:t>
            </w:r>
          </w:p>
        </w:tc>
      </w:tr>
      <w:tr w:rsidR="0015093B" w:rsidRPr="00242D47" w:rsidTr="007D6A03">
        <w:trPr>
          <w:trHeight w:val="312"/>
        </w:trPr>
        <w:tc>
          <w:tcPr>
            <w:tcW w:w="7251" w:type="dxa"/>
            <w:tcBorders>
              <w:top w:val="nil"/>
              <w:left w:val="single" w:sz="4" w:space="0" w:color="auto"/>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Year</w:t>
            </w:r>
          </w:p>
        </w:tc>
        <w:tc>
          <w:tcPr>
            <w:tcW w:w="1092" w:type="dxa"/>
            <w:tcBorders>
              <w:top w:val="nil"/>
              <w:left w:val="nil"/>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jc w:val="right"/>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2017</w:t>
            </w:r>
          </w:p>
        </w:tc>
        <w:tc>
          <w:tcPr>
            <w:tcW w:w="1092" w:type="dxa"/>
            <w:tcBorders>
              <w:top w:val="nil"/>
              <w:left w:val="nil"/>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jc w:val="right"/>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2016</w:t>
            </w:r>
          </w:p>
        </w:tc>
      </w:tr>
      <w:tr w:rsidR="0015093B" w:rsidRPr="00242D47" w:rsidTr="007D6A03">
        <w:trPr>
          <w:trHeight w:val="312"/>
        </w:trPr>
        <w:tc>
          <w:tcPr>
            <w:tcW w:w="7251" w:type="dxa"/>
            <w:tcBorders>
              <w:top w:val="nil"/>
              <w:left w:val="single" w:sz="4" w:space="0" w:color="auto"/>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Revenue (in £ million)</w:t>
            </w:r>
          </w:p>
        </w:tc>
        <w:tc>
          <w:tcPr>
            <w:tcW w:w="1092" w:type="dxa"/>
            <w:tcBorders>
              <w:top w:val="nil"/>
              <w:left w:val="nil"/>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jc w:val="right"/>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1754.4</w:t>
            </w:r>
          </w:p>
        </w:tc>
        <w:tc>
          <w:tcPr>
            <w:tcW w:w="1092" w:type="dxa"/>
            <w:tcBorders>
              <w:top w:val="nil"/>
              <w:left w:val="nil"/>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jc w:val="right"/>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1500.8</w:t>
            </w:r>
          </w:p>
        </w:tc>
      </w:tr>
      <w:tr w:rsidR="0015093B" w:rsidRPr="00242D47" w:rsidTr="007D6A03">
        <w:trPr>
          <w:trHeight w:val="312"/>
        </w:trPr>
        <w:tc>
          <w:tcPr>
            <w:tcW w:w="7251" w:type="dxa"/>
            <w:tcBorders>
              <w:top w:val="nil"/>
              <w:left w:val="single" w:sz="4" w:space="0" w:color="auto"/>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Profit before Interest and Tax (PBIT  (in £ million)</w:t>
            </w:r>
          </w:p>
        </w:tc>
        <w:tc>
          <w:tcPr>
            <w:tcW w:w="1092" w:type="dxa"/>
            <w:tcBorders>
              <w:top w:val="nil"/>
              <w:left w:val="nil"/>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jc w:val="right"/>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246.6</w:t>
            </w:r>
          </w:p>
        </w:tc>
        <w:tc>
          <w:tcPr>
            <w:tcW w:w="1092" w:type="dxa"/>
            <w:tcBorders>
              <w:top w:val="nil"/>
              <w:left w:val="nil"/>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jc w:val="right"/>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11.9</w:t>
            </w:r>
          </w:p>
        </w:tc>
      </w:tr>
      <w:tr w:rsidR="0015093B" w:rsidRPr="00242D47" w:rsidTr="007D6A03">
        <w:trPr>
          <w:trHeight w:val="312"/>
        </w:trPr>
        <w:tc>
          <w:tcPr>
            <w:tcW w:w="7251" w:type="dxa"/>
            <w:tcBorders>
              <w:top w:val="nil"/>
              <w:left w:val="single" w:sz="4" w:space="0" w:color="auto"/>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Net PBIT margin  (in %)</w:t>
            </w:r>
          </w:p>
        </w:tc>
        <w:tc>
          <w:tcPr>
            <w:tcW w:w="1092" w:type="dxa"/>
            <w:tcBorders>
              <w:top w:val="nil"/>
              <w:left w:val="nil"/>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jc w:val="right"/>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14.06</w:t>
            </w:r>
          </w:p>
        </w:tc>
        <w:tc>
          <w:tcPr>
            <w:tcW w:w="1092" w:type="dxa"/>
            <w:tcBorders>
              <w:top w:val="nil"/>
              <w:left w:val="nil"/>
              <w:bottom w:val="single" w:sz="4" w:space="0" w:color="auto"/>
              <w:right w:val="single" w:sz="4" w:space="0" w:color="auto"/>
            </w:tcBorders>
            <w:shd w:val="clear" w:color="auto" w:fill="auto"/>
            <w:noWrap/>
            <w:vAlign w:val="bottom"/>
            <w:hideMark/>
          </w:tcPr>
          <w:p w:rsidR="0015093B" w:rsidRPr="00242D47" w:rsidRDefault="0015093B" w:rsidP="007D6A03">
            <w:pPr>
              <w:spacing w:after="0" w:line="240" w:lineRule="auto"/>
              <w:jc w:val="right"/>
              <w:rPr>
                <w:rFonts w:ascii="Times New Roman" w:eastAsia="Times New Roman" w:hAnsi="Times New Roman" w:cs="Times New Roman"/>
                <w:color w:val="000000"/>
                <w:sz w:val="24"/>
                <w:szCs w:val="24"/>
              </w:rPr>
            </w:pPr>
            <w:r w:rsidRPr="00242D47">
              <w:rPr>
                <w:rFonts w:ascii="Times New Roman" w:eastAsia="Times New Roman" w:hAnsi="Times New Roman" w:cs="Times New Roman"/>
                <w:color w:val="000000"/>
                <w:sz w:val="24"/>
                <w:szCs w:val="24"/>
              </w:rPr>
              <w:t>0.79</w:t>
            </w:r>
          </w:p>
        </w:tc>
      </w:tr>
    </w:tbl>
    <w:p w:rsidR="0015093B" w:rsidRPr="00C41589" w:rsidRDefault="0015093B" w:rsidP="0015093B">
      <w:pPr>
        <w:spacing w:line="360" w:lineRule="auto"/>
        <w:jc w:val="both"/>
        <w:rPr>
          <w:rFonts w:ascii="Times New Roman" w:hAnsi="Times New Roman" w:cs="Times New Roman"/>
          <w:sz w:val="24"/>
          <w:szCs w:val="24"/>
        </w:rPr>
      </w:pPr>
    </w:p>
    <w:tbl>
      <w:tblPr>
        <w:tblW w:w="8711" w:type="dxa"/>
        <w:tblInd w:w="89" w:type="dxa"/>
        <w:tblLook w:val="04A0" w:firstRow="1" w:lastRow="0" w:firstColumn="1" w:lastColumn="0" w:noHBand="0" w:noVBand="1"/>
      </w:tblPr>
      <w:tblGrid>
        <w:gridCol w:w="5351"/>
        <w:gridCol w:w="1120"/>
        <w:gridCol w:w="1120"/>
        <w:gridCol w:w="1120"/>
      </w:tblGrid>
      <w:tr w:rsidR="0015093B" w:rsidRPr="00217C14" w:rsidTr="007D6A03">
        <w:trPr>
          <w:trHeight w:val="400"/>
        </w:trPr>
        <w:tc>
          <w:tcPr>
            <w:tcW w:w="871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center"/>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 xml:space="preserve">Current Ratio of William Hill plc </w:t>
            </w:r>
          </w:p>
        </w:tc>
      </w:tr>
      <w:tr w:rsidR="0015093B" w:rsidRPr="00217C14" w:rsidTr="007D6A03">
        <w:trPr>
          <w:trHeight w:val="400"/>
        </w:trPr>
        <w:tc>
          <w:tcPr>
            <w:tcW w:w="871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center"/>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 xml:space="preserve">Current ratio (in times)=  Current Assets/ Current liabilities </w:t>
            </w:r>
          </w:p>
        </w:tc>
      </w:tr>
      <w:tr w:rsidR="0015093B" w:rsidRPr="00217C14" w:rsidTr="007D6A03">
        <w:trPr>
          <w:trHeight w:val="400"/>
        </w:trPr>
        <w:tc>
          <w:tcPr>
            <w:tcW w:w="5351" w:type="dxa"/>
            <w:tcBorders>
              <w:top w:val="nil"/>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center"/>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 xml:space="preserve">Year </w:t>
            </w:r>
          </w:p>
        </w:tc>
        <w:tc>
          <w:tcPr>
            <w:tcW w:w="1120"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center"/>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2017</w:t>
            </w:r>
          </w:p>
        </w:tc>
        <w:tc>
          <w:tcPr>
            <w:tcW w:w="1120"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center"/>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2016</w:t>
            </w:r>
          </w:p>
        </w:tc>
        <w:tc>
          <w:tcPr>
            <w:tcW w:w="1120"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center"/>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2015</w:t>
            </w:r>
          </w:p>
        </w:tc>
      </w:tr>
      <w:tr w:rsidR="0015093B" w:rsidRPr="00217C14" w:rsidTr="007D6A03">
        <w:trPr>
          <w:trHeight w:val="400"/>
        </w:trPr>
        <w:tc>
          <w:tcPr>
            <w:tcW w:w="5351" w:type="dxa"/>
            <w:tcBorders>
              <w:top w:val="nil"/>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Current Assets (in £ million)</w:t>
            </w:r>
          </w:p>
        </w:tc>
        <w:tc>
          <w:tcPr>
            <w:tcW w:w="1120"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393.4</w:t>
            </w:r>
          </w:p>
        </w:tc>
        <w:tc>
          <w:tcPr>
            <w:tcW w:w="1120"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291.7</w:t>
            </w:r>
          </w:p>
        </w:tc>
        <w:tc>
          <w:tcPr>
            <w:tcW w:w="1120"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342.9</w:t>
            </w:r>
          </w:p>
        </w:tc>
      </w:tr>
      <w:tr w:rsidR="0015093B" w:rsidRPr="00217C14" w:rsidTr="007D6A03">
        <w:trPr>
          <w:trHeight w:val="400"/>
        </w:trPr>
        <w:tc>
          <w:tcPr>
            <w:tcW w:w="5351" w:type="dxa"/>
            <w:tcBorders>
              <w:top w:val="nil"/>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Current Liability (in £ million)</w:t>
            </w:r>
          </w:p>
        </w:tc>
        <w:tc>
          <w:tcPr>
            <w:tcW w:w="1120"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477.9</w:t>
            </w:r>
          </w:p>
        </w:tc>
        <w:tc>
          <w:tcPr>
            <w:tcW w:w="1120"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410.1</w:t>
            </w:r>
          </w:p>
        </w:tc>
        <w:tc>
          <w:tcPr>
            <w:tcW w:w="1120"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663.2</w:t>
            </w:r>
          </w:p>
        </w:tc>
      </w:tr>
      <w:tr w:rsidR="0015093B" w:rsidRPr="00217C14" w:rsidTr="007D6A03">
        <w:trPr>
          <w:trHeight w:val="400"/>
        </w:trPr>
        <w:tc>
          <w:tcPr>
            <w:tcW w:w="5351" w:type="dxa"/>
            <w:tcBorders>
              <w:top w:val="nil"/>
              <w:left w:val="single" w:sz="4" w:space="0" w:color="auto"/>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Current ratio (in times)</w:t>
            </w:r>
          </w:p>
        </w:tc>
        <w:tc>
          <w:tcPr>
            <w:tcW w:w="1120"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0.82</w:t>
            </w:r>
          </w:p>
        </w:tc>
        <w:tc>
          <w:tcPr>
            <w:tcW w:w="1120"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0.71</w:t>
            </w:r>
          </w:p>
        </w:tc>
        <w:tc>
          <w:tcPr>
            <w:tcW w:w="1120" w:type="dxa"/>
            <w:tcBorders>
              <w:top w:val="nil"/>
              <w:left w:val="nil"/>
              <w:bottom w:val="single" w:sz="4" w:space="0" w:color="auto"/>
              <w:right w:val="single" w:sz="4" w:space="0" w:color="auto"/>
            </w:tcBorders>
            <w:shd w:val="clear" w:color="auto" w:fill="auto"/>
            <w:noWrap/>
            <w:vAlign w:val="bottom"/>
            <w:hideMark/>
          </w:tcPr>
          <w:p w:rsidR="0015093B" w:rsidRPr="00217C14" w:rsidRDefault="0015093B" w:rsidP="007D6A03">
            <w:pPr>
              <w:spacing w:after="0" w:line="240" w:lineRule="auto"/>
              <w:jc w:val="right"/>
              <w:rPr>
                <w:rFonts w:ascii="Times New Roman" w:eastAsia="Times New Roman" w:hAnsi="Times New Roman" w:cs="Times New Roman"/>
                <w:color w:val="000000"/>
                <w:sz w:val="24"/>
                <w:szCs w:val="24"/>
              </w:rPr>
            </w:pPr>
            <w:r w:rsidRPr="00217C14">
              <w:rPr>
                <w:rFonts w:ascii="Times New Roman" w:eastAsia="Times New Roman" w:hAnsi="Times New Roman" w:cs="Times New Roman"/>
                <w:color w:val="000000"/>
                <w:sz w:val="24"/>
                <w:szCs w:val="24"/>
              </w:rPr>
              <w:t>0.52</w:t>
            </w:r>
          </w:p>
        </w:tc>
      </w:tr>
    </w:tbl>
    <w:p w:rsidR="0015093B" w:rsidRDefault="0015093B" w:rsidP="0015093B"/>
    <w:tbl>
      <w:tblPr>
        <w:tblW w:w="8476" w:type="dxa"/>
        <w:tblInd w:w="89" w:type="dxa"/>
        <w:tblLook w:val="04A0" w:firstRow="1" w:lastRow="0" w:firstColumn="1" w:lastColumn="0" w:noHBand="0" w:noVBand="1"/>
      </w:tblPr>
      <w:tblGrid>
        <w:gridCol w:w="5974"/>
        <w:gridCol w:w="1251"/>
        <w:gridCol w:w="1251"/>
      </w:tblGrid>
      <w:tr w:rsidR="0015093B" w:rsidRPr="00410526" w:rsidTr="007D6A03">
        <w:trPr>
          <w:trHeight w:val="381"/>
        </w:trPr>
        <w:tc>
          <w:tcPr>
            <w:tcW w:w="84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jc w:val="center"/>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 xml:space="preserve">Current Ratio of Paddy Power Betfair Plc </w:t>
            </w:r>
          </w:p>
        </w:tc>
      </w:tr>
      <w:tr w:rsidR="0015093B" w:rsidRPr="00410526" w:rsidTr="007D6A03">
        <w:trPr>
          <w:trHeight w:val="381"/>
        </w:trPr>
        <w:tc>
          <w:tcPr>
            <w:tcW w:w="847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jc w:val="center"/>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 xml:space="preserve">Current ratio (in times)=  Current Assets/ Current liabilities </w:t>
            </w:r>
          </w:p>
        </w:tc>
      </w:tr>
      <w:tr w:rsidR="0015093B" w:rsidRPr="00410526" w:rsidTr="007D6A03">
        <w:trPr>
          <w:trHeight w:val="381"/>
        </w:trPr>
        <w:tc>
          <w:tcPr>
            <w:tcW w:w="5974" w:type="dxa"/>
            <w:tcBorders>
              <w:top w:val="nil"/>
              <w:left w:val="single" w:sz="4" w:space="0" w:color="auto"/>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jc w:val="center"/>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 xml:space="preserve">Year </w:t>
            </w:r>
          </w:p>
        </w:tc>
        <w:tc>
          <w:tcPr>
            <w:tcW w:w="1251" w:type="dxa"/>
            <w:tcBorders>
              <w:top w:val="nil"/>
              <w:left w:val="nil"/>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jc w:val="center"/>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2017</w:t>
            </w:r>
          </w:p>
        </w:tc>
        <w:tc>
          <w:tcPr>
            <w:tcW w:w="1251" w:type="dxa"/>
            <w:tcBorders>
              <w:top w:val="nil"/>
              <w:left w:val="nil"/>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jc w:val="center"/>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2016</w:t>
            </w:r>
          </w:p>
        </w:tc>
      </w:tr>
      <w:tr w:rsidR="0015093B" w:rsidRPr="00410526" w:rsidTr="007D6A03">
        <w:trPr>
          <w:trHeight w:val="381"/>
        </w:trPr>
        <w:tc>
          <w:tcPr>
            <w:tcW w:w="5974" w:type="dxa"/>
            <w:tcBorders>
              <w:top w:val="nil"/>
              <w:left w:val="single" w:sz="4" w:space="0" w:color="auto"/>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Current Assets (in £ million)</w:t>
            </w:r>
          </w:p>
        </w:tc>
        <w:tc>
          <w:tcPr>
            <w:tcW w:w="1251" w:type="dxa"/>
            <w:tcBorders>
              <w:top w:val="nil"/>
              <w:left w:val="nil"/>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jc w:val="right"/>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430.8</w:t>
            </w:r>
          </w:p>
        </w:tc>
        <w:tc>
          <w:tcPr>
            <w:tcW w:w="1251" w:type="dxa"/>
            <w:tcBorders>
              <w:top w:val="nil"/>
              <w:left w:val="nil"/>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jc w:val="right"/>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369.9</w:t>
            </w:r>
          </w:p>
        </w:tc>
      </w:tr>
      <w:tr w:rsidR="0015093B" w:rsidRPr="00410526" w:rsidTr="007D6A03">
        <w:trPr>
          <w:trHeight w:val="381"/>
        </w:trPr>
        <w:tc>
          <w:tcPr>
            <w:tcW w:w="5974" w:type="dxa"/>
            <w:tcBorders>
              <w:top w:val="nil"/>
              <w:left w:val="single" w:sz="4" w:space="0" w:color="auto"/>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Current Liability (in £ million)</w:t>
            </w:r>
          </w:p>
        </w:tc>
        <w:tc>
          <w:tcPr>
            <w:tcW w:w="1251" w:type="dxa"/>
            <w:tcBorders>
              <w:top w:val="nil"/>
              <w:left w:val="nil"/>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jc w:val="right"/>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383.7</w:t>
            </w:r>
          </w:p>
        </w:tc>
        <w:tc>
          <w:tcPr>
            <w:tcW w:w="1251" w:type="dxa"/>
            <w:tcBorders>
              <w:top w:val="nil"/>
              <w:left w:val="nil"/>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jc w:val="right"/>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372.8</w:t>
            </w:r>
          </w:p>
        </w:tc>
      </w:tr>
      <w:tr w:rsidR="0015093B" w:rsidRPr="00410526" w:rsidTr="007D6A03">
        <w:trPr>
          <w:trHeight w:val="381"/>
        </w:trPr>
        <w:tc>
          <w:tcPr>
            <w:tcW w:w="5974" w:type="dxa"/>
            <w:tcBorders>
              <w:top w:val="nil"/>
              <w:left w:val="single" w:sz="4" w:space="0" w:color="auto"/>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Current ratio (in times)</w:t>
            </w:r>
          </w:p>
        </w:tc>
        <w:tc>
          <w:tcPr>
            <w:tcW w:w="1251" w:type="dxa"/>
            <w:tcBorders>
              <w:top w:val="nil"/>
              <w:left w:val="nil"/>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jc w:val="right"/>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1.12</w:t>
            </w:r>
          </w:p>
        </w:tc>
        <w:tc>
          <w:tcPr>
            <w:tcW w:w="1251" w:type="dxa"/>
            <w:tcBorders>
              <w:top w:val="nil"/>
              <w:left w:val="nil"/>
              <w:bottom w:val="single" w:sz="4" w:space="0" w:color="auto"/>
              <w:right w:val="single" w:sz="4" w:space="0" w:color="auto"/>
            </w:tcBorders>
            <w:shd w:val="clear" w:color="auto" w:fill="auto"/>
            <w:noWrap/>
            <w:vAlign w:val="bottom"/>
            <w:hideMark/>
          </w:tcPr>
          <w:p w:rsidR="0015093B" w:rsidRPr="00410526" w:rsidRDefault="0015093B" w:rsidP="007D6A03">
            <w:pPr>
              <w:spacing w:after="0" w:line="240" w:lineRule="auto"/>
              <w:jc w:val="right"/>
              <w:rPr>
                <w:rFonts w:ascii="Times New Roman" w:eastAsia="Times New Roman" w:hAnsi="Times New Roman" w:cs="Times New Roman"/>
                <w:color w:val="000000"/>
                <w:sz w:val="24"/>
                <w:szCs w:val="24"/>
              </w:rPr>
            </w:pPr>
            <w:r w:rsidRPr="00410526">
              <w:rPr>
                <w:rFonts w:ascii="Times New Roman" w:eastAsia="Times New Roman" w:hAnsi="Times New Roman" w:cs="Times New Roman"/>
                <w:color w:val="000000"/>
                <w:sz w:val="24"/>
                <w:szCs w:val="24"/>
              </w:rPr>
              <w:t>0.99</w:t>
            </w:r>
          </w:p>
        </w:tc>
      </w:tr>
    </w:tbl>
    <w:p w:rsidR="0015093B" w:rsidRDefault="0015093B" w:rsidP="0015093B"/>
    <w:p w:rsidR="0015093B" w:rsidRDefault="0015093B" w:rsidP="0015093B"/>
    <w:tbl>
      <w:tblPr>
        <w:tblStyle w:val="LightGrid-Accent3"/>
        <w:tblW w:w="9070" w:type="dxa"/>
        <w:tblLook w:val="04A0" w:firstRow="1" w:lastRow="0" w:firstColumn="1" w:lastColumn="0" w:noHBand="0" w:noVBand="1"/>
      </w:tblPr>
      <w:tblGrid>
        <w:gridCol w:w="5746"/>
        <w:gridCol w:w="1108"/>
        <w:gridCol w:w="1108"/>
        <w:gridCol w:w="1108"/>
      </w:tblGrid>
      <w:tr w:rsidR="0015093B" w:rsidRPr="0070733C" w:rsidTr="007D6A03">
        <w:trPr>
          <w:cnfStyle w:val="100000000000" w:firstRow="1" w:lastRow="0" w:firstColumn="0" w:lastColumn="0" w:oddVBand="0" w:evenVBand="0" w:oddHBand="0"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9069" w:type="dxa"/>
            <w:gridSpan w:val="4"/>
            <w:noWrap/>
            <w:hideMark/>
          </w:tcPr>
          <w:p w:rsidR="0015093B" w:rsidRPr="0070733C" w:rsidRDefault="0015093B" w:rsidP="007D6A03">
            <w:pPr>
              <w:jc w:val="center"/>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 xml:space="preserve">Fixed Asset Turnover of </w:t>
            </w:r>
            <w:r w:rsidRPr="0005069C">
              <w:rPr>
                <w:rFonts w:ascii="Times New Roman" w:eastAsia="Times New Roman" w:hAnsi="Times New Roman" w:cs="Times New Roman"/>
                <w:color w:val="000000"/>
                <w:sz w:val="24"/>
                <w:szCs w:val="24"/>
              </w:rPr>
              <w:t>William</w:t>
            </w:r>
            <w:r w:rsidRPr="0070733C">
              <w:rPr>
                <w:rFonts w:ascii="Times New Roman" w:eastAsia="Times New Roman" w:hAnsi="Times New Roman" w:cs="Times New Roman"/>
                <w:color w:val="000000"/>
                <w:sz w:val="24"/>
                <w:szCs w:val="24"/>
              </w:rPr>
              <w:t xml:space="preserve"> Hill Plc  </w:t>
            </w:r>
          </w:p>
        </w:tc>
      </w:tr>
      <w:tr w:rsidR="0015093B" w:rsidRPr="0070733C" w:rsidTr="007D6A03">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9069" w:type="dxa"/>
            <w:gridSpan w:val="4"/>
            <w:noWrap/>
            <w:hideMark/>
          </w:tcPr>
          <w:p w:rsidR="0015093B" w:rsidRPr="0070733C" w:rsidRDefault="0015093B" w:rsidP="007D6A03">
            <w:pPr>
              <w:jc w:val="center"/>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 xml:space="preserve">Fixed </w:t>
            </w:r>
            <w:r w:rsidRPr="0005069C">
              <w:rPr>
                <w:rFonts w:ascii="Times New Roman" w:eastAsia="Times New Roman" w:hAnsi="Times New Roman" w:cs="Times New Roman"/>
                <w:color w:val="000000"/>
                <w:sz w:val="24"/>
                <w:szCs w:val="24"/>
              </w:rPr>
              <w:t>Assets</w:t>
            </w:r>
            <w:r w:rsidRPr="0070733C">
              <w:rPr>
                <w:rFonts w:ascii="Times New Roman" w:eastAsia="Times New Roman" w:hAnsi="Times New Roman" w:cs="Times New Roman"/>
                <w:color w:val="000000"/>
                <w:sz w:val="24"/>
                <w:szCs w:val="24"/>
              </w:rPr>
              <w:t xml:space="preserve"> Turnover Ratio (in times) = Net Revenue/ Fixed </w:t>
            </w:r>
            <w:r w:rsidRPr="0005069C">
              <w:rPr>
                <w:rFonts w:ascii="Times New Roman" w:eastAsia="Times New Roman" w:hAnsi="Times New Roman" w:cs="Times New Roman"/>
                <w:color w:val="000000"/>
                <w:sz w:val="24"/>
                <w:szCs w:val="24"/>
              </w:rPr>
              <w:t>Assets</w:t>
            </w:r>
            <w:r w:rsidRPr="0070733C">
              <w:rPr>
                <w:rFonts w:ascii="Times New Roman" w:eastAsia="Times New Roman" w:hAnsi="Times New Roman" w:cs="Times New Roman"/>
                <w:color w:val="000000"/>
                <w:sz w:val="24"/>
                <w:szCs w:val="24"/>
              </w:rPr>
              <w:t xml:space="preserve"> </w:t>
            </w:r>
          </w:p>
        </w:tc>
      </w:tr>
      <w:tr w:rsidR="0015093B" w:rsidRPr="0070733C" w:rsidTr="007D6A03">
        <w:trPr>
          <w:cnfStyle w:val="000000010000" w:firstRow="0" w:lastRow="0" w:firstColumn="0" w:lastColumn="0" w:oddVBand="0" w:evenVBand="0" w:oddHBand="0" w:evenHBand="1"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5746" w:type="dxa"/>
            <w:noWrap/>
            <w:hideMark/>
          </w:tcPr>
          <w:p w:rsidR="0015093B" w:rsidRPr="0070733C" w:rsidRDefault="0015093B" w:rsidP="007D6A03">
            <w:pPr>
              <w:jc w:val="center"/>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Year</w:t>
            </w:r>
          </w:p>
        </w:tc>
        <w:tc>
          <w:tcPr>
            <w:tcW w:w="1108" w:type="dxa"/>
            <w:noWrap/>
            <w:hideMark/>
          </w:tcPr>
          <w:p w:rsidR="0015093B" w:rsidRPr="0070733C"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2017</w:t>
            </w:r>
          </w:p>
        </w:tc>
        <w:tc>
          <w:tcPr>
            <w:tcW w:w="1108" w:type="dxa"/>
            <w:noWrap/>
            <w:hideMark/>
          </w:tcPr>
          <w:p w:rsidR="0015093B" w:rsidRPr="0070733C"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2016</w:t>
            </w:r>
          </w:p>
        </w:tc>
        <w:tc>
          <w:tcPr>
            <w:tcW w:w="1108" w:type="dxa"/>
            <w:noWrap/>
            <w:hideMark/>
          </w:tcPr>
          <w:p w:rsidR="0015093B" w:rsidRPr="0070733C"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2015</w:t>
            </w:r>
          </w:p>
        </w:tc>
      </w:tr>
      <w:tr w:rsidR="0015093B" w:rsidRPr="0070733C" w:rsidTr="007D6A03">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5746" w:type="dxa"/>
            <w:noWrap/>
            <w:hideMark/>
          </w:tcPr>
          <w:p w:rsidR="0015093B" w:rsidRPr="0070733C" w:rsidRDefault="0015093B" w:rsidP="007D6A03">
            <w:pPr>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Total Fixed Assets (in £ million)</w:t>
            </w:r>
          </w:p>
        </w:tc>
        <w:tc>
          <w:tcPr>
            <w:tcW w:w="1108" w:type="dxa"/>
            <w:noWrap/>
            <w:hideMark/>
          </w:tcPr>
          <w:p w:rsidR="0015093B" w:rsidRPr="0070733C"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228.5</w:t>
            </w:r>
          </w:p>
        </w:tc>
        <w:tc>
          <w:tcPr>
            <w:tcW w:w="1108" w:type="dxa"/>
            <w:noWrap/>
            <w:hideMark/>
          </w:tcPr>
          <w:p w:rsidR="0015093B" w:rsidRPr="0070733C"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248.7</w:t>
            </w:r>
          </w:p>
        </w:tc>
        <w:tc>
          <w:tcPr>
            <w:tcW w:w="1108" w:type="dxa"/>
            <w:noWrap/>
            <w:hideMark/>
          </w:tcPr>
          <w:p w:rsidR="0015093B" w:rsidRPr="0070733C"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248.5</w:t>
            </w:r>
          </w:p>
        </w:tc>
      </w:tr>
      <w:tr w:rsidR="0015093B" w:rsidRPr="0070733C" w:rsidTr="007D6A03">
        <w:trPr>
          <w:cnfStyle w:val="000000010000" w:firstRow="0" w:lastRow="0" w:firstColumn="0" w:lastColumn="0" w:oddVBand="0" w:evenVBand="0" w:oddHBand="0" w:evenHBand="1"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5746" w:type="dxa"/>
            <w:noWrap/>
            <w:hideMark/>
          </w:tcPr>
          <w:p w:rsidR="0015093B" w:rsidRPr="0070733C" w:rsidRDefault="0015093B" w:rsidP="007D6A03">
            <w:pPr>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 xml:space="preserve">Revenue (in £ million) </w:t>
            </w:r>
          </w:p>
        </w:tc>
        <w:tc>
          <w:tcPr>
            <w:tcW w:w="1108" w:type="dxa"/>
            <w:noWrap/>
            <w:hideMark/>
          </w:tcPr>
          <w:p w:rsidR="0015093B" w:rsidRPr="0070733C"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1711.1</w:t>
            </w:r>
          </w:p>
        </w:tc>
        <w:tc>
          <w:tcPr>
            <w:tcW w:w="1108" w:type="dxa"/>
            <w:noWrap/>
            <w:hideMark/>
          </w:tcPr>
          <w:p w:rsidR="0015093B" w:rsidRPr="0070733C"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1603.8</w:t>
            </w:r>
          </w:p>
        </w:tc>
        <w:tc>
          <w:tcPr>
            <w:tcW w:w="1108" w:type="dxa"/>
            <w:noWrap/>
            <w:hideMark/>
          </w:tcPr>
          <w:p w:rsidR="0015093B" w:rsidRPr="0070733C"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1590.9</w:t>
            </w:r>
          </w:p>
        </w:tc>
      </w:tr>
      <w:tr w:rsidR="0015093B" w:rsidRPr="0070733C" w:rsidTr="007D6A03">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5746" w:type="dxa"/>
            <w:noWrap/>
            <w:hideMark/>
          </w:tcPr>
          <w:p w:rsidR="0015093B" w:rsidRPr="0070733C" w:rsidRDefault="0015093B" w:rsidP="007D6A03">
            <w:pPr>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Fixed Asset Turnover</w:t>
            </w:r>
          </w:p>
        </w:tc>
        <w:tc>
          <w:tcPr>
            <w:tcW w:w="1108" w:type="dxa"/>
            <w:noWrap/>
            <w:hideMark/>
          </w:tcPr>
          <w:p w:rsidR="0015093B" w:rsidRPr="0070733C"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7.488</w:t>
            </w:r>
          </w:p>
        </w:tc>
        <w:tc>
          <w:tcPr>
            <w:tcW w:w="1108" w:type="dxa"/>
            <w:noWrap/>
            <w:hideMark/>
          </w:tcPr>
          <w:p w:rsidR="0015093B" w:rsidRPr="0070733C"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6.449</w:t>
            </w:r>
          </w:p>
        </w:tc>
        <w:tc>
          <w:tcPr>
            <w:tcW w:w="1108" w:type="dxa"/>
            <w:noWrap/>
            <w:hideMark/>
          </w:tcPr>
          <w:p w:rsidR="0015093B" w:rsidRPr="0070733C"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6.402</w:t>
            </w:r>
          </w:p>
        </w:tc>
      </w:tr>
    </w:tbl>
    <w:p w:rsidR="0015093B" w:rsidRDefault="0015093B" w:rsidP="0015093B"/>
    <w:p w:rsidR="0015093B" w:rsidRDefault="0015093B" w:rsidP="0015093B"/>
    <w:p w:rsidR="0015093B" w:rsidRDefault="0015093B" w:rsidP="0015093B"/>
    <w:p w:rsidR="0015093B" w:rsidRDefault="0015093B" w:rsidP="0015093B"/>
    <w:tbl>
      <w:tblPr>
        <w:tblStyle w:val="LightGrid-Accent3"/>
        <w:tblW w:w="8524" w:type="dxa"/>
        <w:tblLook w:val="04A0" w:firstRow="1" w:lastRow="0" w:firstColumn="1" w:lastColumn="0" w:noHBand="0" w:noVBand="1"/>
      </w:tblPr>
      <w:tblGrid>
        <w:gridCol w:w="5816"/>
        <w:gridCol w:w="1354"/>
        <w:gridCol w:w="1354"/>
      </w:tblGrid>
      <w:tr w:rsidR="0015093B" w:rsidRPr="0070733C" w:rsidTr="007D6A03">
        <w:trPr>
          <w:cnfStyle w:val="100000000000" w:firstRow="1" w:lastRow="0" w:firstColumn="0" w:lastColumn="0" w:oddVBand="0" w:evenVBand="0" w:oddHBand="0"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8524" w:type="dxa"/>
            <w:gridSpan w:val="3"/>
            <w:noWrap/>
            <w:hideMark/>
          </w:tcPr>
          <w:p w:rsidR="0015093B" w:rsidRPr="0070733C" w:rsidRDefault="0015093B" w:rsidP="007D6A03">
            <w:pPr>
              <w:jc w:val="center"/>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 xml:space="preserve">Fixed Asset Turnover of Paddy Power Betfair Plc </w:t>
            </w:r>
          </w:p>
        </w:tc>
      </w:tr>
      <w:tr w:rsidR="0015093B" w:rsidRPr="0070733C" w:rsidTr="007D6A03">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8524" w:type="dxa"/>
            <w:gridSpan w:val="3"/>
            <w:noWrap/>
            <w:hideMark/>
          </w:tcPr>
          <w:p w:rsidR="0015093B" w:rsidRPr="0070733C" w:rsidRDefault="0015093B" w:rsidP="007D6A03">
            <w:pPr>
              <w:jc w:val="center"/>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 xml:space="preserve">Fixed Assets Turnover Ratio (in times) = Net Revenue/ Fixed Assets </w:t>
            </w:r>
          </w:p>
        </w:tc>
      </w:tr>
      <w:tr w:rsidR="0015093B" w:rsidRPr="0070733C" w:rsidTr="007D6A03">
        <w:trPr>
          <w:cnfStyle w:val="000000010000" w:firstRow="0" w:lastRow="0" w:firstColumn="0" w:lastColumn="0" w:oddVBand="0" w:evenVBand="0" w:oddHBand="0" w:evenHBand="1"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5816" w:type="dxa"/>
            <w:noWrap/>
            <w:hideMark/>
          </w:tcPr>
          <w:p w:rsidR="0015093B" w:rsidRPr="0070733C" w:rsidRDefault="0015093B" w:rsidP="007D6A03">
            <w:pPr>
              <w:jc w:val="center"/>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Year</w:t>
            </w:r>
          </w:p>
        </w:tc>
        <w:tc>
          <w:tcPr>
            <w:tcW w:w="1354" w:type="dxa"/>
            <w:noWrap/>
            <w:hideMark/>
          </w:tcPr>
          <w:p w:rsidR="0015093B" w:rsidRPr="0070733C"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2017</w:t>
            </w:r>
          </w:p>
        </w:tc>
        <w:tc>
          <w:tcPr>
            <w:tcW w:w="1354" w:type="dxa"/>
            <w:noWrap/>
            <w:hideMark/>
          </w:tcPr>
          <w:p w:rsidR="0015093B" w:rsidRPr="0070733C"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2016</w:t>
            </w:r>
          </w:p>
        </w:tc>
      </w:tr>
      <w:tr w:rsidR="0015093B" w:rsidRPr="0070733C" w:rsidTr="007D6A03">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5816" w:type="dxa"/>
            <w:noWrap/>
            <w:hideMark/>
          </w:tcPr>
          <w:p w:rsidR="0015093B" w:rsidRPr="0070733C" w:rsidRDefault="0015093B" w:rsidP="007D6A03">
            <w:pPr>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Total Fixed Assets (in £ million)</w:t>
            </w:r>
          </w:p>
        </w:tc>
        <w:tc>
          <w:tcPr>
            <w:tcW w:w="1354" w:type="dxa"/>
            <w:noWrap/>
            <w:hideMark/>
          </w:tcPr>
          <w:p w:rsidR="0015093B" w:rsidRPr="0070733C"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136.4</w:t>
            </w:r>
          </w:p>
        </w:tc>
        <w:tc>
          <w:tcPr>
            <w:tcW w:w="1354" w:type="dxa"/>
            <w:noWrap/>
            <w:hideMark/>
          </w:tcPr>
          <w:p w:rsidR="0015093B" w:rsidRPr="0070733C"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134.1</w:t>
            </w:r>
          </w:p>
        </w:tc>
      </w:tr>
      <w:tr w:rsidR="0015093B" w:rsidRPr="0070733C" w:rsidTr="007D6A03">
        <w:trPr>
          <w:cnfStyle w:val="000000010000" w:firstRow="0" w:lastRow="0" w:firstColumn="0" w:lastColumn="0" w:oddVBand="0" w:evenVBand="0" w:oddHBand="0" w:evenHBand="1"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5816" w:type="dxa"/>
            <w:noWrap/>
            <w:hideMark/>
          </w:tcPr>
          <w:p w:rsidR="0015093B" w:rsidRPr="0070733C" w:rsidRDefault="0015093B" w:rsidP="007D6A03">
            <w:pPr>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 xml:space="preserve">Revenue (in £ million) </w:t>
            </w:r>
          </w:p>
        </w:tc>
        <w:tc>
          <w:tcPr>
            <w:tcW w:w="1354" w:type="dxa"/>
            <w:noWrap/>
            <w:hideMark/>
          </w:tcPr>
          <w:p w:rsidR="0015093B" w:rsidRPr="0070733C"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1711.1</w:t>
            </w:r>
          </w:p>
        </w:tc>
        <w:tc>
          <w:tcPr>
            <w:tcW w:w="1354" w:type="dxa"/>
            <w:noWrap/>
            <w:hideMark/>
          </w:tcPr>
          <w:p w:rsidR="0015093B" w:rsidRPr="0070733C" w:rsidRDefault="0015093B" w:rsidP="007D6A03">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1603.8</w:t>
            </w:r>
          </w:p>
        </w:tc>
      </w:tr>
      <w:tr w:rsidR="0015093B" w:rsidRPr="0070733C" w:rsidTr="007D6A03">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5816" w:type="dxa"/>
            <w:noWrap/>
            <w:hideMark/>
          </w:tcPr>
          <w:p w:rsidR="0015093B" w:rsidRPr="0070733C" w:rsidRDefault="0015093B" w:rsidP="007D6A03">
            <w:pPr>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Fixed Asset Turnover</w:t>
            </w:r>
          </w:p>
        </w:tc>
        <w:tc>
          <w:tcPr>
            <w:tcW w:w="1354" w:type="dxa"/>
            <w:noWrap/>
            <w:hideMark/>
          </w:tcPr>
          <w:p w:rsidR="0015093B" w:rsidRPr="0070733C"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12.545</w:t>
            </w:r>
          </w:p>
        </w:tc>
        <w:tc>
          <w:tcPr>
            <w:tcW w:w="1354" w:type="dxa"/>
            <w:noWrap/>
            <w:hideMark/>
          </w:tcPr>
          <w:p w:rsidR="0015093B" w:rsidRPr="0070733C" w:rsidRDefault="0015093B" w:rsidP="007D6A03">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70733C">
              <w:rPr>
                <w:rFonts w:ascii="Times New Roman" w:eastAsia="Times New Roman" w:hAnsi="Times New Roman" w:cs="Times New Roman"/>
                <w:color w:val="000000"/>
                <w:sz w:val="24"/>
                <w:szCs w:val="24"/>
              </w:rPr>
              <w:t>11.960</w:t>
            </w:r>
          </w:p>
        </w:tc>
      </w:tr>
    </w:tbl>
    <w:p w:rsidR="0015093B" w:rsidRDefault="0015093B" w:rsidP="0015093B"/>
    <w:p w:rsidR="0015093B" w:rsidRDefault="0015093B" w:rsidP="004E6296">
      <w:pPr>
        <w:spacing w:line="480" w:lineRule="auto"/>
        <w:jc w:val="both"/>
        <w:rPr>
          <w:rFonts w:ascii="Times New Roman" w:hAnsi="Times New Roman" w:cs="Times New Roman"/>
          <w:sz w:val="24"/>
          <w:szCs w:val="24"/>
        </w:rPr>
      </w:pPr>
    </w:p>
    <w:p w:rsidR="007D6A03" w:rsidRDefault="007D6A03" w:rsidP="004E6296">
      <w:pPr>
        <w:spacing w:line="480" w:lineRule="auto"/>
        <w:jc w:val="both"/>
        <w:rPr>
          <w:rFonts w:ascii="Times New Roman" w:hAnsi="Times New Roman" w:cs="Times New Roman"/>
          <w:sz w:val="24"/>
          <w:szCs w:val="24"/>
        </w:rPr>
      </w:pPr>
    </w:p>
    <w:p w:rsidR="007D6A03" w:rsidRDefault="007D6A03" w:rsidP="004E6296">
      <w:pPr>
        <w:spacing w:line="480" w:lineRule="auto"/>
        <w:jc w:val="both"/>
        <w:rPr>
          <w:rFonts w:ascii="Times New Roman" w:hAnsi="Times New Roman" w:cs="Times New Roman"/>
          <w:sz w:val="24"/>
          <w:szCs w:val="24"/>
        </w:rPr>
      </w:pPr>
    </w:p>
    <w:p w:rsidR="007D6A03" w:rsidRDefault="007D6A03" w:rsidP="004E6296">
      <w:pPr>
        <w:spacing w:line="480" w:lineRule="auto"/>
        <w:jc w:val="both"/>
        <w:rPr>
          <w:rFonts w:ascii="Times New Roman" w:hAnsi="Times New Roman" w:cs="Times New Roman"/>
          <w:sz w:val="24"/>
          <w:szCs w:val="24"/>
        </w:rPr>
      </w:pPr>
    </w:p>
    <w:p w:rsidR="007D6A03" w:rsidRDefault="007D6A03" w:rsidP="004E6296">
      <w:pPr>
        <w:spacing w:line="480" w:lineRule="auto"/>
        <w:jc w:val="both"/>
        <w:rPr>
          <w:rFonts w:ascii="Times New Roman" w:hAnsi="Times New Roman" w:cs="Times New Roman"/>
          <w:sz w:val="24"/>
          <w:szCs w:val="24"/>
        </w:rPr>
      </w:pPr>
    </w:p>
    <w:p w:rsidR="007D6A03" w:rsidRDefault="007D6A03" w:rsidP="004E6296">
      <w:pPr>
        <w:spacing w:line="480" w:lineRule="auto"/>
        <w:jc w:val="both"/>
        <w:rPr>
          <w:rFonts w:ascii="Times New Roman" w:hAnsi="Times New Roman" w:cs="Times New Roman"/>
          <w:sz w:val="24"/>
          <w:szCs w:val="24"/>
        </w:rPr>
      </w:pPr>
    </w:p>
    <w:p w:rsidR="007D6A03" w:rsidRDefault="007D6A03" w:rsidP="004E6296">
      <w:pPr>
        <w:spacing w:line="480" w:lineRule="auto"/>
        <w:jc w:val="both"/>
        <w:rPr>
          <w:rFonts w:ascii="Times New Roman" w:hAnsi="Times New Roman" w:cs="Times New Roman"/>
          <w:sz w:val="24"/>
          <w:szCs w:val="24"/>
        </w:rPr>
      </w:pPr>
    </w:p>
    <w:p w:rsidR="007D6A03" w:rsidRDefault="007D6A03" w:rsidP="004E6296">
      <w:pPr>
        <w:spacing w:line="480" w:lineRule="auto"/>
        <w:jc w:val="both"/>
        <w:rPr>
          <w:rFonts w:ascii="Times New Roman" w:hAnsi="Times New Roman" w:cs="Times New Roman"/>
          <w:sz w:val="24"/>
          <w:szCs w:val="24"/>
        </w:rPr>
      </w:pPr>
    </w:p>
    <w:p w:rsidR="007D6A03" w:rsidRDefault="007D6A03" w:rsidP="004E6296">
      <w:pPr>
        <w:spacing w:line="480" w:lineRule="auto"/>
        <w:jc w:val="both"/>
        <w:rPr>
          <w:rFonts w:ascii="Times New Roman" w:hAnsi="Times New Roman" w:cs="Times New Roman"/>
          <w:sz w:val="24"/>
          <w:szCs w:val="24"/>
        </w:rPr>
      </w:pPr>
    </w:p>
    <w:p w:rsidR="007D6A03" w:rsidRDefault="007D6A03" w:rsidP="004E6296">
      <w:pPr>
        <w:spacing w:line="480" w:lineRule="auto"/>
        <w:jc w:val="both"/>
        <w:rPr>
          <w:rFonts w:ascii="Times New Roman" w:hAnsi="Times New Roman" w:cs="Times New Roman"/>
          <w:sz w:val="24"/>
          <w:szCs w:val="24"/>
        </w:rPr>
      </w:pPr>
    </w:p>
    <w:p w:rsidR="007D6A03" w:rsidRDefault="007D6A03" w:rsidP="004E6296">
      <w:pPr>
        <w:spacing w:line="480" w:lineRule="auto"/>
        <w:jc w:val="both"/>
        <w:rPr>
          <w:rFonts w:ascii="Times New Roman" w:hAnsi="Times New Roman" w:cs="Times New Roman"/>
          <w:sz w:val="24"/>
          <w:szCs w:val="24"/>
        </w:rPr>
      </w:pPr>
    </w:p>
    <w:p w:rsidR="007D6A03" w:rsidRDefault="007D6A03" w:rsidP="004E6296">
      <w:pPr>
        <w:spacing w:line="480" w:lineRule="auto"/>
        <w:jc w:val="both"/>
        <w:rPr>
          <w:rFonts w:ascii="Times New Roman" w:hAnsi="Times New Roman" w:cs="Times New Roman"/>
          <w:sz w:val="24"/>
          <w:szCs w:val="24"/>
        </w:rPr>
      </w:pPr>
    </w:p>
    <w:p w:rsidR="007D6A03" w:rsidRDefault="007D6A03" w:rsidP="004E6296">
      <w:pPr>
        <w:spacing w:line="480" w:lineRule="auto"/>
        <w:jc w:val="both"/>
        <w:rPr>
          <w:rFonts w:ascii="Times New Roman" w:hAnsi="Times New Roman" w:cs="Times New Roman"/>
          <w:sz w:val="24"/>
          <w:szCs w:val="24"/>
        </w:rPr>
      </w:pPr>
    </w:p>
    <w:sdt>
      <w:sdtPr>
        <w:rPr>
          <w:rFonts w:asciiTheme="majorHAnsi" w:eastAsiaTheme="majorEastAsia" w:hAnsiTheme="majorHAnsi" w:cstheme="majorBidi"/>
          <w:caps/>
        </w:rPr>
        <w:id w:val="9707270"/>
        <w:docPartObj>
          <w:docPartGallery w:val="Cover Pages"/>
          <w:docPartUnique/>
        </w:docPartObj>
      </w:sdtPr>
      <w:sdtEndPr>
        <w:rPr>
          <w:rFonts w:asciiTheme="minorHAnsi" w:eastAsiaTheme="minorHAnsi" w:hAnsiTheme="minorHAnsi" w:cstheme="minorBidi"/>
          <w:b/>
          <w:bCs/>
          <w:caps w:val="0"/>
        </w:rPr>
      </w:sdtEndPr>
      <w:sdtContent>
        <w:tbl>
          <w:tblPr>
            <w:tblW w:w="5000" w:type="pct"/>
            <w:jc w:val="center"/>
            <w:tblLook w:val="04A0" w:firstRow="1" w:lastRow="0" w:firstColumn="1" w:lastColumn="0" w:noHBand="0" w:noVBand="1"/>
          </w:tblPr>
          <w:tblGrid>
            <w:gridCol w:w="9576"/>
          </w:tblGrid>
          <w:tr w:rsidR="007D6A03" w:rsidTr="007D6A03">
            <w:trPr>
              <w:trHeight w:val="2880"/>
              <w:jc w:val="center"/>
            </w:trPr>
            <w:tc>
              <w:tcPr>
                <w:tcW w:w="5000" w:type="pct"/>
              </w:tcPr>
              <w:p w:rsidR="007D6A03" w:rsidRDefault="007D6A03" w:rsidP="007D6A03">
                <w:pPr>
                  <w:pStyle w:val="NoSpacing"/>
                  <w:rPr>
                    <w:rFonts w:asciiTheme="majorHAnsi" w:eastAsiaTheme="majorEastAsia" w:hAnsiTheme="majorHAnsi" w:cstheme="majorBidi"/>
                    <w:caps/>
                  </w:rPr>
                </w:pPr>
              </w:p>
            </w:tc>
          </w:tr>
          <w:tr w:rsidR="007D6A03" w:rsidTr="007D6A03">
            <w:trPr>
              <w:trHeight w:val="1440"/>
              <w:jc w:val="center"/>
            </w:trPr>
            <w:sdt>
              <w:sdtPr>
                <w:rPr>
                  <w:rFonts w:asciiTheme="majorHAnsi" w:eastAsiaTheme="majorEastAsia" w:hAnsiTheme="majorHAnsi" w:cstheme="majorBidi"/>
                  <w:b/>
                  <w:sz w:val="40"/>
                  <w:szCs w:val="40"/>
                </w:rPr>
                <w:alias w:val="Title"/>
                <w:id w:val="15524250"/>
                <w:placeholder>
                  <w:docPart w:val="2ACCC0192E944F3194119A02465CE2C2"/>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7D6A03" w:rsidRPr="00C20F8E" w:rsidRDefault="007D6A03" w:rsidP="007D6A03">
                    <w:pPr>
                      <w:pStyle w:val="NoSpacing"/>
                      <w:jc w:val="center"/>
                      <w:rPr>
                        <w:rFonts w:asciiTheme="majorHAnsi" w:eastAsiaTheme="majorEastAsia" w:hAnsiTheme="majorHAnsi" w:cstheme="majorBidi"/>
                        <w:b/>
                        <w:sz w:val="80"/>
                        <w:szCs w:val="80"/>
                      </w:rPr>
                    </w:pPr>
                    <w:r>
                      <w:rPr>
                        <w:rFonts w:asciiTheme="majorHAnsi" w:eastAsiaTheme="majorEastAsia" w:hAnsiTheme="majorHAnsi" w:cstheme="majorBidi"/>
                        <w:b/>
                        <w:sz w:val="40"/>
                        <w:szCs w:val="40"/>
                      </w:rPr>
                      <w:t>Financial Ratio Analysis</w:t>
                    </w:r>
                  </w:p>
                </w:tc>
              </w:sdtContent>
            </w:sdt>
          </w:tr>
          <w:tr w:rsidR="007D6A03" w:rsidTr="007D6A03">
            <w:trPr>
              <w:trHeight w:val="720"/>
              <w:jc w:val="center"/>
            </w:trPr>
            <w:sdt>
              <w:sdtPr>
                <w:rPr>
                  <w:rFonts w:asciiTheme="majorHAnsi" w:eastAsiaTheme="majorEastAsia" w:hAnsiTheme="majorHAnsi" w:cstheme="majorBidi"/>
                  <w:b/>
                  <w:sz w:val="40"/>
                  <w:szCs w:val="40"/>
                </w:rPr>
                <w:alias w:val="Subtitle"/>
                <w:id w:val="15524255"/>
                <w:placeholder>
                  <w:docPart w:val="E948B7F47870482F908E00A32B70465E"/>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7D6A03" w:rsidRPr="00C20F8E" w:rsidRDefault="007D6A03" w:rsidP="007D6A03">
                    <w:pPr>
                      <w:pStyle w:val="NoSpacing"/>
                      <w:jc w:val="center"/>
                      <w:rPr>
                        <w:rFonts w:asciiTheme="majorHAnsi" w:eastAsiaTheme="majorEastAsia" w:hAnsiTheme="majorHAnsi" w:cstheme="majorBidi"/>
                        <w:b/>
                        <w:sz w:val="44"/>
                        <w:szCs w:val="44"/>
                      </w:rPr>
                    </w:pPr>
                    <w:r>
                      <w:rPr>
                        <w:rFonts w:asciiTheme="majorHAnsi" w:eastAsiaTheme="majorEastAsia" w:hAnsiTheme="majorHAnsi" w:cstheme="majorBidi"/>
                        <w:b/>
                        <w:sz w:val="40"/>
                        <w:szCs w:val="40"/>
                      </w:rPr>
                      <w:t>William Hill Plc and Paddy Power Betfair Plc</w:t>
                    </w:r>
                  </w:p>
                </w:tc>
              </w:sdtContent>
            </w:sdt>
          </w:tr>
        </w:tbl>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611A02" w:rsidRDefault="00611A02" w:rsidP="007D6A03"/>
        <w:p w:rsidR="00611A02" w:rsidRDefault="00611A02" w:rsidP="007D6A03"/>
        <w:p w:rsidR="007D6A03" w:rsidRDefault="006D4586" w:rsidP="007D6A03"/>
      </w:sdtContent>
    </w:sdt>
    <w:sdt>
      <w:sdtPr>
        <w:rPr>
          <w:rFonts w:ascii="Times New Roman" w:eastAsiaTheme="minorHAnsi" w:hAnsi="Times New Roman" w:cs="Times New Roman"/>
          <w:b w:val="0"/>
          <w:bCs w:val="0"/>
          <w:color w:val="auto"/>
          <w:sz w:val="24"/>
          <w:szCs w:val="24"/>
        </w:rPr>
        <w:id w:val="9707266"/>
        <w:docPartObj>
          <w:docPartGallery w:val="Table of Contents"/>
          <w:docPartUnique/>
        </w:docPartObj>
      </w:sdtPr>
      <w:sdtEndPr/>
      <w:sdtContent>
        <w:p w:rsidR="007D6A03" w:rsidRDefault="007D6A03" w:rsidP="007D6A03">
          <w:pPr>
            <w:pStyle w:val="TOCHeading"/>
            <w:rPr>
              <w:rFonts w:ascii="Times New Roman" w:hAnsi="Times New Roman" w:cs="Times New Roman"/>
              <w:sz w:val="24"/>
              <w:szCs w:val="24"/>
            </w:rPr>
          </w:pPr>
          <w:r w:rsidRPr="00C20F8E">
            <w:rPr>
              <w:rFonts w:ascii="Times New Roman" w:hAnsi="Times New Roman" w:cs="Times New Roman"/>
              <w:sz w:val="24"/>
              <w:szCs w:val="24"/>
            </w:rPr>
            <w:t>Contents</w:t>
          </w:r>
        </w:p>
        <w:p w:rsidR="007D6A03" w:rsidRPr="00912E1F" w:rsidRDefault="007D6A03" w:rsidP="007D6A03"/>
        <w:p w:rsidR="007D6A03" w:rsidRPr="00C20F8E" w:rsidRDefault="007D6A03" w:rsidP="007D6A03">
          <w:pPr>
            <w:pStyle w:val="TOC1"/>
            <w:tabs>
              <w:tab w:val="right" w:leader="dot" w:pos="9350"/>
            </w:tabs>
            <w:rPr>
              <w:rFonts w:ascii="Times New Roman" w:hAnsi="Times New Roman" w:cs="Times New Roman"/>
              <w:noProof/>
              <w:sz w:val="24"/>
              <w:szCs w:val="24"/>
            </w:rPr>
          </w:pPr>
          <w:r w:rsidRPr="00C20F8E">
            <w:rPr>
              <w:rFonts w:ascii="Times New Roman" w:hAnsi="Times New Roman" w:cs="Times New Roman"/>
              <w:sz w:val="24"/>
              <w:szCs w:val="24"/>
            </w:rPr>
            <w:fldChar w:fldCharType="begin"/>
          </w:r>
          <w:r w:rsidRPr="00C20F8E">
            <w:rPr>
              <w:rFonts w:ascii="Times New Roman" w:hAnsi="Times New Roman" w:cs="Times New Roman"/>
              <w:sz w:val="24"/>
              <w:szCs w:val="24"/>
            </w:rPr>
            <w:instrText xml:space="preserve"> TOC \o "1-3" \h \z \u </w:instrText>
          </w:r>
          <w:r w:rsidRPr="00C20F8E">
            <w:rPr>
              <w:rFonts w:ascii="Times New Roman" w:hAnsi="Times New Roman" w:cs="Times New Roman"/>
              <w:sz w:val="24"/>
              <w:szCs w:val="24"/>
            </w:rPr>
            <w:fldChar w:fldCharType="separate"/>
          </w:r>
          <w:hyperlink w:anchor="_Toc511995346" w:history="1">
            <w:r w:rsidRPr="00C20F8E">
              <w:rPr>
                <w:rStyle w:val="Hyperlink"/>
                <w:rFonts w:ascii="Times New Roman" w:hAnsi="Times New Roman" w:cs="Times New Roman"/>
                <w:noProof/>
                <w:sz w:val="24"/>
                <w:szCs w:val="24"/>
              </w:rPr>
              <w:t>Introduction:</w:t>
            </w:r>
            <w:r w:rsidRPr="00C20F8E">
              <w:rPr>
                <w:rFonts w:ascii="Times New Roman" w:hAnsi="Times New Roman" w:cs="Times New Roman"/>
                <w:noProof/>
                <w:webHidden/>
                <w:sz w:val="24"/>
                <w:szCs w:val="24"/>
              </w:rPr>
              <w:tab/>
            </w:r>
            <w:r w:rsidRPr="00C20F8E">
              <w:rPr>
                <w:rFonts w:ascii="Times New Roman" w:hAnsi="Times New Roman" w:cs="Times New Roman"/>
                <w:noProof/>
                <w:webHidden/>
                <w:sz w:val="24"/>
                <w:szCs w:val="24"/>
              </w:rPr>
              <w:fldChar w:fldCharType="begin"/>
            </w:r>
            <w:r w:rsidRPr="00C20F8E">
              <w:rPr>
                <w:rFonts w:ascii="Times New Roman" w:hAnsi="Times New Roman" w:cs="Times New Roman"/>
                <w:noProof/>
                <w:webHidden/>
                <w:sz w:val="24"/>
                <w:szCs w:val="24"/>
              </w:rPr>
              <w:instrText xml:space="preserve"> PAGEREF _Toc511995346 \h </w:instrText>
            </w:r>
            <w:r w:rsidRPr="00C20F8E">
              <w:rPr>
                <w:rFonts w:ascii="Times New Roman" w:hAnsi="Times New Roman" w:cs="Times New Roman"/>
                <w:noProof/>
                <w:webHidden/>
                <w:sz w:val="24"/>
                <w:szCs w:val="24"/>
              </w:rPr>
            </w:r>
            <w:r w:rsidRPr="00C20F8E">
              <w:rPr>
                <w:rFonts w:ascii="Times New Roman" w:hAnsi="Times New Roman" w:cs="Times New Roman"/>
                <w:noProof/>
                <w:webHidden/>
                <w:sz w:val="24"/>
                <w:szCs w:val="24"/>
              </w:rPr>
              <w:fldChar w:fldCharType="separate"/>
            </w:r>
            <w:r w:rsidRPr="00C20F8E">
              <w:rPr>
                <w:rFonts w:ascii="Times New Roman" w:hAnsi="Times New Roman" w:cs="Times New Roman"/>
                <w:noProof/>
                <w:webHidden/>
                <w:sz w:val="24"/>
                <w:szCs w:val="24"/>
              </w:rPr>
              <w:t>1</w:t>
            </w:r>
            <w:r w:rsidRPr="00C20F8E">
              <w:rPr>
                <w:rFonts w:ascii="Times New Roman" w:hAnsi="Times New Roman" w:cs="Times New Roman"/>
                <w:noProof/>
                <w:webHidden/>
                <w:sz w:val="24"/>
                <w:szCs w:val="24"/>
              </w:rPr>
              <w:fldChar w:fldCharType="end"/>
            </w:r>
          </w:hyperlink>
        </w:p>
        <w:p w:rsidR="007D6A03" w:rsidRPr="00C20F8E" w:rsidRDefault="006D4586" w:rsidP="007D6A03">
          <w:pPr>
            <w:pStyle w:val="TOC1"/>
            <w:tabs>
              <w:tab w:val="right" w:leader="dot" w:pos="9350"/>
            </w:tabs>
            <w:rPr>
              <w:rFonts w:ascii="Times New Roman" w:hAnsi="Times New Roman" w:cs="Times New Roman"/>
              <w:noProof/>
              <w:sz w:val="24"/>
              <w:szCs w:val="24"/>
            </w:rPr>
          </w:pPr>
          <w:hyperlink w:anchor="_Toc511995347" w:history="1">
            <w:r w:rsidR="007D6A03" w:rsidRPr="00C20F8E">
              <w:rPr>
                <w:rStyle w:val="Hyperlink"/>
                <w:rFonts w:ascii="Times New Roman" w:hAnsi="Times New Roman" w:cs="Times New Roman"/>
                <w:noProof/>
                <w:sz w:val="24"/>
                <w:szCs w:val="24"/>
              </w:rPr>
              <w:t>Part a:</w:t>
            </w:r>
            <w:r w:rsidR="007D6A03" w:rsidRPr="00C20F8E">
              <w:rPr>
                <w:rFonts w:ascii="Times New Roman" w:hAnsi="Times New Roman" w:cs="Times New Roman"/>
                <w:noProof/>
                <w:webHidden/>
                <w:sz w:val="24"/>
                <w:szCs w:val="24"/>
              </w:rPr>
              <w:tab/>
            </w:r>
            <w:r w:rsidR="007D6A03" w:rsidRPr="00C20F8E">
              <w:rPr>
                <w:rFonts w:ascii="Times New Roman" w:hAnsi="Times New Roman" w:cs="Times New Roman"/>
                <w:noProof/>
                <w:webHidden/>
                <w:sz w:val="24"/>
                <w:szCs w:val="24"/>
              </w:rPr>
              <w:fldChar w:fldCharType="begin"/>
            </w:r>
            <w:r w:rsidR="007D6A03" w:rsidRPr="00C20F8E">
              <w:rPr>
                <w:rFonts w:ascii="Times New Roman" w:hAnsi="Times New Roman" w:cs="Times New Roman"/>
                <w:noProof/>
                <w:webHidden/>
                <w:sz w:val="24"/>
                <w:szCs w:val="24"/>
              </w:rPr>
              <w:instrText xml:space="preserve"> PAGEREF _Toc511995347 \h </w:instrText>
            </w:r>
            <w:r w:rsidR="007D6A03" w:rsidRPr="00C20F8E">
              <w:rPr>
                <w:rFonts w:ascii="Times New Roman" w:hAnsi="Times New Roman" w:cs="Times New Roman"/>
                <w:noProof/>
                <w:webHidden/>
                <w:sz w:val="24"/>
                <w:szCs w:val="24"/>
              </w:rPr>
            </w:r>
            <w:r w:rsidR="007D6A03" w:rsidRPr="00C20F8E">
              <w:rPr>
                <w:rFonts w:ascii="Times New Roman" w:hAnsi="Times New Roman" w:cs="Times New Roman"/>
                <w:noProof/>
                <w:webHidden/>
                <w:sz w:val="24"/>
                <w:szCs w:val="24"/>
              </w:rPr>
              <w:fldChar w:fldCharType="separate"/>
            </w:r>
            <w:r w:rsidR="007D6A03" w:rsidRPr="00C20F8E">
              <w:rPr>
                <w:rFonts w:ascii="Times New Roman" w:hAnsi="Times New Roman" w:cs="Times New Roman"/>
                <w:noProof/>
                <w:webHidden/>
                <w:sz w:val="24"/>
                <w:szCs w:val="24"/>
              </w:rPr>
              <w:t>1</w:t>
            </w:r>
            <w:r w:rsidR="007D6A03" w:rsidRPr="00C20F8E">
              <w:rPr>
                <w:rFonts w:ascii="Times New Roman" w:hAnsi="Times New Roman" w:cs="Times New Roman"/>
                <w:noProof/>
                <w:webHidden/>
                <w:sz w:val="24"/>
                <w:szCs w:val="24"/>
              </w:rPr>
              <w:fldChar w:fldCharType="end"/>
            </w:r>
          </w:hyperlink>
        </w:p>
        <w:p w:rsidR="007D6A03" w:rsidRPr="00C20F8E" w:rsidRDefault="006D4586" w:rsidP="007D6A03">
          <w:pPr>
            <w:pStyle w:val="TOC1"/>
            <w:tabs>
              <w:tab w:val="right" w:leader="dot" w:pos="9350"/>
            </w:tabs>
            <w:rPr>
              <w:rFonts w:ascii="Times New Roman" w:hAnsi="Times New Roman" w:cs="Times New Roman"/>
              <w:noProof/>
              <w:sz w:val="24"/>
              <w:szCs w:val="24"/>
            </w:rPr>
          </w:pPr>
          <w:hyperlink w:anchor="_Toc511995348" w:history="1">
            <w:r w:rsidR="007D6A03" w:rsidRPr="00C20F8E">
              <w:rPr>
                <w:rStyle w:val="Hyperlink"/>
                <w:rFonts w:ascii="Times New Roman" w:hAnsi="Times New Roman" w:cs="Times New Roman"/>
                <w:noProof/>
                <w:sz w:val="24"/>
                <w:szCs w:val="24"/>
              </w:rPr>
              <w:t>Determination of the payback period and the Net present value of the two projects:</w:t>
            </w:r>
            <w:r w:rsidR="007D6A03" w:rsidRPr="00C20F8E">
              <w:rPr>
                <w:rFonts w:ascii="Times New Roman" w:hAnsi="Times New Roman" w:cs="Times New Roman"/>
                <w:noProof/>
                <w:webHidden/>
                <w:sz w:val="24"/>
                <w:szCs w:val="24"/>
              </w:rPr>
              <w:tab/>
            </w:r>
            <w:r w:rsidR="007D6A03" w:rsidRPr="00C20F8E">
              <w:rPr>
                <w:rFonts w:ascii="Times New Roman" w:hAnsi="Times New Roman" w:cs="Times New Roman"/>
                <w:noProof/>
                <w:webHidden/>
                <w:sz w:val="24"/>
                <w:szCs w:val="24"/>
              </w:rPr>
              <w:fldChar w:fldCharType="begin"/>
            </w:r>
            <w:r w:rsidR="007D6A03" w:rsidRPr="00C20F8E">
              <w:rPr>
                <w:rFonts w:ascii="Times New Roman" w:hAnsi="Times New Roman" w:cs="Times New Roman"/>
                <w:noProof/>
                <w:webHidden/>
                <w:sz w:val="24"/>
                <w:szCs w:val="24"/>
              </w:rPr>
              <w:instrText xml:space="preserve"> PAGEREF _Toc511995348 \h </w:instrText>
            </w:r>
            <w:r w:rsidR="007D6A03" w:rsidRPr="00C20F8E">
              <w:rPr>
                <w:rFonts w:ascii="Times New Roman" w:hAnsi="Times New Roman" w:cs="Times New Roman"/>
                <w:noProof/>
                <w:webHidden/>
                <w:sz w:val="24"/>
                <w:szCs w:val="24"/>
              </w:rPr>
            </w:r>
            <w:r w:rsidR="007D6A03" w:rsidRPr="00C20F8E">
              <w:rPr>
                <w:rFonts w:ascii="Times New Roman" w:hAnsi="Times New Roman" w:cs="Times New Roman"/>
                <w:noProof/>
                <w:webHidden/>
                <w:sz w:val="24"/>
                <w:szCs w:val="24"/>
              </w:rPr>
              <w:fldChar w:fldCharType="separate"/>
            </w:r>
            <w:r w:rsidR="007D6A03" w:rsidRPr="00C20F8E">
              <w:rPr>
                <w:rFonts w:ascii="Times New Roman" w:hAnsi="Times New Roman" w:cs="Times New Roman"/>
                <w:noProof/>
                <w:webHidden/>
                <w:sz w:val="24"/>
                <w:szCs w:val="24"/>
              </w:rPr>
              <w:t>1</w:t>
            </w:r>
            <w:r w:rsidR="007D6A03" w:rsidRPr="00C20F8E">
              <w:rPr>
                <w:rFonts w:ascii="Times New Roman" w:hAnsi="Times New Roman" w:cs="Times New Roman"/>
                <w:noProof/>
                <w:webHidden/>
                <w:sz w:val="24"/>
                <w:szCs w:val="24"/>
              </w:rPr>
              <w:fldChar w:fldCharType="end"/>
            </w:r>
          </w:hyperlink>
        </w:p>
        <w:p w:rsidR="007D6A03" w:rsidRPr="00C20F8E" w:rsidRDefault="006D4586" w:rsidP="007D6A03">
          <w:pPr>
            <w:pStyle w:val="TOC2"/>
            <w:tabs>
              <w:tab w:val="right" w:leader="dot" w:pos="9350"/>
            </w:tabs>
            <w:rPr>
              <w:rFonts w:ascii="Times New Roman" w:hAnsi="Times New Roman" w:cs="Times New Roman"/>
              <w:noProof/>
              <w:sz w:val="24"/>
              <w:szCs w:val="24"/>
            </w:rPr>
          </w:pPr>
          <w:hyperlink w:anchor="_Toc511995349" w:history="1">
            <w:r w:rsidR="007D6A03" w:rsidRPr="00C20F8E">
              <w:rPr>
                <w:rStyle w:val="Hyperlink"/>
                <w:rFonts w:ascii="Times New Roman" w:hAnsi="Times New Roman" w:cs="Times New Roman"/>
                <w:noProof/>
                <w:sz w:val="24"/>
                <w:szCs w:val="24"/>
              </w:rPr>
              <w:t>Determination of Payback Period :</w:t>
            </w:r>
            <w:r w:rsidR="007D6A03" w:rsidRPr="00C20F8E">
              <w:rPr>
                <w:rFonts w:ascii="Times New Roman" w:hAnsi="Times New Roman" w:cs="Times New Roman"/>
                <w:noProof/>
                <w:webHidden/>
                <w:sz w:val="24"/>
                <w:szCs w:val="24"/>
              </w:rPr>
              <w:tab/>
            </w:r>
            <w:r w:rsidR="007D6A03" w:rsidRPr="00C20F8E">
              <w:rPr>
                <w:rFonts w:ascii="Times New Roman" w:hAnsi="Times New Roman" w:cs="Times New Roman"/>
                <w:noProof/>
                <w:webHidden/>
                <w:sz w:val="24"/>
                <w:szCs w:val="24"/>
              </w:rPr>
              <w:fldChar w:fldCharType="begin"/>
            </w:r>
            <w:r w:rsidR="007D6A03" w:rsidRPr="00C20F8E">
              <w:rPr>
                <w:rFonts w:ascii="Times New Roman" w:hAnsi="Times New Roman" w:cs="Times New Roman"/>
                <w:noProof/>
                <w:webHidden/>
                <w:sz w:val="24"/>
                <w:szCs w:val="24"/>
              </w:rPr>
              <w:instrText xml:space="preserve"> PAGEREF _Toc511995349 \h </w:instrText>
            </w:r>
            <w:r w:rsidR="007D6A03" w:rsidRPr="00C20F8E">
              <w:rPr>
                <w:rFonts w:ascii="Times New Roman" w:hAnsi="Times New Roman" w:cs="Times New Roman"/>
                <w:noProof/>
                <w:webHidden/>
                <w:sz w:val="24"/>
                <w:szCs w:val="24"/>
              </w:rPr>
            </w:r>
            <w:r w:rsidR="007D6A03" w:rsidRPr="00C20F8E">
              <w:rPr>
                <w:rFonts w:ascii="Times New Roman" w:hAnsi="Times New Roman" w:cs="Times New Roman"/>
                <w:noProof/>
                <w:webHidden/>
                <w:sz w:val="24"/>
                <w:szCs w:val="24"/>
              </w:rPr>
              <w:fldChar w:fldCharType="separate"/>
            </w:r>
            <w:r w:rsidR="007D6A03" w:rsidRPr="00C20F8E">
              <w:rPr>
                <w:rFonts w:ascii="Times New Roman" w:hAnsi="Times New Roman" w:cs="Times New Roman"/>
                <w:noProof/>
                <w:webHidden/>
                <w:sz w:val="24"/>
                <w:szCs w:val="24"/>
              </w:rPr>
              <w:t>3</w:t>
            </w:r>
            <w:r w:rsidR="007D6A03" w:rsidRPr="00C20F8E">
              <w:rPr>
                <w:rFonts w:ascii="Times New Roman" w:hAnsi="Times New Roman" w:cs="Times New Roman"/>
                <w:noProof/>
                <w:webHidden/>
                <w:sz w:val="24"/>
                <w:szCs w:val="24"/>
              </w:rPr>
              <w:fldChar w:fldCharType="end"/>
            </w:r>
          </w:hyperlink>
        </w:p>
        <w:p w:rsidR="007D6A03" w:rsidRPr="00C20F8E" w:rsidRDefault="006D4586" w:rsidP="007D6A03">
          <w:pPr>
            <w:pStyle w:val="TOC2"/>
            <w:tabs>
              <w:tab w:val="right" w:leader="dot" w:pos="9350"/>
            </w:tabs>
            <w:rPr>
              <w:rFonts w:ascii="Times New Roman" w:hAnsi="Times New Roman" w:cs="Times New Roman"/>
              <w:noProof/>
              <w:sz w:val="24"/>
              <w:szCs w:val="24"/>
            </w:rPr>
          </w:pPr>
          <w:hyperlink w:anchor="_Toc511995350" w:history="1">
            <w:r w:rsidR="007D6A03" w:rsidRPr="00C20F8E">
              <w:rPr>
                <w:rStyle w:val="Hyperlink"/>
                <w:rFonts w:ascii="Times New Roman" w:hAnsi="Times New Roman" w:cs="Times New Roman"/>
                <w:noProof/>
                <w:sz w:val="24"/>
                <w:szCs w:val="24"/>
              </w:rPr>
              <w:t>Determination of the net Present value of Project A and project B:</w:t>
            </w:r>
            <w:r w:rsidR="007D6A03" w:rsidRPr="00C20F8E">
              <w:rPr>
                <w:rFonts w:ascii="Times New Roman" w:hAnsi="Times New Roman" w:cs="Times New Roman"/>
                <w:noProof/>
                <w:webHidden/>
                <w:sz w:val="24"/>
                <w:szCs w:val="24"/>
              </w:rPr>
              <w:tab/>
            </w:r>
            <w:r w:rsidR="007D6A03" w:rsidRPr="00C20F8E">
              <w:rPr>
                <w:rFonts w:ascii="Times New Roman" w:hAnsi="Times New Roman" w:cs="Times New Roman"/>
                <w:noProof/>
                <w:webHidden/>
                <w:sz w:val="24"/>
                <w:szCs w:val="24"/>
              </w:rPr>
              <w:fldChar w:fldCharType="begin"/>
            </w:r>
            <w:r w:rsidR="007D6A03" w:rsidRPr="00C20F8E">
              <w:rPr>
                <w:rFonts w:ascii="Times New Roman" w:hAnsi="Times New Roman" w:cs="Times New Roman"/>
                <w:noProof/>
                <w:webHidden/>
                <w:sz w:val="24"/>
                <w:szCs w:val="24"/>
              </w:rPr>
              <w:instrText xml:space="preserve"> PAGEREF _Toc511995350 \h </w:instrText>
            </w:r>
            <w:r w:rsidR="007D6A03" w:rsidRPr="00C20F8E">
              <w:rPr>
                <w:rFonts w:ascii="Times New Roman" w:hAnsi="Times New Roman" w:cs="Times New Roman"/>
                <w:noProof/>
                <w:webHidden/>
                <w:sz w:val="24"/>
                <w:szCs w:val="24"/>
              </w:rPr>
            </w:r>
            <w:r w:rsidR="007D6A03" w:rsidRPr="00C20F8E">
              <w:rPr>
                <w:rFonts w:ascii="Times New Roman" w:hAnsi="Times New Roman" w:cs="Times New Roman"/>
                <w:noProof/>
                <w:webHidden/>
                <w:sz w:val="24"/>
                <w:szCs w:val="24"/>
              </w:rPr>
              <w:fldChar w:fldCharType="separate"/>
            </w:r>
            <w:r w:rsidR="007D6A03" w:rsidRPr="00C20F8E">
              <w:rPr>
                <w:rFonts w:ascii="Times New Roman" w:hAnsi="Times New Roman" w:cs="Times New Roman"/>
                <w:noProof/>
                <w:webHidden/>
                <w:sz w:val="24"/>
                <w:szCs w:val="24"/>
              </w:rPr>
              <w:t>4</w:t>
            </w:r>
            <w:r w:rsidR="007D6A03" w:rsidRPr="00C20F8E">
              <w:rPr>
                <w:rFonts w:ascii="Times New Roman" w:hAnsi="Times New Roman" w:cs="Times New Roman"/>
                <w:noProof/>
                <w:webHidden/>
                <w:sz w:val="24"/>
                <w:szCs w:val="24"/>
              </w:rPr>
              <w:fldChar w:fldCharType="end"/>
            </w:r>
          </w:hyperlink>
        </w:p>
        <w:p w:rsidR="007D6A03" w:rsidRPr="00C20F8E" w:rsidRDefault="006D4586" w:rsidP="007D6A03">
          <w:pPr>
            <w:pStyle w:val="TOC1"/>
            <w:tabs>
              <w:tab w:val="right" w:leader="dot" w:pos="9350"/>
            </w:tabs>
            <w:rPr>
              <w:rFonts w:ascii="Times New Roman" w:hAnsi="Times New Roman" w:cs="Times New Roman"/>
              <w:noProof/>
              <w:sz w:val="24"/>
              <w:szCs w:val="24"/>
            </w:rPr>
          </w:pPr>
          <w:hyperlink w:anchor="_Toc511995351" w:history="1">
            <w:r w:rsidR="007D6A03" w:rsidRPr="00C20F8E">
              <w:rPr>
                <w:rStyle w:val="Hyperlink"/>
                <w:rFonts w:ascii="Times New Roman" w:hAnsi="Times New Roman" w:cs="Times New Roman"/>
                <w:noProof/>
                <w:sz w:val="24"/>
                <w:szCs w:val="24"/>
              </w:rPr>
              <w:t>Part b:</w:t>
            </w:r>
            <w:r w:rsidR="007D6A03" w:rsidRPr="00C20F8E">
              <w:rPr>
                <w:rFonts w:ascii="Times New Roman" w:hAnsi="Times New Roman" w:cs="Times New Roman"/>
                <w:noProof/>
                <w:webHidden/>
                <w:sz w:val="24"/>
                <w:szCs w:val="24"/>
              </w:rPr>
              <w:tab/>
            </w:r>
            <w:r w:rsidR="007D6A03" w:rsidRPr="00C20F8E">
              <w:rPr>
                <w:rFonts w:ascii="Times New Roman" w:hAnsi="Times New Roman" w:cs="Times New Roman"/>
                <w:noProof/>
                <w:webHidden/>
                <w:sz w:val="24"/>
                <w:szCs w:val="24"/>
              </w:rPr>
              <w:fldChar w:fldCharType="begin"/>
            </w:r>
            <w:r w:rsidR="007D6A03" w:rsidRPr="00C20F8E">
              <w:rPr>
                <w:rFonts w:ascii="Times New Roman" w:hAnsi="Times New Roman" w:cs="Times New Roman"/>
                <w:noProof/>
                <w:webHidden/>
                <w:sz w:val="24"/>
                <w:szCs w:val="24"/>
              </w:rPr>
              <w:instrText xml:space="preserve"> PAGEREF _Toc511995351 \h </w:instrText>
            </w:r>
            <w:r w:rsidR="007D6A03" w:rsidRPr="00C20F8E">
              <w:rPr>
                <w:rFonts w:ascii="Times New Roman" w:hAnsi="Times New Roman" w:cs="Times New Roman"/>
                <w:noProof/>
                <w:webHidden/>
                <w:sz w:val="24"/>
                <w:szCs w:val="24"/>
              </w:rPr>
            </w:r>
            <w:r w:rsidR="007D6A03" w:rsidRPr="00C20F8E">
              <w:rPr>
                <w:rFonts w:ascii="Times New Roman" w:hAnsi="Times New Roman" w:cs="Times New Roman"/>
                <w:noProof/>
                <w:webHidden/>
                <w:sz w:val="24"/>
                <w:szCs w:val="24"/>
              </w:rPr>
              <w:fldChar w:fldCharType="separate"/>
            </w:r>
            <w:r w:rsidR="007D6A03" w:rsidRPr="00C20F8E">
              <w:rPr>
                <w:rFonts w:ascii="Times New Roman" w:hAnsi="Times New Roman" w:cs="Times New Roman"/>
                <w:noProof/>
                <w:webHidden/>
                <w:sz w:val="24"/>
                <w:szCs w:val="24"/>
              </w:rPr>
              <w:t>5</w:t>
            </w:r>
            <w:r w:rsidR="007D6A03" w:rsidRPr="00C20F8E">
              <w:rPr>
                <w:rFonts w:ascii="Times New Roman" w:hAnsi="Times New Roman" w:cs="Times New Roman"/>
                <w:noProof/>
                <w:webHidden/>
                <w:sz w:val="24"/>
                <w:szCs w:val="24"/>
              </w:rPr>
              <w:fldChar w:fldCharType="end"/>
            </w:r>
          </w:hyperlink>
        </w:p>
        <w:p w:rsidR="007D6A03" w:rsidRPr="00C20F8E" w:rsidRDefault="006D4586" w:rsidP="007D6A03">
          <w:pPr>
            <w:pStyle w:val="TOC1"/>
            <w:tabs>
              <w:tab w:val="right" w:leader="dot" w:pos="9350"/>
            </w:tabs>
            <w:rPr>
              <w:rFonts w:ascii="Times New Roman" w:hAnsi="Times New Roman" w:cs="Times New Roman"/>
              <w:noProof/>
              <w:sz w:val="24"/>
              <w:szCs w:val="24"/>
            </w:rPr>
          </w:pPr>
          <w:hyperlink w:anchor="_Toc511995352" w:history="1">
            <w:r w:rsidR="007D6A03" w:rsidRPr="00C20F8E">
              <w:rPr>
                <w:rStyle w:val="Hyperlink"/>
                <w:rFonts w:ascii="Times New Roman" w:hAnsi="Times New Roman" w:cs="Times New Roman"/>
                <w:noProof/>
                <w:sz w:val="24"/>
                <w:szCs w:val="24"/>
              </w:rPr>
              <w:t>Determination of the Accounting rate of Return for each project:</w:t>
            </w:r>
            <w:r w:rsidR="007D6A03" w:rsidRPr="00C20F8E">
              <w:rPr>
                <w:rFonts w:ascii="Times New Roman" w:hAnsi="Times New Roman" w:cs="Times New Roman"/>
                <w:noProof/>
                <w:webHidden/>
                <w:sz w:val="24"/>
                <w:szCs w:val="24"/>
              </w:rPr>
              <w:tab/>
            </w:r>
            <w:r w:rsidR="007D6A03" w:rsidRPr="00C20F8E">
              <w:rPr>
                <w:rFonts w:ascii="Times New Roman" w:hAnsi="Times New Roman" w:cs="Times New Roman"/>
                <w:noProof/>
                <w:webHidden/>
                <w:sz w:val="24"/>
                <w:szCs w:val="24"/>
              </w:rPr>
              <w:fldChar w:fldCharType="begin"/>
            </w:r>
            <w:r w:rsidR="007D6A03" w:rsidRPr="00C20F8E">
              <w:rPr>
                <w:rFonts w:ascii="Times New Roman" w:hAnsi="Times New Roman" w:cs="Times New Roman"/>
                <w:noProof/>
                <w:webHidden/>
                <w:sz w:val="24"/>
                <w:szCs w:val="24"/>
              </w:rPr>
              <w:instrText xml:space="preserve"> PAGEREF _Toc511995352 \h </w:instrText>
            </w:r>
            <w:r w:rsidR="007D6A03" w:rsidRPr="00C20F8E">
              <w:rPr>
                <w:rFonts w:ascii="Times New Roman" w:hAnsi="Times New Roman" w:cs="Times New Roman"/>
                <w:noProof/>
                <w:webHidden/>
                <w:sz w:val="24"/>
                <w:szCs w:val="24"/>
              </w:rPr>
            </w:r>
            <w:r w:rsidR="007D6A03" w:rsidRPr="00C20F8E">
              <w:rPr>
                <w:rFonts w:ascii="Times New Roman" w:hAnsi="Times New Roman" w:cs="Times New Roman"/>
                <w:noProof/>
                <w:webHidden/>
                <w:sz w:val="24"/>
                <w:szCs w:val="24"/>
              </w:rPr>
              <w:fldChar w:fldCharType="separate"/>
            </w:r>
            <w:r w:rsidR="007D6A03" w:rsidRPr="00C20F8E">
              <w:rPr>
                <w:rFonts w:ascii="Times New Roman" w:hAnsi="Times New Roman" w:cs="Times New Roman"/>
                <w:noProof/>
                <w:webHidden/>
                <w:sz w:val="24"/>
                <w:szCs w:val="24"/>
              </w:rPr>
              <w:t>5</w:t>
            </w:r>
            <w:r w:rsidR="007D6A03" w:rsidRPr="00C20F8E">
              <w:rPr>
                <w:rFonts w:ascii="Times New Roman" w:hAnsi="Times New Roman" w:cs="Times New Roman"/>
                <w:noProof/>
                <w:webHidden/>
                <w:sz w:val="24"/>
                <w:szCs w:val="24"/>
              </w:rPr>
              <w:fldChar w:fldCharType="end"/>
            </w:r>
          </w:hyperlink>
        </w:p>
        <w:p w:rsidR="007D6A03" w:rsidRPr="00C20F8E" w:rsidRDefault="006D4586" w:rsidP="007D6A03">
          <w:pPr>
            <w:pStyle w:val="TOC1"/>
            <w:tabs>
              <w:tab w:val="right" w:leader="dot" w:pos="9350"/>
            </w:tabs>
            <w:rPr>
              <w:rFonts w:ascii="Times New Roman" w:hAnsi="Times New Roman" w:cs="Times New Roman"/>
              <w:noProof/>
              <w:sz w:val="24"/>
              <w:szCs w:val="24"/>
            </w:rPr>
          </w:pPr>
          <w:hyperlink w:anchor="_Toc511995353" w:history="1">
            <w:r w:rsidR="007D6A03" w:rsidRPr="00C20F8E">
              <w:rPr>
                <w:rStyle w:val="Hyperlink"/>
                <w:rFonts w:ascii="Times New Roman" w:hAnsi="Times New Roman" w:cs="Times New Roman"/>
                <w:noProof/>
                <w:sz w:val="24"/>
                <w:szCs w:val="24"/>
              </w:rPr>
              <w:t>c) Evaluation of the result of part (a) and (b) and recommending with reasons which project should be adopted:</w:t>
            </w:r>
            <w:r w:rsidR="007D6A03" w:rsidRPr="00C20F8E">
              <w:rPr>
                <w:rFonts w:ascii="Times New Roman" w:hAnsi="Times New Roman" w:cs="Times New Roman"/>
                <w:noProof/>
                <w:webHidden/>
                <w:sz w:val="24"/>
                <w:szCs w:val="24"/>
              </w:rPr>
              <w:tab/>
            </w:r>
            <w:r w:rsidR="007D6A03" w:rsidRPr="00C20F8E">
              <w:rPr>
                <w:rFonts w:ascii="Times New Roman" w:hAnsi="Times New Roman" w:cs="Times New Roman"/>
                <w:noProof/>
                <w:webHidden/>
                <w:sz w:val="24"/>
                <w:szCs w:val="24"/>
              </w:rPr>
              <w:fldChar w:fldCharType="begin"/>
            </w:r>
            <w:r w:rsidR="007D6A03" w:rsidRPr="00C20F8E">
              <w:rPr>
                <w:rFonts w:ascii="Times New Roman" w:hAnsi="Times New Roman" w:cs="Times New Roman"/>
                <w:noProof/>
                <w:webHidden/>
                <w:sz w:val="24"/>
                <w:szCs w:val="24"/>
              </w:rPr>
              <w:instrText xml:space="preserve"> PAGEREF _Toc511995353 \h </w:instrText>
            </w:r>
            <w:r w:rsidR="007D6A03" w:rsidRPr="00C20F8E">
              <w:rPr>
                <w:rFonts w:ascii="Times New Roman" w:hAnsi="Times New Roman" w:cs="Times New Roman"/>
                <w:noProof/>
                <w:webHidden/>
                <w:sz w:val="24"/>
                <w:szCs w:val="24"/>
              </w:rPr>
            </w:r>
            <w:r w:rsidR="007D6A03" w:rsidRPr="00C20F8E">
              <w:rPr>
                <w:rFonts w:ascii="Times New Roman" w:hAnsi="Times New Roman" w:cs="Times New Roman"/>
                <w:noProof/>
                <w:webHidden/>
                <w:sz w:val="24"/>
                <w:szCs w:val="24"/>
              </w:rPr>
              <w:fldChar w:fldCharType="separate"/>
            </w:r>
            <w:r w:rsidR="007D6A03" w:rsidRPr="00C20F8E">
              <w:rPr>
                <w:rFonts w:ascii="Times New Roman" w:hAnsi="Times New Roman" w:cs="Times New Roman"/>
                <w:noProof/>
                <w:webHidden/>
                <w:sz w:val="24"/>
                <w:szCs w:val="24"/>
              </w:rPr>
              <w:t>8</w:t>
            </w:r>
            <w:r w:rsidR="007D6A03" w:rsidRPr="00C20F8E">
              <w:rPr>
                <w:rFonts w:ascii="Times New Roman" w:hAnsi="Times New Roman" w:cs="Times New Roman"/>
                <w:noProof/>
                <w:webHidden/>
                <w:sz w:val="24"/>
                <w:szCs w:val="24"/>
              </w:rPr>
              <w:fldChar w:fldCharType="end"/>
            </w:r>
          </w:hyperlink>
        </w:p>
        <w:p w:rsidR="007D6A03" w:rsidRPr="00C20F8E" w:rsidRDefault="006D4586" w:rsidP="007D6A03">
          <w:pPr>
            <w:pStyle w:val="TOC1"/>
            <w:tabs>
              <w:tab w:val="right" w:leader="dot" w:pos="9350"/>
            </w:tabs>
            <w:rPr>
              <w:rFonts w:ascii="Times New Roman" w:hAnsi="Times New Roman" w:cs="Times New Roman"/>
              <w:noProof/>
              <w:sz w:val="24"/>
              <w:szCs w:val="24"/>
            </w:rPr>
          </w:pPr>
          <w:hyperlink w:anchor="_Toc511995354" w:history="1">
            <w:r w:rsidR="007D6A03" w:rsidRPr="00C20F8E">
              <w:rPr>
                <w:rStyle w:val="Hyperlink"/>
                <w:rFonts w:ascii="Times New Roman" w:hAnsi="Times New Roman" w:cs="Times New Roman"/>
                <w:noProof/>
                <w:sz w:val="24"/>
                <w:szCs w:val="24"/>
              </w:rPr>
              <w:t>Part d:</w:t>
            </w:r>
            <w:r w:rsidR="007D6A03" w:rsidRPr="00C20F8E">
              <w:rPr>
                <w:rFonts w:ascii="Times New Roman" w:hAnsi="Times New Roman" w:cs="Times New Roman"/>
                <w:noProof/>
                <w:webHidden/>
                <w:sz w:val="24"/>
                <w:szCs w:val="24"/>
              </w:rPr>
              <w:tab/>
            </w:r>
            <w:r w:rsidR="007D6A03" w:rsidRPr="00C20F8E">
              <w:rPr>
                <w:rFonts w:ascii="Times New Roman" w:hAnsi="Times New Roman" w:cs="Times New Roman"/>
                <w:noProof/>
                <w:webHidden/>
                <w:sz w:val="24"/>
                <w:szCs w:val="24"/>
              </w:rPr>
              <w:fldChar w:fldCharType="begin"/>
            </w:r>
            <w:r w:rsidR="007D6A03" w:rsidRPr="00C20F8E">
              <w:rPr>
                <w:rFonts w:ascii="Times New Roman" w:hAnsi="Times New Roman" w:cs="Times New Roman"/>
                <w:noProof/>
                <w:webHidden/>
                <w:sz w:val="24"/>
                <w:szCs w:val="24"/>
              </w:rPr>
              <w:instrText xml:space="preserve"> PAGEREF _Toc511995354 \h </w:instrText>
            </w:r>
            <w:r w:rsidR="007D6A03" w:rsidRPr="00C20F8E">
              <w:rPr>
                <w:rFonts w:ascii="Times New Roman" w:hAnsi="Times New Roman" w:cs="Times New Roman"/>
                <w:noProof/>
                <w:webHidden/>
                <w:sz w:val="24"/>
                <w:szCs w:val="24"/>
              </w:rPr>
            </w:r>
            <w:r w:rsidR="007D6A03" w:rsidRPr="00C20F8E">
              <w:rPr>
                <w:rFonts w:ascii="Times New Roman" w:hAnsi="Times New Roman" w:cs="Times New Roman"/>
                <w:noProof/>
                <w:webHidden/>
                <w:sz w:val="24"/>
                <w:szCs w:val="24"/>
              </w:rPr>
              <w:fldChar w:fldCharType="separate"/>
            </w:r>
            <w:r w:rsidR="007D6A03" w:rsidRPr="00C20F8E">
              <w:rPr>
                <w:rFonts w:ascii="Times New Roman" w:hAnsi="Times New Roman" w:cs="Times New Roman"/>
                <w:noProof/>
                <w:webHidden/>
                <w:sz w:val="24"/>
                <w:szCs w:val="24"/>
              </w:rPr>
              <w:t>9</w:t>
            </w:r>
            <w:r w:rsidR="007D6A03" w:rsidRPr="00C20F8E">
              <w:rPr>
                <w:rFonts w:ascii="Times New Roman" w:hAnsi="Times New Roman" w:cs="Times New Roman"/>
                <w:noProof/>
                <w:webHidden/>
                <w:sz w:val="24"/>
                <w:szCs w:val="24"/>
              </w:rPr>
              <w:fldChar w:fldCharType="end"/>
            </w:r>
          </w:hyperlink>
        </w:p>
        <w:p w:rsidR="007D6A03" w:rsidRPr="00C20F8E" w:rsidRDefault="006D4586" w:rsidP="007D6A03">
          <w:pPr>
            <w:pStyle w:val="TOC1"/>
            <w:tabs>
              <w:tab w:val="right" w:leader="dot" w:pos="9350"/>
            </w:tabs>
            <w:rPr>
              <w:rFonts w:ascii="Times New Roman" w:hAnsi="Times New Roman" w:cs="Times New Roman"/>
              <w:noProof/>
              <w:sz w:val="24"/>
              <w:szCs w:val="24"/>
            </w:rPr>
          </w:pPr>
          <w:hyperlink w:anchor="_Toc511995355" w:history="1">
            <w:r w:rsidR="007D6A03" w:rsidRPr="00C20F8E">
              <w:rPr>
                <w:rStyle w:val="Hyperlink"/>
                <w:rFonts w:ascii="Times New Roman" w:hAnsi="Times New Roman" w:cs="Times New Roman"/>
                <w:noProof/>
                <w:sz w:val="24"/>
                <w:szCs w:val="24"/>
              </w:rPr>
              <w:t>Critical Evaluation of the advantages and disadvantages of the payback period and NPV techniques of project appraisal:</w:t>
            </w:r>
            <w:r w:rsidR="007D6A03" w:rsidRPr="00C20F8E">
              <w:rPr>
                <w:rFonts w:ascii="Times New Roman" w:hAnsi="Times New Roman" w:cs="Times New Roman"/>
                <w:noProof/>
                <w:webHidden/>
                <w:sz w:val="24"/>
                <w:szCs w:val="24"/>
              </w:rPr>
              <w:tab/>
            </w:r>
            <w:r w:rsidR="007D6A03" w:rsidRPr="00C20F8E">
              <w:rPr>
                <w:rFonts w:ascii="Times New Roman" w:hAnsi="Times New Roman" w:cs="Times New Roman"/>
                <w:noProof/>
                <w:webHidden/>
                <w:sz w:val="24"/>
                <w:szCs w:val="24"/>
              </w:rPr>
              <w:fldChar w:fldCharType="begin"/>
            </w:r>
            <w:r w:rsidR="007D6A03" w:rsidRPr="00C20F8E">
              <w:rPr>
                <w:rFonts w:ascii="Times New Roman" w:hAnsi="Times New Roman" w:cs="Times New Roman"/>
                <w:noProof/>
                <w:webHidden/>
                <w:sz w:val="24"/>
                <w:szCs w:val="24"/>
              </w:rPr>
              <w:instrText xml:space="preserve"> PAGEREF _Toc511995355 \h </w:instrText>
            </w:r>
            <w:r w:rsidR="007D6A03" w:rsidRPr="00C20F8E">
              <w:rPr>
                <w:rFonts w:ascii="Times New Roman" w:hAnsi="Times New Roman" w:cs="Times New Roman"/>
                <w:noProof/>
                <w:webHidden/>
                <w:sz w:val="24"/>
                <w:szCs w:val="24"/>
              </w:rPr>
            </w:r>
            <w:r w:rsidR="007D6A03" w:rsidRPr="00C20F8E">
              <w:rPr>
                <w:rFonts w:ascii="Times New Roman" w:hAnsi="Times New Roman" w:cs="Times New Roman"/>
                <w:noProof/>
                <w:webHidden/>
                <w:sz w:val="24"/>
                <w:szCs w:val="24"/>
              </w:rPr>
              <w:fldChar w:fldCharType="separate"/>
            </w:r>
            <w:r w:rsidR="007D6A03" w:rsidRPr="00C20F8E">
              <w:rPr>
                <w:rFonts w:ascii="Times New Roman" w:hAnsi="Times New Roman" w:cs="Times New Roman"/>
                <w:noProof/>
                <w:webHidden/>
                <w:sz w:val="24"/>
                <w:szCs w:val="24"/>
              </w:rPr>
              <w:t>9</w:t>
            </w:r>
            <w:r w:rsidR="007D6A03" w:rsidRPr="00C20F8E">
              <w:rPr>
                <w:rFonts w:ascii="Times New Roman" w:hAnsi="Times New Roman" w:cs="Times New Roman"/>
                <w:noProof/>
                <w:webHidden/>
                <w:sz w:val="24"/>
                <w:szCs w:val="24"/>
              </w:rPr>
              <w:fldChar w:fldCharType="end"/>
            </w:r>
          </w:hyperlink>
        </w:p>
        <w:p w:rsidR="007D6A03" w:rsidRPr="00C20F8E" w:rsidRDefault="006D4586" w:rsidP="007D6A03">
          <w:pPr>
            <w:pStyle w:val="TOC1"/>
            <w:tabs>
              <w:tab w:val="right" w:leader="dot" w:pos="9350"/>
            </w:tabs>
            <w:rPr>
              <w:rFonts w:ascii="Times New Roman" w:hAnsi="Times New Roman" w:cs="Times New Roman"/>
              <w:noProof/>
              <w:sz w:val="24"/>
              <w:szCs w:val="24"/>
            </w:rPr>
          </w:pPr>
          <w:hyperlink w:anchor="_Toc511995356" w:history="1">
            <w:r w:rsidR="007D6A03" w:rsidRPr="00C20F8E">
              <w:rPr>
                <w:rStyle w:val="Hyperlink"/>
                <w:rFonts w:ascii="Times New Roman" w:hAnsi="Times New Roman" w:cs="Times New Roman"/>
                <w:noProof/>
                <w:sz w:val="24"/>
                <w:szCs w:val="24"/>
              </w:rPr>
              <w:t>Part e:</w:t>
            </w:r>
            <w:r w:rsidR="007D6A03" w:rsidRPr="00C20F8E">
              <w:rPr>
                <w:rFonts w:ascii="Times New Roman" w:hAnsi="Times New Roman" w:cs="Times New Roman"/>
                <w:noProof/>
                <w:webHidden/>
                <w:sz w:val="24"/>
                <w:szCs w:val="24"/>
              </w:rPr>
              <w:tab/>
            </w:r>
            <w:r w:rsidR="007D6A03" w:rsidRPr="00C20F8E">
              <w:rPr>
                <w:rFonts w:ascii="Times New Roman" w:hAnsi="Times New Roman" w:cs="Times New Roman"/>
                <w:noProof/>
                <w:webHidden/>
                <w:sz w:val="24"/>
                <w:szCs w:val="24"/>
              </w:rPr>
              <w:fldChar w:fldCharType="begin"/>
            </w:r>
            <w:r w:rsidR="007D6A03" w:rsidRPr="00C20F8E">
              <w:rPr>
                <w:rFonts w:ascii="Times New Roman" w:hAnsi="Times New Roman" w:cs="Times New Roman"/>
                <w:noProof/>
                <w:webHidden/>
                <w:sz w:val="24"/>
                <w:szCs w:val="24"/>
              </w:rPr>
              <w:instrText xml:space="preserve"> PAGEREF _Toc511995356 \h </w:instrText>
            </w:r>
            <w:r w:rsidR="007D6A03" w:rsidRPr="00C20F8E">
              <w:rPr>
                <w:rFonts w:ascii="Times New Roman" w:hAnsi="Times New Roman" w:cs="Times New Roman"/>
                <w:noProof/>
                <w:webHidden/>
                <w:sz w:val="24"/>
                <w:szCs w:val="24"/>
              </w:rPr>
            </w:r>
            <w:r w:rsidR="007D6A03" w:rsidRPr="00C20F8E">
              <w:rPr>
                <w:rFonts w:ascii="Times New Roman" w:hAnsi="Times New Roman" w:cs="Times New Roman"/>
                <w:noProof/>
                <w:webHidden/>
                <w:sz w:val="24"/>
                <w:szCs w:val="24"/>
              </w:rPr>
              <w:fldChar w:fldCharType="separate"/>
            </w:r>
            <w:r w:rsidR="007D6A03" w:rsidRPr="00C20F8E">
              <w:rPr>
                <w:rFonts w:ascii="Times New Roman" w:hAnsi="Times New Roman" w:cs="Times New Roman"/>
                <w:noProof/>
                <w:webHidden/>
                <w:sz w:val="24"/>
                <w:szCs w:val="24"/>
              </w:rPr>
              <w:t>11</w:t>
            </w:r>
            <w:r w:rsidR="007D6A03" w:rsidRPr="00C20F8E">
              <w:rPr>
                <w:rFonts w:ascii="Times New Roman" w:hAnsi="Times New Roman" w:cs="Times New Roman"/>
                <w:noProof/>
                <w:webHidden/>
                <w:sz w:val="24"/>
                <w:szCs w:val="24"/>
              </w:rPr>
              <w:fldChar w:fldCharType="end"/>
            </w:r>
          </w:hyperlink>
        </w:p>
        <w:p w:rsidR="007D6A03" w:rsidRPr="00C20F8E" w:rsidRDefault="006D4586" w:rsidP="007D6A03">
          <w:pPr>
            <w:pStyle w:val="TOC1"/>
            <w:tabs>
              <w:tab w:val="right" w:leader="dot" w:pos="9350"/>
            </w:tabs>
            <w:rPr>
              <w:rFonts w:ascii="Times New Roman" w:hAnsi="Times New Roman" w:cs="Times New Roman"/>
              <w:noProof/>
              <w:sz w:val="24"/>
              <w:szCs w:val="24"/>
            </w:rPr>
          </w:pPr>
          <w:hyperlink w:anchor="_Toc511995357" w:history="1">
            <w:r w:rsidR="007D6A03" w:rsidRPr="00C20F8E">
              <w:rPr>
                <w:rStyle w:val="Hyperlink"/>
                <w:rFonts w:ascii="Times New Roman" w:hAnsi="Times New Roman" w:cs="Times New Roman"/>
                <w:noProof/>
                <w:sz w:val="24"/>
                <w:szCs w:val="24"/>
              </w:rPr>
              <w:t>Discussion of the non Financial factor that must be considered in a investment appraisal process:</w:t>
            </w:r>
            <w:r w:rsidR="007D6A03" w:rsidRPr="00C20F8E">
              <w:rPr>
                <w:rFonts w:ascii="Times New Roman" w:hAnsi="Times New Roman" w:cs="Times New Roman"/>
                <w:noProof/>
                <w:webHidden/>
                <w:sz w:val="24"/>
                <w:szCs w:val="24"/>
              </w:rPr>
              <w:tab/>
            </w:r>
            <w:r w:rsidR="007D6A03" w:rsidRPr="00C20F8E">
              <w:rPr>
                <w:rFonts w:ascii="Times New Roman" w:hAnsi="Times New Roman" w:cs="Times New Roman"/>
                <w:noProof/>
                <w:webHidden/>
                <w:sz w:val="24"/>
                <w:szCs w:val="24"/>
              </w:rPr>
              <w:fldChar w:fldCharType="begin"/>
            </w:r>
            <w:r w:rsidR="007D6A03" w:rsidRPr="00C20F8E">
              <w:rPr>
                <w:rFonts w:ascii="Times New Roman" w:hAnsi="Times New Roman" w:cs="Times New Roman"/>
                <w:noProof/>
                <w:webHidden/>
                <w:sz w:val="24"/>
                <w:szCs w:val="24"/>
              </w:rPr>
              <w:instrText xml:space="preserve"> PAGEREF _Toc511995357 \h </w:instrText>
            </w:r>
            <w:r w:rsidR="007D6A03" w:rsidRPr="00C20F8E">
              <w:rPr>
                <w:rFonts w:ascii="Times New Roman" w:hAnsi="Times New Roman" w:cs="Times New Roman"/>
                <w:noProof/>
                <w:webHidden/>
                <w:sz w:val="24"/>
                <w:szCs w:val="24"/>
              </w:rPr>
            </w:r>
            <w:r w:rsidR="007D6A03" w:rsidRPr="00C20F8E">
              <w:rPr>
                <w:rFonts w:ascii="Times New Roman" w:hAnsi="Times New Roman" w:cs="Times New Roman"/>
                <w:noProof/>
                <w:webHidden/>
                <w:sz w:val="24"/>
                <w:szCs w:val="24"/>
              </w:rPr>
              <w:fldChar w:fldCharType="separate"/>
            </w:r>
            <w:r w:rsidR="007D6A03" w:rsidRPr="00C20F8E">
              <w:rPr>
                <w:rFonts w:ascii="Times New Roman" w:hAnsi="Times New Roman" w:cs="Times New Roman"/>
                <w:noProof/>
                <w:webHidden/>
                <w:sz w:val="24"/>
                <w:szCs w:val="24"/>
              </w:rPr>
              <w:t>11</w:t>
            </w:r>
            <w:r w:rsidR="007D6A03" w:rsidRPr="00C20F8E">
              <w:rPr>
                <w:rFonts w:ascii="Times New Roman" w:hAnsi="Times New Roman" w:cs="Times New Roman"/>
                <w:noProof/>
                <w:webHidden/>
                <w:sz w:val="24"/>
                <w:szCs w:val="24"/>
              </w:rPr>
              <w:fldChar w:fldCharType="end"/>
            </w:r>
          </w:hyperlink>
        </w:p>
        <w:p w:rsidR="007D6A03" w:rsidRPr="00C20F8E" w:rsidRDefault="007D6A03" w:rsidP="007D6A03">
          <w:pPr>
            <w:rPr>
              <w:rFonts w:ascii="Times New Roman" w:hAnsi="Times New Roman" w:cs="Times New Roman"/>
              <w:sz w:val="24"/>
              <w:szCs w:val="24"/>
            </w:rPr>
          </w:pPr>
          <w:r w:rsidRPr="00C20F8E">
            <w:rPr>
              <w:rFonts w:ascii="Times New Roman" w:hAnsi="Times New Roman" w:cs="Times New Roman"/>
              <w:sz w:val="24"/>
              <w:szCs w:val="24"/>
            </w:rPr>
            <w:fldChar w:fldCharType="end"/>
          </w:r>
        </w:p>
      </w:sdtContent>
    </w:sdt>
    <w:p w:rsidR="007D6A03" w:rsidRPr="00C20F8E" w:rsidRDefault="007D6A03" w:rsidP="007D6A03">
      <w:pPr>
        <w:pStyle w:val="Heading1"/>
        <w:rPr>
          <w:rFonts w:ascii="Times New Roman" w:hAnsi="Times New Roman" w:cs="Times New Roman"/>
          <w:sz w:val="24"/>
          <w:szCs w:val="24"/>
        </w:rPr>
      </w:pPr>
    </w:p>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Default="007D6A03" w:rsidP="007D6A03"/>
    <w:p w:rsidR="007D6A03" w:rsidRPr="00C20F8E" w:rsidRDefault="007D6A03" w:rsidP="007D6A03"/>
    <w:p w:rsidR="007D6A03" w:rsidRPr="00B56CCD" w:rsidRDefault="007D6A03" w:rsidP="007D6A03">
      <w:pPr>
        <w:pStyle w:val="Heading1"/>
        <w:rPr>
          <w:rFonts w:ascii="Times New Roman" w:hAnsi="Times New Roman" w:cs="Times New Roman"/>
          <w:sz w:val="24"/>
          <w:szCs w:val="24"/>
        </w:rPr>
      </w:pPr>
      <w:bookmarkStart w:id="17" w:name="_Toc511995346"/>
      <w:r w:rsidRPr="00B56CCD">
        <w:rPr>
          <w:rFonts w:ascii="Times New Roman" w:hAnsi="Times New Roman" w:cs="Times New Roman"/>
          <w:sz w:val="24"/>
          <w:szCs w:val="24"/>
        </w:rPr>
        <w:t>Introduction:</w:t>
      </w:r>
      <w:bookmarkEnd w:id="17"/>
    </w:p>
    <w:p w:rsidR="007D6A03" w:rsidRPr="00B56CCD" w:rsidRDefault="007D6A03" w:rsidP="007D6A03">
      <w:pPr>
        <w:spacing w:line="360" w:lineRule="auto"/>
        <w:jc w:val="both"/>
        <w:rPr>
          <w:rFonts w:ascii="Times New Roman" w:hAnsi="Times New Roman" w:cs="Times New Roman"/>
          <w:sz w:val="24"/>
          <w:szCs w:val="24"/>
        </w:rPr>
      </w:pPr>
      <w:r w:rsidRPr="00B56CCD">
        <w:rPr>
          <w:rFonts w:ascii="Times New Roman" w:hAnsi="Times New Roman" w:cs="Times New Roman"/>
          <w:sz w:val="24"/>
          <w:szCs w:val="24"/>
        </w:rPr>
        <w:t xml:space="preserve">In this report, a comprehensive investment appraisal has been done for a manufacturing company in London which is owned by Patel Mintro. Patel Mintro as an entrepreneur is considering investment in two mutually exclusive projects which could bring additional profits to him. Therefore, for this purpose he has been considering two projects project A and project B which requires an initial investment of £160000 and £220000. The useful life of the project is 6 years for both project A and project B and after that a residual value of £20000 is expected from Project A and a residual value of £10000 is expected from project B. It is also provided that project A is going to generate a yearly cash flow of £45000, while Project B is expected to generate a yearly generate an annual cash flow of £60000. The cost of capital for the company is 7%. </w:t>
      </w:r>
    </w:p>
    <w:p w:rsidR="007D6A03" w:rsidRPr="00B56CCD" w:rsidRDefault="007D6A03" w:rsidP="007D6A03">
      <w:pPr>
        <w:spacing w:line="360" w:lineRule="auto"/>
        <w:jc w:val="both"/>
        <w:rPr>
          <w:rFonts w:ascii="Times New Roman" w:hAnsi="Times New Roman" w:cs="Times New Roman"/>
          <w:sz w:val="24"/>
          <w:szCs w:val="24"/>
        </w:rPr>
      </w:pPr>
      <w:r w:rsidRPr="00B56CCD">
        <w:rPr>
          <w:rFonts w:ascii="Times New Roman" w:hAnsi="Times New Roman" w:cs="Times New Roman"/>
          <w:sz w:val="24"/>
          <w:szCs w:val="24"/>
        </w:rPr>
        <w:t xml:space="preserve">The main focus of the report, is to make a comprehensive investment appraisal using various investment appraisal tools and techniques which will certainly help in recommending the best manufacturing project out of the two project (i.e., project A and project B) that Patel Mintro is evaluating for investment. It is for this purpose, a project appraisal has been done with the help of various techniques such as net present value, payback period and Accounting rate of return which will help in a proper investment appraisal of the manufacturing projects that is owned by Patel Mintro. </w:t>
      </w:r>
    </w:p>
    <w:p w:rsidR="007D6A03" w:rsidRPr="00B56CCD" w:rsidRDefault="007D6A03" w:rsidP="007D6A03">
      <w:pPr>
        <w:pStyle w:val="Heading1"/>
      </w:pPr>
      <w:bookmarkStart w:id="18" w:name="_Toc511995347"/>
      <w:r w:rsidRPr="00B56CCD">
        <w:t>Part a:</w:t>
      </w:r>
      <w:bookmarkEnd w:id="18"/>
    </w:p>
    <w:p w:rsidR="007D6A03" w:rsidRPr="00B56CCD" w:rsidRDefault="007D6A03" w:rsidP="007D6A03">
      <w:pPr>
        <w:pStyle w:val="Heading1"/>
      </w:pPr>
      <w:bookmarkStart w:id="19" w:name="_Toc511995348"/>
      <w:r w:rsidRPr="00B56CCD">
        <w:t>Determination of the payback period and the Net present value of the two projects:</w:t>
      </w:r>
      <w:bookmarkEnd w:id="19"/>
      <w:r w:rsidRPr="00B56CCD">
        <w:t xml:space="preserve"> </w:t>
      </w:r>
    </w:p>
    <w:p w:rsidR="007D6A03" w:rsidRPr="00B56CCD" w:rsidRDefault="007D6A03" w:rsidP="007D6A03">
      <w:pPr>
        <w:rPr>
          <w:rFonts w:ascii="Times New Roman" w:hAnsi="Times New Roman" w:cs="Times New Roman"/>
          <w:sz w:val="24"/>
          <w:szCs w:val="24"/>
        </w:rPr>
      </w:pPr>
    </w:p>
    <w:p w:rsidR="007D6A03" w:rsidRPr="00B56CCD" w:rsidRDefault="007D6A03" w:rsidP="007D6A03">
      <w:pPr>
        <w:spacing w:line="360" w:lineRule="auto"/>
        <w:jc w:val="both"/>
        <w:rPr>
          <w:rFonts w:ascii="Times New Roman" w:hAnsi="Times New Roman" w:cs="Times New Roman"/>
          <w:sz w:val="24"/>
          <w:szCs w:val="24"/>
        </w:rPr>
      </w:pPr>
      <w:r w:rsidRPr="00B56CCD">
        <w:rPr>
          <w:rFonts w:ascii="Times New Roman" w:hAnsi="Times New Roman" w:cs="Times New Roman"/>
          <w:sz w:val="24"/>
          <w:szCs w:val="24"/>
        </w:rPr>
        <w:t>Payback period is an investment appraisal technique which basically helps in analyzing the time required for recovering the initial investment that is made in the project</w:t>
      </w:r>
      <w:r w:rsidRPr="00C20F8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C20F8E">
        <w:rPr>
          <w:rFonts w:ascii="Times New Roman" w:hAnsi="Times New Roman" w:cs="Times New Roman"/>
          <w:color w:val="222222"/>
          <w:sz w:val="24"/>
          <w:szCs w:val="24"/>
          <w:shd w:val="clear" w:color="auto" w:fill="FFFFFF"/>
        </w:rPr>
        <w:t xml:space="preserve">Bierman and Smidt, </w:t>
      </w:r>
      <w:r w:rsidRPr="00C20F8E">
        <w:rPr>
          <w:rFonts w:ascii="Times New Roman" w:hAnsi="Times New Roman" w:cs="Times New Roman"/>
          <w:color w:val="222222"/>
          <w:sz w:val="24"/>
          <w:szCs w:val="24"/>
          <w:shd w:val="clear" w:color="auto" w:fill="FFFFFF"/>
        </w:rPr>
        <w:lastRenderedPageBreak/>
        <w:t>2012</w:t>
      </w:r>
      <w:r>
        <w:rPr>
          <w:rFonts w:ascii="Times New Roman" w:hAnsi="Times New Roman" w:cs="Times New Roman"/>
          <w:color w:val="222222"/>
          <w:sz w:val="24"/>
          <w:szCs w:val="24"/>
          <w:shd w:val="clear" w:color="auto" w:fill="FFFFFF"/>
        </w:rPr>
        <w:t>)</w:t>
      </w:r>
      <w:r w:rsidRPr="00B56CCD">
        <w:rPr>
          <w:rFonts w:ascii="Times New Roman" w:hAnsi="Times New Roman" w:cs="Times New Roman"/>
          <w:sz w:val="24"/>
          <w:szCs w:val="24"/>
        </w:rPr>
        <w:t xml:space="preserve">. Therefore, payback period as a technique will help in evaluating the time required for recovering the initial investment made in the project. </w:t>
      </w:r>
    </w:p>
    <w:p w:rsidR="007D6A03" w:rsidRDefault="007D6A03" w:rsidP="007D6A03">
      <w:pPr>
        <w:tabs>
          <w:tab w:val="left" w:pos="5383"/>
        </w:tabs>
        <w:spacing w:line="360" w:lineRule="auto"/>
        <w:jc w:val="both"/>
        <w:rPr>
          <w:rFonts w:ascii="Times New Roman" w:hAnsi="Times New Roman" w:cs="Times New Roman"/>
          <w:sz w:val="24"/>
          <w:szCs w:val="24"/>
        </w:rPr>
      </w:pPr>
      <w:r w:rsidRPr="00B56CCD">
        <w:rPr>
          <w:rFonts w:ascii="Times New Roman" w:hAnsi="Times New Roman" w:cs="Times New Roman"/>
          <w:sz w:val="24"/>
          <w:szCs w:val="24"/>
        </w:rPr>
        <w:t xml:space="preserve">Net Present value </w:t>
      </w:r>
      <w:r w:rsidR="008B1D3B" w:rsidRPr="00B56CCD">
        <w:rPr>
          <w:rFonts w:ascii="Times New Roman" w:hAnsi="Times New Roman" w:cs="Times New Roman"/>
          <w:sz w:val="24"/>
          <w:szCs w:val="24"/>
        </w:rPr>
        <w:t>is basically</w:t>
      </w:r>
      <w:r w:rsidRPr="00B56CCD">
        <w:rPr>
          <w:rFonts w:ascii="Times New Roman" w:hAnsi="Times New Roman" w:cs="Times New Roman"/>
          <w:sz w:val="24"/>
          <w:szCs w:val="24"/>
        </w:rPr>
        <w:t xml:space="preserve"> the </w:t>
      </w:r>
      <w:r>
        <w:rPr>
          <w:rFonts w:ascii="Times New Roman" w:hAnsi="Times New Roman" w:cs="Times New Roman"/>
          <w:sz w:val="24"/>
          <w:szCs w:val="24"/>
        </w:rPr>
        <w:t xml:space="preserve">difference between </w:t>
      </w:r>
      <w:r w:rsidRPr="00B56CCD">
        <w:rPr>
          <w:rFonts w:ascii="Times New Roman" w:hAnsi="Times New Roman" w:cs="Times New Roman"/>
          <w:sz w:val="24"/>
          <w:szCs w:val="24"/>
        </w:rPr>
        <w:t xml:space="preserve">present value of </w:t>
      </w:r>
      <w:r w:rsidR="008B1D3B" w:rsidRPr="00B56CCD">
        <w:rPr>
          <w:rFonts w:ascii="Times New Roman" w:hAnsi="Times New Roman" w:cs="Times New Roman"/>
          <w:sz w:val="24"/>
          <w:szCs w:val="24"/>
        </w:rPr>
        <w:t xml:space="preserve">cash </w:t>
      </w:r>
      <w:r w:rsidR="008B1D3B">
        <w:rPr>
          <w:rFonts w:ascii="Times New Roman" w:hAnsi="Times New Roman" w:cs="Times New Roman"/>
          <w:sz w:val="24"/>
          <w:szCs w:val="24"/>
        </w:rPr>
        <w:t>inflows</w:t>
      </w:r>
      <w:r w:rsidRPr="00B56CCD">
        <w:rPr>
          <w:rFonts w:ascii="Times New Roman" w:hAnsi="Times New Roman" w:cs="Times New Roman"/>
          <w:sz w:val="24"/>
          <w:szCs w:val="24"/>
        </w:rPr>
        <w:t xml:space="preserve"> from </w:t>
      </w:r>
      <w:r>
        <w:rPr>
          <w:rFonts w:ascii="Times New Roman" w:hAnsi="Times New Roman" w:cs="Times New Roman"/>
          <w:sz w:val="24"/>
          <w:szCs w:val="24"/>
        </w:rPr>
        <w:t xml:space="preserve">a project </w:t>
      </w:r>
      <w:r w:rsidR="008B1D3B">
        <w:rPr>
          <w:rFonts w:ascii="Times New Roman" w:hAnsi="Times New Roman" w:cs="Times New Roman"/>
          <w:sz w:val="24"/>
          <w:szCs w:val="24"/>
        </w:rPr>
        <w:t>and the</w:t>
      </w:r>
      <w:r>
        <w:rPr>
          <w:rFonts w:ascii="Times New Roman" w:hAnsi="Times New Roman" w:cs="Times New Roman"/>
          <w:sz w:val="24"/>
          <w:szCs w:val="24"/>
        </w:rPr>
        <w:t xml:space="preserve"> present value of the cash outflows from a project, Since it is basically the difference between the cash inflows and the cash outflows from the project in present value terms, it helps in assessing the absolute profitability (loss) that is expected from the project in present value terms</w:t>
      </w:r>
      <w:r w:rsidRPr="00D0375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(Gotze</w:t>
      </w:r>
      <w:r w:rsidR="008B1D3B">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Northcott, and Schuster,</w:t>
      </w:r>
      <w:r w:rsidRPr="00C20F8E">
        <w:rPr>
          <w:rFonts w:ascii="Times New Roman" w:hAnsi="Times New Roman" w:cs="Times New Roman"/>
          <w:color w:val="222222"/>
          <w:sz w:val="24"/>
          <w:szCs w:val="24"/>
          <w:shd w:val="clear" w:color="auto" w:fill="FFFFFF"/>
        </w:rPr>
        <w:t xml:space="preserve"> 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Therefore it acts an effective decision making tool for investment appraisal of investment projects. </w:t>
      </w:r>
    </w:p>
    <w:p w:rsidR="007D6A03" w:rsidRPr="00B56CCD" w:rsidRDefault="007D6A03" w:rsidP="007D6A03">
      <w:pPr>
        <w:tabs>
          <w:tab w:val="left" w:pos="5383"/>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calculate the Net present value and the </w:t>
      </w:r>
      <w:r w:rsidR="008B1D3B">
        <w:rPr>
          <w:rFonts w:ascii="Times New Roman" w:hAnsi="Times New Roman" w:cs="Times New Roman"/>
          <w:sz w:val="24"/>
          <w:szCs w:val="24"/>
        </w:rPr>
        <w:t>payback</w:t>
      </w:r>
      <w:r>
        <w:rPr>
          <w:rFonts w:ascii="Times New Roman" w:hAnsi="Times New Roman" w:cs="Times New Roman"/>
          <w:sz w:val="24"/>
          <w:szCs w:val="24"/>
        </w:rPr>
        <w:t xml:space="preserve"> period of the two manufacturing facility projects that </w:t>
      </w:r>
      <w:r w:rsidRPr="00B56CCD">
        <w:rPr>
          <w:rFonts w:ascii="Times New Roman" w:hAnsi="Times New Roman" w:cs="Times New Roman"/>
          <w:sz w:val="24"/>
          <w:szCs w:val="24"/>
        </w:rPr>
        <w:t>Patel Mintro</w:t>
      </w:r>
      <w:r>
        <w:rPr>
          <w:rFonts w:ascii="Times New Roman" w:hAnsi="Times New Roman" w:cs="Times New Roman"/>
          <w:sz w:val="24"/>
          <w:szCs w:val="24"/>
        </w:rPr>
        <w:t xml:space="preserve"> is considering for investment, a detailed cash flow of both project A and project B has been calculated along with the discounted cash flow from the project. </w:t>
      </w:r>
    </w:p>
    <w:tbl>
      <w:tblPr>
        <w:tblW w:w="9475" w:type="dxa"/>
        <w:tblInd w:w="86" w:type="dxa"/>
        <w:tblLook w:val="04A0" w:firstRow="1" w:lastRow="0" w:firstColumn="1" w:lastColumn="0" w:noHBand="0" w:noVBand="1"/>
      </w:tblPr>
      <w:tblGrid>
        <w:gridCol w:w="4573"/>
        <w:gridCol w:w="2571"/>
        <w:gridCol w:w="2331"/>
      </w:tblGrid>
      <w:tr w:rsidR="007D6A03" w:rsidRPr="007F0202" w:rsidTr="007D6A03">
        <w:trPr>
          <w:trHeight w:val="555"/>
        </w:trPr>
        <w:tc>
          <w:tcPr>
            <w:tcW w:w="4573"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rsidR="007D6A03" w:rsidRPr="007F0202" w:rsidRDefault="007D6A03" w:rsidP="007D6A03">
            <w:pPr>
              <w:spacing w:after="0" w:line="240" w:lineRule="auto"/>
              <w:rPr>
                <w:rFonts w:ascii="Times New Roman" w:eastAsia="Times New Roman" w:hAnsi="Times New Roman" w:cs="Times New Roman"/>
                <w:b/>
                <w:bCs/>
                <w:color w:val="000000"/>
                <w:sz w:val="24"/>
                <w:szCs w:val="24"/>
              </w:rPr>
            </w:pPr>
            <w:r w:rsidRPr="007F0202">
              <w:rPr>
                <w:rFonts w:ascii="Times New Roman" w:eastAsia="Times New Roman" w:hAnsi="Times New Roman" w:cs="Times New Roman"/>
                <w:b/>
                <w:bCs/>
                <w:color w:val="000000"/>
                <w:sz w:val="24"/>
                <w:szCs w:val="24"/>
              </w:rPr>
              <w:t xml:space="preserve">Period </w:t>
            </w:r>
          </w:p>
        </w:tc>
        <w:tc>
          <w:tcPr>
            <w:tcW w:w="2571" w:type="dxa"/>
            <w:tcBorders>
              <w:top w:val="single" w:sz="4" w:space="0" w:color="auto"/>
              <w:left w:val="nil"/>
              <w:bottom w:val="single" w:sz="4" w:space="0" w:color="auto"/>
              <w:right w:val="single" w:sz="4" w:space="0" w:color="auto"/>
            </w:tcBorders>
            <w:shd w:val="clear" w:color="000000" w:fill="00B050"/>
            <w:vAlign w:val="bottom"/>
            <w:hideMark/>
          </w:tcPr>
          <w:p w:rsidR="007D6A03" w:rsidRPr="007F0202" w:rsidRDefault="007D6A03" w:rsidP="007D6A03">
            <w:pPr>
              <w:spacing w:after="0" w:line="240" w:lineRule="auto"/>
              <w:rPr>
                <w:rFonts w:ascii="Times New Roman" w:eastAsia="Times New Roman" w:hAnsi="Times New Roman" w:cs="Times New Roman"/>
                <w:b/>
                <w:bCs/>
                <w:color w:val="000000"/>
                <w:sz w:val="24"/>
                <w:szCs w:val="24"/>
              </w:rPr>
            </w:pPr>
            <w:r w:rsidRPr="007F0202">
              <w:rPr>
                <w:rFonts w:ascii="Times New Roman" w:eastAsia="Times New Roman" w:hAnsi="Times New Roman" w:cs="Times New Roman"/>
                <w:b/>
                <w:bCs/>
                <w:color w:val="000000"/>
                <w:sz w:val="24"/>
                <w:szCs w:val="24"/>
              </w:rPr>
              <w:t>Cash Flow from Project A (in £)</w:t>
            </w:r>
          </w:p>
        </w:tc>
        <w:tc>
          <w:tcPr>
            <w:tcW w:w="2331" w:type="dxa"/>
            <w:tcBorders>
              <w:top w:val="single" w:sz="4" w:space="0" w:color="auto"/>
              <w:left w:val="nil"/>
              <w:bottom w:val="single" w:sz="4" w:space="0" w:color="auto"/>
              <w:right w:val="single" w:sz="4" w:space="0" w:color="auto"/>
            </w:tcBorders>
            <w:shd w:val="clear" w:color="000000" w:fill="00B050"/>
            <w:vAlign w:val="bottom"/>
            <w:hideMark/>
          </w:tcPr>
          <w:p w:rsidR="007D6A03" w:rsidRPr="007F0202" w:rsidRDefault="007D6A03" w:rsidP="007D6A03">
            <w:pPr>
              <w:spacing w:after="0" w:line="240" w:lineRule="auto"/>
              <w:rPr>
                <w:rFonts w:ascii="Times New Roman" w:eastAsia="Times New Roman" w:hAnsi="Times New Roman" w:cs="Times New Roman"/>
                <w:b/>
                <w:bCs/>
                <w:color w:val="000000"/>
                <w:sz w:val="24"/>
                <w:szCs w:val="24"/>
              </w:rPr>
            </w:pPr>
            <w:r w:rsidRPr="007F0202">
              <w:rPr>
                <w:rFonts w:ascii="Times New Roman" w:eastAsia="Times New Roman" w:hAnsi="Times New Roman" w:cs="Times New Roman"/>
                <w:b/>
                <w:bCs/>
                <w:color w:val="000000"/>
                <w:sz w:val="24"/>
                <w:szCs w:val="24"/>
              </w:rPr>
              <w:t>Cash Flow From Project B (in £)</w:t>
            </w:r>
          </w:p>
        </w:tc>
      </w:tr>
      <w:tr w:rsidR="007D6A03" w:rsidRPr="007F0202" w:rsidTr="007D6A03">
        <w:trPr>
          <w:trHeight w:val="358"/>
        </w:trPr>
        <w:tc>
          <w:tcPr>
            <w:tcW w:w="4573"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 xml:space="preserve">Initial Investment at beginning of Year 0 </w:t>
            </w:r>
          </w:p>
        </w:tc>
        <w:tc>
          <w:tcPr>
            <w:tcW w:w="25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-160000</w:t>
            </w:r>
          </w:p>
        </w:tc>
        <w:tc>
          <w:tcPr>
            <w:tcW w:w="233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-220000</w:t>
            </w:r>
          </w:p>
        </w:tc>
      </w:tr>
      <w:tr w:rsidR="007D6A03" w:rsidRPr="007F0202" w:rsidTr="007D6A03">
        <w:trPr>
          <w:trHeight w:val="358"/>
        </w:trPr>
        <w:tc>
          <w:tcPr>
            <w:tcW w:w="4573"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 xml:space="preserve">Cash Flow at End of Year 1 </w:t>
            </w:r>
          </w:p>
        </w:tc>
        <w:tc>
          <w:tcPr>
            <w:tcW w:w="25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45000</w:t>
            </w:r>
          </w:p>
        </w:tc>
        <w:tc>
          <w:tcPr>
            <w:tcW w:w="233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60000</w:t>
            </w:r>
          </w:p>
        </w:tc>
      </w:tr>
      <w:tr w:rsidR="007D6A03" w:rsidRPr="007F0202" w:rsidTr="007D6A03">
        <w:trPr>
          <w:trHeight w:val="358"/>
        </w:trPr>
        <w:tc>
          <w:tcPr>
            <w:tcW w:w="4573"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Cash Flow at End of Year 2</w:t>
            </w:r>
          </w:p>
        </w:tc>
        <w:tc>
          <w:tcPr>
            <w:tcW w:w="25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45000</w:t>
            </w:r>
          </w:p>
        </w:tc>
        <w:tc>
          <w:tcPr>
            <w:tcW w:w="233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60000</w:t>
            </w:r>
          </w:p>
        </w:tc>
      </w:tr>
      <w:tr w:rsidR="007D6A03" w:rsidRPr="007F0202" w:rsidTr="007D6A03">
        <w:trPr>
          <w:trHeight w:val="358"/>
        </w:trPr>
        <w:tc>
          <w:tcPr>
            <w:tcW w:w="4573"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Cash Flow at End of Year 3</w:t>
            </w:r>
          </w:p>
        </w:tc>
        <w:tc>
          <w:tcPr>
            <w:tcW w:w="25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45000</w:t>
            </w:r>
          </w:p>
        </w:tc>
        <w:tc>
          <w:tcPr>
            <w:tcW w:w="233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60000</w:t>
            </w:r>
          </w:p>
        </w:tc>
      </w:tr>
      <w:tr w:rsidR="007D6A03" w:rsidRPr="007F0202" w:rsidTr="007D6A03">
        <w:trPr>
          <w:trHeight w:val="358"/>
        </w:trPr>
        <w:tc>
          <w:tcPr>
            <w:tcW w:w="4573"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Cash Flow at End of Year 4</w:t>
            </w:r>
          </w:p>
        </w:tc>
        <w:tc>
          <w:tcPr>
            <w:tcW w:w="25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45000</w:t>
            </w:r>
          </w:p>
        </w:tc>
        <w:tc>
          <w:tcPr>
            <w:tcW w:w="233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60000</w:t>
            </w:r>
          </w:p>
        </w:tc>
      </w:tr>
      <w:tr w:rsidR="007D6A03" w:rsidRPr="007F0202" w:rsidTr="007D6A03">
        <w:trPr>
          <w:trHeight w:val="358"/>
        </w:trPr>
        <w:tc>
          <w:tcPr>
            <w:tcW w:w="4573"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Cash Flow at End of Year 5</w:t>
            </w:r>
          </w:p>
        </w:tc>
        <w:tc>
          <w:tcPr>
            <w:tcW w:w="25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45000</w:t>
            </w:r>
          </w:p>
        </w:tc>
        <w:tc>
          <w:tcPr>
            <w:tcW w:w="233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60000</w:t>
            </w:r>
          </w:p>
        </w:tc>
      </w:tr>
      <w:tr w:rsidR="007D6A03" w:rsidRPr="007F0202" w:rsidTr="007D6A03">
        <w:trPr>
          <w:trHeight w:val="358"/>
        </w:trPr>
        <w:tc>
          <w:tcPr>
            <w:tcW w:w="4573"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Cash Flow at End of Year 6</w:t>
            </w:r>
          </w:p>
        </w:tc>
        <w:tc>
          <w:tcPr>
            <w:tcW w:w="25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65000</w:t>
            </w:r>
          </w:p>
        </w:tc>
        <w:tc>
          <w:tcPr>
            <w:tcW w:w="233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70000</w:t>
            </w:r>
          </w:p>
        </w:tc>
      </w:tr>
    </w:tbl>
    <w:p w:rsidR="007D6A03" w:rsidRDefault="007D6A03" w:rsidP="007D6A03">
      <w:pPr>
        <w:jc w:val="center"/>
      </w:pPr>
      <w:r>
        <w:t>Table 1: Cash Flow from Project A and project B</w:t>
      </w:r>
    </w:p>
    <w:p w:rsidR="007D6A03" w:rsidRDefault="007D6A03" w:rsidP="007D6A03"/>
    <w:tbl>
      <w:tblPr>
        <w:tblW w:w="9603" w:type="dxa"/>
        <w:tblInd w:w="86" w:type="dxa"/>
        <w:tblLook w:val="04A0" w:firstRow="1" w:lastRow="0" w:firstColumn="1" w:lastColumn="0" w:noHBand="0" w:noVBand="1"/>
      </w:tblPr>
      <w:tblGrid>
        <w:gridCol w:w="3011"/>
        <w:gridCol w:w="1692"/>
        <w:gridCol w:w="1535"/>
        <w:gridCol w:w="1594"/>
        <w:gridCol w:w="1771"/>
      </w:tblGrid>
      <w:tr w:rsidR="007D6A03" w:rsidRPr="007F0202" w:rsidTr="007D6A03">
        <w:trPr>
          <w:trHeight w:val="894"/>
        </w:trPr>
        <w:tc>
          <w:tcPr>
            <w:tcW w:w="3011"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rsidR="007D6A03" w:rsidRPr="007F0202" w:rsidRDefault="007D6A03" w:rsidP="007D6A03">
            <w:pPr>
              <w:spacing w:after="0" w:line="240" w:lineRule="auto"/>
              <w:rPr>
                <w:rFonts w:ascii="Times New Roman" w:eastAsia="Times New Roman" w:hAnsi="Times New Roman" w:cs="Times New Roman"/>
                <w:b/>
                <w:bCs/>
                <w:color w:val="000000"/>
                <w:sz w:val="24"/>
                <w:szCs w:val="24"/>
              </w:rPr>
            </w:pPr>
            <w:r w:rsidRPr="007F0202">
              <w:rPr>
                <w:rFonts w:ascii="Times New Roman" w:eastAsia="Times New Roman" w:hAnsi="Times New Roman" w:cs="Times New Roman"/>
                <w:b/>
                <w:bCs/>
                <w:color w:val="000000"/>
                <w:sz w:val="24"/>
                <w:szCs w:val="24"/>
              </w:rPr>
              <w:t xml:space="preserve">Period </w:t>
            </w:r>
          </w:p>
        </w:tc>
        <w:tc>
          <w:tcPr>
            <w:tcW w:w="1692" w:type="dxa"/>
            <w:tcBorders>
              <w:top w:val="single" w:sz="4" w:space="0" w:color="auto"/>
              <w:left w:val="nil"/>
              <w:bottom w:val="single" w:sz="4" w:space="0" w:color="auto"/>
              <w:right w:val="single" w:sz="4" w:space="0" w:color="auto"/>
            </w:tcBorders>
            <w:shd w:val="clear" w:color="000000" w:fill="00B050"/>
            <w:vAlign w:val="bottom"/>
            <w:hideMark/>
          </w:tcPr>
          <w:p w:rsidR="007D6A03" w:rsidRPr="007F0202" w:rsidRDefault="007D6A03" w:rsidP="007D6A03">
            <w:pPr>
              <w:spacing w:after="0" w:line="240" w:lineRule="auto"/>
              <w:rPr>
                <w:rFonts w:ascii="Times New Roman" w:eastAsia="Times New Roman" w:hAnsi="Times New Roman" w:cs="Times New Roman"/>
                <w:b/>
                <w:bCs/>
                <w:color w:val="000000"/>
                <w:sz w:val="24"/>
                <w:szCs w:val="24"/>
              </w:rPr>
            </w:pPr>
            <w:r w:rsidRPr="007F0202">
              <w:rPr>
                <w:rFonts w:ascii="Times New Roman" w:eastAsia="Times New Roman" w:hAnsi="Times New Roman" w:cs="Times New Roman"/>
                <w:b/>
                <w:bCs/>
                <w:color w:val="000000"/>
                <w:sz w:val="24"/>
                <w:szCs w:val="24"/>
              </w:rPr>
              <w:t>Cash Flow from Project A (in £)</w:t>
            </w:r>
          </w:p>
        </w:tc>
        <w:tc>
          <w:tcPr>
            <w:tcW w:w="1535" w:type="dxa"/>
            <w:tcBorders>
              <w:top w:val="single" w:sz="4" w:space="0" w:color="auto"/>
              <w:left w:val="nil"/>
              <w:bottom w:val="single" w:sz="4" w:space="0" w:color="auto"/>
              <w:right w:val="single" w:sz="4" w:space="0" w:color="auto"/>
            </w:tcBorders>
            <w:shd w:val="clear" w:color="000000" w:fill="00B050"/>
            <w:vAlign w:val="bottom"/>
            <w:hideMark/>
          </w:tcPr>
          <w:p w:rsidR="007D6A03" w:rsidRPr="007F0202" w:rsidRDefault="007D6A03" w:rsidP="007D6A03">
            <w:pPr>
              <w:spacing w:after="0" w:line="240" w:lineRule="auto"/>
              <w:rPr>
                <w:rFonts w:ascii="Times New Roman" w:eastAsia="Times New Roman" w:hAnsi="Times New Roman" w:cs="Times New Roman"/>
                <w:b/>
                <w:bCs/>
                <w:color w:val="000000"/>
                <w:sz w:val="24"/>
                <w:szCs w:val="24"/>
              </w:rPr>
            </w:pPr>
            <w:r w:rsidRPr="007F0202">
              <w:rPr>
                <w:rFonts w:ascii="Times New Roman" w:eastAsia="Times New Roman" w:hAnsi="Times New Roman" w:cs="Times New Roman"/>
                <w:b/>
                <w:bCs/>
                <w:color w:val="000000"/>
                <w:sz w:val="24"/>
                <w:szCs w:val="24"/>
              </w:rPr>
              <w:t>Cash Flow From Project B (in £)</w:t>
            </w:r>
          </w:p>
        </w:tc>
        <w:tc>
          <w:tcPr>
            <w:tcW w:w="1594" w:type="dxa"/>
            <w:tcBorders>
              <w:top w:val="single" w:sz="4" w:space="0" w:color="auto"/>
              <w:left w:val="nil"/>
              <w:bottom w:val="single" w:sz="4" w:space="0" w:color="auto"/>
              <w:right w:val="single" w:sz="4" w:space="0" w:color="auto"/>
            </w:tcBorders>
            <w:shd w:val="clear" w:color="000000" w:fill="00B050"/>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Cumulative Cash Flow from Project A (£)</w:t>
            </w:r>
          </w:p>
        </w:tc>
        <w:tc>
          <w:tcPr>
            <w:tcW w:w="1771" w:type="dxa"/>
            <w:tcBorders>
              <w:top w:val="single" w:sz="4" w:space="0" w:color="auto"/>
              <w:left w:val="nil"/>
              <w:bottom w:val="single" w:sz="4" w:space="0" w:color="auto"/>
              <w:right w:val="single" w:sz="4" w:space="0" w:color="auto"/>
            </w:tcBorders>
            <w:shd w:val="clear" w:color="000000" w:fill="00B050"/>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Cumulative Cash Flow from Project B (in £)</w:t>
            </w:r>
          </w:p>
        </w:tc>
      </w:tr>
      <w:tr w:rsidR="007D6A03" w:rsidRPr="007F0202" w:rsidTr="007D6A03">
        <w:trPr>
          <w:trHeight w:val="389"/>
        </w:trPr>
        <w:tc>
          <w:tcPr>
            <w:tcW w:w="3011"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 xml:space="preserve">Initial Investment at beginning of Year 0 </w:t>
            </w:r>
          </w:p>
        </w:tc>
        <w:tc>
          <w:tcPr>
            <w:tcW w:w="1692"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-160000</w:t>
            </w:r>
          </w:p>
        </w:tc>
        <w:tc>
          <w:tcPr>
            <w:tcW w:w="1535"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-220000</w:t>
            </w:r>
          </w:p>
        </w:tc>
        <w:tc>
          <w:tcPr>
            <w:tcW w:w="1594"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-160000</w:t>
            </w:r>
          </w:p>
        </w:tc>
        <w:tc>
          <w:tcPr>
            <w:tcW w:w="17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-220000</w:t>
            </w:r>
          </w:p>
        </w:tc>
      </w:tr>
      <w:tr w:rsidR="007D6A03" w:rsidRPr="007F0202" w:rsidTr="007D6A03">
        <w:trPr>
          <w:trHeight w:val="389"/>
        </w:trPr>
        <w:tc>
          <w:tcPr>
            <w:tcW w:w="3011"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 xml:space="preserve">Cash Flow at End of Year 1 </w:t>
            </w:r>
          </w:p>
        </w:tc>
        <w:tc>
          <w:tcPr>
            <w:tcW w:w="1692"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45000</w:t>
            </w:r>
          </w:p>
        </w:tc>
        <w:tc>
          <w:tcPr>
            <w:tcW w:w="1535"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60000</w:t>
            </w:r>
          </w:p>
        </w:tc>
        <w:tc>
          <w:tcPr>
            <w:tcW w:w="1594"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-115000</w:t>
            </w:r>
          </w:p>
        </w:tc>
        <w:tc>
          <w:tcPr>
            <w:tcW w:w="17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-160000</w:t>
            </w:r>
          </w:p>
        </w:tc>
      </w:tr>
      <w:tr w:rsidR="007D6A03" w:rsidRPr="007F0202" w:rsidTr="007D6A03">
        <w:trPr>
          <w:trHeight w:val="389"/>
        </w:trPr>
        <w:tc>
          <w:tcPr>
            <w:tcW w:w="3011"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Cash Flow at End of Year 2</w:t>
            </w:r>
          </w:p>
        </w:tc>
        <w:tc>
          <w:tcPr>
            <w:tcW w:w="1692"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45000</w:t>
            </w:r>
          </w:p>
        </w:tc>
        <w:tc>
          <w:tcPr>
            <w:tcW w:w="1535"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60000</w:t>
            </w:r>
          </w:p>
        </w:tc>
        <w:tc>
          <w:tcPr>
            <w:tcW w:w="1594"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-70000</w:t>
            </w:r>
          </w:p>
        </w:tc>
        <w:tc>
          <w:tcPr>
            <w:tcW w:w="17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-100000</w:t>
            </w:r>
          </w:p>
        </w:tc>
      </w:tr>
      <w:tr w:rsidR="007D6A03" w:rsidRPr="007F0202" w:rsidTr="007D6A03">
        <w:trPr>
          <w:trHeight w:val="389"/>
        </w:trPr>
        <w:tc>
          <w:tcPr>
            <w:tcW w:w="3011"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Cash Flow at End of Year 3</w:t>
            </w:r>
          </w:p>
        </w:tc>
        <w:tc>
          <w:tcPr>
            <w:tcW w:w="1692"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45000</w:t>
            </w:r>
          </w:p>
        </w:tc>
        <w:tc>
          <w:tcPr>
            <w:tcW w:w="1535"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60000</w:t>
            </w:r>
          </w:p>
        </w:tc>
        <w:tc>
          <w:tcPr>
            <w:tcW w:w="1594"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-25000</w:t>
            </w:r>
          </w:p>
        </w:tc>
        <w:tc>
          <w:tcPr>
            <w:tcW w:w="17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-40000</w:t>
            </w:r>
          </w:p>
        </w:tc>
      </w:tr>
      <w:tr w:rsidR="007D6A03" w:rsidRPr="007F0202" w:rsidTr="007D6A03">
        <w:trPr>
          <w:trHeight w:val="389"/>
        </w:trPr>
        <w:tc>
          <w:tcPr>
            <w:tcW w:w="3011"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lastRenderedPageBreak/>
              <w:t>Cash Flow at End of Year 4</w:t>
            </w:r>
          </w:p>
        </w:tc>
        <w:tc>
          <w:tcPr>
            <w:tcW w:w="1692"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45000</w:t>
            </w:r>
          </w:p>
        </w:tc>
        <w:tc>
          <w:tcPr>
            <w:tcW w:w="1535"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60000</w:t>
            </w:r>
          </w:p>
        </w:tc>
        <w:tc>
          <w:tcPr>
            <w:tcW w:w="1594"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20000</w:t>
            </w:r>
          </w:p>
        </w:tc>
        <w:tc>
          <w:tcPr>
            <w:tcW w:w="17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20000</w:t>
            </w:r>
          </w:p>
        </w:tc>
      </w:tr>
      <w:tr w:rsidR="007D6A03" w:rsidRPr="007F0202" w:rsidTr="007D6A03">
        <w:trPr>
          <w:trHeight w:val="389"/>
        </w:trPr>
        <w:tc>
          <w:tcPr>
            <w:tcW w:w="3011"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Cash Flow at End of Year 5</w:t>
            </w:r>
          </w:p>
        </w:tc>
        <w:tc>
          <w:tcPr>
            <w:tcW w:w="1692"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45000</w:t>
            </w:r>
          </w:p>
        </w:tc>
        <w:tc>
          <w:tcPr>
            <w:tcW w:w="1535"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60000</w:t>
            </w:r>
          </w:p>
        </w:tc>
        <w:tc>
          <w:tcPr>
            <w:tcW w:w="1594"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65000</w:t>
            </w:r>
          </w:p>
        </w:tc>
        <w:tc>
          <w:tcPr>
            <w:tcW w:w="17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80000</w:t>
            </w:r>
          </w:p>
        </w:tc>
      </w:tr>
      <w:tr w:rsidR="007D6A03" w:rsidRPr="007F0202" w:rsidTr="007D6A03">
        <w:trPr>
          <w:trHeight w:val="389"/>
        </w:trPr>
        <w:tc>
          <w:tcPr>
            <w:tcW w:w="3011" w:type="dxa"/>
            <w:tcBorders>
              <w:top w:val="nil"/>
              <w:left w:val="single" w:sz="4" w:space="0" w:color="auto"/>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Cash Flow at End of Year 6</w:t>
            </w:r>
          </w:p>
        </w:tc>
        <w:tc>
          <w:tcPr>
            <w:tcW w:w="1692"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65000</w:t>
            </w:r>
          </w:p>
        </w:tc>
        <w:tc>
          <w:tcPr>
            <w:tcW w:w="1535"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70000</w:t>
            </w:r>
          </w:p>
        </w:tc>
        <w:tc>
          <w:tcPr>
            <w:tcW w:w="1594"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130000</w:t>
            </w:r>
          </w:p>
        </w:tc>
        <w:tc>
          <w:tcPr>
            <w:tcW w:w="1771" w:type="dxa"/>
            <w:tcBorders>
              <w:top w:val="nil"/>
              <w:left w:val="nil"/>
              <w:bottom w:val="single" w:sz="4" w:space="0" w:color="auto"/>
              <w:right w:val="single" w:sz="4" w:space="0" w:color="auto"/>
            </w:tcBorders>
            <w:shd w:val="clear" w:color="auto" w:fill="auto"/>
            <w:noWrap/>
            <w:vAlign w:val="bottom"/>
            <w:hideMark/>
          </w:tcPr>
          <w:p w:rsidR="007D6A03" w:rsidRPr="007F0202" w:rsidRDefault="007D6A03" w:rsidP="007D6A03">
            <w:pPr>
              <w:spacing w:after="0" w:line="240" w:lineRule="auto"/>
              <w:jc w:val="right"/>
              <w:rPr>
                <w:rFonts w:ascii="Times New Roman" w:eastAsia="Times New Roman" w:hAnsi="Times New Roman" w:cs="Times New Roman"/>
                <w:color w:val="000000"/>
                <w:sz w:val="24"/>
                <w:szCs w:val="24"/>
              </w:rPr>
            </w:pPr>
            <w:r w:rsidRPr="007F0202">
              <w:rPr>
                <w:rFonts w:ascii="Times New Roman" w:eastAsia="Times New Roman" w:hAnsi="Times New Roman" w:cs="Times New Roman"/>
                <w:color w:val="000000"/>
                <w:sz w:val="24"/>
                <w:szCs w:val="24"/>
              </w:rPr>
              <w:t>150000</w:t>
            </w:r>
          </w:p>
        </w:tc>
      </w:tr>
    </w:tbl>
    <w:p w:rsidR="007D6A03" w:rsidRDefault="007D6A03" w:rsidP="007D6A03">
      <w:pPr>
        <w:jc w:val="center"/>
      </w:pPr>
      <w:r>
        <w:t>Table 2: Cumulative Cash Flow from Project A and project B</w:t>
      </w:r>
    </w:p>
    <w:p w:rsidR="007D6A03" w:rsidRDefault="007D6A03" w:rsidP="007D6A03"/>
    <w:p w:rsidR="007D6A03" w:rsidRDefault="007D6A03" w:rsidP="007D6A03"/>
    <w:p w:rsidR="007D6A03" w:rsidRPr="007153B5" w:rsidRDefault="007D6A03" w:rsidP="007D6A03">
      <w:pPr>
        <w:pStyle w:val="Heading2"/>
      </w:pPr>
      <w:bookmarkStart w:id="20" w:name="_Toc511995349"/>
      <w:r w:rsidRPr="007153B5">
        <w:t xml:space="preserve">Determination of Payback </w:t>
      </w:r>
      <w:bookmarkEnd w:id="20"/>
      <w:r w:rsidRPr="007153B5">
        <w:t>Period:</w:t>
      </w:r>
    </w:p>
    <w:p w:rsidR="007D6A03" w:rsidRPr="007901B9" w:rsidRDefault="007D6A03" w:rsidP="007D6A03">
      <w:pPr>
        <w:rPr>
          <w:rFonts w:ascii="Times New Roman" w:hAnsi="Times New Roman" w:cs="Times New Roman"/>
          <w:sz w:val="24"/>
          <w:szCs w:val="24"/>
        </w:rPr>
      </w:pPr>
      <w:r w:rsidRPr="007901B9">
        <w:rPr>
          <w:rFonts w:ascii="Times New Roman" w:hAnsi="Times New Roman" w:cs="Times New Roman"/>
          <w:sz w:val="24"/>
          <w:szCs w:val="24"/>
        </w:rPr>
        <w:t>Payback Period is calculated by using the following formula;</w:t>
      </w:r>
    </w:p>
    <w:p w:rsidR="007D6A03" w:rsidRDefault="007D6A03" w:rsidP="007D6A03">
      <w:pPr>
        <w:jc w:val="both"/>
        <w:rPr>
          <w:rFonts w:ascii="Times New Roman" w:hAnsi="Times New Roman" w:cs="Times New Roman"/>
          <w:sz w:val="24"/>
          <w:szCs w:val="24"/>
        </w:rPr>
      </w:pPr>
      <w:r>
        <w:rPr>
          <w:rFonts w:ascii="Times New Roman" w:hAnsi="Times New Roman" w:cs="Times New Roman"/>
          <w:sz w:val="24"/>
          <w:szCs w:val="24"/>
        </w:rPr>
        <w:t>Payback Period = A+ (B/C)</w:t>
      </w:r>
    </w:p>
    <w:p w:rsidR="007D6A03" w:rsidRDefault="007D6A03" w:rsidP="007D6A03">
      <w:pPr>
        <w:jc w:val="both"/>
        <w:rPr>
          <w:rFonts w:ascii="Times New Roman" w:hAnsi="Times New Roman" w:cs="Times New Roman"/>
          <w:sz w:val="24"/>
          <w:szCs w:val="24"/>
        </w:rPr>
      </w:pPr>
      <w:r>
        <w:rPr>
          <w:rFonts w:ascii="Times New Roman" w:hAnsi="Times New Roman" w:cs="Times New Roman"/>
          <w:sz w:val="24"/>
          <w:szCs w:val="24"/>
        </w:rPr>
        <w:t>Where,</w:t>
      </w:r>
    </w:p>
    <w:p w:rsidR="007D6A03" w:rsidRDefault="007D6A03" w:rsidP="007D6A03">
      <w:pPr>
        <w:jc w:val="both"/>
        <w:rPr>
          <w:rFonts w:ascii="Times New Roman" w:hAnsi="Times New Roman" w:cs="Times New Roman"/>
          <w:sz w:val="24"/>
          <w:szCs w:val="24"/>
        </w:rPr>
      </w:pPr>
      <w:r>
        <w:rPr>
          <w:rFonts w:ascii="Times New Roman" w:hAnsi="Times New Roman" w:cs="Times New Roman"/>
          <w:sz w:val="24"/>
          <w:szCs w:val="24"/>
        </w:rPr>
        <w:t>A is the last period with negative cumulative cash flow</w:t>
      </w:r>
    </w:p>
    <w:p w:rsidR="007D6A03" w:rsidRDefault="007D6A03" w:rsidP="007D6A03">
      <w:pPr>
        <w:jc w:val="both"/>
        <w:rPr>
          <w:rFonts w:ascii="Times New Roman" w:hAnsi="Times New Roman" w:cs="Times New Roman"/>
          <w:sz w:val="24"/>
          <w:szCs w:val="24"/>
        </w:rPr>
      </w:pPr>
      <w:r>
        <w:rPr>
          <w:rFonts w:ascii="Times New Roman" w:hAnsi="Times New Roman" w:cs="Times New Roman"/>
          <w:sz w:val="24"/>
          <w:szCs w:val="24"/>
        </w:rPr>
        <w:t>B is the absolute value of the cumulative cash flow which is at the very end of Period A</w:t>
      </w:r>
    </w:p>
    <w:p w:rsidR="007D6A03" w:rsidRPr="006D6AAE" w:rsidRDefault="007D6A03" w:rsidP="007D6A03">
      <w:pPr>
        <w:jc w:val="both"/>
        <w:rPr>
          <w:rFonts w:ascii="Times New Roman" w:hAnsi="Times New Roman" w:cs="Times New Roman"/>
          <w:sz w:val="24"/>
          <w:szCs w:val="24"/>
        </w:rPr>
      </w:pPr>
      <w:r>
        <w:rPr>
          <w:rFonts w:ascii="Times New Roman" w:hAnsi="Times New Roman" w:cs="Times New Roman"/>
          <w:sz w:val="24"/>
          <w:szCs w:val="24"/>
        </w:rPr>
        <w:t>C is the total cash flows during period the period after A</w:t>
      </w:r>
    </w:p>
    <w:p w:rsidR="007D6A03" w:rsidRDefault="007D6A03" w:rsidP="007D6A03">
      <w:pPr>
        <w:rPr>
          <w:rFonts w:ascii="Times New Roman" w:hAnsi="Times New Roman" w:cs="Times New Roman"/>
          <w:b/>
          <w:sz w:val="24"/>
          <w:szCs w:val="24"/>
          <w:u w:val="single"/>
        </w:rPr>
      </w:pPr>
    </w:p>
    <w:p w:rsidR="007D6A03" w:rsidRDefault="007D6A03" w:rsidP="007D6A03">
      <w:pPr>
        <w:rPr>
          <w:rFonts w:ascii="Times New Roman" w:hAnsi="Times New Roman" w:cs="Times New Roman"/>
          <w:b/>
          <w:sz w:val="24"/>
          <w:szCs w:val="24"/>
          <w:u w:val="single"/>
        </w:rPr>
      </w:pPr>
      <w:r>
        <w:rPr>
          <w:rFonts w:ascii="Times New Roman" w:hAnsi="Times New Roman" w:cs="Times New Roman"/>
          <w:b/>
          <w:sz w:val="24"/>
          <w:szCs w:val="24"/>
          <w:u w:val="single"/>
        </w:rPr>
        <w:t xml:space="preserve">Calculation of Payback Period of the manufacturing Project </w:t>
      </w:r>
      <w:r w:rsidR="008B1D3B">
        <w:rPr>
          <w:rFonts w:ascii="Times New Roman" w:hAnsi="Times New Roman" w:cs="Times New Roman"/>
          <w:b/>
          <w:sz w:val="24"/>
          <w:szCs w:val="24"/>
          <w:u w:val="single"/>
        </w:rPr>
        <w:t>A</w:t>
      </w:r>
      <w:r>
        <w:rPr>
          <w:rFonts w:ascii="Times New Roman" w:hAnsi="Times New Roman" w:cs="Times New Roman"/>
          <w:b/>
          <w:sz w:val="24"/>
          <w:szCs w:val="24"/>
          <w:u w:val="single"/>
        </w:rPr>
        <w:t xml:space="preserve"> </w:t>
      </w:r>
      <w:r w:rsidR="008B1D3B">
        <w:rPr>
          <w:rFonts w:ascii="Times New Roman" w:hAnsi="Times New Roman" w:cs="Times New Roman"/>
          <w:b/>
          <w:sz w:val="24"/>
          <w:szCs w:val="24"/>
          <w:u w:val="single"/>
        </w:rPr>
        <w:t>[Refer</w:t>
      </w:r>
      <w:r>
        <w:rPr>
          <w:rFonts w:ascii="Times New Roman" w:hAnsi="Times New Roman" w:cs="Times New Roman"/>
          <w:b/>
          <w:sz w:val="24"/>
          <w:szCs w:val="24"/>
          <w:u w:val="single"/>
        </w:rPr>
        <w:t xml:space="preserve"> Table 2]</w:t>
      </w:r>
    </w:p>
    <w:p w:rsidR="007D6A03" w:rsidRDefault="007D6A03" w:rsidP="007D6A03">
      <w:pPr>
        <w:jc w:val="both"/>
        <w:rPr>
          <w:rFonts w:ascii="Times New Roman" w:hAnsi="Times New Roman" w:cs="Times New Roman"/>
          <w:sz w:val="24"/>
          <w:szCs w:val="24"/>
        </w:rPr>
      </w:pPr>
      <w:r>
        <w:rPr>
          <w:rFonts w:ascii="Times New Roman" w:hAnsi="Times New Roman" w:cs="Times New Roman"/>
          <w:sz w:val="24"/>
          <w:szCs w:val="24"/>
        </w:rPr>
        <w:t>Payback Period = A+ (B/C)</w:t>
      </w:r>
    </w:p>
    <w:p w:rsidR="007D6A03" w:rsidRDefault="007D6A03" w:rsidP="007D6A03">
      <w:pPr>
        <w:rPr>
          <w:rFonts w:ascii="Times New Roman" w:hAnsi="Times New Roman" w:cs="Times New Roman"/>
          <w:b/>
          <w:sz w:val="24"/>
          <w:szCs w:val="24"/>
        </w:rPr>
      </w:pPr>
      <w:r>
        <w:rPr>
          <w:rFonts w:ascii="Times New Roman" w:hAnsi="Times New Roman" w:cs="Times New Roman"/>
          <w:b/>
          <w:sz w:val="24"/>
          <w:szCs w:val="24"/>
        </w:rPr>
        <w:t>= 3+ (25000/ 45000)</w:t>
      </w:r>
    </w:p>
    <w:p w:rsidR="007D6A03" w:rsidRPr="007153B5" w:rsidRDefault="007D6A03" w:rsidP="007D6A03">
      <w:pPr>
        <w:rPr>
          <w:rFonts w:ascii="Times New Roman" w:hAnsi="Times New Roman" w:cs="Times New Roman"/>
          <w:b/>
          <w:sz w:val="24"/>
          <w:szCs w:val="24"/>
        </w:rPr>
      </w:pPr>
      <w:r>
        <w:rPr>
          <w:rFonts w:ascii="Times New Roman" w:hAnsi="Times New Roman" w:cs="Times New Roman"/>
          <w:b/>
          <w:sz w:val="24"/>
          <w:szCs w:val="24"/>
        </w:rPr>
        <w:t xml:space="preserve">= 3.55 years </w:t>
      </w:r>
    </w:p>
    <w:p w:rsidR="007D6A03" w:rsidRDefault="007D6A03" w:rsidP="007D6A03"/>
    <w:p w:rsidR="007D6A03" w:rsidRDefault="007D6A03" w:rsidP="007D6A03">
      <w:pPr>
        <w:rPr>
          <w:rFonts w:ascii="Times New Roman" w:hAnsi="Times New Roman" w:cs="Times New Roman"/>
          <w:b/>
          <w:sz w:val="24"/>
          <w:szCs w:val="24"/>
          <w:u w:val="single"/>
        </w:rPr>
      </w:pPr>
      <w:r>
        <w:rPr>
          <w:rFonts w:ascii="Times New Roman" w:hAnsi="Times New Roman" w:cs="Times New Roman"/>
          <w:b/>
          <w:sz w:val="24"/>
          <w:szCs w:val="24"/>
          <w:u w:val="single"/>
        </w:rPr>
        <w:t>Calculation of Payback Period of the manufacturing Project B [Refer Table 2]</w:t>
      </w:r>
    </w:p>
    <w:p w:rsidR="007D6A03" w:rsidRDefault="007D6A03" w:rsidP="007D6A03">
      <w:pPr>
        <w:jc w:val="both"/>
        <w:rPr>
          <w:rFonts w:ascii="Times New Roman" w:hAnsi="Times New Roman" w:cs="Times New Roman"/>
          <w:sz w:val="24"/>
          <w:szCs w:val="24"/>
        </w:rPr>
      </w:pPr>
      <w:r>
        <w:rPr>
          <w:rFonts w:ascii="Times New Roman" w:hAnsi="Times New Roman" w:cs="Times New Roman"/>
          <w:sz w:val="24"/>
          <w:szCs w:val="24"/>
        </w:rPr>
        <w:t>Payback Period = A+ (B/C)</w:t>
      </w:r>
    </w:p>
    <w:p w:rsidR="007D6A03" w:rsidRDefault="007D6A03" w:rsidP="007D6A03">
      <w:pPr>
        <w:rPr>
          <w:rFonts w:ascii="Times New Roman" w:hAnsi="Times New Roman" w:cs="Times New Roman"/>
          <w:b/>
          <w:sz w:val="24"/>
          <w:szCs w:val="24"/>
        </w:rPr>
      </w:pPr>
      <w:r>
        <w:rPr>
          <w:rFonts w:ascii="Times New Roman" w:hAnsi="Times New Roman" w:cs="Times New Roman"/>
          <w:b/>
          <w:sz w:val="24"/>
          <w:szCs w:val="24"/>
        </w:rPr>
        <w:t>= 3+ (40000/ 60000)</w:t>
      </w:r>
    </w:p>
    <w:p w:rsidR="007D6A03" w:rsidRDefault="007D6A03" w:rsidP="007D6A03">
      <w:pPr>
        <w:rPr>
          <w:rFonts w:ascii="Times New Roman" w:hAnsi="Times New Roman" w:cs="Times New Roman"/>
          <w:b/>
          <w:sz w:val="24"/>
          <w:szCs w:val="24"/>
        </w:rPr>
      </w:pPr>
      <w:r>
        <w:rPr>
          <w:rFonts w:ascii="Times New Roman" w:hAnsi="Times New Roman" w:cs="Times New Roman"/>
          <w:b/>
          <w:sz w:val="24"/>
          <w:szCs w:val="24"/>
        </w:rPr>
        <w:t xml:space="preserve">= 3.66years </w:t>
      </w:r>
    </w:p>
    <w:p w:rsidR="007D6A03" w:rsidRDefault="007D6A03" w:rsidP="007D6A03">
      <w:pPr>
        <w:rPr>
          <w:rFonts w:ascii="Times New Roman" w:hAnsi="Times New Roman" w:cs="Times New Roman"/>
          <w:b/>
          <w:sz w:val="24"/>
          <w:szCs w:val="24"/>
        </w:rPr>
      </w:pPr>
    </w:p>
    <w:p w:rsidR="007D6A03" w:rsidRDefault="007D6A03" w:rsidP="007D6A03">
      <w:pPr>
        <w:rPr>
          <w:rFonts w:ascii="Times New Roman" w:hAnsi="Times New Roman" w:cs="Times New Roman"/>
          <w:b/>
          <w:sz w:val="24"/>
          <w:szCs w:val="24"/>
        </w:rPr>
      </w:pPr>
    </w:p>
    <w:p w:rsidR="007D6A03" w:rsidRDefault="007D6A03" w:rsidP="007D6A03">
      <w:pPr>
        <w:rPr>
          <w:rFonts w:ascii="Times New Roman" w:hAnsi="Times New Roman" w:cs="Times New Roman"/>
          <w:b/>
          <w:sz w:val="24"/>
          <w:szCs w:val="24"/>
        </w:rPr>
      </w:pPr>
    </w:p>
    <w:p w:rsidR="007D6A03" w:rsidRPr="007153B5" w:rsidRDefault="007D6A03" w:rsidP="007D6A03">
      <w:pPr>
        <w:rPr>
          <w:rFonts w:ascii="Times New Roman" w:hAnsi="Times New Roman" w:cs="Times New Roman"/>
          <w:b/>
          <w:sz w:val="24"/>
          <w:szCs w:val="24"/>
        </w:rPr>
      </w:pPr>
    </w:p>
    <w:p w:rsidR="007D6A03" w:rsidRDefault="007D6A03" w:rsidP="007D6A03"/>
    <w:p w:rsidR="007D6A03" w:rsidRDefault="007D6A03" w:rsidP="007D6A03">
      <w:pPr>
        <w:pStyle w:val="Heading2"/>
      </w:pPr>
      <w:bookmarkStart w:id="21" w:name="_Toc511995350"/>
      <w:r w:rsidRPr="007153B5">
        <w:t>Determination of the net Present value of Project A and project B:</w:t>
      </w:r>
      <w:bookmarkEnd w:id="21"/>
      <w:r w:rsidRPr="007153B5">
        <w:t xml:space="preserve"> </w:t>
      </w:r>
    </w:p>
    <w:p w:rsidR="007D6A03" w:rsidRDefault="007D6A03" w:rsidP="007D6A03"/>
    <w:p w:rsidR="007D6A03" w:rsidRPr="005B5522" w:rsidRDefault="007D6A03" w:rsidP="007D6A03">
      <w:pPr>
        <w:rPr>
          <w:rFonts w:ascii="Times New Roman" w:hAnsi="Times New Roman" w:cs="Times New Roman"/>
          <w:sz w:val="24"/>
          <w:szCs w:val="24"/>
        </w:rPr>
      </w:pPr>
      <w:r w:rsidRPr="005B5522">
        <w:rPr>
          <w:rFonts w:ascii="Times New Roman" w:hAnsi="Times New Roman" w:cs="Times New Roman"/>
          <w:sz w:val="24"/>
          <w:szCs w:val="24"/>
        </w:rPr>
        <w:t xml:space="preserve">It is for calculating the NPV of both the project, the discounted cash flow of both Project A and project B needs </w:t>
      </w:r>
      <w:r>
        <w:rPr>
          <w:rFonts w:ascii="Times New Roman" w:hAnsi="Times New Roman" w:cs="Times New Roman"/>
          <w:sz w:val="24"/>
          <w:szCs w:val="24"/>
        </w:rPr>
        <w:t xml:space="preserve">has been determined with a discount rate of 7% </w:t>
      </w:r>
      <w:r w:rsidRPr="005B5522">
        <w:rPr>
          <w:rFonts w:ascii="Times New Roman" w:hAnsi="Times New Roman" w:cs="Times New Roman"/>
          <w:sz w:val="24"/>
          <w:szCs w:val="24"/>
        </w:rPr>
        <w:t xml:space="preserve"> which </w:t>
      </w:r>
      <w:r>
        <w:rPr>
          <w:rFonts w:ascii="Times New Roman" w:hAnsi="Times New Roman" w:cs="Times New Roman"/>
          <w:sz w:val="24"/>
          <w:szCs w:val="24"/>
        </w:rPr>
        <w:t>is</w:t>
      </w:r>
      <w:r w:rsidRPr="005B5522">
        <w:rPr>
          <w:rFonts w:ascii="Times New Roman" w:hAnsi="Times New Roman" w:cs="Times New Roman"/>
          <w:sz w:val="24"/>
          <w:szCs w:val="24"/>
        </w:rPr>
        <w:t xml:space="preserve"> provided below:</w:t>
      </w:r>
    </w:p>
    <w:p w:rsidR="007D6A03" w:rsidRPr="007153B5" w:rsidRDefault="007D6A03" w:rsidP="007D6A03"/>
    <w:tbl>
      <w:tblPr>
        <w:tblW w:w="9584" w:type="dxa"/>
        <w:tblInd w:w="86" w:type="dxa"/>
        <w:tblLook w:val="04A0" w:firstRow="1" w:lastRow="0" w:firstColumn="1" w:lastColumn="0" w:noHBand="0" w:noVBand="1"/>
      </w:tblPr>
      <w:tblGrid>
        <w:gridCol w:w="2017"/>
        <w:gridCol w:w="1591"/>
        <w:gridCol w:w="1443"/>
        <w:gridCol w:w="1499"/>
        <w:gridCol w:w="1665"/>
        <w:gridCol w:w="1369"/>
      </w:tblGrid>
      <w:tr w:rsidR="007D6A03" w:rsidRPr="003F1E23" w:rsidTr="007D6A03">
        <w:trPr>
          <w:trHeight w:val="1215"/>
        </w:trPr>
        <w:tc>
          <w:tcPr>
            <w:tcW w:w="2017"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rsidR="007D6A03" w:rsidRPr="003F1E23" w:rsidRDefault="007D6A03" w:rsidP="007D6A03">
            <w:pPr>
              <w:spacing w:after="0" w:line="240" w:lineRule="auto"/>
              <w:rPr>
                <w:rFonts w:ascii="Times New Roman" w:eastAsia="Times New Roman" w:hAnsi="Times New Roman" w:cs="Times New Roman"/>
                <w:b/>
                <w:bCs/>
                <w:color w:val="000000"/>
                <w:sz w:val="24"/>
                <w:szCs w:val="24"/>
              </w:rPr>
            </w:pPr>
            <w:r w:rsidRPr="003F1E23">
              <w:rPr>
                <w:rFonts w:ascii="Times New Roman" w:eastAsia="Times New Roman" w:hAnsi="Times New Roman" w:cs="Times New Roman"/>
                <w:b/>
                <w:bCs/>
                <w:color w:val="000000"/>
                <w:sz w:val="24"/>
                <w:szCs w:val="24"/>
              </w:rPr>
              <w:t xml:space="preserve">Period </w:t>
            </w:r>
          </w:p>
        </w:tc>
        <w:tc>
          <w:tcPr>
            <w:tcW w:w="1591" w:type="dxa"/>
            <w:tcBorders>
              <w:top w:val="single" w:sz="4" w:space="0" w:color="auto"/>
              <w:left w:val="nil"/>
              <w:bottom w:val="single" w:sz="4" w:space="0" w:color="auto"/>
              <w:right w:val="single" w:sz="4" w:space="0" w:color="auto"/>
            </w:tcBorders>
            <w:shd w:val="clear" w:color="000000" w:fill="00B050"/>
            <w:vAlign w:val="bottom"/>
            <w:hideMark/>
          </w:tcPr>
          <w:p w:rsidR="007D6A03" w:rsidRPr="003F1E23" w:rsidRDefault="007D6A03" w:rsidP="007D6A03">
            <w:pPr>
              <w:spacing w:after="0" w:line="240" w:lineRule="auto"/>
              <w:rPr>
                <w:rFonts w:ascii="Times New Roman" w:eastAsia="Times New Roman" w:hAnsi="Times New Roman" w:cs="Times New Roman"/>
                <w:b/>
                <w:bCs/>
                <w:color w:val="000000"/>
                <w:sz w:val="24"/>
                <w:szCs w:val="24"/>
              </w:rPr>
            </w:pPr>
            <w:r w:rsidRPr="003F1E23">
              <w:rPr>
                <w:rFonts w:ascii="Times New Roman" w:eastAsia="Times New Roman" w:hAnsi="Times New Roman" w:cs="Times New Roman"/>
                <w:b/>
                <w:bCs/>
                <w:color w:val="000000"/>
                <w:sz w:val="24"/>
                <w:szCs w:val="24"/>
              </w:rPr>
              <w:t>Cash Flow from Project A (in £)</w:t>
            </w:r>
          </w:p>
        </w:tc>
        <w:tc>
          <w:tcPr>
            <w:tcW w:w="1443" w:type="dxa"/>
            <w:tcBorders>
              <w:top w:val="single" w:sz="4" w:space="0" w:color="auto"/>
              <w:left w:val="nil"/>
              <w:bottom w:val="single" w:sz="4" w:space="0" w:color="auto"/>
              <w:right w:val="single" w:sz="4" w:space="0" w:color="auto"/>
            </w:tcBorders>
            <w:shd w:val="clear" w:color="000000" w:fill="00B050"/>
            <w:vAlign w:val="bottom"/>
            <w:hideMark/>
          </w:tcPr>
          <w:p w:rsidR="007D6A03" w:rsidRPr="003F1E23" w:rsidRDefault="007D6A03" w:rsidP="007D6A03">
            <w:pPr>
              <w:spacing w:after="0" w:line="240" w:lineRule="auto"/>
              <w:rPr>
                <w:rFonts w:ascii="Times New Roman" w:eastAsia="Times New Roman" w:hAnsi="Times New Roman" w:cs="Times New Roman"/>
                <w:b/>
                <w:bCs/>
                <w:color w:val="000000"/>
                <w:sz w:val="24"/>
                <w:szCs w:val="24"/>
              </w:rPr>
            </w:pPr>
            <w:r w:rsidRPr="003F1E23">
              <w:rPr>
                <w:rFonts w:ascii="Times New Roman" w:eastAsia="Times New Roman" w:hAnsi="Times New Roman" w:cs="Times New Roman"/>
                <w:b/>
                <w:bCs/>
                <w:color w:val="000000"/>
                <w:sz w:val="24"/>
                <w:szCs w:val="24"/>
              </w:rPr>
              <w:t>Cash Flow From Project B (in £)</w:t>
            </w:r>
          </w:p>
        </w:tc>
        <w:tc>
          <w:tcPr>
            <w:tcW w:w="1499" w:type="dxa"/>
            <w:tcBorders>
              <w:top w:val="single" w:sz="4" w:space="0" w:color="auto"/>
              <w:left w:val="nil"/>
              <w:bottom w:val="single" w:sz="4" w:space="0" w:color="auto"/>
              <w:right w:val="single" w:sz="4" w:space="0" w:color="auto"/>
            </w:tcBorders>
            <w:shd w:val="clear" w:color="000000" w:fill="00B050"/>
            <w:vAlign w:val="bottom"/>
            <w:hideMark/>
          </w:tcPr>
          <w:p w:rsidR="007D6A03" w:rsidRPr="003F1E23" w:rsidRDefault="007D6A03" w:rsidP="007D6A03">
            <w:pPr>
              <w:spacing w:after="0" w:line="240" w:lineRule="auto"/>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Present Value Interest Factor (PVIF)at 7%</w:t>
            </w:r>
          </w:p>
        </w:tc>
        <w:tc>
          <w:tcPr>
            <w:tcW w:w="1665" w:type="dxa"/>
            <w:tcBorders>
              <w:top w:val="single" w:sz="4" w:space="0" w:color="auto"/>
              <w:left w:val="nil"/>
              <w:bottom w:val="single" w:sz="4" w:space="0" w:color="auto"/>
              <w:right w:val="single" w:sz="4" w:space="0" w:color="auto"/>
            </w:tcBorders>
            <w:shd w:val="clear" w:color="000000" w:fill="00B050"/>
            <w:vAlign w:val="bottom"/>
            <w:hideMark/>
          </w:tcPr>
          <w:p w:rsidR="007D6A03" w:rsidRPr="003F1E23" w:rsidRDefault="007D6A03" w:rsidP="007D6A03">
            <w:pPr>
              <w:spacing w:after="0" w:line="240" w:lineRule="auto"/>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 xml:space="preserve">Discounted Cash Flow for Project A  (in £) </w:t>
            </w:r>
          </w:p>
        </w:tc>
        <w:tc>
          <w:tcPr>
            <w:tcW w:w="1369" w:type="dxa"/>
            <w:tcBorders>
              <w:top w:val="single" w:sz="4" w:space="0" w:color="auto"/>
              <w:left w:val="nil"/>
              <w:bottom w:val="single" w:sz="4" w:space="0" w:color="auto"/>
              <w:right w:val="single" w:sz="4" w:space="0" w:color="auto"/>
            </w:tcBorders>
            <w:shd w:val="clear" w:color="000000" w:fill="00B050"/>
            <w:vAlign w:val="bottom"/>
            <w:hideMark/>
          </w:tcPr>
          <w:p w:rsidR="007D6A03" w:rsidRPr="003F1E23" w:rsidRDefault="007D6A03" w:rsidP="007D6A03">
            <w:pPr>
              <w:spacing w:after="0" w:line="240" w:lineRule="auto"/>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 xml:space="preserve">Discounted Cash Flow for Project B (in £) </w:t>
            </w:r>
          </w:p>
        </w:tc>
      </w:tr>
      <w:tr w:rsidR="007D6A03" w:rsidRPr="003F1E23" w:rsidTr="007D6A03">
        <w:trPr>
          <w:trHeight w:val="819"/>
        </w:trPr>
        <w:tc>
          <w:tcPr>
            <w:tcW w:w="2017" w:type="dxa"/>
            <w:tcBorders>
              <w:top w:val="nil"/>
              <w:left w:val="single" w:sz="4" w:space="0" w:color="auto"/>
              <w:bottom w:val="single" w:sz="4" w:space="0" w:color="auto"/>
              <w:right w:val="single" w:sz="4" w:space="0" w:color="auto"/>
            </w:tcBorders>
            <w:shd w:val="clear" w:color="auto" w:fill="auto"/>
            <w:vAlign w:val="bottom"/>
            <w:hideMark/>
          </w:tcPr>
          <w:p w:rsidR="007D6A03" w:rsidRPr="003F1E23" w:rsidRDefault="007D6A03" w:rsidP="007D6A03">
            <w:pPr>
              <w:spacing w:after="0" w:line="240" w:lineRule="auto"/>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 xml:space="preserve">Initial Investment at beginning of Year 0 </w:t>
            </w:r>
          </w:p>
        </w:tc>
        <w:tc>
          <w:tcPr>
            <w:tcW w:w="1591"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-160000</w:t>
            </w:r>
          </w:p>
        </w:tc>
        <w:tc>
          <w:tcPr>
            <w:tcW w:w="1443"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-220000</w:t>
            </w:r>
          </w:p>
        </w:tc>
        <w:tc>
          <w:tcPr>
            <w:tcW w:w="149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1</w:t>
            </w:r>
          </w:p>
        </w:tc>
        <w:tc>
          <w:tcPr>
            <w:tcW w:w="1665"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-160000</w:t>
            </w:r>
          </w:p>
        </w:tc>
        <w:tc>
          <w:tcPr>
            <w:tcW w:w="136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-220000</w:t>
            </w:r>
          </w:p>
        </w:tc>
      </w:tr>
      <w:tr w:rsidR="007D6A03" w:rsidRPr="003F1E23" w:rsidTr="007D6A03">
        <w:trPr>
          <w:trHeight w:val="528"/>
        </w:trPr>
        <w:tc>
          <w:tcPr>
            <w:tcW w:w="2017" w:type="dxa"/>
            <w:tcBorders>
              <w:top w:val="nil"/>
              <w:left w:val="single" w:sz="4" w:space="0" w:color="auto"/>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 xml:space="preserve">Cash Flow at End of Year 1 </w:t>
            </w:r>
          </w:p>
        </w:tc>
        <w:tc>
          <w:tcPr>
            <w:tcW w:w="1591"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45000</w:t>
            </w:r>
          </w:p>
        </w:tc>
        <w:tc>
          <w:tcPr>
            <w:tcW w:w="1443"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60000</w:t>
            </w:r>
          </w:p>
        </w:tc>
        <w:tc>
          <w:tcPr>
            <w:tcW w:w="149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0.9346</w:t>
            </w:r>
          </w:p>
        </w:tc>
        <w:tc>
          <w:tcPr>
            <w:tcW w:w="1665"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42057</w:t>
            </w:r>
          </w:p>
        </w:tc>
        <w:tc>
          <w:tcPr>
            <w:tcW w:w="136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56076</w:t>
            </w:r>
          </w:p>
        </w:tc>
      </w:tr>
      <w:tr w:rsidR="007D6A03" w:rsidRPr="003F1E23" w:rsidTr="007D6A03">
        <w:trPr>
          <w:trHeight w:val="528"/>
        </w:trPr>
        <w:tc>
          <w:tcPr>
            <w:tcW w:w="2017" w:type="dxa"/>
            <w:tcBorders>
              <w:top w:val="nil"/>
              <w:left w:val="single" w:sz="4" w:space="0" w:color="auto"/>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Cash Flow at End of Year 2</w:t>
            </w:r>
          </w:p>
        </w:tc>
        <w:tc>
          <w:tcPr>
            <w:tcW w:w="1591"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45000</w:t>
            </w:r>
          </w:p>
        </w:tc>
        <w:tc>
          <w:tcPr>
            <w:tcW w:w="1443"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60000</w:t>
            </w:r>
          </w:p>
        </w:tc>
        <w:tc>
          <w:tcPr>
            <w:tcW w:w="149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0.8734</w:t>
            </w:r>
          </w:p>
        </w:tc>
        <w:tc>
          <w:tcPr>
            <w:tcW w:w="1665"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39303</w:t>
            </w:r>
          </w:p>
        </w:tc>
        <w:tc>
          <w:tcPr>
            <w:tcW w:w="136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52404</w:t>
            </w:r>
          </w:p>
        </w:tc>
      </w:tr>
      <w:tr w:rsidR="007D6A03" w:rsidRPr="003F1E23" w:rsidTr="007D6A03">
        <w:trPr>
          <w:trHeight w:val="528"/>
        </w:trPr>
        <w:tc>
          <w:tcPr>
            <w:tcW w:w="2017" w:type="dxa"/>
            <w:tcBorders>
              <w:top w:val="nil"/>
              <w:left w:val="single" w:sz="4" w:space="0" w:color="auto"/>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Cash Flow at End of Year 3</w:t>
            </w:r>
          </w:p>
        </w:tc>
        <w:tc>
          <w:tcPr>
            <w:tcW w:w="1591"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45000</w:t>
            </w:r>
          </w:p>
        </w:tc>
        <w:tc>
          <w:tcPr>
            <w:tcW w:w="1443"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60000</w:t>
            </w:r>
          </w:p>
        </w:tc>
        <w:tc>
          <w:tcPr>
            <w:tcW w:w="149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0.8163</w:t>
            </w:r>
          </w:p>
        </w:tc>
        <w:tc>
          <w:tcPr>
            <w:tcW w:w="1665"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36733.5</w:t>
            </w:r>
          </w:p>
        </w:tc>
        <w:tc>
          <w:tcPr>
            <w:tcW w:w="136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48978</w:t>
            </w:r>
          </w:p>
        </w:tc>
      </w:tr>
      <w:tr w:rsidR="007D6A03" w:rsidRPr="003F1E23" w:rsidTr="007D6A03">
        <w:trPr>
          <w:trHeight w:val="528"/>
        </w:trPr>
        <w:tc>
          <w:tcPr>
            <w:tcW w:w="2017" w:type="dxa"/>
            <w:tcBorders>
              <w:top w:val="nil"/>
              <w:left w:val="single" w:sz="4" w:space="0" w:color="auto"/>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Cash Flow at End of Year 4</w:t>
            </w:r>
          </w:p>
        </w:tc>
        <w:tc>
          <w:tcPr>
            <w:tcW w:w="1591"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45000</w:t>
            </w:r>
          </w:p>
        </w:tc>
        <w:tc>
          <w:tcPr>
            <w:tcW w:w="1443"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60000</w:t>
            </w:r>
          </w:p>
        </w:tc>
        <w:tc>
          <w:tcPr>
            <w:tcW w:w="149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0.7629</w:t>
            </w:r>
          </w:p>
        </w:tc>
        <w:tc>
          <w:tcPr>
            <w:tcW w:w="1665"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34330.5</w:t>
            </w:r>
          </w:p>
        </w:tc>
        <w:tc>
          <w:tcPr>
            <w:tcW w:w="136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45774</w:t>
            </w:r>
          </w:p>
        </w:tc>
      </w:tr>
      <w:tr w:rsidR="007D6A03" w:rsidRPr="003F1E23" w:rsidTr="007D6A03">
        <w:trPr>
          <w:trHeight w:val="528"/>
        </w:trPr>
        <w:tc>
          <w:tcPr>
            <w:tcW w:w="2017" w:type="dxa"/>
            <w:tcBorders>
              <w:top w:val="nil"/>
              <w:left w:val="single" w:sz="4" w:space="0" w:color="auto"/>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Cash Flow at End of Year 5</w:t>
            </w:r>
          </w:p>
        </w:tc>
        <w:tc>
          <w:tcPr>
            <w:tcW w:w="1591"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45000</w:t>
            </w:r>
          </w:p>
        </w:tc>
        <w:tc>
          <w:tcPr>
            <w:tcW w:w="1443"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60000</w:t>
            </w:r>
          </w:p>
        </w:tc>
        <w:tc>
          <w:tcPr>
            <w:tcW w:w="149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0.713</w:t>
            </w:r>
          </w:p>
        </w:tc>
        <w:tc>
          <w:tcPr>
            <w:tcW w:w="1665"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32085</w:t>
            </w:r>
          </w:p>
        </w:tc>
        <w:tc>
          <w:tcPr>
            <w:tcW w:w="136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42780</w:t>
            </w:r>
          </w:p>
        </w:tc>
      </w:tr>
      <w:tr w:rsidR="007D6A03" w:rsidRPr="003F1E23" w:rsidTr="007D6A03">
        <w:trPr>
          <w:trHeight w:val="528"/>
        </w:trPr>
        <w:tc>
          <w:tcPr>
            <w:tcW w:w="2017" w:type="dxa"/>
            <w:tcBorders>
              <w:top w:val="nil"/>
              <w:left w:val="single" w:sz="4" w:space="0" w:color="auto"/>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Cash Flow at End of Year 6</w:t>
            </w:r>
          </w:p>
        </w:tc>
        <w:tc>
          <w:tcPr>
            <w:tcW w:w="1591"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65000</w:t>
            </w:r>
          </w:p>
        </w:tc>
        <w:tc>
          <w:tcPr>
            <w:tcW w:w="1443"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70000</w:t>
            </w:r>
          </w:p>
        </w:tc>
        <w:tc>
          <w:tcPr>
            <w:tcW w:w="149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0.6663</w:t>
            </w:r>
          </w:p>
        </w:tc>
        <w:tc>
          <w:tcPr>
            <w:tcW w:w="1665"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43309.5</w:t>
            </w:r>
          </w:p>
        </w:tc>
        <w:tc>
          <w:tcPr>
            <w:tcW w:w="1369" w:type="dxa"/>
            <w:tcBorders>
              <w:top w:val="nil"/>
              <w:left w:val="nil"/>
              <w:bottom w:val="single" w:sz="4" w:space="0" w:color="auto"/>
              <w:right w:val="single" w:sz="4" w:space="0" w:color="auto"/>
            </w:tcBorders>
            <w:shd w:val="clear" w:color="auto" w:fill="auto"/>
            <w:noWrap/>
            <w:vAlign w:val="bottom"/>
            <w:hideMark/>
          </w:tcPr>
          <w:p w:rsidR="007D6A03" w:rsidRPr="003F1E23" w:rsidRDefault="007D6A03" w:rsidP="007D6A03">
            <w:pPr>
              <w:spacing w:after="0" w:line="240" w:lineRule="auto"/>
              <w:jc w:val="right"/>
              <w:rPr>
                <w:rFonts w:ascii="Times New Roman" w:eastAsia="Times New Roman" w:hAnsi="Times New Roman" w:cs="Times New Roman"/>
                <w:color w:val="000000"/>
                <w:sz w:val="24"/>
                <w:szCs w:val="24"/>
              </w:rPr>
            </w:pPr>
            <w:r w:rsidRPr="003F1E23">
              <w:rPr>
                <w:rFonts w:ascii="Times New Roman" w:eastAsia="Times New Roman" w:hAnsi="Times New Roman" w:cs="Times New Roman"/>
                <w:color w:val="000000"/>
                <w:sz w:val="24"/>
                <w:szCs w:val="24"/>
              </w:rPr>
              <w:t>46641</w:t>
            </w:r>
          </w:p>
        </w:tc>
      </w:tr>
      <w:tr w:rsidR="007D6A03" w:rsidRPr="003F1E23" w:rsidTr="007D6A03">
        <w:trPr>
          <w:trHeight w:val="528"/>
        </w:trPr>
        <w:tc>
          <w:tcPr>
            <w:tcW w:w="6549" w:type="dxa"/>
            <w:gridSpan w:val="4"/>
            <w:tcBorders>
              <w:top w:val="single" w:sz="4" w:space="0" w:color="auto"/>
              <w:left w:val="single" w:sz="4" w:space="0" w:color="auto"/>
              <w:bottom w:val="single" w:sz="4" w:space="0" w:color="auto"/>
              <w:right w:val="single" w:sz="4" w:space="0" w:color="auto"/>
            </w:tcBorders>
            <w:shd w:val="clear" w:color="000000" w:fill="00B050"/>
            <w:noWrap/>
            <w:vAlign w:val="bottom"/>
            <w:hideMark/>
          </w:tcPr>
          <w:p w:rsidR="007D6A03" w:rsidRPr="003F1E23" w:rsidRDefault="007D6A03" w:rsidP="007D6A03">
            <w:pPr>
              <w:spacing w:after="0" w:line="240" w:lineRule="auto"/>
              <w:jc w:val="center"/>
              <w:rPr>
                <w:rFonts w:ascii="Times New Roman" w:eastAsia="Times New Roman" w:hAnsi="Times New Roman" w:cs="Times New Roman"/>
                <w:b/>
                <w:bCs/>
                <w:color w:val="000000"/>
                <w:sz w:val="24"/>
                <w:szCs w:val="24"/>
              </w:rPr>
            </w:pPr>
            <w:r w:rsidRPr="003F1E23">
              <w:rPr>
                <w:rFonts w:ascii="Times New Roman" w:eastAsia="Times New Roman" w:hAnsi="Times New Roman" w:cs="Times New Roman"/>
                <w:b/>
                <w:bCs/>
                <w:color w:val="000000"/>
                <w:sz w:val="24"/>
                <w:szCs w:val="24"/>
              </w:rPr>
              <w:t>Net Present value (in £)</w:t>
            </w:r>
          </w:p>
        </w:tc>
        <w:tc>
          <w:tcPr>
            <w:tcW w:w="1665" w:type="dxa"/>
            <w:tcBorders>
              <w:top w:val="nil"/>
              <w:left w:val="nil"/>
              <w:bottom w:val="single" w:sz="4" w:space="0" w:color="auto"/>
              <w:right w:val="single" w:sz="4" w:space="0" w:color="auto"/>
            </w:tcBorders>
            <w:shd w:val="clear" w:color="000000" w:fill="92D050"/>
            <w:noWrap/>
            <w:vAlign w:val="bottom"/>
            <w:hideMark/>
          </w:tcPr>
          <w:p w:rsidR="007D6A03" w:rsidRPr="003F1E23" w:rsidRDefault="007D6A03" w:rsidP="007D6A03">
            <w:pPr>
              <w:spacing w:after="0" w:line="240" w:lineRule="auto"/>
              <w:jc w:val="right"/>
              <w:rPr>
                <w:rFonts w:ascii="Times New Roman" w:eastAsia="Times New Roman" w:hAnsi="Times New Roman" w:cs="Times New Roman"/>
                <w:b/>
                <w:bCs/>
                <w:color w:val="000000"/>
                <w:sz w:val="24"/>
                <w:szCs w:val="24"/>
              </w:rPr>
            </w:pPr>
            <w:r w:rsidRPr="003F1E23">
              <w:rPr>
                <w:rFonts w:ascii="Times New Roman" w:eastAsia="Times New Roman" w:hAnsi="Times New Roman" w:cs="Times New Roman"/>
                <w:b/>
                <w:bCs/>
                <w:color w:val="000000"/>
                <w:sz w:val="24"/>
                <w:szCs w:val="24"/>
              </w:rPr>
              <w:t>67818.5</w:t>
            </w:r>
          </w:p>
        </w:tc>
        <w:tc>
          <w:tcPr>
            <w:tcW w:w="1369" w:type="dxa"/>
            <w:tcBorders>
              <w:top w:val="nil"/>
              <w:left w:val="nil"/>
              <w:bottom w:val="single" w:sz="4" w:space="0" w:color="auto"/>
              <w:right w:val="single" w:sz="4" w:space="0" w:color="auto"/>
            </w:tcBorders>
            <w:shd w:val="clear" w:color="000000" w:fill="92D050"/>
            <w:noWrap/>
            <w:vAlign w:val="bottom"/>
            <w:hideMark/>
          </w:tcPr>
          <w:p w:rsidR="007D6A03" w:rsidRPr="003F1E23" w:rsidRDefault="007D6A03" w:rsidP="007D6A03">
            <w:pPr>
              <w:spacing w:after="0" w:line="240" w:lineRule="auto"/>
              <w:jc w:val="right"/>
              <w:rPr>
                <w:rFonts w:ascii="Times New Roman" w:eastAsia="Times New Roman" w:hAnsi="Times New Roman" w:cs="Times New Roman"/>
                <w:b/>
                <w:bCs/>
                <w:color w:val="000000"/>
                <w:sz w:val="24"/>
                <w:szCs w:val="24"/>
              </w:rPr>
            </w:pPr>
            <w:r w:rsidRPr="003F1E23">
              <w:rPr>
                <w:rFonts w:ascii="Times New Roman" w:eastAsia="Times New Roman" w:hAnsi="Times New Roman" w:cs="Times New Roman"/>
                <w:b/>
                <w:bCs/>
                <w:color w:val="000000"/>
                <w:sz w:val="24"/>
                <w:szCs w:val="24"/>
              </w:rPr>
              <w:t>72653</w:t>
            </w:r>
          </w:p>
        </w:tc>
      </w:tr>
    </w:tbl>
    <w:p w:rsidR="007D6A03" w:rsidRDefault="007D6A03" w:rsidP="007D6A03">
      <w:pPr>
        <w:jc w:val="center"/>
        <w:rPr>
          <w:b/>
          <w:u w:val="single"/>
        </w:rPr>
      </w:pPr>
    </w:p>
    <w:p w:rsidR="007D6A03" w:rsidRPr="00912E1F" w:rsidRDefault="007D6A03" w:rsidP="007D6A03">
      <w:pPr>
        <w:jc w:val="center"/>
        <w:rPr>
          <w:b/>
          <w:u w:val="single"/>
        </w:rPr>
      </w:pPr>
      <w:r w:rsidRPr="00912E1F">
        <w:rPr>
          <w:b/>
          <w:u w:val="single"/>
        </w:rPr>
        <w:t>Table 3: Discounted Cash flow calculation and Calculation of NPV</w:t>
      </w:r>
    </w:p>
    <w:p w:rsidR="007D6A03" w:rsidRPr="003F1E23" w:rsidRDefault="007D6A03" w:rsidP="007D6A03">
      <w:pPr>
        <w:rPr>
          <w:rFonts w:ascii="Times New Roman" w:hAnsi="Times New Roman" w:cs="Times New Roman"/>
          <w:sz w:val="24"/>
          <w:szCs w:val="24"/>
        </w:rPr>
      </w:pPr>
      <w:r>
        <w:t xml:space="preserve">It is </w:t>
      </w:r>
      <w:r w:rsidRPr="003F1E23">
        <w:rPr>
          <w:rFonts w:ascii="Times New Roman" w:hAnsi="Times New Roman" w:cs="Times New Roman"/>
          <w:sz w:val="24"/>
          <w:szCs w:val="24"/>
        </w:rPr>
        <w:t xml:space="preserve">observed from the above NPV calculation, the values of NPV for Project A and project B are as follows </w:t>
      </w:r>
    </w:p>
    <w:p w:rsidR="007D6A03" w:rsidRPr="003F1E23" w:rsidRDefault="007D6A03" w:rsidP="007D6A03">
      <w:pPr>
        <w:rPr>
          <w:rFonts w:ascii="Times New Roman" w:hAnsi="Times New Roman" w:cs="Times New Roman"/>
          <w:sz w:val="24"/>
          <w:szCs w:val="24"/>
        </w:rPr>
      </w:pPr>
      <w:r w:rsidRPr="003F1E23">
        <w:rPr>
          <w:rFonts w:ascii="Times New Roman" w:hAnsi="Times New Roman" w:cs="Times New Roman"/>
          <w:sz w:val="24"/>
          <w:szCs w:val="24"/>
        </w:rPr>
        <w:t>Net present value of Project A = £67818.5</w:t>
      </w:r>
    </w:p>
    <w:p w:rsidR="007D6A03" w:rsidRPr="003F1E23" w:rsidRDefault="007D6A03" w:rsidP="007D6A03">
      <w:pPr>
        <w:rPr>
          <w:rFonts w:ascii="Times New Roman" w:hAnsi="Times New Roman" w:cs="Times New Roman"/>
          <w:sz w:val="24"/>
          <w:szCs w:val="24"/>
        </w:rPr>
      </w:pPr>
      <w:r w:rsidRPr="003F1E23">
        <w:rPr>
          <w:rFonts w:ascii="Times New Roman" w:hAnsi="Times New Roman" w:cs="Times New Roman"/>
          <w:sz w:val="24"/>
          <w:szCs w:val="24"/>
        </w:rPr>
        <w:t>Net present value of Project B = £72653</w:t>
      </w:r>
    </w:p>
    <w:p w:rsidR="007D6A03" w:rsidRDefault="007D6A03" w:rsidP="007D6A03">
      <w:pPr>
        <w:rPr>
          <w:rFonts w:ascii="Times New Roman" w:hAnsi="Times New Roman" w:cs="Times New Roman"/>
          <w:sz w:val="24"/>
          <w:szCs w:val="24"/>
        </w:rPr>
      </w:pPr>
    </w:p>
    <w:p w:rsidR="007D6A03" w:rsidRDefault="007D6A03" w:rsidP="007D6A03">
      <w:pPr>
        <w:rPr>
          <w:rFonts w:ascii="Times New Roman" w:hAnsi="Times New Roman" w:cs="Times New Roman"/>
          <w:sz w:val="24"/>
          <w:szCs w:val="24"/>
        </w:rPr>
      </w:pPr>
    </w:p>
    <w:p w:rsidR="007D6A03" w:rsidRDefault="007D6A03" w:rsidP="007D6A03">
      <w:pPr>
        <w:rPr>
          <w:rFonts w:ascii="Times New Roman" w:hAnsi="Times New Roman" w:cs="Times New Roman"/>
          <w:sz w:val="24"/>
          <w:szCs w:val="24"/>
        </w:rPr>
      </w:pPr>
    </w:p>
    <w:p w:rsidR="007D6A03" w:rsidRDefault="007D6A03" w:rsidP="007D6A03">
      <w:pPr>
        <w:rPr>
          <w:rFonts w:ascii="Times New Roman" w:hAnsi="Times New Roman" w:cs="Times New Roman"/>
          <w:sz w:val="24"/>
          <w:szCs w:val="24"/>
        </w:rPr>
      </w:pPr>
    </w:p>
    <w:p w:rsidR="007D6A03" w:rsidRDefault="007D6A03" w:rsidP="007D6A03">
      <w:pPr>
        <w:pStyle w:val="Heading1"/>
      </w:pPr>
      <w:bookmarkStart w:id="22" w:name="_Toc511995351"/>
      <w:r>
        <w:t>Part b:</w:t>
      </w:r>
      <w:bookmarkEnd w:id="22"/>
    </w:p>
    <w:p w:rsidR="007D6A03" w:rsidRDefault="007D6A03" w:rsidP="007D6A03">
      <w:pPr>
        <w:pStyle w:val="Heading1"/>
      </w:pPr>
      <w:bookmarkStart w:id="23" w:name="_Toc511995352"/>
      <w:r>
        <w:t>Determination of the Accounting rate of Return for each project:</w:t>
      </w:r>
      <w:bookmarkEnd w:id="23"/>
    </w:p>
    <w:p w:rsidR="007D6A03" w:rsidRDefault="007D6A03" w:rsidP="007D6A03">
      <w:pPr>
        <w:rPr>
          <w:rFonts w:ascii="Times New Roman" w:hAnsi="Times New Roman" w:cs="Times New Roman"/>
          <w:sz w:val="24"/>
          <w:szCs w:val="24"/>
        </w:rPr>
      </w:pPr>
    </w:p>
    <w:p w:rsidR="007D6A03" w:rsidRPr="00C20F8E" w:rsidRDefault="007D6A03" w:rsidP="007D6A03">
      <w:pPr>
        <w:spacing w:line="360" w:lineRule="auto"/>
        <w:jc w:val="both"/>
        <w:rPr>
          <w:rFonts w:ascii="Times New Roman" w:hAnsi="Times New Roman" w:cs="Times New Roman"/>
          <w:color w:val="000000" w:themeColor="text1"/>
          <w:sz w:val="24"/>
          <w:szCs w:val="24"/>
        </w:rPr>
      </w:pPr>
      <w:r w:rsidRPr="00C20F8E">
        <w:rPr>
          <w:rFonts w:ascii="Times New Roman" w:hAnsi="Times New Roman" w:cs="Times New Roman"/>
          <w:color w:val="000000" w:themeColor="text1"/>
          <w:sz w:val="24"/>
          <w:szCs w:val="24"/>
        </w:rPr>
        <w:t>Accounting Rate return (ARR) is an investment appraisal technique which is measured as the ratio of the estimated accounting profit to the average amount of investment that is made in a project. Since it provides result a result in percentage form, it helps in estimating the average rate of return that is expected from the investment in the project</w:t>
      </w:r>
      <w:r w:rsidRPr="00912E1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C20F8E">
        <w:rPr>
          <w:rFonts w:ascii="Times New Roman" w:hAnsi="Times New Roman" w:cs="Times New Roman"/>
          <w:color w:val="222222"/>
          <w:sz w:val="24"/>
          <w:szCs w:val="24"/>
          <w:shd w:val="clear" w:color="auto" w:fill="FFFFFF"/>
        </w:rPr>
        <w:t xml:space="preserve">Chan, </w:t>
      </w:r>
      <w:r>
        <w:rPr>
          <w:rFonts w:ascii="Times New Roman" w:hAnsi="Times New Roman" w:cs="Times New Roman"/>
          <w:color w:val="222222"/>
          <w:sz w:val="24"/>
          <w:szCs w:val="24"/>
          <w:shd w:val="clear" w:color="auto" w:fill="FFFFFF"/>
        </w:rPr>
        <w:t xml:space="preserve">Chan &amp; </w:t>
      </w:r>
      <w:r w:rsidRPr="00C20F8E">
        <w:rPr>
          <w:rFonts w:ascii="Times New Roman" w:hAnsi="Times New Roman" w:cs="Times New Roman"/>
          <w:color w:val="222222"/>
          <w:sz w:val="24"/>
          <w:szCs w:val="24"/>
          <w:shd w:val="clear" w:color="auto" w:fill="FFFFFF"/>
        </w:rPr>
        <w:t>Lau, 2012</w:t>
      </w:r>
      <w:r>
        <w:rPr>
          <w:rFonts w:ascii="Times New Roman" w:hAnsi="Times New Roman" w:cs="Times New Roman"/>
          <w:color w:val="222222"/>
          <w:sz w:val="24"/>
          <w:szCs w:val="24"/>
          <w:shd w:val="clear" w:color="auto" w:fill="FFFFFF"/>
        </w:rPr>
        <w:t>)</w:t>
      </w:r>
      <w:r w:rsidRPr="00C20F8E">
        <w:rPr>
          <w:rFonts w:ascii="Times New Roman" w:hAnsi="Times New Roman" w:cs="Times New Roman"/>
          <w:color w:val="000000" w:themeColor="text1"/>
          <w:sz w:val="24"/>
          <w:szCs w:val="24"/>
        </w:rPr>
        <w:t xml:space="preserve">. </w:t>
      </w:r>
    </w:p>
    <w:p w:rsidR="007D6A03" w:rsidRPr="00C20F8E" w:rsidRDefault="007D6A03" w:rsidP="007D6A03">
      <w:pPr>
        <w:spacing w:line="360" w:lineRule="auto"/>
        <w:jc w:val="both"/>
        <w:rPr>
          <w:rFonts w:ascii="Times New Roman" w:hAnsi="Times New Roman" w:cs="Times New Roman"/>
          <w:color w:val="000000" w:themeColor="text1"/>
          <w:sz w:val="24"/>
          <w:szCs w:val="24"/>
        </w:rPr>
      </w:pPr>
      <w:r w:rsidRPr="00C20F8E">
        <w:rPr>
          <w:rFonts w:ascii="Times New Roman" w:hAnsi="Times New Roman" w:cs="Times New Roman"/>
          <w:color w:val="000000" w:themeColor="text1"/>
          <w:sz w:val="24"/>
          <w:szCs w:val="24"/>
        </w:rPr>
        <w:t xml:space="preserve">In the subsequent section the Accounting Rate return (ARR) is calculated for Project A and project B that Patel Mintro has been considering for generating extra profitability. </w:t>
      </w: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Accounting Rate return (ARR) is calculated by using the following formula mentioned below;</w:t>
      </w: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Accounting Rate return (ARR) = Average Accounting Income / Initial Investment </w:t>
      </w:r>
    </w:p>
    <w:p w:rsidR="007D6A03" w:rsidRDefault="007D6A03" w:rsidP="007D6A03">
      <w:pPr>
        <w:spacing w:line="360" w:lineRule="auto"/>
        <w:jc w:val="both"/>
        <w:rPr>
          <w:rFonts w:ascii="Times New Roman" w:hAnsi="Times New Roman" w:cs="Times New Roman"/>
          <w:b/>
          <w:sz w:val="32"/>
          <w:szCs w:val="32"/>
          <w:u w:val="single"/>
        </w:rPr>
      </w:pPr>
      <w:r w:rsidRPr="007E27A6">
        <w:rPr>
          <w:rFonts w:ascii="Times New Roman" w:hAnsi="Times New Roman" w:cs="Times New Roman"/>
          <w:b/>
          <w:sz w:val="32"/>
          <w:szCs w:val="32"/>
          <w:u w:val="single"/>
        </w:rPr>
        <w:t>Accounting Rate return (ARR) of Project A:</w:t>
      </w:r>
    </w:p>
    <w:p w:rsidR="007D6A03" w:rsidRPr="007E27A6" w:rsidRDefault="007D6A03" w:rsidP="007D6A03">
      <w:pPr>
        <w:spacing w:line="360" w:lineRule="auto"/>
        <w:jc w:val="both"/>
        <w:rPr>
          <w:rFonts w:ascii="Times New Roman" w:hAnsi="Times New Roman" w:cs="Times New Roman"/>
          <w:sz w:val="24"/>
          <w:szCs w:val="24"/>
        </w:rPr>
      </w:pPr>
      <w:r w:rsidRPr="007E27A6">
        <w:rPr>
          <w:rFonts w:ascii="Times New Roman" w:hAnsi="Times New Roman" w:cs="Times New Roman"/>
          <w:sz w:val="24"/>
          <w:szCs w:val="24"/>
        </w:rPr>
        <w:t xml:space="preserve">Salvage value of project A = </w:t>
      </w:r>
      <w:r w:rsidRPr="007E27A6">
        <w:rPr>
          <w:rFonts w:ascii="Calibri" w:hAnsi="Calibri" w:cs="Calibri"/>
          <w:sz w:val="24"/>
          <w:szCs w:val="24"/>
        </w:rPr>
        <w:t>£</w:t>
      </w:r>
      <w:r w:rsidRPr="007E27A6">
        <w:rPr>
          <w:rFonts w:ascii="Times New Roman" w:hAnsi="Times New Roman" w:cs="Times New Roman"/>
          <w:sz w:val="24"/>
          <w:szCs w:val="24"/>
        </w:rPr>
        <w:t>20000</w:t>
      </w:r>
    </w:p>
    <w:p w:rsidR="007D6A03" w:rsidRPr="007E27A6" w:rsidRDefault="007D6A03" w:rsidP="007D6A03">
      <w:pPr>
        <w:spacing w:line="360" w:lineRule="auto"/>
        <w:jc w:val="both"/>
        <w:rPr>
          <w:rFonts w:ascii="Times New Roman" w:hAnsi="Times New Roman" w:cs="Times New Roman"/>
          <w:sz w:val="24"/>
          <w:szCs w:val="24"/>
        </w:rPr>
      </w:pPr>
      <w:r w:rsidRPr="007E27A6">
        <w:rPr>
          <w:rFonts w:ascii="Times New Roman" w:hAnsi="Times New Roman" w:cs="Times New Roman"/>
          <w:sz w:val="24"/>
          <w:szCs w:val="24"/>
        </w:rPr>
        <w:t xml:space="preserve">Initial Investment in the project A = </w:t>
      </w:r>
      <w:r w:rsidRPr="007E27A6">
        <w:rPr>
          <w:rFonts w:ascii="Calibri" w:hAnsi="Calibri" w:cs="Calibri"/>
          <w:sz w:val="24"/>
          <w:szCs w:val="24"/>
        </w:rPr>
        <w:t>£</w:t>
      </w:r>
      <w:r w:rsidRPr="007E27A6">
        <w:rPr>
          <w:rFonts w:ascii="Times New Roman" w:hAnsi="Times New Roman" w:cs="Times New Roman"/>
          <w:sz w:val="24"/>
          <w:szCs w:val="24"/>
        </w:rPr>
        <w:t>160000</w:t>
      </w:r>
    </w:p>
    <w:p w:rsidR="007D6A03" w:rsidRPr="007E27A6" w:rsidRDefault="007D6A03" w:rsidP="007D6A03">
      <w:pPr>
        <w:spacing w:line="360" w:lineRule="auto"/>
        <w:jc w:val="both"/>
        <w:rPr>
          <w:rFonts w:ascii="Times New Roman" w:hAnsi="Times New Roman" w:cs="Times New Roman"/>
          <w:sz w:val="24"/>
          <w:szCs w:val="24"/>
        </w:rPr>
      </w:pPr>
      <w:r w:rsidRPr="007E27A6">
        <w:rPr>
          <w:rFonts w:ascii="Times New Roman" w:hAnsi="Times New Roman" w:cs="Times New Roman"/>
          <w:sz w:val="24"/>
          <w:szCs w:val="24"/>
        </w:rPr>
        <w:t xml:space="preserve">Useful Life of the project = 6 years </w:t>
      </w:r>
    </w:p>
    <w:p w:rsidR="007D6A03" w:rsidRDefault="007D6A03" w:rsidP="007D6A03">
      <w:pPr>
        <w:spacing w:line="360" w:lineRule="auto"/>
        <w:jc w:val="both"/>
        <w:rPr>
          <w:rFonts w:ascii="Times New Roman" w:hAnsi="Times New Roman" w:cs="Times New Roman"/>
          <w:sz w:val="24"/>
          <w:szCs w:val="24"/>
        </w:rPr>
      </w:pPr>
      <w:r w:rsidRPr="007E27A6">
        <w:rPr>
          <w:rFonts w:ascii="Times New Roman" w:hAnsi="Times New Roman" w:cs="Times New Roman"/>
          <w:sz w:val="24"/>
          <w:szCs w:val="24"/>
        </w:rPr>
        <w:t>Therefore, Annual Depreciation of the project A= (160000-20000) /6</w:t>
      </w: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E27A6">
        <w:rPr>
          <w:rFonts w:ascii="Times New Roman" w:hAnsi="Times New Roman" w:cs="Times New Roman"/>
          <w:sz w:val="24"/>
          <w:szCs w:val="24"/>
        </w:rPr>
        <w:t xml:space="preserve"> = </w:t>
      </w:r>
      <w:r w:rsidRPr="007E27A6">
        <w:rPr>
          <w:rFonts w:ascii="Calibri" w:hAnsi="Calibri" w:cs="Calibri"/>
          <w:sz w:val="24"/>
          <w:szCs w:val="24"/>
        </w:rPr>
        <w:t>£</w:t>
      </w:r>
      <w:r w:rsidRPr="007E27A6">
        <w:rPr>
          <w:rFonts w:ascii="Times New Roman" w:hAnsi="Times New Roman" w:cs="Times New Roman"/>
          <w:sz w:val="24"/>
          <w:szCs w:val="24"/>
        </w:rPr>
        <w:t xml:space="preserve"> 23333.33</w:t>
      </w:r>
    </w:p>
    <w:p w:rsidR="007D6A03" w:rsidRDefault="007D6A03" w:rsidP="007D6A03">
      <w:pPr>
        <w:spacing w:line="360" w:lineRule="auto"/>
        <w:jc w:val="both"/>
        <w:rPr>
          <w:rFonts w:ascii="Times New Roman" w:hAnsi="Times New Roman" w:cs="Times New Roman"/>
          <w:sz w:val="24"/>
          <w:szCs w:val="24"/>
        </w:rPr>
      </w:pPr>
    </w:p>
    <w:p w:rsidR="007D6A03" w:rsidRDefault="007D6A03" w:rsidP="007D6A03">
      <w:pPr>
        <w:spacing w:line="360" w:lineRule="auto"/>
        <w:jc w:val="both"/>
        <w:rPr>
          <w:rFonts w:ascii="Times New Roman" w:hAnsi="Times New Roman" w:cs="Times New Roman"/>
          <w:sz w:val="24"/>
          <w:szCs w:val="24"/>
        </w:rPr>
      </w:pPr>
    </w:p>
    <w:p w:rsidR="007D6A03" w:rsidRDefault="007D6A03" w:rsidP="007D6A03">
      <w:pPr>
        <w:spacing w:line="360" w:lineRule="auto"/>
        <w:jc w:val="both"/>
        <w:rPr>
          <w:rFonts w:ascii="Times New Roman" w:hAnsi="Times New Roman" w:cs="Times New Roman"/>
          <w:sz w:val="24"/>
          <w:szCs w:val="24"/>
        </w:rPr>
      </w:pPr>
    </w:p>
    <w:p w:rsidR="007D6A03" w:rsidRDefault="007D6A03" w:rsidP="007D6A03">
      <w:pPr>
        <w:spacing w:line="360" w:lineRule="auto"/>
        <w:jc w:val="both"/>
        <w:rPr>
          <w:rFonts w:ascii="Times New Roman" w:hAnsi="Times New Roman" w:cs="Times New Roman"/>
          <w:sz w:val="24"/>
          <w:szCs w:val="24"/>
        </w:rPr>
      </w:pPr>
    </w:p>
    <w:p w:rsidR="007D6A03" w:rsidRDefault="007D6A03" w:rsidP="007D6A03">
      <w:pPr>
        <w:spacing w:line="360" w:lineRule="auto"/>
        <w:jc w:val="both"/>
        <w:rPr>
          <w:rFonts w:ascii="Times New Roman" w:hAnsi="Times New Roman" w:cs="Times New Roman"/>
          <w:sz w:val="24"/>
          <w:szCs w:val="24"/>
        </w:rPr>
      </w:pP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estimated accounting income for each year from Project A is provided below: </w:t>
      </w:r>
    </w:p>
    <w:tbl>
      <w:tblPr>
        <w:tblW w:w="9409" w:type="dxa"/>
        <w:tblInd w:w="86" w:type="dxa"/>
        <w:tblLook w:val="04A0" w:firstRow="1" w:lastRow="0" w:firstColumn="1" w:lastColumn="0" w:noHBand="0" w:noVBand="1"/>
      </w:tblPr>
      <w:tblGrid>
        <w:gridCol w:w="2897"/>
        <w:gridCol w:w="2286"/>
        <w:gridCol w:w="2073"/>
        <w:gridCol w:w="2153"/>
      </w:tblGrid>
      <w:tr w:rsidR="007D6A03" w:rsidRPr="002F3B5C" w:rsidTr="007D6A03">
        <w:trPr>
          <w:trHeight w:val="584"/>
        </w:trPr>
        <w:tc>
          <w:tcPr>
            <w:tcW w:w="2897"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rsidR="007D6A03" w:rsidRPr="002F3B5C" w:rsidRDefault="007D6A03" w:rsidP="007D6A03">
            <w:pPr>
              <w:spacing w:after="0" w:line="240" w:lineRule="auto"/>
              <w:rPr>
                <w:rFonts w:ascii="Times New Roman" w:eastAsia="Times New Roman" w:hAnsi="Times New Roman" w:cs="Times New Roman"/>
                <w:b/>
                <w:bCs/>
                <w:color w:val="000000"/>
                <w:sz w:val="24"/>
                <w:szCs w:val="24"/>
              </w:rPr>
            </w:pPr>
            <w:r w:rsidRPr="002F3B5C">
              <w:rPr>
                <w:rFonts w:ascii="Times New Roman" w:eastAsia="Times New Roman" w:hAnsi="Times New Roman" w:cs="Times New Roman"/>
                <w:b/>
                <w:bCs/>
                <w:color w:val="000000"/>
                <w:sz w:val="24"/>
                <w:szCs w:val="24"/>
              </w:rPr>
              <w:t xml:space="preserve">Period </w:t>
            </w:r>
          </w:p>
        </w:tc>
        <w:tc>
          <w:tcPr>
            <w:tcW w:w="2286" w:type="dxa"/>
            <w:tcBorders>
              <w:top w:val="single" w:sz="4" w:space="0" w:color="auto"/>
              <w:left w:val="nil"/>
              <w:bottom w:val="single" w:sz="4" w:space="0" w:color="auto"/>
              <w:right w:val="single" w:sz="4" w:space="0" w:color="auto"/>
            </w:tcBorders>
            <w:shd w:val="clear" w:color="000000" w:fill="92D050"/>
            <w:vAlign w:val="bottom"/>
            <w:hideMark/>
          </w:tcPr>
          <w:p w:rsidR="007D6A03" w:rsidRPr="002F3B5C" w:rsidRDefault="007D6A03" w:rsidP="007D6A03">
            <w:pPr>
              <w:spacing w:after="0" w:line="240" w:lineRule="auto"/>
              <w:rPr>
                <w:rFonts w:ascii="Times New Roman" w:eastAsia="Times New Roman" w:hAnsi="Times New Roman" w:cs="Times New Roman"/>
                <w:b/>
                <w:bCs/>
                <w:color w:val="000000"/>
                <w:sz w:val="24"/>
                <w:szCs w:val="24"/>
              </w:rPr>
            </w:pPr>
            <w:r w:rsidRPr="002F3B5C">
              <w:rPr>
                <w:rFonts w:ascii="Times New Roman" w:eastAsia="Times New Roman" w:hAnsi="Times New Roman" w:cs="Times New Roman"/>
                <w:b/>
                <w:bCs/>
                <w:color w:val="000000"/>
                <w:sz w:val="24"/>
                <w:szCs w:val="24"/>
              </w:rPr>
              <w:t>Cash Flow from Project A (in £)</w:t>
            </w:r>
          </w:p>
        </w:tc>
        <w:tc>
          <w:tcPr>
            <w:tcW w:w="2073" w:type="dxa"/>
            <w:tcBorders>
              <w:top w:val="single" w:sz="4" w:space="0" w:color="auto"/>
              <w:left w:val="nil"/>
              <w:bottom w:val="single" w:sz="4" w:space="0" w:color="auto"/>
              <w:right w:val="single" w:sz="4" w:space="0" w:color="auto"/>
            </w:tcBorders>
            <w:shd w:val="clear" w:color="000000" w:fill="92D050"/>
            <w:vAlign w:val="bottom"/>
            <w:hideMark/>
          </w:tcPr>
          <w:p w:rsidR="007D6A03" w:rsidRPr="002F3B5C" w:rsidRDefault="007D6A03" w:rsidP="007D6A03">
            <w:pPr>
              <w:spacing w:after="0" w:line="240" w:lineRule="auto"/>
              <w:rPr>
                <w:rFonts w:ascii="Times New Roman" w:eastAsia="Times New Roman" w:hAnsi="Times New Roman" w:cs="Times New Roman"/>
                <w:b/>
                <w:bCs/>
                <w:color w:val="000000"/>
                <w:sz w:val="24"/>
                <w:szCs w:val="24"/>
              </w:rPr>
            </w:pPr>
            <w:r w:rsidRPr="002F3B5C">
              <w:rPr>
                <w:rFonts w:ascii="Times New Roman" w:eastAsia="Times New Roman" w:hAnsi="Times New Roman" w:cs="Times New Roman"/>
                <w:b/>
                <w:bCs/>
                <w:color w:val="000000"/>
                <w:sz w:val="24"/>
                <w:szCs w:val="24"/>
              </w:rPr>
              <w:t xml:space="preserve">Annual Depreciation(in £) </w:t>
            </w:r>
          </w:p>
        </w:tc>
        <w:tc>
          <w:tcPr>
            <w:tcW w:w="2153" w:type="dxa"/>
            <w:tcBorders>
              <w:top w:val="single" w:sz="4" w:space="0" w:color="auto"/>
              <w:left w:val="nil"/>
              <w:bottom w:val="single" w:sz="4" w:space="0" w:color="auto"/>
              <w:right w:val="single" w:sz="4" w:space="0" w:color="auto"/>
            </w:tcBorders>
            <w:shd w:val="clear" w:color="000000" w:fill="92D050"/>
            <w:vAlign w:val="bottom"/>
            <w:hideMark/>
          </w:tcPr>
          <w:p w:rsidR="007D6A03" w:rsidRPr="002F3B5C" w:rsidRDefault="007D6A03" w:rsidP="007D6A03">
            <w:pPr>
              <w:spacing w:after="0" w:line="240" w:lineRule="auto"/>
              <w:rPr>
                <w:rFonts w:ascii="Times New Roman" w:eastAsia="Times New Roman" w:hAnsi="Times New Roman" w:cs="Times New Roman"/>
                <w:b/>
                <w:bCs/>
                <w:color w:val="000000"/>
                <w:sz w:val="24"/>
                <w:szCs w:val="24"/>
              </w:rPr>
            </w:pPr>
            <w:r w:rsidRPr="002F3B5C">
              <w:rPr>
                <w:rFonts w:ascii="Times New Roman" w:eastAsia="Times New Roman" w:hAnsi="Times New Roman" w:cs="Times New Roman"/>
                <w:b/>
                <w:bCs/>
                <w:color w:val="000000"/>
                <w:sz w:val="24"/>
                <w:szCs w:val="24"/>
              </w:rPr>
              <w:t>Accounting Income from Project A (in £)</w:t>
            </w:r>
          </w:p>
        </w:tc>
      </w:tr>
      <w:tr w:rsidR="007D6A03" w:rsidRPr="002F3B5C" w:rsidTr="007D6A03">
        <w:trPr>
          <w:trHeight w:val="377"/>
        </w:trPr>
        <w:tc>
          <w:tcPr>
            <w:tcW w:w="2897" w:type="dxa"/>
            <w:tcBorders>
              <w:top w:val="nil"/>
              <w:left w:val="single" w:sz="4" w:space="0" w:color="auto"/>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 xml:space="preserve">Cash Flow at End of Year 1 </w:t>
            </w:r>
          </w:p>
        </w:tc>
        <w:tc>
          <w:tcPr>
            <w:tcW w:w="2286"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45000</w:t>
            </w:r>
          </w:p>
        </w:tc>
        <w:tc>
          <w:tcPr>
            <w:tcW w:w="2073"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23333.33</w:t>
            </w:r>
          </w:p>
        </w:tc>
        <w:tc>
          <w:tcPr>
            <w:tcW w:w="2153"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21666.67</w:t>
            </w:r>
          </w:p>
        </w:tc>
      </w:tr>
      <w:tr w:rsidR="007D6A03" w:rsidRPr="002F3B5C" w:rsidTr="007D6A03">
        <w:trPr>
          <w:trHeight w:val="377"/>
        </w:trPr>
        <w:tc>
          <w:tcPr>
            <w:tcW w:w="2897" w:type="dxa"/>
            <w:tcBorders>
              <w:top w:val="nil"/>
              <w:left w:val="single" w:sz="4" w:space="0" w:color="auto"/>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Cash Flow at End of Year 2</w:t>
            </w:r>
          </w:p>
        </w:tc>
        <w:tc>
          <w:tcPr>
            <w:tcW w:w="2286"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45000</w:t>
            </w:r>
          </w:p>
        </w:tc>
        <w:tc>
          <w:tcPr>
            <w:tcW w:w="2073"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23333.33</w:t>
            </w:r>
          </w:p>
        </w:tc>
        <w:tc>
          <w:tcPr>
            <w:tcW w:w="2153"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21666.67</w:t>
            </w:r>
          </w:p>
        </w:tc>
      </w:tr>
      <w:tr w:rsidR="007D6A03" w:rsidRPr="002F3B5C" w:rsidTr="007D6A03">
        <w:trPr>
          <w:trHeight w:val="377"/>
        </w:trPr>
        <w:tc>
          <w:tcPr>
            <w:tcW w:w="2897" w:type="dxa"/>
            <w:tcBorders>
              <w:top w:val="nil"/>
              <w:left w:val="single" w:sz="4" w:space="0" w:color="auto"/>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Cash Flow at End of Year 3</w:t>
            </w:r>
          </w:p>
        </w:tc>
        <w:tc>
          <w:tcPr>
            <w:tcW w:w="2286"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45000</w:t>
            </w:r>
          </w:p>
        </w:tc>
        <w:tc>
          <w:tcPr>
            <w:tcW w:w="2073"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23333.33</w:t>
            </w:r>
          </w:p>
        </w:tc>
        <w:tc>
          <w:tcPr>
            <w:tcW w:w="2153"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21666.67</w:t>
            </w:r>
          </w:p>
        </w:tc>
      </w:tr>
      <w:tr w:rsidR="007D6A03" w:rsidRPr="002F3B5C" w:rsidTr="007D6A03">
        <w:trPr>
          <w:trHeight w:val="377"/>
        </w:trPr>
        <w:tc>
          <w:tcPr>
            <w:tcW w:w="2897" w:type="dxa"/>
            <w:tcBorders>
              <w:top w:val="nil"/>
              <w:left w:val="single" w:sz="4" w:space="0" w:color="auto"/>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Cash Flow at End of Year 4</w:t>
            </w:r>
          </w:p>
        </w:tc>
        <w:tc>
          <w:tcPr>
            <w:tcW w:w="2286"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45000</w:t>
            </w:r>
          </w:p>
        </w:tc>
        <w:tc>
          <w:tcPr>
            <w:tcW w:w="2073"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23333.33</w:t>
            </w:r>
          </w:p>
        </w:tc>
        <w:tc>
          <w:tcPr>
            <w:tcW w:w="2153"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21666.67</w:t>
            </w:r>
          </w:p>
        </w:tc>
      </w:tr>
      <w:tr w:rsidR="007D6A03" w:rsidRPr="002F3B5C" w:rsidTr="007D6A03">
        <w:trPr>
          <w:trHeight w:val="377"/>
        </w:trPr>
        <w:tc>
          <w:tcPr>
            <w:tcW w:w="2897" w:type="dxa"/>
            <w:tcBorders>
              <w:top w:val="nil"/>
              <w:left w:val="single" w:sz="4" w:space="0" w:color="auto"/>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Cash Flow at End of Year 5</w:t>
            </w:r>
          </w:p>
        </w:tc>
        <w:tc>
          <w:tcPr>
            <w:tcW w:w="2286"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45000</w:t>
            </w:r>
          </w:p>
        </w:tc>
        <w:tc>
          <w:tcPr>
            <w:tcW w:w="2073"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23333.33</w:t>
            </w:r>
          </w:p>
        </w:tc>
        <w:tc>
          <w:tcPr>
            <w:tcW w:w="2153"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21666.67</w:t>
            </w:r>
          </w:p>
        </w:tc>
      </w:tr>
      <w:tr w:rsidR="007D6A03" w:rsidRPr="002F3B5C" w:rsidTr="007D6A03">
        <w:trPr>
          <w:trHeight w:val="377"/>
        </w:trPr>
        <w:tc>
          <w:tcPr>
            <w:tcW w:w="2897" w:type="dxa"/>
            <w:tcBorders>
              <w:top w:val="nil"/>
              <w:left w:val="single" w:sz="4" w:space="0" w:color="auto"/>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Cash Flow at End of Year 6</w:t>
            </w:r>
          </w:p>
        </w:tc>
        <w:tc>
          <w:tcPr>
            <w:tcW w:w="2286"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65000</w:t>
            </w:r>
          </w:p>
        </w:tc>
        <w:tc>
          <w:tcPr>
            <w:tcW w:w="2073"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23333.33</w:t>
            </w:r>
          </w:p>
        </w:tc>
        <w:tc>
          <w:tcPr>
            <w:tcW w:w="2153" w:type="dxa"/>
            <w:tcBorders>
              <w:top w:val="nil"/>
              <w:left w:val="nil"/>
              <w:bottom w:val="single" w:sz="4" w:space="0" w:color="auto"/>
              <w:right w:val="single" w:sz="4" w:space="0" w:color="auto"/>
            </w:tcBorders>
            <w:shd w:val="clear" w:color="auto" w:fill="auto"/>
            <w:noWrap/>
            <w:vAlign w:val="bottom"/>
            <w:hideMark/>
          </w:tcPr>
          <w:p w:rsidR="007D6A03" w:rsidRPr="002F3B5C" w:rsidRDefault="007D6A03" w:rsidP="007D6A03">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41666.67</w:t>
            </w:r>
          </w:p>
        </w:tc>
      </w:tr>
    </w:tbl>
    <w:p w:rsidR="007D6A03" w:rsidRDefault="007D6A03" w:rsidP="007D6A03">
      <w:pPr>
        <w:spacing w:line="360" w:lineRule="auto"/>
        <w:jc w:val="both"/>
        <w:rPr>
          <w:rFonts w:ascii="Times New Roman" w:hAnsi="Times New Roman" w:cs="Times New Roman"/>
          <w:sz w:val="24"/>
          <w:szCs w:val="24"/>
        </w:rPr>
      </w:pP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Average Accounting Income </w:t>
      </w: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Calibri" w:hAnsi="Calibri" w:cs="Calibri"/>
          <w:sz w:val="24"/>
          <w:szCs w:val="24"/>
        </w:rPr>
        <w:t>£</w:t>
      </w:r>
      <w:r>
        <w:rPr>
          <w:rFonts w:ascii="Times New Roman" w:hAnsi="Times New Roman" w:cs="Times New Roman"/>
          <w:sz w:val="24"/>
          <w:szCs w:val="24"/>
        </w:rPr>
        <w:t xml:space="preserve"> (21666.67+21666.67+21666.67+21666.67+21666.67+41666.67)/6</w:t>
      </w:r>
    </w:p>
    <w:p w:rsidR="007D6A03" w:rsidRDefault="008B1D3B"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w:t>
      </w:r>
      <w:r w:rsidR="007D6A03">
        <w:rPr>
          <w:rFonts w:ascii="Times New Roman" w:hAnsi="Times New Roman" w:cs="Times New Roman"/>
          <w:sz w:val="24"/>
          <w:szCs w:val="24"/>
        </w:rPr>
        <w:t>150000.02/6</w:t>
      </w:r>
      <w:r>
        <w:rPr>
          <w:rFonts w:ascii="Times New Roman" w:hAnsi="Times New Roman" w:cs="Times New Roman"/>
          <w:sz w:val="24"/>
          <w:szCs w:val="24"/>
        </w:rPr>
        <w:t>) =</w:t>
      </w:r>
      <w:r w:rsidR="007D6A03">
        <w:rPr>
          <w:rFonts w:ascii="Times New Roman" w:hAnsi="Times New Roman" w:cs="Times New Roman"/>
          <w:sz w:val="24"/>
          <w:szCs w:val="24"/>
        </w:rPr>
        <w:t xml:space="preserve"> </w:t>
      </w:r>
      <w:r w:rsidR="007D6A03">
        <w:rPr>
          <w:rFonts w:ascii="Calibri" w:hAnsi="Calibri" w:cs="Calibri"/>
          <w:sz w:val="24"/>
          <w:szCs w:val="24"/>
        </w:rPr>
        <w:t>£</w:t>
      </w:r>
      <w:r w:rsidR="007D6A03">
        <w:rPr>
          <w:rFonts w:ascii="Times New Roman" w:hAnsi="Times New Roman" w:cs="Times New Roman"/>
          <w:sz w:val="24"/>
          <w:szCs w:val="24"/>
        </w:rPr>
        <w:t xml:space="preserve"> 25000</w:t>
      </w:r>
    </w:p>
    <w:p w:rsidR="007D6A03" w:rsidRPr="002F3B5C" w:rsidRDefault="007D6A03" w:rsidP="007D6A03">
      <w:pPr>
        <w:spacing w:line="360" w:lineRule="auto"/>
        <w:jc w:val="both"/>
        <w:rPr>
          <w:rFonts w:ascii="Times New Roman" w:hAnsi="Times New Roman" w:cs="Times New Roman"/>
          <w:b/>
          <w:sz w:val="24"/>
          <w:szCs w:val="24"/>
        </w:rPr>
      </w:pPr>
      <w:r w:rsidRPr="002F3B5C">
        <w:rPr>
          <w:rFonts w:ascii="Times New Roman" w:hAnsi="Times New Roman" w:cs="Times New Roman"/>
          <w:b/>
          <w:sz w:val="24"/>
          <w:szCs w:val="24"/>
        </w:rPr>
        <w:t xml:space="preserve">Therefore, Accounting Rate return (ARR) of Project A </w:t>
      </w: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 Average Accounting Income / Initial Investment </w:t>
      </w: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25000/ 160000</w:t>
      </w: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15.625%</w:t>
      </w:r>
    </w:p>
    <w:p w:rsidR="007D6A03" w:rsidRDefault="007D6A03" w:rsidP="007D6A03">
      <w:pPr>
        <w:spacing w:line="360" w:lineRule="auto"/>
        <w:jc w:val="both"/>
        <w:rPr>
          <w:rFonts w:ascii="Times New Roman" w:hAnsi="Times New Roman" w:cs="Times New Roman"/>
          <w:b/>
          <w:sz w:val="32"/>
          <w:szCs w:val="32"/>
          <w:u w:val="single"/>
        </w:rPr>
      </w:pPr>
      <w:r w:rsidRPr="007E27A6">
        <w:rPr>
          <w:rFonts w:ascii="Times New Roman" w:hAnsi="Times New Roman" w:cs="Times New Roman"/>
          <w:b/>
          <w:sz w:val="32"/>
          <w:szCs w:val="32"/>
          <w:u w:val="single"/>
        </w:rPr>
        <w:t>Accounting Rate return (ARR)</w:t>
      </w:r>
      <w:r>
        <w:rPr>
          <w:rFonts w:ascii="Times New Roman" w:hAnsi="Times New Roman" w:cs="Times New Roman"/>
          <w:b/>
          <w:sz w:val="32"/>
          <w:szCs w:val="32"/>
          <w:u w:val="single"/>
        </w:rPr>
        <w:t xml:space="preserve"> of Project B</w:t>
      </w:r>
      <w:r w:rsidRPr="007E27A6">
        <w:rPr>
          <w:rFonts w:ascii="Times New Roman" w:hAnsi="Times New Roman" w:cs="Times New Roman"/>
          <w:b/>
          <w:sz w:val="32"/>
          <w:szCs w:val="32"/>
          <w:u w:val="single"/>
        </w:rPr>
        <w:t>:</w:t>
      </w:r>
    </w:p>
    <w:p w:rsidR="007D6A03" w:rsidRPr="007E27A6"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Salvage value of project B </w:t>
      </w:r>
      <w:r w:rsidRPr="007E27A6">
        <w:rPr>
          <w:rFonts w:ascii="Times New Roman" w:hAnsi="Times New Roman" w:cs="Times New Roman"/>
          <w:sz w:val="24"/>
          <w:szCs w:val="24"/>
        </w:rPr>
        <w:t xml:space="preserve">= </w:t>
      </w:r>
      <w:r w:rsidRPr="007E27A6">
        <w:rPr>
          <w:rFonts w:ascii="Calibri" w:hAnsi="Calibri" w:cs="Calibri"/>
          <w:sz w:val="24"/>
          <w:szCs w:val="24"/>
        </w:rPr>
        <w:t>£</w:t>
      </w:r>
      <w:r>
        <w:rPr>
          <w:rFonts w:ascii="Times New Roman" w:hAnsi="Times New Roman" w:cs="Times New Roman"/>
          <w:sz w:val="24"/>
          <w:szCs w:val="24"/>
        </w:rPr>
        <w:t>1</w:t>
      </w:r>
      <w:r w:rsidRPr="007E27A6">
        <w:rPr>
          <w:rFonts w:ascii="Times New Roman" w:hAnsi="Times New Roman" w:cs="Times New Roman"/>
          <w:sz w:val="24"/>
          <w:szCs w:val="24"/>
        </w:rPr>
        <w:t>0000</w:t>
      </w:r>
    </w:p>
    <w:p w:rsidR="007D6A03" w:rsidRPr="007E27A6" w:rsidRDefault="007D6A03" w:rsidP="007D6A03">
      <w:pPr>
        <w:spacing w:line="360" w:lineRule="auto"/>
        <w:jc w:val="both"/>
        <w:rPr>
          <w:rFonts w:ascii="Times New Roman" w:hAnsi="Times New Roman" w:cs="Times New Roman"/>
          <w:sz w:val="24"/>
          <w:szCs w:val="24"/>
        </w:rPr>
      </w:pPr>
      <w:r w:rsidRPr="007E27A6">
        <w:rPr>
          <w:rFonts w:ascii="Times New Roman" w:hAnsi="Times New Roman" w:cs="Times New Roman"/>
          <w:sz w:val="24"/>
          <w:szCs w:val="24"/>
        </w:rPr>
        <w:t>Initial Investment</w:t>
      </w:r>
      <w:r>
        <w:rPr>
          <w:rFonts w:ascii="Times New Roman" w:hAnsi="Times New Roman" w:cs="Times New Roman"/>
          <w:sz w:val="24"/>
          <w:szCs w:val="24"/>
        </w:rPr>
        <w:t xml:space="preserve"> in the project B</w:t>
      </w:r>
      <w:r w:rsidRPr="007E27A6">
        <w:rPr>
          <w:rFonts w:ascii="Times New Roman" w:hAnsi="Times New Roman" w:cs="Times New Roman"/>
          <w:sz w:val="24"/>
          <w:szCs w:val="24"/>
        </w:rPr>
        <w:t xml:space="preserve"> = </w:t>
      </w:r>
      <w:r w:rsidRPr="007E27A6">
        <w:rPr>
          <w:rFonts w:ascii="Calibri" w:hAnsi="Calibri" w:cs="Calibri"/>
          <w:sz w:val="24"/>
          <w:szCs w:val="24"/>
        </w:rPr>
        <w:t>£</w:t>
      </w:r>
      <w:r>
        <w:rPr>
          <w:rFonts w:ascii="Times New Roman" w:hAnsi="Times New Roman" w:cs="Times New Roman"/>
          <w:sz w:val="24"/>
          <w:szCs w:val="24"/>
        </w:rPr>
        <w:t>22</w:t>
      </w:r>
      <w:r w:rsidRPr="007E27A6">
        <w:rPr>
          <w:rFonts w:ascii="Times New Roman" w:hAnsi="Times New Roman" w:cs="Times New Roman"/>
          <w:sz w:val="24"/>
          <w:szCs w:val="24"/>
        </w:rPr>
        <w:t>0000</w:t>
      </w:r>
    </w:p>
    <w:p w:rsidR="007D6A03" w:rsidRPr="007E27A6" w:rsidRDefault="007D6A03" w:rsidP="007D6A03">
      <w:pPr>
        <w:spacing w:line="360" w:lineRule="auto"/>
        <w:jc w:val="both"/>
        <w:rPr>
          <w:rFonts w:ascii="Times New Roman" w:hAnsi="Times New Roman" w:cs="Times New Roman"/>
          <w:sz w:val="24"/>
          <w:szCs w:val="24"/>
        </w:rPr>
      </w:pPr>
      <w:r w:rsidRPr="007E27A6">
        <w:rPr>
          <w:rFonts w:ascii="Times New Roman" w:hAnsi="Times New Roman" w:cs="Times New Roman"/>
          <w:sz w:val="24"/>
          <w:szCs w:val="24"/>
        </w:rPr>
        <w:t xml:space="preserve">Useful Life of the project = 6 years </w:t>
      </w:r>
    </w:p>
    <w:p w:rsidR="007D6A03" w:rsidRDefault="007D6A03" w:rsidP="007D6A03">
      <w:pPr>
        <w:spacing w:line="360" w:lineRule="auto"/>
        <w:jc w:val="both"/>
        <w:rPr>
          <w:rFonts w:ascii="Times New Roman" w:hAnsi="Times New Roman" w:cs="Times New Roman"/>
          <w:sz w:val="24"/>
          <w:szCs w:val="24"/>
        </w:rPr>
      </w:pPr>
      <w:r w:rsidRPr="007E27A6">
        <w:rPr>
          <w:rFonts w:ascii="Times New Roman" w:hAnsi="Times New Roman" w:cs="Times New Roman"/>
          <w:sz w:val="24"/>
          <w:szCs w:val="24"/>
        </w:rPr>
        <w:lastRenderedPageBreak/>
        <w:t>Therefore, Annu</w:t>
      </w:r>
      <w:r>
        <w:rPr>
          <w:rFonts w:ascii="Times New Roman" w:hAnsi="Times New Roman" w:cs="Times New Roman"/>
          <w:sz w:val="24"/>
          <w:szCs w:val="24"/>
        </w:rPr>
        <w:t>al Depreciation of the project B</w:t>
      </w:r>
      <w:r w:rsidRPr="007E27A6">
        <w:rPr>
          <w:rFonts w:ascii="Times New Roman" w:hAnsi="Times New Roman" w:cs="Times New Roman"/>
          <w:sz w:val="24"/>
          <w:szCs w:val="24"/>
        </w:rPr>
        <w:t>= (</w:t>
      </w:r>
      <w:r>
        <w:rPr>
          <w:rFonts w:ascii="Times New Roman" w:hAnsi="Times New Roman" w:cs="Times New Roman"/>
          <w:sz w:val="24"/>
          <w:szCs w:val="24"/>
        </w:rPr>
        <w:t>22</w:t>
      </w:r>
      <w:r w:rsidRPr="007E27A6">
        <w:rPr>
          <w:rFonts w:ascii="Times New Roman" w:hAnsi="Times New Roman" w:cs="Times New Roman"/>
          <w:sz w:val="24"/>
          <w:szCs w:val="24"/>
        </w:rPr>
        <w:t>0000-</w:t>
      </w:r>
      <w:r>
        <w:rPr>
          <w:rFonts w:ascii="Times New Roman" w:hAnsi="Times New Roman" w:cs="Times New Roman"/>
          <w:sz w:val="24"/>
          <w:szCs w:val="24"/>
        </w:rPr>
        <w:t>1</w:t>
      </w:r>
      <w:r w:rsidRPr="007E27A6">
        <w:rPr>
          <w:rFonts w:ascii="Times New Roman" w:hAnsi="Times New Roman" w:cs="Times New Roman"/>
          <w:sz w:val="24"/>
          <w:szCs w:val="24"/>
        </w:rPr>
        <w:t>0000) /6</w:t>
      </w: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E27A6">
        <w:rPr>
          <w:rFonts w:ascii="Times New Roman" w:hAnsi="Times New Roman" w:cs="Times New Roman"/>
          <w:sz w:val="24"/>
          <w:szCs w:val="24"/>
        </w:rPr>
        <w:t xml:space="preserve"> = </w:t>
      </w:r>
      <w:r w:rsidRPr="007E27A6">
        <w:rPr>
          <w:rFonts w:ascii="Calibri" w:hAnsi="Calibri" w:cs="Calibri"/>
          <w:sz w:val="24"/>
          <w:szCs w:val="24"/>
        </w:rPr>
        <w:t>£</w:t>
      </w:r>
      <w:r w:rsidRPr="007E27A6">
        <w:rPr>
          <w:rFonts w:ascii="Times New Roman" w:hAnsi="Times New Roman" w:cs="Times New Roman"/>
          <w:sz w:val="24"/>
          <w:szCs w:val="24"/>
        </w:rPr>
        <w:t xml:space="preserve"> </w:t>
      </w:r>
      <w:r>
        <w:rPr>
          <w:rFonts w:ascii="Times New Roman" w:hAnsi="Times New Roman" w:cs="Times New Roman"/>
          <w:sz w:val="24"/>
          <w:szCs w:val="24"/>
        </w:rPr>
        <w:t>35000</w:t>
      </w:r>
    </w:p>
    <w:p w:rsidR="007D6A03" w:rsidRDefault="007D6A03" w:rsidP="007D6A03">
      <w:pPr>
        <w:spacing w:line="360" w:lineRule="auto"/>
        <w:jc w:val="both"/>
        <w:rPr>
          <w:rFonts w:ascii="Times New Roman" w:hAnsi="Times New Roman" w:cs="Times New Roman"/>
          <w:sz w:val="24"/>
          <w:szCs w:val="24"/>
        </w:rPr>
      </w:pP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estimated accounting income for each year from Project B is provided below: </w:t>
      </w:r>
    </w:p>
    <w:tbl>
      <w:tblPr>
        <w:tblW w:w="9657" w:type="dxa"/>
        <w:tblInd w:w="86" w:type="dxa"/>
        <w:tblLook w:val="04A0" w:firstRow="1" w:lastRow="0" w:firstColumn="1" w:lastColumn="0" w:noHBand="0" w:noVBand="1"/>
      </w:tblPr>
      <w:tblGrid>
        <w:gridCol w:w="3016"/>
        <w:gridCol w:w="2320"/>
        <w:gridCol w:w="2088"/>
        <w:gridCol w:w="2233"/>
      </w:tblGrid>
      <w:tr w:rsidR="007D6A03" w:rsidRPr="00CF428E" w:rsidTr="007D6A03">
        <w:trPr>
          <w:trHeight w:val="635"/>
        </w:trPr>
        <w:tc>
          <w:tcPr>
            <w:tcW w:w="3016"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rsidR="007D6A03" w:rsidRPr="00CF428E" w:rsidRDefault="007D6A03" w:rsidP="007D6A03">
            <w:pPr>
              <w:spacing w:after="0" w:line="240" w:lineRule="auto"/>
              <w:rPr>
                <w:rFonts w:ascii="Times New Roman" w:eastAsia="Times New Roman" w:hAnsi="Times New Roman" w:cs="Times New Roman"/>
                <w:b/>
                <w:bCs/>
                <w:color w:val="000000"/>
                <w:sz w:val="24"/>
                <w:szCs w:val="24"/>
              </w:rPr>
            </w:pPr>
            <w:r w:rsidRPr="00CF428E">
              <w:rPr>
                <w:rFonts w:ascii="Times New Roman" w:eastAsia="Times New Roman" w:hAnsi="Times New Roman" w:cs="Times New Roman"/>
                <w:b/>
                <w:bCs/>
                <w:color w:val="000000"/>
                <w:sz w:val="24"/>
                <w:szCs w:val="24"/>
              </w:rPr>
              <w:t xml:space="preserve">Period </w:t>
            </w:r>
          </w:p>
        </w:tc>
        <w:tc>
          <w:tcPr>
            <w:tcW w:w="2320" w:type="dxa"/>
            <w:tcBorders>
              <w:top w:val="single" w:sz="4" w:space="0" w:color="auto"/>
              <w:left w:val="nil"/>
              <w:bottom w:val="single" w:sz="4" w:space="0" w:color="auto"/>
              <w:right w:val="single" w:sz="4" w:space="0" w:color="auto"/>
            </w:tcBorders>
            <w:shd w:val="clear" w:color="000000" w:fill="92D050"/>
            <w:vAlign w:val="bottom"/>
            <w:hideMark/>
          </w:tcPr>
          <w:p w:rsidR="007D6A03" w:rsidRPr="00CF428E" w:rsidRDefault="007D6A03" w:rsidP="007D6A03">
            <w:pPr>
              <w:spacing w:after="0" w:line="240" w:lineRule="auto"/>
              <w:rPr>
                <w:rFonts w:ascii="Times New Roman" w:eastAsia="Times New Roman" w:hAnsi="Times New Roman" w:cs="Times New Roman"/>
                <w:b/>
                <w:bCs/>
                <w:color w:val="000000"/>
                <w:sz w:val="24"/>
                <w:szCs w:val="24"/>
              </w:rPr>
            </w:pPr>
            <w:r w:rsidRPr="00CF428E">
              <w:rPr>
                <w:rFonts w:ascii="Times New Roman" w:eastAsia="Times New Roman" w:hAnsi="Times New Roman" w:cs="Times New Roman"/>
                <w:b/>
                <w:bCs/>
                <w:color w:val="000000"/>
                <w:sz w:val="24"/>
                <w:szCs w:val="24"/>
              </w:rPr>
              <w:t>Cash Flow From Project B (in £)</w:t>
            </w:r>
          </w:p>
        </w:tc>
        <w:tc>
          <w:tcPr>
            <w:tcW w:w="2088" w:type="dxa"/>
            <w:tcBorders>
              <w:top w:val="single" w:sz="4" w:space="0" w:color="auto"/>
              <w:left w:val="nil"/>
              <w:bottom w:val="single" w:sz="4" w:space="0" w:color="auto"/>
              <w:right w:val="single" w:sz="4" w:space="0" w:color="auto"/>
            </w:tcBorders>
            <w:shd w:val="clear" w:color="000000" w:fill="92D050"/>
            <w:vAlign w:val="bottom"/>
            <w:hideMark/>
          </w:tcPr>
          <w:p w:rsidR="007D6A03" w:rsidRPr="00CF428E" w:rsidRDefault="007D6A03" w:rsidP="007D6A03">
            <w:pPr>
              <w:spacing w:after="0" w:line="240" w:lineRule="auto"/>
              <w:rPr>
                <w:rFonts w:ascii="Times New Roman" w:eastAsia="Times New Roman" w:hAnsi="Times New Roman" w:cs="Times New Roman"/>
                <w:b/>
                <w:bCs/>
                <w:color w:val="000000"/>
                <w:sz w:val="24"/>
                <w:szCs w:val="24"/>
              </w:rPr>
            </w:pPr>
            <w:r w:rsidRPr="00CF428E">
              <w:rPr>
                <w:rFonts w:ascii="Times New Roman" w:eastAsia="Times New Roman" w:hAnsi="Times New Roman" w:cs="Times New Roman"/>
                <w:b/>
                <w:bCs/>
                <w:color w:val="000000"/>
                <w:sz w:val="24"/>
                <w:szCs w:val="24"/>
              </w:rPr>
              <w:t>Annual Depreciation</w:t>
            </w:r>
            <w:r>
              <w:rPr>
                <w:rFonts w:ascii="Times New Roman" w:eastAsia="Times New Roman" w:hAnsi="Times New Roman" w:cs="Times New Roman"/>
                <w:b/>
                <w:bCs/>
                <w:color w:val="000000"/>
                <w:sz w:val="24"/>
                <w:szCs w:val="24"/>
              </w:rPr>
              <w:t xml:space="preserve"> of Project B </w:t>
            </w:r>
            <w:r w:rsidRPr="00CF428E">
              <w:rPr>
                <w:rFonts w:ascii="Times New Roman" w:eastAsia="Times New Roman" w:hAnsi="Times New Roman" w:cs="Times New Roman"/>
                <w:b/>
                <w:bCs/>
                <w:color w:val="000000"/>
                <w:sz w:val="24"/>
                <w:szCs w:val="24"/>
              </w:rPr>
              <w:t xml:space="preserve">(in £) </w:t>
            </w:r>
          </w:p>
        </w:tc>
        <w:tc>
          <w:tcPr>
            <w:tcW w:w="2233" w:type="dxa"/>
            <w:tcBorders>
              <w:top w:val="single" w:sz="4" w:space="0" w:color="auto"/>
              <w:left w:val="nil"/>
              <w:bottom w:val="single" w:sz="4" w:space="0" w:color="auto"/>
              <w:right w:val="single" w:sz="4" w:space="0" w:color="auto"/>
            </w:tcBorders>
            <w:shd w:val="clear" w:color="000000" w:fill="92D050"/>
            <w:vAlign w:val="bottom"/>
            <w:hideMark/>
          </w:tcPr>
          <w:p w:rsidR="007D6A03" w:rsidRPr="00CF428E" w:rsidRDefault="007D6A03" w:rsidP="007D6A03">
            <w:pPr>
              <w:spacing w:after="0"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Accounting Income from Project B</w:t>
            </w:r>
            <w:r w:rsidRPr="00CF428E">
              <w:rPr>
                <w:rFonts w:ascii="Times New Roman" w:eastAsia="Times New Roman" w:hAnsi="Times New Roman" w:cs="Times New Roman"/>
                <w:b/>
                <w:bCs/>
                <w:color w:val="000000"/>
                <w:sz w:val="24"/>
                <w:szCs w:val="24"/>
              </w:rPr>
              <w:t xml:space="preserve"> (in £)</w:t>
            </w:r>
          </w:p>
        </w:tc>
      </w:tr>
      <w:tr w:rsidR="007D6A03" w:rsidRPr="00CF428E" w:rsidTr="007D6A03">
        <w:trPr>
          <w:trHeight w:val="410"/>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 xml:space="preserve">Cash Flow at End of Year 1 </w:t>
            </w:r>
          </w:p>
        </w:tc>
        <w:tc>
          <w:tcPr>
            <w:tcW w:w="2320"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60000</w:t>
            </w:r>
          </w:p>
        </w:tc>
        <w:tc>
          <w:tcPr>
            <w:tcW w:w="2088"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c>
          <w:tcPr>
            <w:tcW w:w="2233"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25000</w:t>
            </w:r>
          </w:p>
        </w:tc>
      </w:tr>
      <w:tr w:rsidR="007D6A03" w:rsidRPr="00CF428E" w:rsidTr="007D6A03">
        <w:trPr>
          <w:trHeight w:val="410"/>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Cash Flow at End of Year 2</w:t>
            </w:r>
          </w:p>
        </w:tc>
        <w:tc>
          <w:tcPr>
            <w:tcW w:w="2320"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60000</w:t>
            </w:r>
          </w:p>
        </w:tc>
        <w:tc>
          <w:tcPr>
            <w:tcW w:w="2088"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c>
          <w:tcPr>
            <w:tcW w:w="2233"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25000</w:t>
            </w:r>
          </w:p>
        </w:tc>
      </w:tr>
      <w:tr w:rsidR="007D6A03" w:rsidRPr="00CF428E" w:rsidTr="007D6A03">
        <w:trPr>
          <w:trHeight w:val="410"/>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Cash Flow at End of Year 3</w:t>
            </w:r>
          </w:p>
        </w:tc>
        <w:tc>
          <w:tcPr>
            <w:tcW w:w="2320"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60000</w:t>
            </w:r>
          </w:p>
        </w:tc>
        <w:tc>
          <w:tcPr>
            <w:tcW w:w="2088"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c>
          <w:tcPr>
            <w:tcW w:w="2233"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25000</w:t>
            </w:r>
          </w:p>
        </w:tc>
      </w:tr>
      <w:tr w:rsidR="007D6A03" w:rsidRPr="00CF428E" w:rsidTr="007D6A03">
        <w:trPr>
          <w:trHeight w:val="410"/>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Cash Flow at End of Year 4</w:t>
            </w:r>
          </w:p>
        </w:tc>
        <w:tc>
          <w:tcPr>
            <w:tcW w:w="2320"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60000</w:t>
            </w:r>
          </w:p>
        </w:tc>
        <w:tc>
          <w:tcPr>
            <w:tcW w:w="2088"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c>
          <w:tcPr>
            <w:tcW w:w="2233"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25000</w:t>
            </w:r>
          </w:p>
        </w:tc>
      </w:tr>
      <w:tr w:rsidR="007D6A03" w:rsidRPr="00CF428E" w:rsidTr="007D6A03">
        <w:trPr>
          <w:trHeight w:val="410"/>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Cash Flow at End of Year 5</w:t>
            </w:r>
          </w:p>
        </w:tc>
        <w:tc>
          <w:tcPr>
            <w:tcW w:w="2320"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60000</w:t>
            </w:r>
          </w:p>
        </w:tc>
        <w:tc>
          <w:tcPr>
            <w:tcW w:w="2088"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c>
          <w:tcPr>
            <w:tcW w:w="2233"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25000</w:t>
            </w:r>
          </w:p>
        </w:tc>
      </w:tr>
      <w:tr w:rsidR="007D6A03" w:rsidRPr="00CF428E" w:rsidTr="007D6A03">
        <w:trPr>
          <w:trHeight w:val="410"/>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Cash Flow at End of Year 6</w:t>
            </w:r>
          </w:p>
        </w:tc>
        <w:tc>
          <w:tcPr>
            <w:tcW w:w="2320"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70000</w:t>
            </w:r>
          </w:p>
        </w:tc>
        <w:tc>
          <w:tcPr>
            <w:tcW w:w="2088"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c>
          <w:tcPr>
            <w:tcW w:w="2233" w:type="dxa"/>
            <w:tcBorders>
              <w:top w:val="nil"/>
              <w:left w:val="nil"/>
              <w:bottom w:val="single" w:sz="4" w:space="0" w:color="auto"/>
              <w:right w:val="single" w:sz="4" w:space="0" w:color="auto"/>
            </w:tcBorders>
            <w:shd w:val="clear" w:color="auto" w:fill="auto"/>
            <w:noWrap/>
            <w:vAlign w:val="bottom"/>
            <w:hideMark/>
          </w:tcPr>
          <w:p w:rsidR="007D6A03" w:rsidRPr="00CF428E" w:rsidRDefault="007D6A03" w:rsidP="007D6A03">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r>
    </w:tbl>
    <w:p w:rsidR="007D6A03" w:rsidRDefault="007D6A03" w:rsidP="007D6A03">
      <w:pPr>
        <w:spacing w:line="360" w:lineRule="auto"/>
        <w:jc w:val="both"/>
        <w:rPr>
          <w:rFonts w:ascii="Times New Roman" w:hAnsi="Times New Roman" w:cs="Times New Roman"/>
          <w:sz w:val="24"/>
          <w:szCs w:val="24"/>
        </w:rPr>
      </w:pPr>
      <w:r w:rsidRPr="00CF428E">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7D6A03" w:rsidRDefault="007D6A03" w:rsidP="007D6A03">
      <w:pPr>
        <w:spacing w:line="360" w:lineRule="auto"/>
        <w:jc w:val="both"/>
        <w:rPr>
          <w:rFonts w:ascii="Times New Roman" w:hAnsi="Times New Roman" w:cs="Times New Roman"/>
          <w:sz w:val="24"/>
          <w:szCs w:val="24"/>
        </w:rPr>
      </w:pPr>
      <w:r w:rsidRPr="00CF428E">
        <w:rPr>
          <w:rFonts w:ascii="Times New Roman" w:hAnsi="Times New Roman" w:cs="Times New Roman"/>
          <w:sz w:val="24"/>
          <w:szCs w:val="24"/>
        </w:rPr>
        <w:t xml:space="preserve">  </w:t>
      </w:r>
      <w:r>
        <w:rPr>
          <w:rFonts w:ascii="Times New Roman" w:hAnsi="Times New Roman" w:cs="Times New Roman"/>
          <w:sz w:val="24"/>
          <w:szCs w:val="24"/>
        </w:rPr>
        <w:t xml:space="preserve">So, Average Accounting Income of Project B </w:t>
      </w: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Calibri" w:hAnsi="Calibri" w:cs="Calibri"/>
          <w:sz w:val="24"/>
          <w:szCs w:val="24"/>
        </w:rPr>
        <w:t>£</w:t>
      </w:r>
      <w:r>
        <w:rPr>
          <w:rFonts w:ascii="Times New Roman" w:hAnsi="Times New Roman" w:cs="Times New Roman"/>
          <w:sz w:val="24"/>
          <w:szCs w:val="24"/>
        </w:rPr>
        <w:t xml:space="preserve"> (25000+25000+25000+25000+ 25000+ 35000)/6</w:t>
      </w: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(160000/6) = </w:t>
      </w:r>
      <w:r>
        <w:rPr>
          <w:rFonts w:ascii="Calibri" w:hAnsi="Calibri" w:cs="Calibri"/>
          <w:sz w:val="24"/>
          <w:szCs w:val="24"/>
        </w:rPr>
        <w:t>£</w:t>
      </w:r>
      <w:r>
        <w:rPr>
          <w:rFonts w:ascii="Times New Roman" w:hAnsi="Times New Roman" w:cs="Times New Roman"/>
          <w:sz w:val="24"/>
          <w:szCs w:val="24"/>
        </w:rPr>
        <w:t xml:space="preserve"> 26666.67</w:t>
      </w:r>
    </w:p>
    <w:p w:rsidR="007D6A03" w:rsidRPr="002F3B5C" w:rsidRDefault="007D6A03" w:rsidP="007D6A03">
      <w:pPr>
        <w:spacing w:line="360" w:lineRule="auto"/>
        <w:jc w:val="both"/>
        <w:rPr>
          <w:rFonts w:ascii="Times New Roman" w:hAnsi="Times New Roman" w:cs="Times New Roman"/>
          <w:b/>
          <w:sz w:val="24"/>
          <w:szCs w:val="24"/>
        </w:rPr>
      </w:pPr>
      <w:r w:rsidRPr="002F3B5C">
        <w:rPr>
          <w:rFonts w:ascii="Times New Roman" w:hAnsi="Times New Roman" w:cs="Times New Roman"/>
          <w:b/>
          <w:sz w:val="24"/>
          <w:szCs w:val="24"/>
        </w:rPr>
        <w:t>Therefore, Accounting Rate return (ARR)</w:t>
      </w:r>
      <w:r>
        <w:rPr>
          <w:rFonts w:ascii="Times New Roman" w:hAnsi="Times New Roman" w:cs="Times New Roman"/>
          <w:b/>
          <w:sz w:val="24"/>
          <w:szCs w:val="24"/>
        </w:rPr>
        <w:t xml:space="preserve"> of Project B </w:t>
      </w: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 Average Accounting Income / Initial Investment </w:t>
      </w: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26666.67/ 220000</w:t>
      </w:r>
    </w:p>
    <w:p w:rsidR="007D6A03" w:rsidRDefault="007D6A03" w:rsidP="007D6A03">
      <w:pPr>
        <w:spacing w:line="360" w:lineRule="auto"/>
        <w:jc w:val="both"/>
        <w:rPr>
          <w:rFonts w:ascii="Times New Roman" w:hAnsi="Times New Roman" w:cs="Times New Roman"/>
          <w:sz w:val="24"/>
          <w:szCs w:val="24"/>
        </w:rPr>
      </w:pPr>
      <w:r>
        <w:rPr>
          <w:rFonts w:ascii="Times New Roman" w:hAnsi="Times New Roman" w:cs="Times New Roman"/>
          <w:sz w:val="24"/>
          <w:szCs w:val="24"/>
        </w:rPr>
        <w:t>= 12.12%</w:t>
      </w:r>
    </w:p>
    <w:p w:rsidR="007D6A03" w:rsidRDefault="007D6A03" w:rsidP="007D6A03">
      <w:pPr>
        <w:pStyle w:val="Heading1"/>
      </w:pPr>
      <w:r w:rsidRPr="00CF428E">
        <w:t xml:space="preserve">  </w:t>
      </w:r>
    </w:p>
    <w:p w:rsidR="007D6A03" w:rsidRDefault="007D6A03" w:rsidP="007D6A03"/>
    <w:p w:rsidR="007D6A03" w:rsidRDefault="007D6A03" w:rsidP="007D6A03"/>
    <w:p w:rsidR="007D6A03" w:rsidRPr="009752C2" w:rsidRDefault="007D6A03" w:rsidP="007D6A03"/>
    <w:p w:rsidR="007D6A03" w:rsidRDefault="007D6A03" w:rsidP="007D6A03">
      <w:pPr>
        <w:pStyle w:val="Heading1"/>
        <w:jc w:val="both"/>
      </w:pPr>
      <w:bookmarkStart w:id="24" w:name="_Toc511995353"/>
      <w:r>
        <w:lastRenderedPageBreak/>
        <w:t xml:space="preserve">Part C: </w:t>
      </w:r>
    </w:p>
    <w:p w:rsidR="007D6A03" w:rsidRDefault="007D6A03" w:rsidP="007D6A03">
      <w:pPr>
        <w:pStyle w:val="Heading1"/>
        <w:jc w:val="both"/>
      </w:pPr>
      <w:r>
        <w:t xml:space="preserve"> Evaluation of the result of part (a) and (b) and recommending with reasons which project should be adopted:</w:t>
      </w:r>
      <w:bookmarkEnd w:id="24"/>
    </w:p>
    <w:p w:rsidR="007D6A03" w:rsidRDefault="007D6A03" w:rsidP="007D6A03">
      <w:pPr>
        <w:spacing w:line="480" w:lineRule="auto"/>
        <w:jc w:val="both"/>
        <w:rPr>
          <w:rFonts w:ascii="Times New Roman" w:hAnsi="Times New Roman" w:cs="Times New Roman"/>
          <w:sz w:val="24"/>
          <w:szCs w:val="24"/>
        </w:rPr>
      </w:pPr>
    </w:p>
    <w:p w:rsidR="007D6A03" w:rsidRDefault="007D6A03" w:rsidP="007D6A0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can be evaluated from the calculation of the payback period of project A and project B, that the result of Payback period of project A is 3. 55 years and that for project B is 3.66. Therefore it can be rightly evaluated </w:t>
      </w:r>
      <w:r w:rsidR="008B1D3B">
        <w:rPr>
          <w:rFonts w:ascii="Times New Roman" w:hAnsi="Times New Roman" w:cs="Times New Roman"/>
          <w:sz w:val="24"/>
          <w:szCs w:val="24"/>
        </w:rPr>
        <w:t xml:space="preserve">that </w:t>
      </w:r>
      <w:r>
        <w:rPr>
          <w:rFonts w:ascii="Times New Roman" w:hAnsi="Times New Roman" w:cs="Times New Roman"/>
          <w:sz w:val="24"/>
          <w:szCs w:val="24"/>
        </w:rPr>
        <w:t xml:space="preserve">project A has been recovering the initial investment quickly as compared to project B. On the other hand, it could also be observed from the calculation </w:t>
      </w:r>
      <w:r w:rsidR="008B1D3B">
        <w:rPr>
          <w:rFonts w:ascii="Times New Roman" w:hAnsi="Times New Roman" w:cs="Times New Roman"/>
          <w:sz w:val="24"/>
          <w:szCs w:val="24"/>
        </w:rPr>
        <w:t>that NPV</w:t>
      </w:r>
      <w:r>
        <w:rPr>
          <w:rFonts w:ascii="Times New Roman" w:hAnsi="Times New Roman" w:cs="Times New Roman"/>
          <w:sz w:val="24"/>
          <w:szCs w:val="24"/>
        </w:rPr>
        <w:t xml:space="preserve"> of the project </w:t>
      </w:r>
      <w:r w:rsidR="008B1D3B">
        <w:rPr>
          <w:rFonts w:ascii="Times New Roman" w:hAnsi="Times New Roman" w:cs="Times New Roman"/>
          <w:sz w:val="24"/>
          <w:szCs w:val="24"/>
        </w:rPr>
        <w:t xml:space="preserve">A is </w:t>
      </w:r>
      <w:r w:rsidR="008B1D3B" w:rsidRPr="003F1E23">
        <w:rPr>
          <w:rFonts w:ascii="Times New Roman" w:hAnsi="Times New Roman" w:cs="Times New Roman"/>
          <w:sz w:val="24"/>
          <w:szCs w:val="24"/>
        </w:rPr>
        <w:t>£</w:t>
      </w:r>
      <w:r w:rsidRPr="003F1E23">
        <w:rPr>
          <w:rFonts w:ascii="Times New Roman" w:hAnsi="Times New Roman" w:cs="Times New Roman"/>
          <w:sz w:val="24"/>
          <w:szCs w:val="24"/>
        </w:rPr>
        <w:t>67818.5</w:t>
      </w:r>
      <w:r>
        <w:rPr>
          <w:rFonts w:ascii="Times New Roman" w:hAnsi="Times New Roman" w:cs="Times New Roman"/>
          <w:sz w:val="24"/>
          <w:szCs w:val="24"/>
        </w:rPr>
        <w:t xml:space="preserve"> and that for project B is </w:t>
      </w:r>
      <w:r w:rsidRPr="003F1E23">
        <w:rPr>
          <w:rFonts w:ascii="Times New Roman" w:hAnsi="Times New Roman" w:cs="Times New Roman"/>
          <w:sz w:val="24"/>
          <w:szCs w:val="24"/>
        </w:rPr>
        <w:t>£72653</w:t>
      </w:r>
      <w:r>
        <w:rPr>
          <w:rFonts w:ascii="Times New Roman" w:hAnsi="Times New Roman" w:cs="Times New Roman"/>
          <w:sz w:val="24"/>
          <w:szCs w:val="24"/>
        </w:rPr>
        <w:t xml:space="preserve">. So considering the aspect of absolute net cash flows in present value </w:t>
      </w:r>
      <w:r w:rsidR="008B1D3B">
        <w:rPr>
          <w:rFonts w:ascii="Times New Roman" w:hAnsi="Times New Roman" w:cs="Times New Roman"/>
          <w:sz w:val="24"/>
          <w:szCs w:val="24"/>
        </w:rPr>
        <w:t>terms,</w:t>
      </w:r>
      <w:r>
        <w:rPr>
          <w:rFonts w:ascii="Times New Roman" w:hAnsi="Times New Roman" w:cs="Times New Roman"/>
          <w:sz w:val="24"/>
          <w:szCs w:val="24"/>
        </w:rPr>
        <w:t xml:space="preserve"> it could be evaluated </w:t>
      </w:r>
      <w:r w:rsidR="008B1D3B">
        <w:rPr>
          <w:rFonts w:ascii="Times New Roman" w:hAnsi="Times New Roman" w:cs="Times New Roman"/>
          <w:sz w:val="24"/>
          <w:szCs w:val="24"/>
        </w:rPr>
        <w:t>that project</w:t>
      </w:r>
      <w:r>
        <w:rPr>
          <w:rFonts w:ascii="Times New Roman" w:hAnsi="Times New Roman" w:cs="Times New Roman"/>
          <w:sz w:val="24"/>
          <w:szCs w:val="24"/>
        </w:rPr>
        <w:t xml:space="preserve"> B is fetching better net cash flow in present value term.</w:t>
      </w:r>
    </w:p>
    <w:p w:rsidR="007D6A03" w:rsidRDefault="007D6A03" w:rsidP="007D6A0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Moreover, from the calculation of ARR; it could also be noticed that the ARR of project A is 15.62% while the ARR of Project B is 12.12%. So considering the aspect of accounting rate of return from the project, it could be adjudged that Project A is fetching better accounting profit as compared to </w:t>
      </w:r>
    </w:p>
    <w:p w:rsidR="007D6A03" w:rsidRDefault="007D6A03" w:rsidP="007D6A0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could be evaluated that project A is fetching quicker recovery of the initial capital while project B is providing better cash flow in present value terms considering cost of capital at 7%. While again Project A is also fetching a better accounting rate of return. Therefore, as a matter of the fact , out of the 3 investment appraisal techniques that has been applied, the two investment appraisal technique, ie, payback period and Accounting Rate of Return (ARR) has provided better result for project A.  It is only the investment appraisal technique of NPV approach as produced a better result for Project B with a better cash flow in present terms. </w:t>
      </w:r>
    </w:p>
    <w:p w:rsidR="007D6A03" w:rsidRDefault="007D6A03" w:rsidP="007D6A0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But considering the aspect of recommending the most appropriate project for investment to Mr. Mintro, it would be most appropriate to recommend project B for investment which has a better Net present value (NPV) result with a NPV value of </w:t>
      </w:r>
      <w:r w:rsidRPr="003F1E23">
        <w:rPr>
          <w:rFonts w:ascii="Times New Roman" w:hAnsi="Times New Roman" w:cs="Times New Roman"/>
          <w:sz w:val="24"/>
          <w:szCs w:val="24"/>
        </w:rPr>
        <w:t>£72653</w:t>
      </w:r>
      <w:r>
        <w:rPr>
          <w:rFonts w:ascii="Times New Roman" w:hAnsi="Times New Roman" w:cs="Times New Roman"/>
          <w:sz w:val="24"/>
          <w:szCs w:val="24"/>
        </w:rPr>
        <w:t>. It is mainly because, NPV as a technique considers the aspect of time value of money through discounting the cash inflows with an appropriate cost of capital or discount rate</w:t>
      </w:r>
      <w:r w:rsidRPr="00912E1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C20F8E">
        <w:rPr>
          <w:rFonts w:ascii="Times New Roman" w:hAnsi="Times New Roman" w:cs="Times New Roman"/>
          <w:color w:val="222222"/>
          <w:sz w:val="24"/>
          <w:szCs w:val="24"/>
          <w:shd w:val="clear" w:color="auto" w:fill="FFFFFF"/>
        </w:rPr>
        <w:t>Truong, Partington, and Peat, 2008</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While on the other hand the investment appraisal technique of payback period and ARR does not considers the critical factor of time value of money. The aspect of considering time value of money is critically important as today’s worth or purchasing power of the money is normally better than future worth of same amount of money due to various factors which devalue the money. So it is recommended that Project B must be undertaken for investment by Patel Mintro for investment as this particular manufacturing project is fetching a better cash inflow to him in present value terms as compared to project A. </w:t>
      </w:r>
    </w:p>
    <w:p w:rsidR="007D6A03" w:rsidRDefault="007D6A03" w:rsidP="007D6A03">
      <w:pPr>
        <w:spacing w:line="480" w:lineRule="auto"/>
        <w:jc w:val="both"/>
        <w:rPr>
          <w:rFonts w:ascii="Times New Roman" w:hAnsi="Times New Roman" w:cs="Times New Roman"/>
          <w:sz w:val="24"/>
          <w:szCs w:val="24"/>
        </w:rPr>
      </w:pPr>
    </w:p>
    <w:p w:rsidR="007D6A03" w:rsidRPr="00AB1E74" w:rsidRDefault="007D6A03" w:rsidP="007D6A03">
      <w:pPr>
        <w:pStyle w:val="Heading1"/>
        <w:rPr>
          <w:szCs w:val="24"/>
        </w:rPr>
      </w:pPr>
      <w:bookmarkStart w:id="25" w:name="_Toc511995354"/>
      <w:r w:rsidRPr="00AB1E74">
        <w:rPr>
          <w:szCs w:val="24"/>
        </w:rPr>
        <w:t>Part d:</w:t>
      </w:r>
      <w:bookmarkEnd w:id="25"/>
    </w:p>
    <w:p w:rsidR="007D6A03" w:rsidRPr="00AB1E74" w:rsidRDefault="007D6A03" w:rsidP="007D6A03">
      <w:pPr>
        <w:pStyle w:val="Heading1"/>
        <w:jc w:val="both"/>
      </w:pPr>
      <w:bookmarkStart w:id="26" w:name="_Toc511995355"/>
      <w:r w:rsidRPr="00AB1E74">
        <w:t>Critical Evaluation of the advantages and disadvantages of the payback period and NPV techniques of project appraisal:</w:t>
      </w:r>
      <w:bookmarkEnd w:id="26"/>
    </w:p>
    <w:p w:rsidR="007D6A03" w:rsidRPr="00AB1E74"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r w:rsidRPr="00AB1E74">
        <w:rPr>
          <w:rFonts w:ascii="Times New Roman" w:hAnsi="Times New Roman" w:cs="Times New Roman"/>
          <w:color w:val="000000" w:themeColor="text1"/>
          <w:sz w:val="24"/>
          <w:szCs w:val="24"/>
        </w:rPr>
        <w:t>This section of the report, will try to provide a comprehensive analysis of the advantages and disadvantages of the project evaluation technique such as Payback period and Net Present Value (NPV). The advantages and disadvantages of both the techniques are depicted below:</w:t>
      </w:r>
    </w:p>
    <w:p w:rsidR="00695046" w:rsidRDefault="00695046" w:rsidP="007D6A03">
      <w:pPr>
        <w:spacing w:line="360" w:lineRule="auto"/>
        <w:jc w:val="both"/>
        <w:rPr>
          <w:rFonts w:ascii="Times New Roman" w:hAnsi="Times New Roman" w:cs="Times New Roman"/>
          <w:color w:val="000000" w:themeColor="text1"/>
          <w:sz w:val="24"/>
          <w:szCs w:val="24"/>
        </w:rPr>
      </w:pPr>
    </w:p>
    <w:p w:rsidR="00695046" w:rsidRPr="00AB1E74" w:rsidRDefault="00695046" w:rsidP="007D6A03">
      <w:pPr>
        <w:spacing w:line="360" w:lineRule="auto"/>
        <w:jc w:val="both"/>
        <w:rPr>
          <w:rFonts w:ascii="Times New Roman" w:hAnsi="Times New Roman" w:cs="Times New Roman"/>
          <w:color w:val="000000" w:themeColor="text1"/>
          <w:sz w:val="24"/>
          <w:szCs w:val="24"/>
        </w:rPr>
      </w:pPr>
    </w:p>
    <w:p w:rsidR="007D6A03" w:rsidRPr="00AB1E74" w:rsidRDefault="007D6A03" w:rsidP="007D6A03">
      <w:pPr>
        <w:spacing w:line="360" w:lineRule="auto"/>
        <w:jc w:val="both"/>
        <w:rPr>
          <w:rFonts w:ascii="Times New Roman" w:hAnsi="Times New Roman" w:cs="Times New Roman"/>
          <w:b/>
          <w:color w:val="000000" w:themeColor="text1"/>
          <w:sz w:val="28"/>
          <w:szCs w:val="28"/>
          <w:u w:val="single"/>
        </w:rPr>
      </w:pPr>
      <w:r w:rsidRPr="00AB1E74">
        <w:rPr>
          <w:rFonts w:ascii="Times New Roman" w:hAnsi="Times New Roman" w:cs="Times New Roman"/>
          <w:b/>
          <w:color w:val="000000" w:themeColor="text1"/>
          <w:sz w:val="28"/>
          <w:szCs w:val="28"/>
          <w:u w:val="single"/>
        </w:rPr>
        <w:lastRenderedPageBreak/>
        <w:t xml:space="preserve"> Advantages and Disadvantages of Payback period:</w:t>
      </w:r>
    </w:p>
    <w:p w:rsidR="007D6A03" w:rsidRPr="00AB1E74" w:rsidRDefault="007D6A03" w:rsidP="007D6A03">
      <w:pPr>
        <w:spacing w:line="360" w:lineRule="auto"/>
        <w:jc w:val="both"/>
        <w:rPr>
          <w:rFonts w:ascii="Times New Roman" w:hAnsi="Times New Roman" w:cs="Times New Roman"/>
          <w:b/>
          <w:color w:val="000000" w:themeColor="text1"/>
          <w:sz w:val="24"/>
          <w:szCs w:val="24"/>
          <w:u w:val="single"/>
        </w:rPr>
      </w:pPr>
      <w:r w:rsidRPr="00AB1E74">
        <w:rPr>
          <w:rFonts w:ascii="Times New Roman" w:hAnsi="Times New Roman" w:cs="Times New Roman"/>
          <w:b/>
          <w:color w:val="000000" w:themeColor="text1"/>
          <w:sz w:val="24"/>
          <w:szCs w:val="24"/>
          <w:u w:val="single"/>
        </w:rPr>
        <w:t xml:space="preserve">Advantages: </w:t>
      </w:r>
    </w:p>
    <w:p w:rsidR="007D6A03" w:rsidRPr="00AB1E74" w:rsidRDefault="007D6A03" w:rsidP="007D6A03">
      <w:pPr>
        <w:spacing w:line="360" w:lineRule="auto"/>
        <w:jc w:val="both"/>
        <w:rPr>
          <w:rFonts w:ascii="Times New Roman" w:hAnsi="Times New Roman" w:cs="Times New Roman"/>
          <w:color w:val="000000" w:themeColor="text1"/>
          <w:sz w:val="24"/>
          <w:szCs w:val="24"/>
        </w:rPr>
      </w:pPr>
      <w:r w:rsidRPr="00AB1E74">
        <w:rPr>
          <w:rFonts w:ascii="Times New Roman" w:hAnsi="Times New Roman" w:cs="Times New Roman"/>
          <w:color w:val="000000" w:themeColor="text1"/>
          <w:sz w:val="24"/>
          <w:szCs w:val="24"/>
        </w:rPr>
        <w:t xml:space="preserve">The main advantages of the investment appraisal technique of payback period is that is the only project evaluation technique which helps in determination of the required time to recover the initial investment that is done in the project. Therefore, since </w:t>
      </w:r>
      <w:r w:rsidR="008B1D3B" w:rsidRPr="00AB1E74">
        <w:rPr>
          <w:rFonts w:ascii="Times New Roman" w:hAnsi="Times New Roman" w:cs="Times New Roman"/>
          <w:color w:val="000000" w:themeColor="text1"/>
          <w:sz w:val="24"/>
          <w:szCs w:val="24"/>
        </w:rPr>
        <w:t>investor’s</w:t>
      </w:r>
      <w:r w:rsidRPr="00AB1E74">
        <w:rPr>
          <w:rFonts w:ascii="Times New Roman" w:hAnsi="Times New Roman" w:cs="Times New Roman"/>
          <w:color w:val="000000" w:themeColor="text1"/>
          <w:sz w:val="24"/>
          <w:szCs w:val="24"/>
        </w:rPr>
        <w:t xml:space="preserve"> pours money in a project, it help to adjudge the time that will be taken for recovery of the invested amount and hence acts as </w:t>
      </w:r>
      <w:r w:rsidR="00695046" w:rsidRPr="00AB1E74">
        <w:rPr>
          <w:rFonts w:ascii="Times New Roman" w:hAnsi="Times New Roman" w:cs="Times New Roman"/>
          <w:color w:val="000000" w:themeColor="text1"/>
          <w:sz w:val="24"/>
          <w:szCs w:val="24"/>
        </w:rPr>
        <w:t>an</w:t>
      </w:r>
      <w:r w:rsidRPr="00AB1E74">
        <w:rPr>
          <w:rFonts w:ascii="Times New Roman" w:hAnsi="Times New Roman" w:cs="Times New Roman"/>
          <w:color w:val="000000" w:themeColor="text1"/>
          <w:sz w:val="24"/>
          <w:szCs w:val="24"/>
        </w:rPr>
        <w:t xml:space="preserve"> effective tool for the investors. So in essence it helps to weed out risky projects which has a considerable longer recovery time for invested amount</w:t>
      </w:r>
      <w:r w:rsidRPr="00912E1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C20F8E">
        <w:rPr>
          <w:rFonts w:ascii="Times New Roman" w:hAnsi="Times New Roman" w:cs="Times New Roman"/>
          <w:color w:val="222222"/>
          <w:sz w:val="24"/>
          <w:szCs w:val="24"/>
          <w:shd w:val="clear" w:color="auto" w:fill="FFFFFF"/>
        </w:rPr>
        <w:t>Lefley, 2005</w:t>
      </w:r>
      <w:r>
        <w:rPr>
          <w:rFonts w:ascii="Times New Roman" w:hAnsi="Times New Roman" w:cs="Times New Roman"/>
          <w:color w:val="222222"/>
          <w:sz w:val="24"/>
          <w:szCs w:val="24"/>
          <w:shd w:val="clear" w:color="auto" w:fill="FFFFFF"/>
        </w:rPr>
        <w:t>)</w:t>
      </w:r>
      <w:r w:rsidRPr="00AB1E74">
        <w:rPr>
          <w:rFonts w:ascii="Times New Roman" w:hAnsi="Times New Roman" w:cs="Times New Roman"/>
          <w:color w:val="000000" w:themeColor="text1"/>
          <w:sz w:val="24"/>
          <w:szCs w:val="24"/>
        </w:rPr>
        <w:t xml:space="preserve">. </w:t>
      </w:r>
    </w:p>
    <w:p w:rsidR="007D6A03" w:rsidRPr="00AB1E74" w:rsidRDefault="007D6A03" w:rsidP="007D6A03">
      <w:pPr>
        <w:spacing w:line="360" w:lineRule="auto"/>
        <w:jc w:val="both"/>
        <w:rPr>
          <w:rFonts w:ascii="Times New Roman" w:hAnsi="Times New Roman" w:cs="Times New Roman"/>
          <w:color w:val="000000" w:themeColor="text1"/>
          <w:sz w:val="24"/>
          <w:szCs w:val="24"/>
        </w:rPr>
      </w:pPr>
      <w:r w:rsidRPr="00AB1E74">
        <w:rPr>
          <w:rFonts w:ascii="Times New Roman" w:hAnsi="Times New Roman" w:cs="Times New Roman"/>
          <w:color w:val="000000" w:themeColor="text1"/>
          <w:sz w:val="24"/>
          <w:szCs w:val="24"/>
        </w:rPr>
        <w:t xml:space="preserve">Another advantages of payback period is that it is extremely simple to understand and easy to calculate. Therefore, it helps investors to </w:t>
      </w:r>
    </w:p>
    <w:p w:rsidR="007D6A03" w:rsidRPr="00AB1E74" w:rsidRDefault="007D6A03" w:rsidP="007D6A03">
      <w:pPr>
        <w:spacing w:line="360" w:lineRule="auto"/>
        <w:jc w:val="both"/>
        <w:rPr>
          <w:rFonts w:ascii="Times New Roman" w:hAnsi="Times New Roman" w:cs="Times New Roman"/>
          <w:b/>
          <w:color w:val="000000" w:themeColor="text1"/>
          <w:sz w:val="24"/>
          <w:szCs w:val="24"/>
          <w:u w:val="single"/>
        </w:rPr>
      </w:pPr>
      <w:r w:rsidRPr="00AB1E74">
        <w:rPr>
          <w:rFonts w:ascii="Times New Roman" w:hAnsi="Times New Roman" w:cs="Times New Roman"/>
          <w:b/>
          <w:color w:val="000000" w:themeColor="text1"/>
          <w:sz w:val="24"/>
          <w:szCs w:val="24"/>
          <w:u w:val="single"/>
        </w:rPr>
        <w:t>Disadvantages:</w:t>
      </w:r>
    </w:p>
    <w:p w:rsidR="007D6A03" w:rsidRPr="00AB1E74" w:rsidRDefault="007D6A03" w:rsidP="007D6A03">
      <w:pPr>
        <w:spacing w:line="360" w:lineRule="auto"/>
        <w:jc w:val="both"/>
        <w:rPr>
          <w:rFonts w:ascii="Times New Roman" w:hAnsi="Times New Roman" w:cs="Times New Roman"/>
          <w:color w:val="000000" w:themeColor="text1"/>
          <w:sz w:val="24"/>
          <w:szCs w:val="24"/>
        </w:rPr>
      </w:pPr>
      <w:r w:rsidRPr="00AB1E74">
        <w:rPr>
          <w:rFonts w:ascii="Times New Roman" w:hAnsi="Times New Roman" w:cs="Times New Roman"/>
          <w:color w:val="000000" w:themeColor="text1"/>
          <w:sz w:val="24"/>
          <w:szCs w:val="24"/>
        </w:rPr>
        <w:t xml:space="preserve">The major disadvantage of this particular project evaluation technique is that it does not takes into account of the aspect of time value of money by proper discounting the cash flows. It is noteworthy to mention that today’s value of money has a greater purchasing power rather than money of the future. So it is important to </w:t>
      </w:r>
      <w:r w:rsidR="008B1D3B" w:rsidRPr="00AB1E74">
        <w:rPr>
          <w:rFonts w:ascii="Times New Roman" w:hAnsi="Times New Roman" w:cs="Times New Roman"/>
          <w:color w:val="000000" w:themeColor="text1"/>
          <w:sz w:val="24"/>
          <w:szCs w:val="24"/>
        </w:rPr>
        <w:t>consider</w:t>
      </w:r>
      <w:r w:rsidRPr="00AB1E74">
        <w:rPr>
          <w:rFonts w:ascii="Times New Roman" w:hAnsi="Times New Roman" w:cs="Times New Roman"/>
          <w:color w:val="000000" w:themeColor="text1"/>
          <w:sz w:val="24"/>
          <w:szCs w:val="24"/>
        </w:rPr>
        <w:t xml:space="preserve"> the aspect of time value of money. Another major disadvantage of this technique is that this particular technique ignores the cash flow received after the payback period and therefore it essentially neglects the project capability to generate cash flows at the later stages</w:t>
      </w:r>
      <w:r w:rsidRPr="00912E1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C20F8E">
        <w:rPr>
          <w:rFonts w:ascii="Times New Roman" w:hAnsi="Times New Roman" w:cs="Times New Roman"/>
          <w:color w:val="222222"/>
          <w:sz w:val="24"/>
          <w:szCs w:val="24"/>
          <w:shd w:val="clear" w:color="auto" w:fill="FFFFFF"/>
        </w:rPr>
        <w:t>Carmichael, 2011</w:t>
      </w:r>
      <w:r>
        <w:rPr>
          <w:rFonts w:ascii="Times New Roman" w:hAnsi="Times New Roman" w:cs="Times New Roman"/>
          <w:color w:val="222222"/>
          <w:sz w:val="24"/>
          <w:szCs w:val="24"/>
          <w:shd w:val="clear" w:color="auto" w:fill="FFFFFF"/>
        </w:rPr>
        <w:t>)</w:t>
      </w:r>
      <w:r w:rsidRPr="00AB1E74">
        <w:rPr>
          <w:rFonts w:ascii="Times New Roman" w:hAnsi="Times New Roman" w:cs="Times New Roman"/>
          <w:color w:val="000000" w:themeColor="text1"/>
          <w:sz w:val="24"/>
          <w:szCs w:val="24"/>
        </w:rPr>
        <w:t xml:space="preserve">. This particular technique also ignores aspect of projects potential of profitability and therefore does not considers the ROI generated from the project and rather only considers the recovery time of the initial investment. </w:t>
      </w:r>
    </w:p>
    <w:p w:rsidR="007D6A03" w:rsidRPr="00AB1E74" w:rsidRDefault="007D6A03" w:rsidP="007D6A03">
      <w:pPr>
        <w:spacing w:line="360" w:lineRule="auto"/>
        <w:jc w:val="both"/>
        <w:rPr>
          <w:rFonts w:ascii="Times New Roman" w:hAnsi="Times New Roman" w:cs="Times New Roman"/>
          <w:b/>
          <w:color w:val="000000" w:themeColor="text1"/>
          <w:sz w:val="28"/>
          <w:szCs w:val="28"/>
          <w:u w:val="single"/>
        </w:rPr>
      </w:pPr>
      <w:r w:rsidRPr="00AB1E74">
        <w:rPr>
          <w:rFonts w:ascii="Times New Roman" w:hAnsi="Times New Roman" w:cs="Times New Roman"/>
          <w:b/>
          <w:color w:val="000000" w:themeColor="text1"/>
          <w:sz w:val="28"/>
          <w:szCs w:val="28"/>
          <w:u w:val="single"/>
        </w:rPr>
        <w:t>Advantages and Disadvantages of Net present value  (NPV):</w:t>
      </w:r>
    </w:p>
    <w:p w:rsidR="007D6A03" w:rsidRPr="00AB1E74" w:rsidRDefault="007D6A03" w:rsidP="007D6A03">
      <w:pPr>
        <w:spacing w:line="360" w:lineRule="auto"/>
        <w:jc w:val="both"/>
        <w:rPr>
          <w:rFonts w:ascii="Times New Roman" w:hAnsi="Times New Roman" w:cs="Times New Roman"/>
          <w:b/>
          <w:color w:val="000000" w:themeColor="text1"/>
          <w:sz w:val="24"/>
          <w:szCs w:val="24"/>
        </w:rPr>
      </w:pPr>
      <w:r w:rsidRPr="00AB1E74">
        <w:rPr>
          <w:rFonts w:ascii="Times New Roman" w:hAnsi="Times New Roman" w:cs="Times New Roman"/>
          <w:b/>
          <w:color w:val="000000" w:themeColor="text1"/>
          <w:sz w:val="24"/>
          <w:szCs w:val="24"/>
        </w:rPr>
        <w:t>Advantages of NPV:</w:t>
      </w:r>
    </w:p>
    <w:p w:rsidR="007D6A03" w:rsidRPr="00AB1E74" w:rsidRDefault="007D6A03" w:rsidP="007D6A03">
      <w:pPr>
        <w:spacing w:line="360" w:lineRule="auto"/>
        <w:jc w:val="both"/>
        <w:rPr>
          <w:rFonts w:ascii="Times New Roman" w:hAnsi="Times New Roman" w:cs="Times New Roman"/>
          <w:color w:val="000000" w:themeColor="text1"/>
          <w:sz w:val="24"/>
          <w:szCs w:val="24"/>
        </w:rPr>
      </w:pPr>
      <w:r w:rsidRPr="00AB1E74">
        <w:rPr>
          <w:rFonts w:ascii="Times New Roman" w:hAnsi="Times New Roman" w:cs="Times New Roman"/>
          <w:color w:val="000000" w:themeColor="text1"/>
          <w:sz w:val="24"/>
          <w:szCs w:val="24"/>
        </w:rPr>
        <w:t xml:space="preserve">The prime advantage of NPV as project evaluation technique is that it considers the as aspect of time value of money. Therefore all the cash inflows and cash outflows associated with a project are discounted with </w:t>
      </w:r>
      <w:r w:rsidR="008B1D3B" w:rsidRPr="00AB1E74">
        <w:rPr>
          <w:rFonts w:ascii="Times New Roman" w:hAnsi="Times New Roman" w:cs="Times New Roman"/>
          <w:color w:val="000000" w:themeColor="text1"/>
          <w:sz w:val="24"/>
          <w:szCs w:val="24"/>
        </w:rPr>
        <w:t>appropriate discount</w:t>
      </w:r>
      <w:r w:rsidRPr="00AB1E74">
        <w:rPr>
          <w:rFonts w:ascii="Times New Roman" w:hAnsi="Times New Roman" w:cs="Times New Roman"/>
          <w:color w:val="000000" w:themeColor="text1"/>
          <w:sz w:val="24"/>
          <w:szCs w:val="24"/>
        </w:rPr>
        <w:t xml:space="preserve"> rate. So essentially this technique considers the all the cash flows that are associated with the project which is another advantage of this project </w:t>
      </w:r>
      <w:r w:rsidRPr="00AB1E74">
        <w:rPr>
          <w:rFonts w:ascii="Times New Roman" w:hAnsi="Times New Roman" w:cs="Times New Roman"/>
          <w:color w:val="000000" w:themeColor="text1"/>
          <w:sz w:val="24"/>
          <w:szCs w:val="24"/>
        </w:rPr>
        <w:lastRenderedPageBreak/>
        <w:t>evaluation technique</w:t>
      </w:r>
      <w:r w:rsidRPr="00912E1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C20F8E">
        <w:rPr>
          <w:rFonts w:ascii="Times New Roman" w:hAnsi="Times New Roman" w:cs="Times New Roman"/>
          <w:color w:val="222222"/>
          <w:sz w:val="24"/>
          <w:szCs w:val="24"/>
          <w:shd w:val="clear" w:color="auto" w:fill="FFFFFF"/>
        </w:rPr>
        <w:t>Bierman Jr, and Smidt, 2012</w:t>
      </w:r>
      <w:r>
        <w:rPr>
          <w:rFonts w:ascii="Times New Roman" w:hAnsi="Times New Roman" w:cs="Times New Roman"/>
          <w:color w:val="222222"/>
          <w:sz w:val="24"/>
          <w:szCs w:val="24"/>
          <w:shd w:val="clear" w:color="auto" w:fill="FFFFFF"/>
        </w:rPr>
        <w:t>)</w:t>
      </w:r>
      <w:r w:rsidRPr="00AB1E74">
        <w:rPr>
          <w:rFonts w:ascii="Times New Roman" w:hAnsi="Times New Roman" w:cs="Times New Roman"/>
          <w:color w:val="000000" w:themeColor="text1"/>
          <w:sz w:val="24"/>
          <w:szCs w:val="24"/>
        </w:rPr>
        <w:t xml:space="preserve">. Moreover, this particular technique helps to determine the net cash flow that is estimated from the project in present value terms. </w:t>
      </w:r>
    </w:p>
    <w:p w:rsidR="007D6A03" w:rsidRPr="00AB1E74" w:rsidRDefault="007D6A03" w:rsidP="007D6A03">
      <w:pPr>
        <w:spacing w:line="360" w:lineRule="auto"/>
        <w:jc w:val="both"/>
        <w:rPr>
          <w:rFonts w:ascii="Times New Roman" w:hAnsi="Times New Roman" w:cs="Times New Roman"/>
          <w:b/>
          <w:color w:val="000000" w:themeColor="text1"/>
          <w:sz w:val="24"/>
          <w:szCs w:val="24"/>
        </w:rPr>
      </w:pPr>
      <w:r w:rsidRPr="00AB1E74">
        <w:rPr>
          <w:rFonts w:ascii="Times New Roman" w:hAnsi="Times New Roman" w:cs="Times New Roman"/>
          <w:b/>
          <w:color w:val="000000" w:themeColor="text1"/>
          <w:sz w:val="24"/>
          <w:szCs w:val="24"/>
        </w:rPr>
        <w:t>Disadvantages of NPV:</w:t>
      </w:r>
    </w:p>
    <w:p w:rsidR="007D6A03" w:rsidRDefault="007D6A03" w:rsidP="007D6A03">
      <w:pPr>
        <w:spacing w:line="360" w:lineRule="auto"/>
        <w:jc w:val="both"/>
        <w:rPr>
          <w:rFonts w:ascii="Times New Roman" w:hAnsi="Times New Roman" w:cs="Times New Roman"/>
          <w:color w:val="000000" w:themeColor="text1"/>
          <w:sz w:val="24"/>
          <w:szCs w:val="24"/>
        </w:rPr>
      </w:pPr>
      <w:r w:rsidRPr="00AB1E74">
        <w:rPr>
          <w:rFonts w:ascii="Times New Roman" w:hAnsi="Times New Roman" w:cs="Times New Roman"/>
          <w:color w:val="000000" w:themeColor="text1"/>
          <w:sz w:val="24"/>
          <w:szCs w:val="24"/>
        </w:rPr>
        <w:t>The major disadvantages of NPV as a technique is that it this technique is difficult to calculate and can only be done by a proper financial expert. Moreover, the NPV is highly reliant on assuming an appropriate discount rate and considering a low discount rate conside</w:t>
      </w:r>
      <w:r>
        <w:rPr>
          <w:rFonts w:ascii="Times New Roman" w:hAnsi="Times New Roman" w:cs="Times New Roman"/>
          <w:color w:val="000000" w:themeColor="text1"/>
          <w:sz w:val="24"/>
          <w:szCs w:val="24"/>
        </w:rPr>
        <w:t>ring the prevailing cost of cap</w:t>
      </w:r>
      <w:r w:rsidRPr="00AB1E74">
        <w:rPr>
          <w:rFonts w:ascii="Times New Roman" w:hAnsi="Times New Roman" w:cs="Times New Roman"/>
          <w:color w:val="000000" w:themeColor="text1"/>
          <w:sz w:val="24"/>
          <w:szCs w:val="24"/>
        </w:rPr>
        <w:t>ital can result in generation of misleading result</w:t>
      </w:r>
      <w:r w:rsidRPr="00912E1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C20F8E">
        <w:rPr>
          <w:rFonts w:ascii="Times New Roman" w:hAnsi="Times New Roman" w:cs="Times New Roman"/>
          <w:color w:val="222222"/>
          <w:sz w:val="24"/>
          <w:szCs w:val="24"/>
          <w:shd w:val="clear" w:color="auto" w:fill="FFFFFF"/>
        </w:rPr>
        <w:t xml:space="preserve">Chan, </w:t>
      </w:r>
      <w:r>
        <w:rPr>
          <w:rFonts w:ascii="Times New Roman" w:hAnsi="Times New Roman" w:cs="Times New Roman"/>
          <w:color w:val="222222"/>
          <w:sz w:val="24"/>
          <w:szCs w:val="24"/>
          <w:shd w:val="clear" w:color="auto" w:fill="FFFFFF"/>
        </w:rPr>
        <w:t xml:space="preserve">Chan &amp; </w:t>
      </w:r>
      <w:r w:rsidRPr="00C20F8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Lau, </w:t>
      </w:r>
      <w:r w:rsidRPr="00C20F8E">
        <w:rPr>
          <w:rFonts w:ascii="Times New Roman" w:hAnsi="Times New Roman" w:cs="Times New Roman"/>
          <w:color w:val="222222"/>
          <w:sz w:val="24"/>
          <w:szCs w:val="24"/>
          <w:shd w:val="clear" w:color="auto" w:fill="FFFFFF"/>
        </w:rPr>
        <w:t>2012</w:t>
      </w:r>
      <w:r>
        <w:rPr>
          <w:rFonts w:ascii="Times New Roman" w:hAnsi="Times New Roman" w:cs="Times New Roman"/>
          <w:color w:val="222222"/>
          <w:sz w:val="24"/>
          <w:szCs w:val="24"/>
          <w:shd w:val="clear" w:color="auto" w:fill="FFFFFF"/>
        </w:rPr>
        <w:t>)</w:t>
      </w:r>
      <w:r w:rsidRPr="00AB1E74">
        <w:rPr>
          <w:rFonts w:ascii="Times New Roman" w:hAnsi="Times New Roman" w:cs="Times New Roman"/>
          <w:color w:val="000000" w:themeColor="text1"/>
          <w:sz w:val="24"/>
          <w:szCs w:val="24"/>
        </w:rPr>
        <w:t xml:space="preserve">. </w:t>
      </w:r>
    </w:p>
    <w:p w:rsidR="007D6A03" w:rsidRDefault="007D6A03" w:rsidP="007D6A03">
      <w:pPr>
        <w:pStyle w:val="Heading1"/>
      </w:pPr>
      <w:bookmarkStart w:id="27" w:name="_Toc511995356"/>
      <w:r>
        <w:t>Part e:</w:t>
      </w:r>
      <w:bookmarkEnd w:id="27"/>
      <w:r>
        <w:t xml:space="preserve"> </w:t>
      </w:r>
    </w:p>
    <w:p w:rsidR="007D6A03" w:rsidRDefault="007D6A03" w:rsidP="007D6A03">
      <w:pPr>
        <w:pStyle w:val="Heading1"/>
        <w:jc w:val="both"/>
      </w:pPr>
      <w:bookmarkStart w:id="28" w:name="_Toc511995357"/>
      <w:r>
        <w:t>Discussion of the non-Financial factor that must be considered in a investment appraisal process:</w:t>
      </w:r>
      <w:bookmarkEnd w:id="28"/>
    </w:p>
    <w:p w:rsidR="007D6A03" w:rsidRPr="00AB1E74" w:rsidRDefault="007D6A03" w:rsidP="007D6A03"/>
    <w:p w:rsidR="007D6A03" w:rsidRDefault="007D6A03" w:rsidP="007D6A0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project must be considered for investment not only based on the financial estimates but also based on consideration of the some critical non-financial factor. It is essential to consider the political risk and other macro environmental risk that may affect the project. For example future cash flow is considered based on the current level of risk and therefore there is a economic downturn the cash flow from the project may suffer to a significant extent. Moreover, the government legislation and government outlook for an industry is also critical to be evaluated as stringent government policies may also affect the cash flow and profitability that is associated with a project. Therefore it is important to assess these macro- environmental factors and government policies before investing in a project. </w:t>
      </w:r>
    </w:p>
    <w:p w:rsidR="007D6A03" w:rsidRDefault="007D6A03" w:rsidP="007D6A0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Another most important non-financial factors that is needed to be considered is the availability of right human resource who would work in the project. Accomplishment of a project requires high degree of various technical expertise for conducting the work effectively. So project must be considered for investment if there is an adequate human resources with appropriate skill set which help in effective accomplishment of a </w:t>
      </w:r>
      <w:r w:rsidR="008B1D3B">
        <w:rPr>
          <w:rFonts w:ascii="Times New Roman" w:hAnsi="Times New Roman" w:cs="Times New Roman"/>
          <w:color w:val="000000" w:themeColor="text1"/>
          <w:sz w:val="24"/>
          <w:szCs w:val="24"/>
        </w:rPr>
        <w:t>project (</w:t>
      </w:r>
      <w:r w:rsidR="008B1D3B" w:rsidRPr="00912E1F">
        <w:rPr>
          <w:rFonts w:ascii="Times New Roman" w:hAnsi="Times New Roman" w:cs="Times New Roman"/>
          <w:color w:val="222222"/>
          <w:sz w:val="24"/>
          <w:szCs w:val="24"/>
          <w:shd w:val="clear" w:color="auto" w:fill="FFFFFF"/>
        </w:rPr>
        <w:t>Chen</w:t>
      </w:r>
      <w:r w:rsidRPr="00C20F8E">
        <w:rPr>
          <w:rFonts w:ascii="Times New Roman" w:hAnsi="Times New Roman" w:cs="Times New Roman"/>
          <w:color w:val="222222"/>
          <w:sz w:val="24"/>
          <w:szCs w:val="24"/>
          <w:shd w:val="clear" w:color="auto" w:fill="FFFFFF"/>
        </w:rPr>
        <w:t>, 2008</w:t>
      </w:r>
      <w:r>
        <w:rPr>
          <w:rFonts w:ascii="Times New Roman" w:hAnsi="Times New Roman" w:cs="Times New Roman"/>
          <w:color w:val="222222"/>
          <w:sz w:val="24"/>
          <w:szCs w:val="24"/>
          <w:shd w:val="clear" w:color="auto" w:fill="FFFFFF"/>
        </w:rPr>
        <w:t>)</w:t>
      </w:r>
      <w:r>
        <w:rPr>
          <w:rFonts w:ascii="Times New Roman" w:hAnsi="Times New Roman" w:cs="Times New Roman"/>
          <w:color w:val="000000" w:themeColor="text1"/>
          <w:sz w:val="24"/>
          <w:szCs w:val="24"/>
        </w:rPr>
        <w:t xml:space="preserve">. Therefore without non availability of the right skills and expertise a project should not be considered for investment. </w:t>
      </w:r>
    </w:p>
    <w:p w:rsidR="007D6A03" w:rsidRDefault="007D6A03" w:rsidP="007D6A0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The environmental impact from the project must also be assessed rightly. It is essential to mention that if a project is polluting, it may face stern legal action from various enforcement agencies of the government. So the aspect of emissions and other pollutant that will be emitted from a project must be considered and must be evaluated against the prevailing environmental laws. So only if a project complies </w:t>
      </w:r>
      <w:r w:rsidR="008B1D3B">
        <w:rPr>
          <w:rFonts w:ascii="Times New Roman" w:hAnsi="Times New Roman" w:cs="Times New Roman"/>
          <w:color w:val="000000" w:themeColor="text1"/>
          <w:sz w:val="24"/>
          <w:szCs w:val="24"/>
        </w:rPr>
        <w:t>with</w:t>
      </w:r>
      <w:r>
        <w:rPr>
          <w:rFonts w:ascii="Times New Roman" w:hAnsi="Times New Roman" w:cs="Times New Roman"/>
          <w:color w:val="000000" w:themeColor="text1"/>
          <w:sz w:val="24"/>
          <w:szCs w:val="24"/>
        </w:rPr>
        <w:t xml:space="preserve"> the environmental regulation standard, it is only then project must be considered for investment. </w:t>
      </w:r>
    </w:p>
    <w:p w:rsidR="007D6A03" w:rsidRDefault="007D6A03" w:rsidP="007D6A0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is in addition to it, aspects like ease of maintenance, availability of proper </w:t>
      </w:r>
      <w:r w:rsidR="008B1D3B">
        <w:rPr>
          <w:rFonts w:ascii="Times New Roman" w:hAnsi="Times New Roman" w:cs="Times New Roman"/>
          <w:color w:val="000000" w:themeColor="text1"/>
          <w:sz w:val="24"/>
          <w:szCs w:val="24"/>
        </w:rPr>
        <w:t>equipment’s</w:t>
      </w:r>
      <w:r>
        <w:rPr>
          <w:rFonts w:ascii="Times New Roman" w:hAnsi="Times New Roman" w:cs="Times New Roman"/>
          <w:color w:val="000000" w:themeColor="text1"/>
          <w:sz w:val="24"/>
          <w:szCs w:val="24"/>
        </w:rPr>
        <w:t xml:space="preserve"> necessary for the development of the project, willingness of the existing human resources of the organization to work in a new project must be considered before talking any investment decision for a project. So these are the few </w:t>
      </w:r>
      <w:r w:rsidR="008B1D3B">
        <w:rPr>
          <w:rFonts w:ascii="Times New Roman" w:hAnsi="Times New Roman" w:cs="Times New Roman"/>
          <w:color w:val="000000" w:themeColor="text1"/>
          <w:sz w:val="24"/>
          <w:szCs w:val="24"/>
        </w:rPr>
        <w:t>non-financial</w:t>
      </w:r>
      <w:r>
        <w:rPr>
          <w:rFonts w:ascii="Times New Roman" w:hAnsi="Times New Roman" w:cs="Times New Roman"/>
          <w:color w:val="000000" w:themeColor="text1"/>
          <w:sz w:val="24"/>
          <w:szCs w:val="24"/>
        </w:rPr>
        <w:t xml:space="preserve"> factors that are mentioned above must be considered before taking up any investment decisions. </w:t>
      </w:r>
    </w:p>
    <w:p w:rsidR="007D6A03" w:rsidRDefault="007D6A03" w:rsidP="007D6A0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spacing w:line="360" w:lineRule="auto"/>
        <w:jc w:val="both"/>
        <w:rPr>
          <w:rFonts w:ascii="Times New Roman" w:hAnsi="Times New Roman" w:cs="Times New Roman"/>
          <w:color w:val="000000" w:themeColor="text1"/>
          <w:sz w:val="24"/>
          <w:szCs w:val="24"/>
        </w:rPr>
      </w:pPr>
    </w:p>
    <w:p w:rsidR="007D6A03" w:rsidRDefault="007D6A03" w:rsidP="007D6A03">
      <w:pPr>
        <w:pStyle w:val="Heading1"/>
      </w:pPr>
      <w:r>
        <w:t>References:</w:t>
      </w:r>
    </w:p>
    <w:p w:rsidR="007D6A03" w:rsidRPr="00912E1F" w:rsidRDefault="007D6A03" w:rsidP="007D6A03"/>
    <w:p w:rsidR="007D6A03" w:rsidRPr="00C20F8E" w:rsidRDefault="007D6A03" w:rsidP="007D6A03">
      <w:pPr>
        <w:spacing w:line="360" w:lineRule="auto"/>
        <w:jc w:val="both"/>
        <w:rPr>
          <w:rFonts w:ascii="Times New Roman" w:hAnsi="Times New Roman" w:cs="Times New Roman"/>
          <w:color w:val="222222"/>
          <w:sz w:val="24"/>
          <w:szCs w:val="24"/>
          <w:shd w:val="clear" w:color="auto" w:fill="FFFFFF"/>
        </w:rPr>
      </w:pPr>
      <w:r w:rsidRPr="00C20F8E">
        <w:rPr>
          <w:rFonts w:ascii="Times New Roman" w:hAnsi="Times New Roman" w:cs="Times New Roman"/>
          <w:color w:val="222222"/>
          <w:sz w:val="24"/>
          <w:szCs w:val="24"/>
          <w:shd w:val="clear" w:color="auto" w:fill="FFFFFF"/>
        </w:rPr>
        <w:t>Bierman Jr, H. and Smidt, S., 2012. </w:t>
      </w:r>
      <w:r w:rsidRPr="00C20F8E">
        <w:rPr>
          <w:rFonts w:ascii="Times New Roman" w:hAnsi="Times New Roman" w:cs="Times New Roman"/>
          <w:i/>
          <w:iCs/>
          <w:color w:val="222222"/>
          <w:sz w:val="24"/>
          <w:szCs w:val="24"/>
          <w:shd w:val="clear" w:color="auto" w:fill="FFFFFF"/>
        </w:rPr>
        <w:t>The capital budgeting decision: economic analysis of investment projects</w:t>
      </w:r>
      <w:r w:rsidRPr="00C20F8E">
        <w:rPr>
          <w:rFonts w:ascii="Times New Roman" w:hAnsi="Times New Roman" w:cs="Times New Roman"/>
          <w:color w:val="222222"/>
          <w:sz w:val="24"/>
          <w:szCs w:val="24"/>
          <w:shd w:val="clear" w:color="auto" w:fill="FFFFFF"/>
        </w:rPr>
        <w:t>. Routledge.</w:t>
      </w:r>
    </w:p>
    <w:p w:rsidR="007D6A03" w:rsidRPr="00C20F8E" w:rsidRDefault="007D6A03" w:rsidP="007D6A03">
      <w:pPr>
        <w:spacing w:line="360" w:lineRule="auto"/>
        <w:jc w:val="both"/>
        <w:rPr>
          <w:rFonts w:ascii="Times New Roman" w:hAnsi="Times New Roman" w:cs="Times New Roman"/>
          <w:color w:val="222222"/>
          <w:sz w:val="24"/>
          <w:szCs w:val="24"/>
          <w:shd w:val="clear" w:color="auto" w:fill="FFFFFF"/>
        </w:rPr>
      </w:pPr>
      <w:r w:rsidRPr="00C20F8E">
        <w:rPr>
          <w:rFonts w:ascii="Times New Roman" w:hAnsi="Times New Roman" w:cs="Times New Roman"/>
          <w:color w:val="222222"/>
          <w:sz w:val="24"/>
          <w:szCs w:val="24"/>
          <w:shd w:val="clear" w:color="auto" w:fill="FFFFFF"/>
        </w:rPr>
        <w:t>Carmichael, D.G., 2011. An alternative approach to capital investment appraisal. </w:t>
      </w:r>
      <w:r w:rsidRPr="00C20F8E">
        <w:rPr>
          <w:rFonts w:ascii="Times New Roman" w:hAnsi="Times New Roman" w:cs="Times New Roman"/>
          <w:i/>
          <w:iCs/>
          <w:color w:val="222222"/>
          <w:sz w:val="24"/>
          <w:szCs w:val="24"/>
          <w:shd w:val="clear" w:color="auto" w:fill="FFFFFF"/>
        </w:rPr>
        <w:t>The Engineering Economist</w:t>
      </w:r>
      <w:r w:rsidRPr="00C20F8E">
        <w:rPr>
          <w:rFonts w:ascii="Times New Roman" w:hAnsi="Times New Roman" w:cs="Times New Roman"/>
          <w:color w:val="222222"/>
          <w:sz w:val="24"/>
          <w:szCs w:val="24"/>
          <w:shd w:val="clear" w:color="auto" w:fill="FFFFFF"/>
        </w:rPr>
        <w:t>, </w:t>
      </w:r>
      <w:r w:rsidRPr="00C20F8E">
        <w:rPr>
          <w:rFonts w:ascii="Times New Roman" w:hAnsi="Times New Roman" w:cs="Times New Roman"/>
          <w:i/>
          <w:iCs/>
          <w:color w:val="222222"/>
          <w:sz w:val="24"/>
          <w:szCs w:val="24"/>
          <w:shd w:val="clear" w:color="auto" w:fill="FFFFFF"/>
        </w:rPr>
        <w:t>56</w:t>
      </w:r>
      <w:r w:rsidRPr="00C20F8E">
        <w:rPr>
          <w:rFonts w:ascii="Times New Roman" w:hAnsi="Times New Roman" w:cs="Times New Roman"/>
          <w:color w:val="222222"/>
          <w:sz w:val="24"/>
          <w:szCs w:val="24"/>
          <w:shd w:val="clear" w:color="auto" w:fill="FFFFFF"/>
        </w:rPr>
        <w:t>(2), pp.123-139.</w:t>
      </w:r>
    </w:p>
    <w:p w:rsidR="007D6A03" w:rsidRPr="00C20F8E" w:rsidRDefault="007D6A03" w:rsidP="007D6A03">
      <w:pPr>
        <w:spacing w:line="360" w:lineRule="auto"/>
        <w:jc w:val="both"/>
        <w:rPr>
          <w:rFonts w:ascii="Times New Roman" w:hAnsi="Times New Roman" w:cs="Times New Roman"/>
          <w:color w:val="222222"/>
          <w:sz w:val="24"/>
          <w:szCs w:val="24"/>
          <w:shd w:val="clear" w:color="auto" w:fill="FFFFFF"/>
        </w:rPr>
      </w:pPr>
      <w:r w:rsidRPr="00C20F8E">
        <w:rPr>
          <w:rFonts w:ascii="Times New Roman" w:hAnsi="Times New Roman" w:cs="Times New Roman"/>
          <w:color w:val="222222"/>
          <w:sz w:val="24"/>
          <w:szCs w:val="24"/>
          <w:shd w:val="clear" w:color="auto" w:fill="FFFFFF"/>
        </w:rPr>
        <w:t>Chan, F.T.S., Chan, M.H., Lau, H. and Ip, R.W.L., 2012. Investment appraisal techniques for advanced manufacturing technology (AMT): a literature review. </w:t>
      </w:r>
      <w:r w:rsidRPr="00C20F8E">
        <w:rPr>
          <w:rFonts w:ascii="Times New Roman" w:hAnsi="Times New Roman" w:cs="Times New Roman"/>
          <w:i/>
          <w:iCs/>
          <w:color w:val="222222"/>
          <w:sz w:val="24"/>
          <w:szCs w:val="24"/>
          <w:shd w:val="clear" w:color="auto" w:fill="FFFFFF"/>
        </w:rPr>
        <w:t>Integrated Manufacturing Systems</w:t>
      </w:r>
      <w:r w:rsidRPr="00C20F8E">
        <w:rPr>
          <w:rFonts w:ascii="Times New Roman" w:hAnsi="Times New Roman" w:cs="Times New Roman"/>
          <w:color w:val="222222"/>
          <w:sz w:val="24"/>
          <w:szCs w:val="24"/>
          <w:shd w:val="clear" w:color="auto" w:fill="FFFFFF"/>
        </w:rPr>
        <w:t>, </w:t>
      </w:r>
      <w:r w:rsidRPr="00C20F8E">
        <w:rPr>
          <w:rFonts w:ascii="Times New Roman" w:hAnsi="Times New Roman" w:cs="Times New Roman"/>
          <w:i/>
          <w:iCs/>
          <w:color w:val="222222"/>
          <w:sz w:val="24"/>
          <w:szCs w:val="24"/>
          <w:shd w:val="clear" w:color="auto" w:fill="FFFFFF"/>
        </w:rPr>
        <w:t>12</w:t>
      </w:r>
      <w:r w:rsidRPr="00C20F8E">
        <w:rPr>
          <w:rFonts w:ascii="Times New Roman" w:hAnsi="Times New Roman" w:cs="Times New Roman"/>
          <w:color w:val="222222"/>
          <w:sz w:val="24"/>
          <w:szCs w:val="24"/>
          <w:shd w:val="clear" w:color="auto" w:fill="FFFFFF"/>
        </w:rPr>
        <w:t>(1), pp.35-47.</w:t>
      </w:r>
    </w:p>
    <w:p w:rsidR="007D6A03" w:rsidRPr="00C20F8E" w:rsidRDefault="007D6A03" w:rsidP="007D6A03">
      <w:pPr>
        <w:spacing w:line="360" w:lineRule="auto"/>
        <w:jc w:val="both"/>
        <w:rPr>
          <w:rFonts w:ascii="Times New Roman" w:hAnsi="Times New Roman" w:cs="Times New Roman"/>
          <w:color w:val="222222"/>
          <w:sz w:val="24"/>
          <w:szCs w:val="24"/>
          <w:shd w:val="clear" w:color="auto" w:fill="FFFFFF"/>
        </w:rPr>
      </w:pPr>
      <w:r w:rsidRPr="00C20F8E">
        <w:rPr>
          <w:rFonts w:ascii="Times New Roman" w:hAnsi="Times New Roman" w:cs="Times New Roman"/>
          <w:color w:val="222222"/>
          <w:sz w:val="24"/>
          <w:szCs w:val="24"/>
          <w:shd w:val="clear" w:color="auto" w:fill="FFFFFF"/>
        </w:rPr>
        <w:t>Chen, S., 2008. DCF techniques and nonfinancial measures in capital budgeting: a contingency approach analysis. </w:t>
      </w:r>
      <w:r w:rsidRPr="00C20F8E">
        <w:rPr>
          <w:rFonts w:ascii="Times New Roman" w:hAnsi="Times New Roman" w:cs="Times New Roman"/>
          <w:i/>
          <w:iCs/>
          <w:color w:val="222222"/>
          <w:sz w:val="24"/>
          <w:szCs w:val="24"/>
          <w:shd w:val="clear" w:color="auto" w:fill="FFFFFF"/>
        </w:rPr>
        <w:t>Behavioral Research in Accounting</w:t>
      </w:r>
      <w:r w:rsidRPr="00C20F8E">
        <w:rPr>
          <w:rFonts w:ascii="Times New Roman" w:hAnsi="Times New Roman" w:cs="Times New Roman"/>
          <w:color w:val="222222"/>
          <w:sz w:val="24"/>
          <w:szCs w:val="24"/>
          <w:shd w:val="clear" w:color="auto" w:fill="FFFFFF"/>
        </w:rPr>
        <w:t>, </w:t>
      </w:r>
      <w:r w:rsidRPr="00C20F8E">
        <w:rPr>
          <w:rFonts w:ascii="Times New Roman" w:hAnsi="Times New Roman" w:cs="Times New Roman"/>
          <w:i/>
          <w:iCs/>
          <w:color w:val="222222"/>
          <w:sz w:val="24"/>
          <w:szCs w:val="24"/>
          <w:shd w:val="clear" w:color="auto" w:fill="FFFFFF"/>
        </w:rPr>
        <w:t>20</w:t>
      </w:r>
      <w:r w:rsidRPr="00C20F8E">
        <w:rPr>
          <w:rFonts w:ascii="Times New Roman" w:hAnsi="Times New Roman" w:cs="Times New Roman"/>
          <w:color w:val="222222"/>
          <w:sz w:val="24"/>
          <w:szCs w:val="24"/>
          <w:shd w:val="clear" w:color="auto" w:fill="FFFFFF"/>
        </w:rPr>
        <w:t>(1), pp.13-29.</w:t>
      </w:r>
    </w:p>
    <w:p w:rsidR="007D6A03" w:rsidRPr="00C20F8E" w:rsidRDefault="007D6A03" w:rsidP="007D6A03">
      <w:pPr>
        <w:spacing w:line="360" w:lineRule="auto"/>
        <w:jc w:val="both"/>
        <w:rPr>
          <w:rFonts w:ascii="Times New Roman" w:hAnsi="Times New Roman" w:cs="Times New Roman"/>
          <w:color w:val="222222"/>
          <w:sz w:val="24"/>
          <w:szCs w:val="24"/>
          <w:shd w:val="clear" w:color="auto" w:fill="FFFFFF"/>
        </w:rPr>
      </w:pPr>
      <w:r w:rsidRPr="00C20F8E">
        <w:rPr>
          <w:rFonts w:ascii="Times New Roman" w:hAnsi="Times New Roman" w:cs="Times New Roman"/>
          <w:color w:val="222222"/>
          <w:sz w:val="24"/>
          <w:szCs w:val="24"/>
          <w:shd w:val="clear" w:color="auto" w:fill="FFFFFF"/>
        </w:rPr>
        <w:t>Gotze, U., Northcott, D. and Schuster, P., 2016. </w:t>
      </w:r>
      <w:r w:rsidRPr="00C20F8E">
        <w:rPr>
          <w:rFonts w:ascii="Times New Roman" w:hAnsi="Times New Roman" w:cs="Times New Roman"/>
          <w:i/>
          <w:iCs/>
          <w:color w:val="222222"/>
          <w:sz w:val="24"/>
          <w:szCs w:val="24"/>
          <w:shd w:val="clear" w:color="auto" w:fill="FFFFFF"/>
        </w:rPr>
        <w:t>INVESTMENT APPRAISAL</w:t>
      </w:r>
      <w:r w:rsidRPr="00C20F8E">
        <w:rPr>
          <w:rFonts w:ascii="Times New Roman" w:hAnsi="Times New Roman" w:cs="Times New Roman"/>
          <w:color w:val="222222"/>
          <w:sz w:val="24"/>
          <w:szCs w:val="24"/>
          <w:shd w:val="clear" w:color="auto" w:fill="FFFFFF"/>
        </w:rPr>
        <w:t>. SPRINGER-VERLAG BERLIN AN.</w:t>
      </w:r>
    </w:p>
    <w:p w:rsidR="007D6A03" w:rsidRPr="00C20F8E" w:rsidRDefault="007D6A03" w:rsidP="007D6A03">
      <w:pPr>
        <w:spacing w:line="360" w:lineRule="auto"/>
        <w:jc w:val="both"/>
        <w:rPr>
          <w:rFonts w:ascii="Times New Roman" w:hAnsi="Times New Roman" w:cs="Times New Roman"/>
          <w:color w:val="222222"/>
          <w:sz w:val="24"/>
          <w:szCs w:val="24"/>
          <w:shd w:val="clear" w:color="auto" w:fill="FFFFFF"/>
        </w:rPr>
      </w:pPr>
      <w:r w:rsidRPr="00C20F8E">
        <w:rPr>
          <w:rFonts w:ascii="Times New Roman" w:hAnsi="Times New Roman" w:cs="Times New Roman"/>
          <w:color w:val="222222"/>
          <w:sz w:val="24"/>
          <w:szCs w:val="24"/>
          <w:shd w:val="clear" w:color="auto" w:fill="FFFFFF"/>
        </w:rPr>
        <w:t>Huang, X., 2007. Chance-constrained programming models for capital budgeting with NPV as fuzzy parameters. </w:t>
      </w:r>
      <w:r w:rsidRPr="00C20F8E">
        <w:rPr>
          <w:rFonts w:ascii="Times New Roman" w:hAnsi="Times New Roman" w:cs="Times New Roman"/>
          <w:i/>
          <w:iCs/>
          <w:color w:val="222222"/>
          <w:sz w:val="24"/>
          <w:szCs w:val="24"/>
          <w:shd w:val="clear" w:color="auto" w:fill="FFFFFF"/>
        </w:rPr>
        <w:t>Journal of Computational and Applied Mathematics</w:t>
      </w:r>
      <w:r w:rsidRPr="00C20F8E">
        <w:rPr>
          <w:rFonts w:ascii="Times New Roman" w:hAnsi="Times New Roman" w:cs="Times New Roman"/>
          <w:color w:val="222222"/>
          <w:sz w:val="24"/>
          <w:szCs w:val="24"/>
          <w:shd w:val="clear" w:color="auto" w:fill="FFFFFF"/>
        </w:rPr>
        <w:t>, </w:t>
      </w:r>
      <w:r w:rsidRPr="00C20F8E">
        <w:rPr>
          <w:rFonts w:ascii="Times New Roman" w:hAnsi="Times New Roman" w:cs="Times New Roman"/>
          <w:i/>
          <w:iCs/>
          <w:color w:val="222222"/>
          <w:sz w:val="24"/>
          <w:szCs w:val="24"/>
          <w:shd w:val="clear" w:color="auto" w:fill="FFFFFF"/>
        </w:rPr>
        <w:t>198</w:t>
      </w:r>
      <w:r w:rsidRPr="00C20F8E">
        <w:rPr>
          <w:rFonts w:ascii="Times New Roman" w:hAnsi="Times New Roman" w:cs="Times New Roman"/>
          <w:color w:val="222222"/>
          <w:sz w:val="24"/>
          <w:szCs w:val="24"/>
          <w:shd w:val="clear" w:color="auto" w:fill="FFFFFF"/>
        </w:rPr>
        <w:t>(1), pp.149-159.</w:t>
      </w:r>
    </w:p>
    <w:p w:rsidR="007D6A03" w:rsidRPr="00C20F8E" w:rsidRDefault="007D6A03" w:rsidP="007D6A03">
      <w:pPr>
        <w:spacing w:line="360" w:lineRule="auto"/>
        <w:jc w:val="both"/>
        <w:rPr>
          <w:rFonts w:ascii="Times New Roman" w:hAnsi="Times New Roman" w:cs="Times New Roman"/>
          <w:color w:val="222222"/>
          <w:sz w:val="24"/>
          <w:szCs w:val="24"/>
          <w:shd w:val="clear" w:color="auto" w:fill="FFFFFF"/>
        </w:rPr>
      </w:pPr>
      <w:r w:rsidRPr="00C20F8E">
        <w:rPr>
          <w:rFonts w:ascii="Times New Roman" w:hAnsi="Times New Roman" w:cs="Times New Roman"/>
          <w:color w:val="222222"/>
          <w:sz w:val="24"/>
          <w:szCs w:val="24"/>
          <w:shd w:val="clear" w:color="auto" w:fill="FFFFFF"/>
        </w:rPr>
        <w:t>Lefley, F.</w:t>
      </w:r>
      <w:r w:rsidR="008B1D3B" w:rsidRPr="00C20F8E">
        <w:rPr>
          <w:rFonts w:ascii="Times New Roman" w:hAnsi="Times New Roman" w:cs="Times New Roman"/>
          <w:color w:val="222222"/>
          <w:sz w:val="24"/>
          <w:szCs w:val="24"/>
          <w:shd w:val="clear" w:color="auto" w:fill="FFFFFF"/>
        </w:rPr>
        <w:t>, 2005</w:t>
      </w:r>
      <w:r w:rsidRPr="00C20F8E">
        <w:rPr>
          <w:rFonts w:ascii="Times New Roman" w:hAnsi="Times New Roman" w:cs="Times New Roman"/>
          <w:color w:val="222222"/>
          <w:sz w:val="24"/>
          <w:szCs w:val="24"/>
          <w:shd w:val="clear" w:color="auto" w:fill="FFFFFF"/>
        </w:rPr>
        <w:t>. Capital investment appraisal of advanced manufacturing technology. </w:t>
      </w:r>
      <w:r w:rsidRPr="00C20F8E">
        <w:rPr>
          <w:rFonts w:ascii="Times New Roman" w:hAnsi="Times New Roman" w:cs="Times New Roman"/>
          <w:i/>
          <w:iCs/>
          <w:color w:val="222222"/>
          <w:sz w:val="24"/>
          <w:szCs w:val="24"/>
          <w:shd w:val="clear" w:color="auto" w:fill="FFFFFF"/>
        </w:rPr>
        <w:t>THE INTERNATIONAL JOURNAL OF PRODUCTION RESEARCH</w:t>
      </w:r>
      <w:r w:rsidRPr="00C20F8E">
        <w:rPr>
          <w:rFonts w:ascii="Times New Roman" w:hAnsi="Times New Roman" w:cs="Times New Roman"/>
          <w:color w:val="222222"/>
          <w:sz w:val="24"/>
          <w:szCs w:val="24"/>
          <w:shd w:val="clear" w:color="auto" w:fill="FFFFFF"/>
        </w:rPr>
        <w:t>, </w:t>
      </w:r>
      <w:r w:rsidRPr="00C20F8E">
        <w:rPr>
          <w:rFonts w:ascii="Times New Roman" w:hAnsi="Times New Roman" w:cs="Times New Roman"/>
          <w:i/>
          <w:iCs/>
          <w:color w:val="222222"/>
          <w:sz w:val="24"/>
          <w:szCs w:val="24"/>
          <w:shd w:val="clear" w:color="auto" w:fill="FFFFFF"/>
        </w:rPr>
        <w:t>32</w:t>
      </w:r>
      <w:r w:rsidRPr="00C20F8E">
        <w:rPr>
          <w:rFonts w:ascii="Times New Roman" w:hAnsi="Times New Roman" w:cs="Times New Roman"/>
          <w:color w:val="222222"/>
          <w:sz w:val="24"/>
          <w:szCs w:val="24"/>
          <w:shd w:val="clear" w:color="auto" w:fill="FFFFFF"/>
        </w:rPr>
        <w:t>(12), pp.2751-2776.</w:t>
      </w:r>
    </w:p>
    <w:p w:rsidR="007D6A03" w:rsidRPr="00AB1E74" w:rsidRDefault="007D6A03" w:rsidP="007D6A03">
      <w:pPr>
        <w:spacing w:line="360" w:lineRule="auto"/>
        <w:jc w:val="both"/>
        <w:rPr>
          <w:rFonts w:ascii="Times New Roman" w:hAnsi="Times New Roman" w:cs="Times New Roman"/>
          <w:color w:val="000000" w:themeColor="text1"/>
          <w:sz w:val="24"/>
          <w:szCs w:val="24"/>
        </w:rPr>
      </w:pPr>
      <w:r w:rsidRPr="00C20F8E">
        <w:rPr>
          <w:rFonts w:ascii="Times New Roman" w:hAnsi="Times New Roman" w:cs="Times New Roman"/>
          <w:color w:val="222222"/>
          <w:sz w:val="24"/>
          <w:szCs w:val="24"/>
          <w:shd w:val="clear" w:color="auto" w:fill="FFFFFF"/>
        </w:rPr>
        <w:t>Truong, G., Partington, G. and Peat, M., 2008. Cost-of-capital estimation and capital-budgeting practice in Australia. </w:t>
      </w:r>
      <w:r w:rsidRPr="00C20F8E">
        <w:rPr>
          <w:rFonts w:ascii="Times New Roman" w:hAnsi="Times New Roman" w:cs="Times New Roman"/>
          <w:i/>
          <w:iCs/>
          <w:color w:val="222222"/>
          <w:sz w:val="24"/>
          <w:szCs w:val="24"/>
          <w:shd w:val="clear" w:color="auto" w:fill="FFFFFF"/>
        </w:rPr>
        <w:t>Australian journal of management</w:t>
      </w:r>
      <w:r w:rsidRPr="00C20F8E">
        <w:rPr>
          <w:rFonts w:ascii="Times New Roman" w:hAnsi="Times New Roman" w:cs="Times New Roman"/>
          <w:color w:val="222222"/>
          <w:sz w:val="24"/>
          <w:szCs w:val="24"/>
          <w:shd w:val="clear" w:color="auto" w:fill="FFFFFF"/>
        </w:rPr>
        <w:t>, </w:t>
      </w:r>
      <w:r w:rsidRPr="00C20F8E">
        <w:rPr>
          <w:rFonts w:ascii="Times New Roman" w:hAnsi="Times New Roman" w:cs="Times New Roman"/>
          <w:i/>
          <w:iCs/>
          <w:color w:val="222222"/>
          <w:sz w:val="24"/>
          <w:szCs w:val="24"/>
          <w:shd w:val="clear" w:color="auto" w:fill="FFFFFF"/>
        </w:rPr>
        <w:t>33</w:t>
      </w:r>
      <w:r w:rsidRPr="00C20F8E">
        <w:rPr>
          <w:rFonts w:ascii="Times New Roman" w:hAnsi="Times New Roman" w:cs="Times New Roman"/>
          <w:color w:val="222222"/>
          <w:sz w:val="24"/>
          <w:szCs w:val="24"/>
          <w:shd w:val="clear" w:color="auto" w:fill="FFFFFF"/>
        </w:rPr>
        <w:t>(1), pp.95-121</w:t>
      </w:r>
      <w:r>
        <w:rPr>
          <w:rFonts w:ascii="Arial" w:hAnsi="Arial" w:cs="Arial"/>
          <w:color w:val="222222"/>
          <w:sz w:val="29"/>
          <w:szCs w:val="29"/>
          <w:shd w:val="clear" w:color="auto" w:fill="FFFFFF"/>
        </w:rPr>
        <w:t>.</w:t>
      </w:r>
    </w:p>
    <w:p w:rsidR="007D6A03" w:rsidRDefault="007D6A03" w:rsidP="004E6296">
      <w:pPr>
        <w:spacing w:line="480" w:lineRule="auto"/>
        <w:jc w:val="both"/>
        <w:rPr>
          <w:rFonts w:ascii="Times New Roman" w:hAnsi="Times New Roman" w:cs="Times New Roman"/>
          <w:sz w:val="24"/>
          <w:szCs w:val="24"/>
        </w:rPr>
      </w:pPr>
    </w:p>
    <w:p w:rsidR="007D6A03" w:rsidRPr="005B7C16" w:rsidRDefault="007D6A03" w:rsidP="004E6296">
      <w:pPr>
        <w:spacing w:line="480" w:lineRule="auto"/>
        <w:jc w:val="both"/>
        <w:rPr>
          <w:rFonts w:ascii="Times New Roman" w:hAnsi="Times New Roman" w:cs="Times New Roman"/>
          <w:sz w:val="24"/>
          <w:szCs w:val="24"/>
        </w:rPr>
      </w:pPr>
    </w:p>
    <w:sectPr w:rsidR="007D6A03" w:rsidRPr="005B7C16" w:rsidSect="00675AE2">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4586" w:rsidRDefault="006D4586" w:rsidP="001378D8">
      <w:pPr>
        <w:spacing w:after="0" w:line="240" w:lineRule="auto"/>
      </w:pPr>
      <w:r>
        <w:separator/>
      </w:r>
    </w:p>
  </w:endnote>
  <w:endnote w:type="continuationSeparator" w:id="0">
    <w:p w:rsidR="006D4586" w:rsidRDefault="006D4586" w:rsidP="00137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altName w:val="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4586" w:rsidRDefault="006D4586" w:rsidP="001378D8">
      <w:pPr>
        <w:spacing w:after="0" w:line="240" w:lineRule="auto"/>
      </w:pPr>
      <w:r>
        <w:separator/>
      </w:r>
    </w:p>
  </w:footnote>
  <w:footnote w:type="continuationSeparator" w:id="0">
    <w:p w:rsidR="006D4586" w:rsidRDefault="006D4586" w:rsidP="001378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51319"/>
    <w:multiLevelType w:val="multilevel"/>
    <w:tmpl w:val="28689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250F59"/>
    <w:rsid w:val="000026F8"/>
    <w:rsid w:val="00026DCA"/>
    <w:rsid w:val="00073C62"/>
    <w:rsid w:val="000925E8"/>
    <w:rsid w:val="000F7603"/>
    <w:rsid w:val="001200B6"/>
    <w:rsid w:val="001378D8"/>
    <w:rsid w:val="0015093B"/>
    <w:rsid w:val="00195791"/>
    <w:rsid w:val="001A0B50"/>
    <w:rsid w:val="00217C14"/>
    <w:rsid w:val="00241AB1"/>
    <w:rsid w:val="00242D47"/>
    <w:rsid w:val="00250F59"/>
    <w:rsid w:val="00296798"/>
    <w:rsid w:val="002B3ECA"/>
    <w:rsid w:val="002D64B1"/>
    <w:rsid w:val="002F26F8"/>
    <w:rsid w:val="003105F3"/>
    <w:rsid w:val="0033781D"/>
    <w:rsid w:val="003B3F53"/>
    <w:rsid w:val="004E6296"/>
    <w:rsid w:val="00542E0B"/>
    <w:rsid w:val="005525DE"/>
    <w:rsid w:val="00555CBF"/>
    <w:rsid w:val="00575FA0"/>
    <w:rsid w:val="005B7C16"/>
    <w:rsid w:val="00605136"/>
    <w:rsid w:val="00611A02"/>
    <w:rsid w:val="00675AE2"/>
    <w:rsid w:val="00695046"/>
    <w:rsid w:val="006A0873"/>
    <w:rsid w:val="006A0B7D"/>
    <w:rsid w:val="006D4586"/>
    <w:rsid w:val="007278D7"/>
    <w:rsid w:val="007C190D"/>
    <w:rsid w:val="007D6A03"/>
    <w:rsid w:val="007F0F60"/>
    <w:rsid w:val="00810D3E"/>
    <w:rsid w:val="008240CF"/>
    <w:rsid w:val="00864A70"/>
    <w:rsid w:val="008A3571"/>
    <w:rsid w:val="008B1A82"/>
    <w:rsid w:val="008B1D3B"/>
    <w:rsid w:val="00A33713"/>
    <w:rsid w:val="00AD07D8"/>
    <w:rsid w:val="00B14096"/>
    <w:rsid w:val="00B324BE"/>
    <w:rsid w:val="00D06991"/>
    <w:rsid w:val="00D15992"/>
    <w:rsid w:val="00DE6F93"/>
    <w:rsid w:val="00E01888"/>
    <w:rsid w:val="00E03005"/>
    <w:rsid w:val="00E66CBB"/>
    <w:rsid w:val="00E84B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BE8D6"/>
  <w15:docId w15:val="{BE41CA65-53F8-4247-A4A7-C6748D4A0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6991"/>
  </w:style>
  <w:style w:type="paragraph" w:styleId="Heading1">
    <w:name w:val="heading 1"/>
    <w:basedOn w:val="Normal"/>
    <w:next w:val="Normal"/>
    <w:link w:val="Heading1Char"/>
    <w:uiPriority w:val="9"/>
    <w:qFormat/>
    <w:rsid w:val="005B7C1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75FA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C16"/>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6051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5136"/>
    <w:rPr>
      <w:rFonts w:ascii="Tahoma" w:hAnsi="Tahoma" w:cs="Tahoma"/>
      <w:sz w:val="16"/>
      <w:szCs w:val="16"/>
    </w:rPr>
  </w:style>
  <w:style w:type="character" w:customStyle="1" w:styleId="Heading2Char">
    <w:name w:val="Heading 2 Char"/>
    <w:basedOn w:val="DefaultParagraphFont"/>
    <w:link w:val="Heading2"/>
    <w:uiPriority w:val="9"/>
    <w:rsid w:val="00575FA0"/>
    <w:rPr>
      <w:rFonts w:asciiTheme="majorHAnsi" w:eastAsiaTheme="majorEastAsia" w:hAnsiTheme="majorHAnsi" w:cstheme="majorBidi"/>
      <w:b/>
      <w:bCs/>
      <w:color w:val="4F81BD" w:themeColor="accent1"/>
      <w:sz w:val="26"/>
      <w:szCs w:val="26"/>
    </w:rPr>
  </w:style>
  <w:style w:type="table" w:styleId="LightGrid-Accent3">
    <w:name w:val="Light Grid Accent 3"/>
    <w:basedOn w:val="TableNormal"/>
    <w:uiPriority w:val="62"/>
    <w:rsid w:val="00073C62"/>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character" w:styleId="Hyperlink">
    <w:name w:val="Hyperlink"/>
    <w:basedOn w:val="DefaultParagraphFont"/>
    <w:uiPriority w:val="99"/>
    <w:unhideWhenUsed/>
    <w:rsid w:val="004E6296"/>
    <w:rPr>
      <w:color w:val="0000FF"/>
      <w:u w:val="single"/>
    </w:rPr>
  </w:style>
  <w:style w:type="paragraph" w:styleId="TOCHeading">
    <w:name w:val="TOC Heading"/>
    <w:basedOn w:val="Heading1"/>
    <w:next w:val="Normal"/>
    <w:uiPriority w:val="39"/>
    <w:semiHidden/>
    <w:unhideWhenUsed/>
    <w:qFormat/>
    <w:rsid w:val="0015093B"/>
    <w:pPr>
      <w:outlineLvl w:val="9"/>
    </w:pPr>
  </w:style>
  <w:style w:type="paragraph" w:styleId="TOC1">
    <w:name w:val="toc 1"/>
    <w:basedOn w:val="Normal"/>
    <w:next w:val="Normal"/>
    <w:autoRedefine/>
    <w:uiPriority w:val="39"/>
    <w:unhideWhenUsed/>
    <w:rsid w:val="0015093B"/>
    <w:pPr>
      <w:spacing w:after="100"/>
    </w:pPr>
  </w:style>
  <w:style w:type="paragraph" w:styleId="TOC2">
    <w:name w:val="toc 2"/>
    <w:basedOn w:val="Normal"/>
    <w:next w:val="Normal"/>
    <w:autoRedefine/>
    <w:uiPriority w:val="39"/>
    <w:unhideWhenUsed/>
    <w:rsid w:val="0015093B"/>
    <w:pPr>
      <w:spacing w:after="100"/>
      <w:ind w:left="220"/>
    </w:pPr>
  </w:style>
  <w:style w:type="paragraph" w:styleId="NoSpacing">
    <w:name w:val="No Spacing"/>
    <w:link w:val="NoSpacingChar"/>
    <w:uiPriority w:val="1"/>
    <w:qFormat/>
    <w:rsid w:val="0015093B"/>
    <w:pPr>
      <w:spacing w:after="0" w:line="240" w:lineRule="auto"/>
    </w:pPr>
    <w:rPr>
      <w:rFonts w:eastAsiaTheme="minorEastAsia"/>
    </w:rPr>
  </w:style>
  <w:style w:type="character" w:customStyle="1" w:styleId="NoSpacingChar">
    <w:name w:val="No Spacing Char"/>
    <w:basedOn w:val="DefaultParagraphFont"/>
    <w:link w:val="NoSpacing"/>
    <w:uiPriority w:val="1"/>
    <w:rsid w:val="0015093B"/>
    <w:rPr>
      <w:rFonts w:eastAsiaTheme="minorEastAsia"/>
    </w:rPr>
  </w:style>
  <w:style w:type="paragraph" w:styleId="Header">
    <w:name w:val="header"/>
    <w:basedOn w:val="Normal"/>
    <w:link w:val="HeaderChar"/>
    <w:uiPriority w:val="99"/>
    <w:unhideWhenUsed/>
    <w:rsid w:val="001378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8D8"/>
  </w:style>
  <w:style w:type="paragraph" w:styleId="Footer">
    <w:name w:val="footer"/>
    <w:basedOn w:val="Normal"/>
    <w:link w:val="FooterChar"/>
    <w:uiPriority w:val="99"/>
    <w:unhideWhenUsed/>
    <w:rsid w:val="001378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8D8"/>
  </w:style>
  <w:style w:type="paragraph" w:customStyle="1" w:styleId="Default">
    <w:name w:val="Default"/>
    <w:rsid w:val="00026DCA"/>
    <w:pPr>
      <w:autoSpaceDE w:val="0"/>
      <w:autoSpaceDN w:val="0"/>
      <w:adjustRightInd w:val="0"/>
      <w:spacing w:after="0" w:line="240" w:lineRule="auto"/>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1377836">
      <w:bodyDiv w:val="1"/>
      <w:marLeft w:val="0"/>
      <w:marRight w:val="0"/>
      <w:marTop w:val="0"/>
      <w:marBottom w:val="0"/>
      <w:divBdr>
        <w:top w:val="none" w:sz="0" w:space="0" w:color="auto"/>
        <w:left w:val="none" w:sz="0" w:space="0" w:color="auto"/>
        <w:bottom w:val="none" w:sz="0" w:space="0" w:color="auto"/>
        <w:right w:val="none" w:sz="0" w:space="0" w:color="auto"/>
      </w:divBdr>
    </w:div>
    <w:div w:id="672337617">
      <w:bodyDiv w:val="1"/>
      <w:marLeft w:val="0"/>
      <w:marRight w:val="0"/>
      <w:marTop w:val="0"/>
      <w:marBottom w:val="0"/>
      <w:divBdr>
        <w:top w:val="none" w:sz="0" w:space="0" w:color="auto"/>
        <w:left w:val="none" w:sz="0" w:space="0" w:color="auto"/>
        <w:bottom w:val="none" w:sz="0" w:space="0" w:color="auto"/>
        <w:right w:val="none" w:sz="0" w:space="0" w:color="auto"/>
      </w:divBdr>
    </w:div>
    <w:div w:id="731317214">
      <w:bodyDiv w:val="1"/>
      <w:marLeft w:val="0"/>
      <w:marRight w:val="0"/>
      <w:marTop w:val="0"/>
      <w:marBottom w:val="0"/>
      <w:divBdr>
        <w:top w:val="none" w:sz="0" w:space="0" w:color="auto"/>
        <w:left w:val="none" w:sz="0" w:space="0" w:color="auto"/>
        <w:bottom w:val="none" w:sz="0" w:space="0" w:color="auto"/>
        <w:right w:val="none" w:sz="0" w:space="0" w:color="auto"/>
      </w:divBdr>
    </w:div>
    <w:div w:id="749548637">
      <w:bodyDiv w:val="1"/>
      <w:marLeft w:val="0"/>
      <w:marRight w:val="0"/>
      <w:marTop w:val="0"/>
      <w:marBottom w:val="0"/>
      <w:divBdr>
        <w:top w:val="none" w:sz="0" w:space="0" w:color="auto"/>
        <w:left w:val="none" w:sz="0" w:space="0" w:color="auto"/>
        <w:bottom w:val="none" w:sz="0" w:space="0" w:color="auto"/>
        <w:right w:val="none" w:sz="0" w:space="0" w:color="auto"/>
      </w:divBdr>
    </w:div>
    <w:div w:id="931089350">
      <w:bodyDiv w:val="1"/>
      <w:marLeft w:val="0"/>
      <w:marRight w:val="0"/>
      <w:marTop w:val="0"/>
      <w:marBottom w:val="0"/>
      <w:divBdr>
        <w:top w:val="none" w:sz="0" w:space="0" w:color="auto"/>
        <w:left w:val="none" w:sz="0" w:space="0" w:color="auto"/>
        <w:bottom w:val="none" w:sz="0" w:space="0" w:color="auto"/>
        <w:right w:val="none" w:sz="0" w:space="0" w:color="auto"/>
      </w:divBdr>
    </w:div>
    <w:div w:id="938636925">
      <w:bodyDiv w:val="1"/>
      <w:marLeft w:val="0"/>
      <w:marRight w:val="0"/>
      <w:marTop w:val="0"/>
      <w:marBottom w:val="0"/>
      <w:divBdr>
        <w:top w:val="none" w:sz="0" w:space="0" w:color="auto"/>
        <w:left w:val="none" w:sz="0" w:space="0" w:color="auto"/>
        <w:bottom w:val="none" w:sz="0" w:space="0" w:color="auto"/>
        <w:right w:val="none" w:sz="0" w:space="0" w:color="auto"/>
      </w:divBdr>
    </w:div>
    <w:div w:id="958338306">
      <w:bodyDiv w:val="1"/>
      <w:marLeft w:val="0"/>
      <w:marRight w:val="0"/>
      <w:marTop w:val="0"/>
      <w:marBottom w:val="0"/>
      <w:divBdr>
        <w:top w:val="none" w:sz="0" w:space="0" w:color="auto"/>
        <w:left w:val="none" w:sz="0" w:space="0" w:color="auto"/>
        <w:bottom w:val="none" w:sz="0" w:space="0" w:color="auto"/>
        <w:right w:val="none" w:sz="0" w:space="0" w:color="auto"/>
      </w:divBdr>
    </w:div>
    <w:div w:id="1099179583">
      <w:bodyDiv w:val="1"/>
      <w:marLeft w:val="0"/>
      <w:marRight w:val="0"/>
      <w:marTop w:val="0"/>
      <w:marBottom w:val="0"/>
      <w:divBdr>
        <w:top w:val="none" w:sz="0" w:space="0" w:color="auto"/>
        <w:left w:val="none" w:sz="0" w:space="0" w:color="auto"/>
        <w:bottom w:val="none" w:sz="0" w:space="0" w:color="auto"/>
        <w:right w:val="none" w:sz="0" w:space="0" w:color="auto"/>
      </w:divBdr>
    </w:div>
    <w:div w:id="1707831503">
      <w:bodyDiv w:val="1"/>
      <w:marLeft w:val="0"/>
      <w:marRight w:val="0"/>
      <w:marTop w:val="0"/>
      <w:marBottom w:val="0"/>
      <w:divBdr>
        <w:top w:val="none" w:sz="0" w:space="0" w:color="auto"/>
        <w:left w:val="none" w:sz="0" w:space="0" w:color="auto"/>
        <w:bottom w:val="none" w:sz="0" w:space="0" w:color="auto"/>
        <w:right w:val="none" w:sz="0" w:space="0" w:color="auto"/>
      </w:divBdr>
    </w:div>
    <w:div w:id="1793090361">
      <w:bodyDiv w:val="1"/>
      <w:marLeft w:val="0"/>
      <w:marRight w:val="0"/>
      <w:marTop w:val="0"/>
      <w:marBottom w:val="0"/>
      <w:divBdr>
        <w:top w:val="none" w:sz="0" w:space="0" w:color="auto"/>
        <w:left w:val="none" w:sz="0" w:space="0" w:color="auto"/>
        <w:bottom w:val="none" w:sz="0" w:space="0" w:color="auto"/>
        <w:right w:val="none" w:sz="0" w:space="0" w:color="auto"/>
      </w:divBdr>
    </w:div>
    <w:div w:id="2110857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illiamhillplc.com/newsmedia/newsroom/corporate-news/2018/2017-final-resul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addypowerbetfair.com/investor-relations/annual-reports/201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ACCC0192E944F3194119A02465CE2C2"/>
        <w:category>
          <w:name w:val="General"/>
          <w:gallery w:val="placeholder"/>
        </w:category>
        <w:types>
          <w:type w:val="bbPlcHdr"/>
        </w:types>
        <w:behaviors>
          <w:behavior w:val="content"/>
        </w:behaviors>
        <w:guid w:val="{A2EB44EC-6851-4555-A65B-B21FF98FB71F}"/>
      </w:docPartPr>
      <w:docPartBody>
        <w:p w:rsidR="00417D0F" w:rsidRDefault="00417D0F" w:rsidP="00417D0F">
          <w:pPr>
            <w:pStyle w:val="2ACCC0192E944F3194119A02465CE2C2"/>
          </w:pPr>
          <w:r>
            <w:rPr>
              <w:rFonts w:asciiTheme="majorHAnsi" w:eastAsiaTheme="majorEastAsia" w:hAnsiTheme="majorHAnsi" w:cstheme="majorBidi"/>
              <w:sz w:val="80"/>
              <w:szCs w:val="80"/>
            </w:rPr>
            <w:t>[Type the document title]</w:t>
          </w:r>
        </w:p>
      </w:docPartBody>
    </w:docPart>
    <w:docPart>
      <w:docPartPr>
        <w:name w:val="E948B7F47870482F908E00A32B70465E"/>
        <w:category>
          <w:name w:val="General"/>
          <w:gallery w:val="placeholder"/>
        </w:category>
        <w:types>
          <w:type w:val="bbPlcHdr"/>
        </w:types>
        <w:behaviors>
          <w:behavior w:val="content"/>
        </w:behaviors>
        <w:guid w:val="{547A496F-B079-4D6C-9946-FBAC1631C880}"/>
      </w:docPartPr>
      <w:docPartBody>
        <w:p w:rsidR="00417D0F" w:rsidRDefault="00417D0F" w:rsidP="00417D0F">
          <w:pPr>
            <w:pStyle w:val="E948B7F47870482F908E00A32B70465E"/>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altName w:val="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7F0C9A"/>
    <w:rsid w:val="00417D0F"/>
    <w:rsid w:val="00494B5A"/>
    <w:rsid w:val="007F0C9A"/>
    <w:rsid w:val="008D1D89"/>
    <w:rsid w:val="009536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BE2C72FA74046B61C0C2ABAB1D047">
    <w:name w:val="D95BE2C72FA74046B61C0C2ABAB1D047"/>
    <w:rsid w:val="007F0C9A"/>
  </w:style>
  <w:style w:type="paragraph" w:customStyle="1" w:styleId="AFAB57BCB6424E24BCECD7317B0615CB">
    <w:name w:val="AFAB57BCB6424E24BCECD7317B0615CB"/>
    <w:rsid w:val="007F0C9A"/>
  </w:style>
  <w:style w:type="paragraph" w:customStyle="1" w:styleId="7F4A3DA9C13F40C596B2C6CDEA47B1BA">
    <w:name w:val="7F4A3DA9C13F40C596B2C6CDEA47B1BA"/>
    <w:rsid w:val="007F0C9A"/>
  </w:style>
  <w:style w:type="paragraph" w:customStyle="1" w:styleId="0A246C36A79348278B628F07D432B66D">
    <w:name w:val="0A246C36A79348278B628F07D432B66D"/>
    <w:rsid w:val="007F0C9A"/>
  </w:style>
  <w:style w:type="paragraph" w:customStyle="1" w:styleId="7A737ED76ADB45DE900C53D8FED0F8F7">
    <w:name w:val="7A737ED76ADB45DE900C53D8FED0F8F7"/>
    <w:rsid w:val="007F0C9A"/>
  </w:style>
  <w:style w:type="paragraph" w:customStyle="1" w:styleId="2A97CF901B4D402792AD76E569F7428B">
    <w:name w:val="2A97CF901B4D402792AD76E569F7428B"/>
    <w:rsid w:val="007F0C9A"/>
  </w:style>
  <w:style w:type="paragraph" w:customStyle="1" w:styleId="FE5DD9AC09C2478A9C7986CB2F9FAA40">
    <w:name w:val="FE5DD9AC09C2478A9C7986CB2F9FAA40"/>
    <w:rsid w:val="00417D0F"/>
    <w:pPr>
      <w:spacing w:after="160" w:line="259" w:lineRule="auto"/>
    </w:pPr>
    <w:rPr>
      <w:lang w:val="en-GB" w:eastAsia="en-GB"/>
    </w:rPr>
  </w:style>
  <w:style w:type="paragraph" w:customStyle="1" w:styleId="0172DDAAC92A4E71A0B10DF8CEAE9160">
    <w:name w:val="0172DDAAC92A4E71A0B10DF8CEAE9160"/>
    <w:rsid w:val="00417D0F"/>
    <w:pPr>
      <w:spacing w:after="160" w:line="259" w:lineRule="auto"/>
    </w:pPr>
    <w:rPr>
      <w:lang w:val="en-GB" w:eastAsia="en-GB"/>
    </w:rPr>
  </w:style>
  <w:style w:type="paragraph" w:customStyle="1" w:styleId="6035036A503A4124BF9081001A267989">
    <w:name w:val="6035036A503A4124BF9081001A267989"/>
    <w:rsid w:val="00417D0F"/>
    <w:pPr>
      <w:spacing w:after="160" w:line="259" w:lineRule="auto"/>
    </w:pPr>
    <w:rPr>
      <w:lang w:val="en-GB" w:eastAsia="en-GB"/>
    </w:rPr>
  </w:style>
  <w:style w:type="paragraph" w:customStyle="1" w:styleId="2ACCC0192E944F3194119A02465CE2C2">
    <w:name w:val="2ACCC0192E944F3194119A02465CE2C2"/>
    <w:rsid w:val="00417D0F"/>
    <w:pPr>
      <w:spacing w:after="160" w:line="259" w:lineRule="auto"/>
    </w:pPr>
    <w:rPr>
      <w:lang w:val="en-GB" w:eastAsia="en-GB"/>
    </w:rPr>
  </w:style>
  <w:style w:type="paragraph" w:customStyle="1" w:styleId="E948B7F47870482F908E00A32B70465E">
    <w:name w:val="E948B7F47870482F908E00A32B70465E"/>
    <w:rsid w:val="00417D0F"/>
    <w:pPr>
      <w:spacing w:after="160" w:line="259" w:lineRule="auto"/>
    </w:pPr>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FCCC30-7AD1-48B2-A930-BB196BA99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33</Pages>
  <Words>6770</Words>
  <Characters>38589</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Financial Ratio Analysis</vt:lpstr>
    </vt:vector>
  </TitlesOfParts>
  <Company/>
  <LinksUpToDate>false</LinksUpToDate>
  <CharactersWithSpaces>45269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Ratio Analysis</dc:title>
  <dc:subject>William Hill Plc and Paddy Power Betfair Plc</dc:subject>
  <dc:creator>Admin</dc:creator>
  <cp:lastModifiedBy>Hardik Patel (1710830)</cp:lastModifiedBy>
  <cp:revision>17</cp:revision>
  <dcterms:created xsi:type="dcterms:W3CDTF">2018-04-20T14:24:00Z</dcterms:created>
  <dcterms:modified xsi:type="dcterms:W3CDTF">2018-04-25T09:10:00Z</dcterms:modified>
</cp:coreProperties>
</file>