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2E613" w14:textId="73459FC5" w:rsidR="00142864" w:rsidRDefault="00F11FE5" w:rsidP="00142864">
      <w:pPr>
        <w:spacing w:before="120" w:after="120"/>
        <w:jc w:val="center"/>
        <w:rPr>
          <w:rFonts w:asciiTheme="minorHAnsi" w:hAnsiTheme="minorHAnsi" w:cstheme="minorHAnsi"/>
          <w:i/>
          <w:iCs/>
          <w:sz w:val="21"/>
          <w:szCs w:val="21"/>
          <w:lang w:val="cy-GB"/>
        </w:rPr>
      </w:pPr>
      <w:r w:rsidRPr="00142864">
        <w:rPr>
          <w:rFonts w:asciiTheme="minorHAnsi" w:hAnsiTheme="minorHAnsi" w:cstheme="minorHAnsi"/>
          <w:i/>
          <w:iCs/>
          <w:sz w:val="21"/>
          <w:szCs w:val="21"/>
          <w:lang w:val="cy-GB"/>
        </w:rPr>
        <w:t>Dylunio, cynnal a gwerthuso prosiect ymchwil yn feirniadol gan ganolbwyntio ar fodel yr athro trawsnewidiol wrth ddatblygu ymarfer sy’n cael effaith gadarnhaol ar y dysgw</w:t>
      </w:r>
      <w:r w:rsidRPr="00142864">
        <w:rPr>
          <w:rFonts w:asciiTheme="minorHAnsi" w:hAnsiTheme="minorHAnsi" w:cstheme="minorHAnsi"/>
          <w:i/>
          <w:iCs/>
          <w:sz w:val="21"/>
          <w:szCs w:val="21"/>
          <w:lang w:val="cy-GB"/>
        </w:rPr>
        <w:t>r.</w:t>
      </w:r>
    </w:p>
    <w:p w14:paraId="2B5FA203" w14:textId="77777777" w:rsidR="00142864" w:rsidRPr="00142864" w:rsidRDefault="00142864" w:rsidP="00142864">
      <w:pPr>
        <w:spacing w:before="120" w:after="120"/>
        <w:jc w:val="center"/>
        <w:rPr>
          <w:rFonts w:asciiTheme="minorHAnsi" w:hAnsiTheme="minorHAnsi" w:cstheme="minorHAnsi"/>
          <w:i/>
          <w:iCs/>
          <w:sz w:val="21"/>
          <w:szCs w:val="21"/>
          <w:lang w:val="cy-GB"/>
        </w:rPr>
      </w:pPr>
    </w:p>
    <w:p w14:paraId="028A8FDF" w14:textId="50556734" w:rsidR="00142864" w:rsidRPr="00142864" w:rsidRDefault="00142864" w:rsidP="00142864">
      <w:pPr>
        <w:spacing w:before="120" w:after="120" w:line="360" w:lineRule="auto"/>
        <w:jc w:val="center"/>
        <w:rPr>
          <w:rFonts w:asciiTheme="minorHAnsi" w:hAnsiTheme="minorHAnsi" w:cstheme="minorHAnsi"/>
          <w:b/>
          <w:bCs/>
          <w:sz w:val="24"/>
          <w:szCs w:val="24"/>
          <w:u w:val="single"/>
          <w:lang w:val="cy-GB"/>
        </w:rPr>
      </w:pPr>
      <w:r w:rsidRPr="00142864">
        <w:rPr>
          <w:rStyle w:val="normaltextrun"/>
          <w:rFonts w:ascii="Calibri" w:hAnsi="Calibri" w:cs="Calibri"/>
          <w:b/>
          <w:bCs/>
          <w:sz w:val="28"/>
          <w:szCs w:val="28"/>
          <w:u w:val="single"/>
          <w:lang w:val="cy-GB"/>
        </w:rPr>
        <w:t>Sut mae strategaethau meddylgarwch yn effeithio ar ymgysylltiad flwyddyn 3 wrth gweithio?</w:t>
      </w:r>
    </w:p>
    <w:p w14:paraId="6BCFCEBB" w14:textId="77777777" w:rsidR="00142864" w:rsidRDefault="00142864" w:rsidP="00AF28E5">
      <w:pPr>
        <w:spacing w:before="120" w:after="120" w:line="360" w:lineRule="auto"/>
        <w:rPr>
          <w:rFonts w:asciiTheme="minorHAnsi" w:hAnsiTheme="minorHAnsi" w:cstheme="minorHAnsi"/>
          <w:b/>
          <w:sz w:val="24"/>
          <w:szCs w:val="24"/>
          <w:u w:val="single"/>
          <w:lang w:val="cy-GB"/>
        </w:rPr>
      </w:pPr>
    </w:p>
    <w:p w14:paraId="797E0621" w14:textId="0ED711BA" w:rsidR="00FB1CC9"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 xml:space="preserve">Cyflwyniad </w:t>
      </w:r>
    </w:p>
    <w:p w14:paraId="0DD7CE76" w14:textId="39C17BA5" w:rsidR="00FB1CC9" w:rsidRPr="00AF28E5" w:rsidRDefault="007A03B1" w:rsidP="00AF28E5">
      <w:pPr>
        <w:spacing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Pwrpas yr gweithgarwch ymchwil hwn yw i archwilio effeithiau stratagethau meddylgawrch ar ymgysylltiad y ddisgblion wrth gychwyn a pharhau ar dasgau. Bydd ffocws penodol ar ymatebion a agweddau’r ddysgwyr wrth gyfranogi mewn sesiynau meddylgarwch a sut mae hynny’n effeithio wrth cyflawni tasgau.</w:t>
      </w:r>
      <w:r w:rsidRPr="00AF28E5">
        <w:rPr>
          <w:rFonts w:asciiTheme="minorHAnsi" w:hAnsiTheme="minorHAnsi" w:cstheme="minorHAnsi"/>
          <w:sz w:val="24"/>
          <w:szCs w:val="24"/>
          <w:lang w:val="cy-GB"/>
        </w:rPr>
        <w:t xml:space="preserve"> Ysbrydolwyd yr ymchwil hwn gan fy nghanfyddiadau tra ar lleoliad dysgu proffisynnol a’r diffyg tawelwch yn yr ystafelloedd dosbarth ar ôl i’r dysgwyr ddychwelyd o wahanol weithgareddau. </w:t>
      </w:r>
      <w:r w:rsidR="00AF28E5" w:rsidRPr="00AF28E5">
        <w:rPr>
          <w:rFonts w:asciiTheme="minorHAnsi" w:hAnsiTheme="minorHAnsi" w:cstheme="minorHAnsi"/>
          <w:sz w:val="24"/>
          <w:szCs w:val="24"/>
          <w:lang w:val="cy-GB"/>
        </w:rPr>
        <w:t xml:space="preserve">Felly, gofynnir y cwestiwn pa stratagethau gall addysgwyr eu rhoi ar waith er mwyn ennill rheolaeth a chadw sylw eu ddysgwyr adfywiedig ar dasg. </w:t>
      </w:r>
      <w:r w:rsidR="00AF28E5" w:rsidRPr="00AF28E5">
        <w:rPr>
          <w:rFonts w:asciiTheme="minorHAnsi" w:hAnsiTheme="minorHAnsi" w:cstheme="minorHAnsi"/>
          <w:sz w:val="24"/>
          <w:szCs w:val="24"/>
          <w:lang w:val="cy-GB"/>
        </w:rPr>
        <w:t>Mae’r Deddf Llesinat Cenedlaethau’r Dyfodol (Llywodraeth Cymru, 2015) wedi dylanwadi ar fy ymchwil i fewn strategaethau meddylgarwch gan ei fod yn awgrymu dylai ysgolion Cymru fod yn gymdeithas lle mae llesiant corfforol a meddyliol yn bwysig</w:t>
      </w:r>
      <w:r w:rsidR="00AF28E5" w:rsidRPr="00AF28E5">
        <w:rPr>
          <w:rFonts w:asciiTheme="minorHAnsi" w:hAnsiTheme="minorHAnsi" w:cstheme="minorHAnsi"/>
          <w:sz w:val="24"/>
          <w:szCs w:val="24"/>
          <w:lang w:val="cy-GB"/>
        </w:rPr>
        <w:t xml:space="preserve">. </w:t>
      </w:r>
      <w:r w:rsidR="00FB1CC9" w:rsidRPr="00AF28E5">
        <w:rPr>
          <w:rFonts w:asciiTheme="minorHAnsi" w:hAnsiTheme="minorHAnsi" w:cstheme="minorHAnsi"/>
          <w:sz w:val="24"/>
          <w:szCs w:val="24"/>
          <w:lang w:val="cy-GB"/>
        </w:rPr>
        <w:t xml:space="preserve">Bydd y gweithgarwch ymchwil hwn yn digwydd o fewn cyd-destun ysgol gynradd yn benodol ddosbarth flwyddyn </w:t>
      </w:r>
      <w:r w:rsidR="00FB1CC9" w:rsidRPr="00A755F9">
        <w:rPr>
          <w:rFonts w:asciiTheme="minorHAnsi" w:hAnsiTheme="minorHAnsi" w:cstheme="minorHAnsi"/>
          <w:sz w:val="24"/>
          <w:szCs w:val="24"/>
          <w:lang w:val="cy-GB"/>
        </w:rPr>
        <w:t xml:space="preserve">3. </w:t>
      </w:r>
      <w:r w:rsidR="00A755F9" w:rsidRPr="00A755F9">
        <w:rPr>
          <w:rFonts w:asciiTheme="minorHAnsi" w:hAnsiTheme="minorHAnsi" w:cstheme="minorHAnsi"/>
          <w:sz w:val="24"/>
          <w:szCs w:val="24"/>
          <w:lang w:val="cy-GB"/>
        </w:rPr>
        <w:t>Yn defnyddio canllawiau BERA (2018) byddaf yn cadw enw’r ysgol yn cudd</w:t>
      </w:r>
      <w:r w:rsidR="00A755F9">
        <w:rPr>
          <w:rFonts w:asciiTheme="minorHAnsi" w:hAnsiTheme="minorHAnsi" w:cstheme="minorHAnsi"/>
          <w:sz w:val="24"/>
          <w:szCs w:val="24"/>
          <w:lang w:val="cy-GB"/>
        </w:rPr>
        <w:t xml:space="preserve"> a gwelir yn Ysgol A.</w:t>
      </w:r>
      <w:r w:rsidR="00A755F9" w:rsidRPr="00AF28E5">
        <w:rPr>
          <w:rFonts w:asciiTheme="minorHAnsi" w:hAnsiTheme="minorHAnsi" w:cstheme="minorHAnsi"/>
          <w:sz w:val="24"/>
          <w:szCs w:val="24"/>
          <w:lang w:val="cy-GB"/>
        </w:rPr>
        <w:t xml:space="preserve"> </w:t>
      </w:r>
      <w:r w:rsidR="00FB1CC9" w:rsidRPr="00AF28E5">
        <w:rPr>
          <w:rFonts w:asciiTheme="minorHAnsi" w:hAnsiTheme="minorHAnsi" w:cstheme="minorHAnsi"/>
          <w:sz w:val="24"/>
          <w:szCs w:val="24"/>
          <w:lang w:val="cy-GB"/>
        </w:rPr>
        <w:t xml:space="preserve">Caiff yr ymchwil yma ei gyflawni ar broffiad dysgu sy’n gyswlltiedig ar gwrs Tystysgrif Addysg Raddedig (TAR) gyda Partneriaeth Dysgu Proffesiynol Yr Athrofa (PDPA). Wrth arsylwi ar y ddosbarth roedd hi’n amlwg ei fod yn cynhyrfu wrth dychwelyd nôl i’r dosbarth ar ôl amseroedd chwarae a chinio. Gwelir ymdrechion yr athrawes i ymdawelu’r ddysgwyr er mwyn cael y cyfle i gychwyn ar dasgau. Serch hynny, roedd ymgysylltiad rhai ddysgwyr yn prin iawn gan ei fod yn siarad gyda eraill yn y dosbarth. </w:t>
      </w:r>
      <w:r w:rsidR="00AF28E5" w:rsidRPr="00AF28E5">
        <w:rPr>
          <w:rFonts w:asciiTheme="minorHAnsi" w:hAnsiTheme="minorHAnsi" w:cstheme="minorHAnsi"/>
          <w:sz w:val="24"/>
          <w:szCs w:val="24"/>
          <w:lang w:val="cy-GB"/>
        </w:rPr>
        <w:t xml:space="preserve">Wrth ystyried hyn </w:t>
      </w:r>
      <w:r w:rsidR="00A755F9">
        <w:rPr>
          <w:rFonts w:asciiTheme="minorHAnsi" w:hAnsiTheme="minorHAnsi" w:cstheme="minorHAnsi"/>
          <w:sz w:val="24"/>
          <w:szCs w:val="24"/>
          <w:lang w:val="cy-GB"/>
        </w:rPr>
        <w:t>byddaf yn ymchwilio mewn i stratagaethau meddylgawrch a pha gwahanol fathau sydd yn effeithilon i defnyddio o fewn ystafell dosbarth. Yn ogystal a’r effaith mae’r stratagaethau yn cael ar ymgysylltiad y ddysgwyr yn ystod gweithgareddau. Y</w:t>
      </w:r>
      <w:r w:rsidR="00142864">
        <w:rPr>
          <w:rFonts w:asciiTheme="minorHAnsi" w:hAnsiTheme="minorHAnsi" w:cstheme="minorHAnsi"/>
          <w:sz w:val="24"/>
          <w:szCs w:val="24"/>
          <w:lang w:val="cy-GB"/>
        </w:rPr>
        <w:t>n y</w:t>
      </w:r>
      <w:r w:rsidR="00A755F9">
        <w:rPr>
          <w:rFonts w:asciiTheme="minorHAnsi" w:hAnsiTheme="minorHAnsi" w:cstheme="minorHAnsi"/>
          <w:sz w:val="24"/>
          <w:szCs w:val="24"/>
          <w:lang w:val="cy-GB"/>
        </w:rPr>
        <w:t xml:space="preserve"> gobaith </w:t>
      </w:r>
      <w:r w:rsidR="00142864">
        <w:rPr>
          <w:rFonts w:asciiTheme="minorHAnsi" w:hAnsiTheme="minorHAnsi" w:cstheme="minorHAnsi"/>
          <w:sz w:val="24"/>
          <w:szCs w:val="24"/>
          <w:lang w:val="cy-GB"/>
        </w:rPr>
        <w:t>o</w:t>
      </w:r>
      <w:r w:rsidR="00A755F9">
        <w:rPr>
          <w:rFonts w:asciiTheme="minorHAnsi" w:hAnsiTheme="minorHAnsi" w:cstheme="minorHAnsi"/>
          <w:sz w:val="24"/>
          <w:szCs w:val="24"/>
          <w:lang w:val="cy-GB"/>
        </w:rPr>
        <w:t xml:space="preserve"> </w:t>
      </w:r>
      <w:r w:rsidR="00142864">
        <w:rPr>
          <w:rFonts w:asciiTheme="minorHAnsi" w:hAnsiTheme="minorHAnsi" w:cstheme="minorHAnsi"/>
          <w:sz w:val="24"/>
          <w:szCs w:val="24"/>
          <w:lang w:val="cy-GB"/>
        </w:rPr>
        <w:t>d</w:t>
      </w:r>
      <w:r w:rsidR="00A755F9">
        <w:rPr>
          <w:rFonts w:asciiTheme="minorHAnsi" w:hAnsiTheme="minorHAnsi" w:cstheme="minorHAnsi"/>
          <w:sz w:val="24"/>
          <w:szCs w:val="24"/>
          <w:lang w:val="cy-GB"/>
        </w:rPr>
        <w:t>datblygu gwybodaeth a dealltwriaeth o sut mae stratagaethau meddylgarwch yn effeithio ar agwedd ac ymgysylltiad ddisgyblion flwyddyn 3 wrth gwneud gwaith trwy ei arsylwi a thrafod y dulliau fwyaf e</w:t>
      </w:r>
      <w:r w:rsidR="00142864">
        <w:rPr>
          <w:rFonts w:asciiTheme="minorHAnsi" w:hAnsiTheme="minorHAnsi" w:cstheme="minorHAnsi"/>
          <w:sz w:val="24"/>
          <w:szCs w:val="24"/>
          <w:lang w:val="cy-GB"/>
        </w:rPr>
        <w:t>ff</w:t>
      </w:r>
      <w:r w:rsidR="00A755F9">
        <w:rPr>
          <w:rFonts w:asciiTheme="minorHAnsi" w:hAnsiTheme="minorHAnsi" w:cstheme="minorHAnsi"/>
          <w:sz w:val="24"/>
          <w:szCs w:val="24"/>
          <w:lang w:val="cy-GB"/>
        </w:rPr>
        <w:t xml:space="preserve">eithlon iddynt i helpu i ganolbwyntio. </w:t>
      </w:r>
    </w:p>
    <w:p w14:paraId="0775D20C" w14:textId="77777777" w:rsidR="00A53E23" w:rsidRPr="00AF28E5" w:rsidRDefault="00A53E23" w:rsidP="00AF28E5">
      <w:pPr>
        <w:spacing w:before="120" w:after="120" w:line="360" w:lineRule="auto"/>
        <w:rPr>
          <w:rFonts w:asciiTheme="minorHAnsi" w:hAnsiTheme="minorHAnsi" w:cstheme="minorHAnsi"/>
          <w:b/>
          <w:sz w:val="24"/>
          <w:szCs w:val="24"/>
          <w:u w:val="single"/>
          <w:lang w:val="cy-GB"/>
        </w:rPr>
      </w:pPr>
    </w:p>
    <w:p w14:paraId="1ADCD3AB" w14:textId="00CDBF0B"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Trosolwg o lenyddiaeth berthnasol</w:t>
      </w:r>
    </w:p>
    <w:p w14:paraId="0E6A0B11" w14:textId="1DA8B554" w:rsidR="00AF28E5" w:rsidRDefault="00AF28E5" w:rsidP="00AF28E5">
      <w:pPr>
        <w:spacing w:before="120" w:after="120"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 xml:space="preserve">Mae damcaniaeth gan Tatter (2019) yn awgrymu gall sesiynau meddylgarwch ar dechnegau hynny </w:t>
      </w:r>
      <w:r w:rsidR="0074155F">
        <w:rPr>
          <w:rFonts w:asciiTheme="minorHAnsi" w:hAnsiTheme="minorHAnsi" w:cstheme="minorHAnsi"/>
          <w:sz w:val="24"/>
          <w:szCs w:val="24"/>
          <w:lang w:val="cy-GB"/>
        </w:rPr>
        <w:t>yn</w:t>
      </w:r>
      <w:r w:rsidRPr="00AF28E5">
        <w:rPr>
          <w:rFonts w:asciiTheme="minorHAnsi" w:hAnsiTheme="minorHAnsi" w:cstheme="minorHAnsi"/>
          <w:sz w:val="24"/>
          <w:szCs w:val="24"/>
          <w:lang w:val="cy-GB"/>
        </w:rPr>
        <w:t xml:space="preserve"> dawelu’r meddwl a chorff. A hynny yw yn lleihau straen ac yn cynyddu gallu’r ddysgywr i barhau i aros ar y trywydd gywir ac osgoi problemau ymddygiad. Mae ymchwil Browning, A &amp; Romer, N (2020) yn dadansoddi bod dysgwyr ddysgu am sgiliau hunanymwybyddiaeth a hunanreoleiddio trwy gweithgareddau meddylgawrch maent yn gysylltiedig â llwyddiant yn yr ysgol. Felly i’r ddysgywr cael y cyfle i wneud hyn mae angen iddynt dysgu sut i reoli ymddygiadau a ddysgu’r sgilau ymdopi sydd yn gallu cael ei gweithredu gyda’r sesiynau meddylgawrch. Bydd yr cyfranogi mewn sesiynau meddylgarwch yn hanfodol i weld yr effeithiau negyddol neu gadarnhaol ar ymgysylltiad y ddisgyblion wrth iddynt barhau â’u hunedau gwaith, dyma bydd canolbwynt yr ymchwil hyn.</w:t>
      </w:r>
    </w:p>
    <w:p w14:paraId="1EBC7CDD" w14:textId="3E39B035" w:rsidR="0074155F" w:rsidRDefault="0074155F" w:rsidP="00AF28E5">
      <w:pPr>
        <w:spacing w:before="120" w:after="120"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Mae sawl astudiaeth wedi archwilio effaith sesiynau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ar wahanol agweddau ar fywydau myfyrwyr. Mae Zen (2018) yn awgrymu y gall defnyddio sesiynau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gael effaith gadarnhaol fach i gymedrol ar ymddygiad, gan nodi gwelliannau posibl mewn sylw a lleihau gwrthdyniadau. Fodd bynnag, mae Zen hefyd yn tynnu sylw at yr angen am strategaethau ychwanegol, yn enwedig ar gyfer myfyrwyr nad ydynt efallai'n elwa'n sylweddol o </w:t>
      </w:r>
      <w:r>
        <w:rPr>
          <w:rFonts w:asciiTheme="minorHAnsi" w:hAnsiTheme="minorHAnsi" w:cstheme="minorHAnsi"/>
          <w:sz w:val="24"/>
          <w:szCs w:val="24"/>
          <w:lang w:val="cy-GB"/>
        </w:rPr>
        <w:t>feddylgarwch</w:t>
      </w:r>
      <w:r w:rsidRPr="0074155F">
        <w:rPr>
          <w:rFonts w:asciiTheme="minorHAnsi" w:hAnsiTheme="minorHAnsi" w:cstheme="minorHAnsi"/>
          <w:sz w:val="24"/>
          <w:szCs w:val="24"/>
          <w:lang w:val="cy-GB"/>
        </w:rPr>
        <w:t xml:space="preserve"> yn unig. Felly, cynigiwyd ymgorffori technegau gwybyddol</w:t>
      </w:r>
      <w:r>
        <w:rPr>
          <w:rFonts w:asciiTheme="minorHAnsi" w:hAnsiTheme="minorHAnsi" w:cstheme="minorHAnsi"/>
          <w:sz w:val="24"/>
          <w:szCs w:val="24"/>
          <w:lang w:val="cy-GB"/>
        </w:rPr>
        <w:t>,</w:t>
      </w:r>
      <w:r w:rsidRPr="0074155F">
        <w:rPr>
          <w:rFonts w:asciiTheme="minorHAnsi" w:hAnsiTheme="minorHAnsi" w:cstheme="minorHAnsi"/>
          <w:sz w:val="24"/>
          <w:szCs w:val="24"/>
          <w:lang w:val="cy-GB"/>
        </w:rPr>
        <w:t xml:space="preserve"> ochr yn ochr â sesiynau ymwybyddiaeth ofalgar fel ffordd o wella sylw, yn enwedig mewn lleoliadau grŵp mawr.</w:t>
      </w:r>
      <w:r>
        <w:rPr>
          <w:rFonts w:asciiTheme="minorHAnsi" w:hAnsiTheme="minorHAnsi" w:cstheme="minorHAnsi"/>
          <w:sz w:val="24"/>
          <w:szCs w:val="24"/>
          <w:lang w:val="cy-GB"/>
        </w:rPr>
        <w:t xml:space="preserve"> </w:t>
      </w:r>
      <w:r w:rsidRPr="0074155F">
        <w:rPr>
          <w:rFonts w:asciiTheme="minorHAnsi" w:hAnsiTheme="minorHAnsi" w:cstheme="minorHAnsi"/>
          <w:sz w:val="24"/>
          <w:szCs w:val="24"/>
          <w:lang w:val="cy-GB"/>
        </w:rPr>
        <w:t xml:space="preserve">Yn yr un modd, archwiliodd Campbell (2015) effaith fuddiol </w:t>
      </w:r>
      <w:r>
        <w:rPr>
          <w:rFonts w:asciiTheme="minorHAnsi" w:hAnsiTheme="minorHAnsi" w:cstheme="minorHAnsi"/>
          <w:sz w:val="24"/>
          <w:szCs w:val="24"/>
          <w:lang w:val="cy-GB"/>
        </w:rPr>
        <w:t>o sesiynau meddylgarwch</w:t>
      </w:r>
      <w:r w:rsidRPr="0074155F">
        <w:rPr>
          <w:rFonts w:asciiTheme="minorHAnsi" w:hAnsiTheme="minorHAnsi" w:cstheme="minorHAnsi"/>
          <w:sz w:val="24"/>
          <w:szCs w:val="24"/>
          <w:lang w:val="cy-GB"/>
        </w:rPr>
        <w:t xml:space="preserve"> ar sgiliau rheoleiddio emosiynol myfyrwyr. Gall addysgu myfyrwyr sut i reoli eu hemosiynau'n effeithiol gyfrannu at well canolbwyntio, gan eu bod mewn sefyllfa well i gynnal ffocws a sylw. Mae hyn yn awgrymu bod sesi</w:t>
      </w:r>
      <w:r>
        <w:rPr>
          <w:rFonts w:asciiTheme="minorHAnsi" w:hAnsiTheme="minorHAnsi" w:cstheme="minorHAnsi"/>
          <w:sz w:val="24"/>
          <w:szCs w:val="24"/>
          <w:lang w:val="cy-GB"/>
        </w:rPr>
        <w:t>ynau meddylgarwch</w:t>
      </w:r>
      <w:r w:rsidRPr="0074155F">
        <w:rPr>
          <w:rFonts w:asciiTheme="minorHAnsi" w:hAnsiTheme="minorHAnsi" w:cstheme="minorHAnsi"/>
          <w:sz w:val="24"/>
          <w:szCs w:val="24"/>
          <w:lang w:val="cy-GB"/>
        </w:rPr>
        <w:t xml:space="preserve"> nid yn unig yn gwella lles emosiynol ond hefyd yn hybu mwy o sylw ymhlith myfyrwyr.</w:t>
      </w:r>
      <w:r w:rsidRPr="0074155F">
        <w:t xml:space="preserve"> </w:t>
      </w:r>
      <w:r w:rsidRPr="0074155F">
        <w:rPr>
          <w:rFonts w:asciiTheme="minorHAnsi" w:hAnsiTheme="minorHAnsi" w:cstheme="minorHAnsi"/>
          <w:sz w:val="24"/>
          <w:szCs w:val="24"/>
          <w:lang w:val="cy-GB"/>
        </w:rPr>
        <w:t xml:space="preserve">Yn ogystal â gwella rheoleiddio emosiynol, canfuwyd bod sesiynau </w:t>
      </w:r>
      <w:r>
        <w:rPr>
          <w:rFonts w:asciiTheme="minorHAnsi" w:hAnsiTheme="minorHAnsi" w:cstheme="minorHAnsi"/>
          <w:sz w:val="24"/>
          <w:szCs w:val="24"/>
          <w:lang w:val="cy-GB"/>
        </w:rPr>
        <w:t xml:space="preserve">hyn </w:t>
      </w:r>
      <w:r w:rsidRPr="0074155F">
        <w:rPr>
          <w:rFonts w:asciiTheme="minorHAnsi" w:hAnsiTheme="minorHAnsi" w:cstheme="minorHAnsi"/>
          <w:sz w:val="24"/>
          <w:szCs w:val="24"/>
          <w:lang w:val="cy-GB"/>
        </w:rPr>
        <w:t xml:space="preserve">yn meithrin ymdeimlad o dawelwch a gwydnwch mewnol ymhlith myfyrwyr (Smith, 2017). Gall y gwydnwch emosiynol hwn fod yn allweddol i liniaru'r gwrthdyniadau a'r straenwyr sy'n aml yn rhwystro canolbwyntio mewn lleoliadau addysgol. </w:t>
      </w:r>
      <w:r>
        <w:rPr>
          <w:rFonts w:asciiTheme="minorHAnsi" w:hAnsiTheme="minorHAnsi" w:cstheme="minorHAnsi"/>
          <w:sz w:val="24"/>
          <w:szCs w:val="24"/>
          <w:lang w:val="cy-GB"/>
        </w:rPr>
        <w:t>Golygai hyn bod</w:t>
      </w:r>
      <w:r w:rsidRPr="0074155F">
        <w:rPr>
          <w:rFonts w:asciiTheme="minorHAnsi" w:hAnsiTheme="minorHAnsi" w:cstheme="minorHAnsi"/>
          <w:sz w:val="24"/>
          <w:szCs w:val="24"/>
          <w:lang w:val="cy-GB"/>
        </w:rPr>
        <w:t xml:space="preserve"> arferion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yn hybu hunanymwybyddiaeth, gan ganiatáu i fyfyrwyr adnabod a mynd i'r afael â ffactorau a allai rwystro eu gallu i ganolbwyntio'n effeithiol. </w:t>
      </w:r>
      <w:r>
        <w:rPr>
          <w:rFonts w:asciiTheme="minorHAnsi" w:hAnsiTheme="minorHAnsi" w:cstheme="minorHAnsi"/>
          <w:sz w:val="24"/>
          <w:szCs w:val="24"/>
          <w:lang w:val="cy-GB"/>
        </w:rPr>
        <w:t xml:space="preserve">Caiff ddisgyblion y sgiliau hangenreidiol er mwyn wynebu eu heriau i gwella ei ymroddiad i gwaith. </w:t>
      </w:r>
    </w:p>
    <w:p w14:paraId="36D236CC" w14:textId="40533DF2" w:rsidR="0074155F" w:rsidRDefault="0074155F" w:rsidP="0074155F">
      <w:pPr>
        <w:spacing w:before="120" w:after="120"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lastRenderedPageBreak/>
        <w:t xml:space="preserve">Dadleuodd rhai na fydd ymyriadau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yn addas i bob myfyriwr neu efallai na fyddant yn mynd i'r afael ag anghenion penodol unigolion. Gall hyn arwain at ymddieithrio neu wrthwynebiad posibl ymhlith rhai myfyrwyr (Renshaw et al., 2019). Er enghraifft, gall myfyrwyr sy’n cael trafferth gyda phroblemau iechyd meddwl difrifol neu hanes trawma ganfod arferion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yn sbarduno neu’n annigonol i fynd i’r afael â’u hanghenion unigryw. Yn ogystal, gall myfyrwyr ag anhwylderau niwroddatblygiadol fel ADHD gael anhawster i gymryd rhan mewn gweithgareddau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oherwydd heriau gyda sylw a rheolaeth ysgogiad. Felly, mae'n hanfodol i addysgwyr ystyried gwahaniaethau unigol a theilwra </w:t>
      </w:r>
      <w:r>
        <w:rPr>
          <w:rFonts w:asciiTheme="minorHAnsi" w:hAnsiTheme="minorHAnsi" w:cstheme="minorHAnsi"/>
          <w:sz w:val="24"/>
          <w:szCs w:val="24"/>
          <w:lang w:val="cy-GB"/>
        </w:rPr>
        <w:t>sesiynau meddylgarwch</w:t>
      </w:r>
      <w:r w:rsidRPr="0074155F">
        <w:rPr>
          <w:rFonts w:asciiTheme="minorHAnsi" w:hAnsiTheme="minorHAnsi" w:cstheme="minorHAnsi"/>
          <w:sz w:val="24"/>
          <w:szCs w:val="24"/>
          <w:lang w:val="cy-GB"/>
        </w:rPr>
        <w:t xml:space="preserve"> yn unol â hynny i sicrhau cynwysoldeb ac effeithiolrwydd.</w:t>
      </w:r>
    </w:p>
    <w:p w14:paraId="7B44C7B2" w14:textId="24956006" w:rsid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Cefnogir mecanweithiau sylfaenol arferion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gan dystiolaeth wyddonol. Mae ymchwil yn dangos bod ymyriadau </w:t>
      </w:r>
      <w:r>
        <w:rPr>
          <w:rFonts w:asciiTheme="minorHAnsi" w:hAnsiTheme="minorHAnsi" w:cstheme="minorHAnsi"/>
          <w:bCs/>
          <w:sz w:val="24"/>
          <w:szCs w:val="24"/>
          <w:lang w:val="cy-GB"/>
        </w:rPr>
        <w:t>i sesiynau meddylgawrwch</w:t>
      </w:r>
      <w:r w:rsidRPr="0074155F">
        <w:rPr>
          <w:rFonts w:asciiTheme="minorHAnsi" w:hAnsiTheme="minorHAnsi" w:cstheme="minorHAnsi"/>
          <w:bCs/>
          <w:sz w:val="24"/>
          <w:szCs w:val="24"/>
          <w:lang w:val="cy-GB"/>
        </w:rPr>
        <w:t xml:space="preserve"> yn arwain at newidiadau strwythurol yn yr ymennydd</w:t>
      </w:r>
      <w:r>
        <w:rPr>
          <w:rFonts w:asciiTheme="minorHAnsi" w:hAnsiTheme="minorHAnsi" w:cstheme="minorHAnsi"/>
          <w:bCs/>
          <w:sz w:val="24"/>
          <w:szCs w:val="24"/>
          <w:lang w:val="cy-GB"/>
        </w:rPr>
        <w:t>.</w:t>
      </w:r>
      <w:r w:rsidRPr="0074155F">
        <w:rPr>
          <w:rFonts w:asciiTheme="minorHAnsi" w:hAnsiTheme="minorHAnsi" w:cstheme="minorHAnsi"/>
          <w:bCs/>
          <w:sz w:val="24"/>
          <w:szCs w:val="24"/>
          <w:lang w:val="cy-GB"/>
        </w:rPr>
        <w:t xml:space="preserve"> Mae canfyddiadau Dr. Richie Davidson</w:t>
      </w:r>
      <w:r>
        <w:rPr>
          <w:rFonts w:asciiTheme="minorHAnsi" w:hAnsiTheme="minorHAnsi" w:cstheme="minorHAnsi"/>
          <w:bCs/>
          <w:sz w:val="24"/>
          <w:szCs w:val="24"/>
          <w:lang w:val="cy-GB"/>
        </w:rPr>
        <w:t xml:space="preserve"> (Dyfynnwyd yn Kinder,2017)</w:t>
      </w:r>
      <w:r w:rsidRPr="0074155F">
        <w:rPr>
          <w:rFonts w:asciiTheme="minorHAnsi" w:hAnsiTheme="minorHAnsi" w:cstheme="minorHAnsi"/>
          <w:bCs/>
          <w:sz w:val="24"/>
          <w:szCs w:val="24"/>
          <w:lang w:val="cy-GB"/>
        </w:rPr>
        <w:t xml:space="preserve"> yn awgrymu bod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yn gwella cysylltedd niwral mewn rhanbarthau ymennydd sy'n gysylltiedig â sylw a chanolbwyntio, a thrwy hynny </w:t>
      </w:r>
      <w:r>
        <w:rPr>
          <w:rFonts w:asciiTheme="minorHAnsi" w:hAnsiTheme="minorHAnsi" w:cstheme="minorHAnsi"/>
          <w:bCs/>
          <w:sz w:val="24"/>
          <w:szCs w:val="24"/>
          <w:lang w:val="cy-GB"/>
        </w:rPr>
        <w:t>yn d</w:t>
      </w:r>
      <w:r w:rsidRPr="0074155F">
        <w:rPr>
          <w:rFonts w:asciiTheme="minorHAnsi" w:hAnsiTheme="minorHAnsi" w:cstheme="minorHAnsi"/>
          <w:bCs/>
          <w:sz w:val="24"/>
          <w:szCs w:val="24"/>
          <w:lang w:val="cy-GB"/>
        </w:rPr>
        <w:t>dylanwad</w:t>
      </w:r>
      <w:r>
        <w:rPr>
          <w:rFonts w:asciiTheme="minorHAnsi" w:hAnsiTheme="minorHAnsi" w:cstheme="minorHAnsi"/>
          <w:bCs/>
          <w:sz w:val="24"/>
          <w:szCs w:val="24"/>
          <w:lang w:val="cy-GB"/>
        </w:rPr>
        <w:t>u</w:t>
      </w:r>
      <w:r w:rsidRPr="0074155F">
        <w:rPr>
          <w:rFonts w:asciiTheme="minorHAnsi" w:hAnsiTheme="minorHAnsi" w:cstheme="minorHAnsi"/>
          <w:bCs/>
          <w:sz w:val="24"/>
          <w:szCs w:val="24"/>
          <w:lang w:val="cy-GB"/>
        </w:rPr>
        <w:t xml:space="preserve"> ar brosesau gwybyddol.</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 xml:space="preserve">Mae deall yr effeithiau niwrobiolegol hyn yn taflu goleuni ar sut y gall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a hunanreoleiddio gyfrannu at welliant academaidd. Mae hyn yn arbennig o berthnasol i fyfyrwyr sy’n wynebu adfyd, fel y rhai sy’n delio â Phrofiadau Niweidiol yn ystod Plentyndod (ACE). Trwy feithrin sgiliau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mae myfyrwyr wedi'u harfogi i lywio heriau'n fwy effeithiol, gan feithrin amgylchedd ffafriol ar gyfer llwyddiant academaidd ymhlith yr holl fyfyrwyr, gyda phwyslais arbennig ar gefnogi anghenion y rhai mwyaf agored i niwed</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Serch hynny, nid yw'r technegau hyn yn gweithio i bawb; dim ond mewn ysgolion sy'n lle diogel a chadarnhaol y gall medd</w:t>
      </w:r>
      <w:r>
        <w:rPr>
          <w:rFonts w:asciiTheme="minorHAnsi" w:hAnsiTheme="minorHAnsi" w:cstheme="minorHAnsi"/>
          <w:bCs/>
          <w:sz w:val="24"/>
          <w:szCs w:val="24"/>
          <w:lang w:val="cy-GB"/>
        </w:rPr>
        <w:t>ylgarwch</w:t>
      </w:r>
      <w:r w:rsidRPr="0074155F">
        <w:rPr>
          <w:rFonts w:asciiTheme="minorHAnsi" w:hAnsiTheme="minorHAnsi" w:cstheme="minorHAnsi"/>
          <w:bCs/>
          <w:sz w:val="24"/>
          <w:szCs w:val="24"/>
          <w:lang w:val="cy-GB"/>
        </w:rPr>
        <w:t xml:space="preserve"> ffynnu. Nid yw</w:t>
      </w:r>
      <w:r>
        <w:rPr>
          <w:rFonts w:asciiTheme="minorHAnsi" w:hAnsiTheme="minorHAnsi" w:cstheme="minorHAnsi"/>
          <w:bCs/>
          <w:sz w:val="24"/>
          <w:szCs w:val="24"/>
          <w:lang w:val="cy-GB"/>
        </w:rPr>
        <w:t xml:space="preserve"> hi’n</w:t>
      </w:r>
      <w:r w:rsidRPr="0074155F">
        <w:rPr>
          <w:rFonts w:asciiTheme="minorHAnsi" w:hAnsiTheme="minorHAnsi" w:cstheme="minorHAnsi"/>
          <w:bCs/>
          <w:sz w:val="24"/>
          <w:szCs w:val="24"/>
          <w:lang w:val="cy-GB"/>
        </w:rPr>
        <w:t xml:space="preserve"> bosibl creu cwricwlwm </w:t>
      </w:r>
      <w:r>
        <w:rPr>
          <w:rFonts w:asciiTheme="minorHAnsi" w:hAnsiTheme="minorHAnsi" w:cstheme="minorHAnsi"/>
          <w:bCs/>
          <w:sz w:val="24"/>
          <w:szCs w:val="24"/>
          <w:lang w:val="cy-GB"/>
        </w:rPr>
        <w:t>cyffridinol</w:t>
      </w:r>
      <w:r w:rsidRPr="0074155F">
        <w:rPr>
          <w:rFonts w:asciiTheme="minorHAnsi" w:hAnsiTheme="minorHAnsi" w:cstheme="minorHAnsi"/>
          <w:bCs/>
          <w:sz w:val="24"/>
          <w:szCs w:val="24"/>
          <w:lang w:val="cy-GB"/>
        </w:rPr>
        <w:t xml:space="preserve"> wrth gynnal sesiynau medd</w:t>
      </w:r>
      <w:r>
        <w:rPr>
          <w:rFonts w:asciiTheme="minorHAnsi" w:hAnsiTheme="minorHAnsi" w:cstheme="minorHAnsi"/>
          <w:bCs/>
          <w:sz w:val="24"/>
          <w:szCs w:val="24"/>
          <w:lang w:val="cy-GB"/>
        </w:rPr>
        <w:t>ylgarwch</w:t>
      </w:r>
      <w:r w:rsidRPr="0074155F">
        <w:rPr>
          <w:rFonts w:asciiTheme="minorHAnsi" w:hAnsiTheme="minorHAnsi" w:cstheme="minorHAnsi"/>
          <w:bCs/>
          <w:sz w:val="24"/>
          <w:szCs w:val="24"/>
          <w:lang w:val="cy-GB"/>
        </w:rPr>
        <w:t xml:space="preserve"> gan ei fod yn unigryw i bob ysgol, i bob dosbarth, ac i bob plentyn. Felly, rhaid i addysgwyr aros yn hyblyg ac yn agored i addasu arferion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i weddu i anghenion a chyd-destunau amrywiol eu myfyrwyr (Renshaw et al., 2019). Yn ogystal, mae meithrin amgylchedd ysgol cefnogol a meithringar yn hanfodol ar gyfer creu’r amodau gorau posibl i fyfyrwyr elwa ar </w:t>
      </w:r>
      <w:r>
        <w:rPr>
          <w:rFonts w:asciiTheme="minorHAnsi" w:hAnsiTheme="minorHAnsi" w:cstheme="minorHAnsi"/>
          <w:bCs/>
          <w:sz w:val="24"/>
          <w:szCs w:val="24"/>
          <w:lang w:val="cy-GB"/>
        </w:rPr>
        <w:t>o dechnegau a sesiynau meddylgarwch sydd yn gwella</w:t>
      </w:r>
      <w:r w:rsidRPr="0074155F">
        <w:rPr>
          <w:rFonts w:asciiTheme="minorHAnsi" w:hAnsiTheme="minorHAnsi" w:cstheme="minorHAnsi"/>
          <w:bCs/>
          <w:sz w:val="24"/>
          <w:szCs w:val="24"/>
          <w:lang w:val="cy-GB"/>
        </w:rPr>
        <w:t xml:space="preserve"> strategaethau gwella gwybyddol eraill (Smith, 2017). Trwy flaenoriaethu dulliau gweithredu unigol a meithrin diwylliant o gynwysoldeb a derbyniad, gall ysgolion gefnogi datblygiad cyfannol a lles pob myfyriwr yn well (Jones &amp; </w:t>
      </w:r>
      <w:r>
        <w:rPr>
          <w:rFonts w:asciiTheme="minorHAnsi" w:hAnsiTheme="minorHAnsi" w:cstheme="minorHAnsi"/>
          <w:bCs/>
          <w:sz w:val="24"/>
          <w:szCs w:val="24"/>
          <w:lang w:val="cy-GB"/>
        </w:rPr>
        <w:t>Smith</w:t>
      </w:r>
      <w:r w:rsidRPr="0074155F">
        <w:rPr>
          <w:rFonts w:asciiTheme="minorHAnsi" w:hAnsiTheme="minorHAnsi" w:cstheme="minorHAnsi"/>
          <w:bCs/>
          <w:sz w:val="24"/>
          <w:szCs w:val="24"/>
          <w:lang w:val="cy-GB"/>
        </w:rPr>
        <w:t>, 2020).</w:t>
      </w:r>
    </w:p>
    <w:p w14:paraId="167F8523" w14:textId="2222A9CB"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lastRenderedPageBreak/>
        <w:t xml:space="preserve">Mae'r adolygiad o </w:t>
      </w:r>
      <w:r>
        <w:rPr>
          <w:rFonts w:asciiTheme="minorHAnsi" w:hAnsiTheme="minorHAnsi" w:cstheme="minorHAnsi"/>
          <w:bCs/>
          <w:sz w:val="24"/>
          <w:szCs w:val="24"/>
          <w:lang w:val="cy-GB"/>
        </w:rPr>
        <w:t>ymyrraeth meddylgawrch</w:t>
      </w:r>
      <w:r w:rsidRPr="0074155F">
        <w:rPr>
          <w:rFonts w:asciiTheme="minorHAnsi" w:hAnsiTheme="minorHAnsi" w:cstheme="minorHAnsi"/>
          <w:bCs/>
          <w:sz w:val="24"/>
          <w:szCs w:val="24"/>
          <w:lang w:val="cy-GB"/>
        </w:rPr>
        <w:t xml:space="preserve"> yn amlygu eu manteision posibl ar gyfer gwella agweddau amrywiol ar fywydau myfyrwyr, gan gynnwys sylw, rheoleiddio emosiynol, a lles cyffredinol. Mae astudiaethau'n dangos y gall arferion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arwain at newidiadau strwythurol yn yr ymennydd, sy'n gysylltiedig â gwell gwydnwch emosiynol. Fodd bynnag, mae'n bwysig cydnabod efallai na fydd </w:t>
      </w:r>
      <w:r>
        <w:rPr>
          <w:rFonts w:asciiTheme="minorHAnsi" w:hAnsiTheme="minorHAnsi" w:cstheme="minorHAnsi"/>
          <w:bCs/>
          <w:sz w:val="24"/>
          <w:szCs w:val="24"/>
          <w:lang w:val="cy-GB"/>
        </w:rPr>
        <w:t>sesiynau meddylgarwch</w:t>
      </w:r>
      <w:r w:rsidRPr="0074155F">
        <w:rPr>
          <w:rFonts w:asciiTheme="minorHAnsi" w:hAnsiTheme="minorHAnsi" w:cstheme="minorHAnsi"/>
          <w:bCs/>
          <w:sz w:val="24"/>
          <w:szCs w:val="24"/>
          <w:lang w:val="cy-GB"/>
        </w:rPr>
        <w:t xml:space="preserve"> yn addas i bob myfyriwr, a rhaid rhoi ystyriaeth ofalus i wahaniaethau </w:t>
      </w:r>
      <w:r>
        <w:rPr>
          <w:rFonts w:asciiTheme="minorHAnsi" w:hAnsiTheme="minorHAnsi" w:cstheme="minorHAnsi"/>
          <w:bCs/>
          <w:sz w:val="24"/>
          <w:szCs w:val="24"/>
          <w:lang w:val="cy-GB"/>
        </w:rPr>
        <w:t xml:space="preserve">ar gyfer </w:t>
      </w:r>
      <w:r w:rsidRPr="0074155F">
        <w:rPr>
          <w:rFonts w:asciiTheme="minorHAnsi" w:hAnsiTheme="minorHAnsi" w:cstheme="minorHAnsi"/>
          <w:bCs/>
          <w:sz w:val="24"/>
          <w:szCs w:val="24"/>
          <w:lang w:val="cy-GB"/>
        </w:rPr>
        <w:t xml:space="preserve">unigol a ffactorau cyd-destunol. Yn ogystal, er bod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yn hyrwyddo canlyniadau cadarnhaol mewn lleoliadau addysgol, mae angen ymchwil pellach i ddeall yn llawn ei fecanweithiau gweithredu a'i effeithiau hirdymor. Yn gyffredinol, gall meithrin amgylchedd ysgol cefnogol a chynhwysol gyfrannu at feithrin datblygiad a lles cyfannol myfyrwyr.</w:t>
      </w:r>
    </w:p>
    <w:p w14:paraId="08F15FF7" w14:textId="55EF61CB"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Astudiaeth Achos</w:t>
      </w:r>
    </w:p>
    <w:p w14:paraId="6A8B7F5F" w14:textId="6AEC1E75"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Mae dull yr astudiaeth achos mewn ymchwil yn cynnwys archwiliad a dadansoddiad manwl o bwnc penodol o fewn ei gyd-destun naturiol (Yin, 2014). Mae'r dull hwn yn cynnig dealltwriaeth gynhwysfawr i ymchwilwyr o ffenomenau, ymddygiadau neu sefyllfaoedd cymhleth.</w:t>
      </w:r>
    </w:p>
    <w:p w14:paraId="04A25FF1" w14:textId="638F8D18"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Mae prif ddiben defnyddio dull astudiaeth achos yn amlochrog. Yn gyntaf, mae'n galluogi ymchwilwyr i archwilio ffenomenau cymhleth yn eu lleoliadau dilys, gan roi cipolwg manwl ar brofiadau bywyd go iawn (Stake, 1995). Yn ail, mae astudiaethau achos yn hwyluso ymchwilio i achosion unigryw neu annodweddiadol nad ydynt efallai'n cael sylw digonol trwy ddulliau ymchwil eraill. Yn ogystal, maent yn caniatáu ar gyfer archwilio'r rhyngweithio rhwng ffactorau amrywiol o fewn cyd-destun penodol, gan gynorthwyo datblygiad theori neu ffurfio damcaniaethau ymchwil newydd (</w:t>
      </w:r>
      <w:r>
        <w:rPr>
          <w:rFonts w:asciiTheme="minorHAnsi" w:hAnsiTheme="minorHAnsi" w:cstheme="minorHAnsi"/>
          <w:bCs/>
          <w:sz w:val="24"/>
          <w:szCs w:val="24"/>
          <w:lang w:val="cy-GB"/>
        </w:rPr>
        <w:t>Tellis</w:t>
      </w:r>
      <w:r w:rsidRPr="0074155F">
        <w:rPr>
          <w:rFonts w:asciiTheme="minorHAnsi" w:hAnsiTheme="minorHAnsi" w:cstheme="minorHAnsi"/>
          <w:bCs/>
          <w:sz w:val="24"/>
          <w:szCs w:val="24"/>
          <w:lang w:val="cy-GB"/>
        </w:rPr>
        <w:t xml:space="preserve">, </w:t>
      </w:r>
      <w:r>
        <w:rPr>
          <w:rFonts w:asciiTheme="minorHAnsi" w:hAnsiTheme="minorHAnsi" w:cstheme="minorHAnsi"/>
          <w:bCs/>
          <w:sz w:val="24"/>
          <w:szCs w:val="24"/>
          <w:lang w:val="cy-GB"/>
        </w:rPr>
        <w:t>1997</w:t>
      </w:r>
      <w:r w:rsidRPr="0074155F">
        <w:rPr>
          <w:rFonts w:asciiTheme="minorHAnsi" w:hAnsiTheme="minorHAnsi" w:cstheme="minorHAnsi"/>
          <w:bCs/>
          <w:sz w:val="24"/>
          <w:szCs w:val="24"/>
          <w:lang w:val="cy-GB"/>
        </w:rPr>
        <w:t>).</w:t>
      </w:r>
    </w:p>
    <w:p w14:paraId="0CC45195" w14:textId="48B645D7"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Mae cryfderau dull yr astudiaeth achos yn cynnwys ei allu i gynhyrchu data sy’n gyfoethog o ran cyd-destun, gan arwain at ddealltwriaeth gynnil o ffenomenau cymhleth. Mae hefyd yn caniatáu ar gyfer archwilio safbwyntiau lluosog ac arsylwi sefyllfaoedd bywyd go iawn wrth iddynt ddatblygu dros amser. At hynny, mae astudiaethau achos yn cyfrannu at ddatblygu theori a chynhyrchu damcaniaeth, yn enwedig mewn cyd-destunau ymchwil archwiliadol (Yin, 2014).</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 xml:space="preserve">Fodd bynnag, daw cyfyngiadau i ymchwil astudiaethau achos. Un cyfyngiad o’r fath yw’r diffyg cyffredinoli posibl, oherwydd efallai na fydd canfyddiadau o un achos yn berthnasol i boblogaethau neu gyd-destunau ehangach. </w:t>
      </w:r>
      <w:r>
        <w:rPr>
          <w:rFonts w:asciiTheme="minorHAnsi" w:hAnsiTheme="minorHAnsi" w:cstheme="minorHAnsi"/>
          <w:bCs/>
          <w:sz w:val="24"/>
          <w:szCs w:val="24"/>
          <w:lang w:val="cy-GB"/>
        </w:rPr>
        <w:t>G</w:t>
      </w:r>
      <w:r w:rsidRPr="0074155F">
        <w:rPr>
          <w:rFonts w:asciiTheme="minorHAnsi" w:hAnsiTheme="minorHAnsi" w:cstheme="minorHAnsi"/>
          <w:bCs/>
          <w:sz w:val="24"/>
          <w:szCs w:val="24"/>
          <w:lang w:val="cy-GB"/>
        </w:rPr>
        <w:t xml:space="preserve">all dehongliad goddrychol o ddata sy’n gynhenid i ymchwil astudiaethau achos gyflwyno tuedd, gan effeithio ar ddilysrwydd a </w:t>
      </w:r>
      <w:r w:rsidRPr="0074155F">
        <w:rPr>
          <w:rFonts w:asciiTheme="minorHAnsi" w:hAnsiTheme="minorHAnsi" w:cstheme="minorHAnsi"/>
          <w:bCs/>
          <w:sz w:val="24"/>
          <w:szCs w:val="24"/>
          <w:lang w:val="cy-GB"/>
        </w:rPr>
        <w:lastRenderedPageBreak/>
        <w:t>dibynadwyedd canfyddiadau. Yn ogystal, mae astudiaethau achos yn defnyddio llawer o adnoddau ac yn cymryd llawer o amser, gan fynnu ymdrechion helaeth i gasglu a dadansoddi data.</w:t>
      </w:r>
      <w:r>
        <w:rPr>
          <w:rFonts w:asciiTheme="minorHAnsi" w:hAnsiTheme="minorHAnsi" w:cstheme="minorHAnsi"/>
          <w:bCs/>
          <w:sz w:val="24"/>
          <w:szCs w:val="24"/>
          <w:lang w:val="cy-GB"/>
        </w:rPr>
        <w:t xml:space="preserve"> G</w:t>
      </w:r>
      <w:r w:rsidRPr="0074155F">
        <w:rPr>
          <w:rFonts w:asciiTheme="minorHAnsi" w:hAnsiTheme="minorHAnsi" w:cstheme="minorHAnsi"/>
          <w:bCs/>
          <w:sz w:val="24"/>
          <w:szCs w:val="24"/>
          <w:lang w:val="cy-GB"/>
        </w:rPr>
        <w:t xml:space="preserve">all cryfderau'r dull astudiaeth achos gynnwys ei allu i ddarparu mewnwelediad manwl i achosion neu brofiadau penodol sy'n berthnasol </w:t>
      </w:r>
      <w:r>
        <w:rPr>
          <w:rFonts w:asciiTheme="minorHAnsi" w:hAnsiTheme="minorHAnsi" w:cstheme="minorHAnsi"/>
          <w:bCs/>
          <w:sz w:val="24"/>
          <w:szCs w:val="24"/>
          <w:lang w:val="cy-GB"/>
        </w:rPr>
        <w:t>wrth cynnal sesiynau meddygarwch</w:t>
      </w:r>
      <w:r w:rsidRPr="0074155F">
        <w:rPr>
          <w:rFonts w:asciiTheme="minorHAnsi" w:hAnsiTheme="minorHAnsi" w:cstheme="minorHAnsi"/>
          <w:bCs/>
          <w:sz w:val="24"/>
          <w:szCs w:val="24"/>
          <w:lang w:val="cy-GB"/>
        </w:rPr>
        <w:t xml:space="preserve">. Er enghraifft, </w:t>
      </w:r>
      <w:r>
        <w:rPr>
          <w:rFonts w:asciiTheme="minorHAnsi" w:hAnsiTheme="minorHAnsi" w:cstheme="minorHAnsi"/>
          <w:bCs/>
          <w:sz w:val="24"/>
          <w:szCs w:val="24"/>
          <w:lang w:val="cy-GB"/>
        </w:rPr>
        <w:t>mae’r</w:t>
      </w:r>
      <w:r w:rsidRPr="0074155F">
        <w:rPr>
          <w:rFonts w:asciiTheme="minorHAnsi" w:hAnsiTheme="minorHAnsi" w:cstheme="minorHAnsi"/>
          <w:bCs/>
          <w:sz w:val="24"/>
          <w:szCs w:val="24"/>
          <w:lang w:val="cy-GB"/>
        </w:rPr>
        <w:t xml:space="preserve"> ymchwil yn canolbwyntio ar ddeall</w:t>
      </w:r>
      <w:r>
        <w:rPr>
          <w:rFonts w:asciiTheme="minorHAnsi" w:hAnsiTheme="minorHAnsi" w:cstheme="minorHAnsi"/>
          <w:bCs/>
          <w:sz w:val="24"/>
          <w:szCs w:val="24"/>
          <w:lang w:val="cy-GB"/>
        </w:rPr>
        <w:t xml:space="preserve"> sut mae sesiynau meddylgarwch yn effeithio am ymroddiad ddisgyblion tuag at gwneud gwaith a</w:t>
      </w:r>
      <w:r w:rsidRPr="0074155F">
        <w:rPr>
          <w:rFonts w:asciiTheme="minorHAnsi" w:hAnsiTheme="minorHAnsi" w:cstheme="minorHAnsi"/>
          <w:bCs/>
          <w:sz w:val="24"/>
          <w:szCs w:val="24"/>
          <w:lang w:val="cy-GB"/>
        </w:rPr>
        <w:t xml:space="preserve"> gallai astudiaeth achos gynnig mewnwelediad gwerthfawr i'r prosesau, yr heriau, a'r canlyniadau sy'n gysylltiedig â'r ymyriad yn y cyd-destun hwnnw.</w:t>
      </w:r>
    </w:p>
    <w:p w14:paraId="7B7545F5" w14:textId="13A2286B" w:rsidR="00A53E23"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Fodd bynnag, mae'n hanfodol ystyried cyfyngiadau'r dull astudiaeth achos. </w:t>
      </w:r>
      <w:r>
        <w:rPr>
          <w:rFonts w:asciiTheme="minorHAnsi" w:hAnsiTheme="minorHAnsi" w:cstheme="minorHAnsi"/>
          <w:bCs/>
          <w:sz w:val="24"/>
          <w:szCs w:val="24"/>
          <w:lang w:val="cy-GB"/>
        </w:rPr>
        <w:t>E</w:t>
      </w:r>
      <w:r w:rsidRPr="0074155F">
        <w:rPr>
          <w:rFonts w:asciiTheme="minorHAnsi" w:hAnsiTheme="minorHAnsi" w:cstheme="minorHAnsi"/>
          <w:bCs/>
          <w:sz w:val="24"/>
          <w:szCs w:val="24"/>
          <w:lang w:val="cy-GB"/>
        </w:rPr>
        <w:t>fallai na fydd canfyddiadau o un astudiaeth achos yn ddigon. Yn ogystal, mae mynd i'r afael â thuedd a goddrychedd posibl wrth ddehongli data yn hanfodol er mwyn sicrhau dilysrwydd a dibynadwyedd canfyddiadau eich astudiaeth.</w:t>
      </w:r>
      <w:r>
        <w:rPr>
          <w:rFonts w:asciiTheme="minorHAnsi" w:hAnsiTheme="minorHAnsi" w:cstheme="minorHAnsi"/>
          <w:bCs/>
          <w:sz w:val="24"/>
          <w:szCs w:val="24"/>
          <w:lang w:val="cy-GB"/>
        </w:rPr>
        <w:t xml:space="preserve"> </w:t>
      </w:r>
    </w:p>
    <w:p w14:paraId="5499AC16" w14:textId="451DA62E" w:rsidR="0074155F" w:rsidRDefault="0074155F" w:rsidP="00AF28E5">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Yn yr achos hwn, rydym yn cynnal gweithgareddau</w:t>
      </w:r>
      <w:r>
        <w:rPr>
          <w:rFonts w:asciiTheme="minorHAnsi" w:hAnsiTheme="minorHAnsi" w:cstheme="minorHAnsi"/>
          <w:bCs/>
          <w:sz w:val="24"/>
          <w:szCs w:val="24"/>
          <w:lang w:val="cy-GB"/>
        </w:rPr>
        <w:t xml:space="preserve"> meddylgarwch</w:t>
      </w:r>
      <w:r w:rsidRPr="0074155F">
        <w:rPr>
          <w:rFonts w:asciiTheme="minorHAnsi" w:hAnsiTheme="minorHAnsi" w:cstheme="minorHAnsi"/>
          <w:bCs/>
          <w:sz w:val="24"/>
          <w:szCs w:val="24"/>
          <w:lang w:val="cy-GB"/>
        </w:rPr>
        <w:t xml:space="preserve"> ar ôl dychwelyd i'r ystafell ddosbarth ar ôl cyfnodau o amser chwarae ac amser cinio i asesu eu heffaith ar ymgysylltiad myfyrwyr a'u parodrwydd i ddechrau tasgau ysgrifennu. Mae'r cyfranogwyr yn cynnwys dosbarth Blwyddyn 3 mewn ysgol wledig yn Ne Cymru. Mae cyfanswm o 20 o fyfyrwyr yn y dosbarth wedi cael eu gwahodd i gymryd rhan trwy broses ffurflen ganiatâd, gyda thua 13 o fyfyrwyr wedi dewis cymryd rhan yn yr ymchwil. Mae'r</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 xml:space="preserve"> 13 myfyriwr</w:t>
      </w:r>
      <w:r>
        <w:rPr>
          <w:rFonts w:asciiTheme="minorHAnsi" w:hAnsiTheme="minorHAnsi" w:cstheme="minorHAnsi"/>
          <w:bCs/>
          <w:sz w:val="24"/>
          <w:szCs w:val="24"/>
          <w:lang w:val="cy-GB"/>
        </w:rPr>
        <w:t xml:space="preserve"> hyn</w:t>
      </w:r>
      <w:r w:rsidRPr="0074155F">
        <w:rPr>
          <w:rFonts w:asciiTheme="minorHAnsi" w:hAnsiTheme="minorHAnsi" w:cstheme="minorHAnsi"/>
          <w:bCs/>
          <w:sz w:val="24"/>
          <w:szCs w:val="24"/>
          <w:lang w:val="cy-GB"/>
        </w:rPr>
        <w:t xml:space="preserve"> yn ffurfio'r sampl ar gyfer yr astudiaeth, a ddewiswyd i sicrhau cynrychioldeb o fewn cyd-destun dynameg yr ystafell ddosbarth a'r lleoliad addysgol. Fodd bynnag, o ystyried nodweddion unigryw amgylchedd ysgol gynradd Gymraeg, </w:t>
      </w:r>
      <w:r>
        <w:rPr>
          <w:rFonts w:asciiTheme="minorHAnsi" w:hAnsiTheme="minorHAnsi" w:cstheme="minorHAnsi"/>
          <w:bCs/>
          <w:sz w:val="24"/>
          <w:szCs w:val="24"/>
          <w:lang w:val="cy-GB"/>
        </w:rPr>
        <w:t xml:space="preserve">na fydd </w:t>
      </w:r>
      <w:r w:rsidRPr="0074155F">
        <w:rPr>
          <w:rFonts w:asciiTheme="minorHAnsi" w:hAnsiTheme="minorHAnsi" w:cstheme="minorHAnsi"/>
          <w:bCs/>
          <w:sz w:val="24"/>
          <w:szCs w:val="24"/>
          <w:lang w:val="cy-GB"/>
        </w:rPr>
        <w:t xml:space="preserve">ffactorau diwylliannol neu addysgol penodol </w:t>
      </w:r>
      <w:r>
        <w:rPr>
          <w:rFonts w:asciiTheme="minorHAnsi" w:hAnsiTheme="minorHAnsi" w:cstheme="minorHAnsi"/>
          <w:bCs/>
          <w:sz w:val="24"/>
          <w:szCs w:val="24"/>
          <w:lang w:val="cy-GB"/>
        </w:rPr>
        <w:t>yn ddigon wahanol i fod wedi cynnal gynrychioldeb gan bawb</w:t>
      </w:r>
      <w:r w:rsidRPr="0074155F">
        <w:rPr>
          <w:rFonts w:asciiTheme="minorHAnsi" w:hAnsiTheme="minorHAnsi" w:cstheme="minorHAnsi"/>
          <w:bCs/>
          <w:sz w:val="24"/>
          <w:szCs w:val="24"/>
          <w:lang w:val="cy-GB"/>
        </w:rPr>
        <w:t>.</w:t>
      </w:r>
      <w:r>
        <w:rPr>
          <w:rFonts w:asciiTheme="minorHAnsi" w:hAnsiTheme="minorHAnsi" w:cstheme="minorHAnsi"/>
          <w:bCs/>
          <w:sz w:val="24"/>
          <w:szCs w:val="24"/>
          <w:lang w:val="cy-GB"/>
        </w:rPr>
        <w:t xml:space="preserve"> Yn y dyfold wrth gynnal yr astudiaeth yma eto, bu rhaid cynnig dau astudiaeth mewn ddau ysgol hollol gwahanol er mwyn sicrhau gynrychioldeb.</w:t>
      </w:r>
    </w:p>
    <w:p w14:paraId="5CB3FB04" w14:textId="4BBAB409" w:rsidR="00A53E23" w:rsidRPr="0074155F" w:rsidRDefault="00A53E23" w:rsidP="00AF28E5">
      <w:pPr>
        <w:spacing w:before="120" w:after="120" w:line="360" w:lineRule="auto"/>
        <w:rPr>
          <w:rFonts w:asciiTheme="minorHAnsi" w:hAnsiTheme="minorHAnsi" w:cstheme="minorHAnsi"/>
          <w:bCs/>
          <w:sz w:val="24"/>
          <w:szCs w:val="24"/>
          <w:lang w:val="cy-GB"/>
        </w:rPr>
      </w:pPr>
      <w:r w:rsidRPr="00AF28E5">
        <w:rPr>
          <w:rFonts w:asciiTheme="minorHAnsi" w:hAnsiTheme="minorHAnsi" w:cstheme="minorHAnsi"/>
          <w:b/>
          <w:sz w:val="24"/>
          <w:szCs w:val="24"/>
          <w:u w:val="single"/>
          <w:lang w:val="cy-GB"/>
        </w:rPr>
        <w:t xml:space="preserve">Bod yn fosesgol </w:t>
      </w:r>
    </w:p>
    <w:p w14:paraId="193D983A" w14:textId="4A9200AF"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Yn ôl canllawiau Cymdeithas Ymchwil Addysgol Prydain (BERA) (2018), mae gwaith ymchwiliol o fewn sefydliadau addysgol yn gofyn am ddisgresiwn i ddiogelu hunaniaeth y sefydliad ac anhysbysrwydd ei ddisgyblion. Felly, ni fydd yr ysgol a’r myfyrwyr yn cael eu henwi i sicrhau eu diogelwch (BERA, 2018).</w:t>
      </w:r>
    </w:p>
    <w:p w14:paraId="53AABD93" w14:textId="7069D307" w:rsidR="00A53E23"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lastRenderedPageBreak/>
        <w:t>Roedd cynnal gwrthrychedd drwy gydol y broses ymchwil yn hollbwysig er mwyn sicrhau bod gwybodaeth gywir yn cael ei lledaenu i'r holl gyfranogwyr. Lluniwyd taflen wybodaeth yn fanwl iawn ar gyfer y rhai a gymerodd ran yn yr ymchwil, ynghyd ag esboniadau llafar yn manylu ar y gweithdrefnau ymchwil. Nod y tryloywder hwn oedd egluro rolau rhieni a phlant yn yr ymchwil, gan bwysleisio eu hawl i ddewis cyfranogiad. Roedd y rhai a oedd yn optio allan yn dal i gadw’r opsiwn i gymryd rhan mewn gweithgareddau, er bod hynny wedi’i eithrio rhag casglu data er mwyn sicrhau triniaeth deg i bawb (</w:t>
      </w:r>
      <w:r>
        <w:rPr>
          <w:rFonts w:asciiTheme="minorHAnsi" w:hAnsiTheme="minorHAnsi" w:cstheme="minorHAnsi"/>
          <w:bCs/>
          <w:sz w:val="24"/>
          <w:szCs w:val="24"/>
          <w:lang w:val="cy-GB"/>
        </w:rPr>
        <w:t>BERA, 2018)</w:t>
      </w:r>
    </w:p>
    <w:p w14:paraId="42A927C7" w14:textId="322C1CF6" w:rsid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Bydd yr holl ddata yn cael ei gadw ar gyfrifiadur personol a ddiogelir gan gyfrinair. Rhoddir dynodwyr unigryw i gyfranogwyr er mwyn diogelu cyfrinachedd, gyda rhestr gyfatebol wedi'i storio'n ddiogel mewn cyfeiriadur a ddiogelir gan gyfrinair. Os bydd angen storio cwmwl, bydd system Office 365 y Brifysgol wedi'i hamgryptio yn cael ei defnyddio, gan sicrhau bod y data sy'n cael ei storio ynddi yn ddienw. Bydd cadw data yn ymestyn hyd nes y derbynnir canlyniadau aseiniad, a bydd yn cael ei ddileu ar unwaith. Gall cyfranogwyr arfer eu hawl i adolygu eu data a gofyn am ddileu ar unwaith, ac os felly ni fydd yn cael ei ddefnyddio at ddibenion ymchwil </w:t>
      </w:r>
      <w:r>
        <w:rPr>
          <w:rFonts w:asciiTheme="minorHAnsi" w:hAnsiTheme="minorHAnsi" w:cstheme="minorHAnsi"/>
          <w:bCs/>
          <w:sz w:val="24"/>
          <w:szCs w:val="24"/>
          <w:lang w:val="cy-GB"/>
        </w:rPr>
        <w:t>sydd eto yn gyd fynd a deddf diogelu data (GDPR, 2018)</w:t>
      </w:r>
      <w:r w:rsidRPr="0074155F">
        <w:t xml:space="preserve"> </w:t>
      </w:r>
      <w:r w:rsidRPr="0074155F">
        <w:rPr>
          <w:rFonts w:asciiTheme="minorHAnsi" w:hAnsiTheme="minorHAnsi" w:cstheme="minorHAnsi"/>
          <w:bCs/>
          <w:sz w:val="24"/>
          <w:szCs w:val="24"/>
          <w:lang w:val="cy-GB"/>
        </w:rPr>
        <w:t>Bydd data'n cael ei gadw hyd nes y daw'r prosiect i ben a'i ddileu wedyn. Mae gan gyfranogwyr yr hawl i ofyn am fynediad i'w data storio, a fydd yn cael ei ddileu yn brydlon ar gais o'r fath, gan ei wneud yn anghymwys at ddefnydd prosiect. Gellir gwneud y cais hwn trwy e-bost personol, gyda chyfranogwyr yn derbyn tudalen wybodaeth cyn cymryd rhan mewn unrhyw weithgareddau ymchwil</w:t>
      </w:r>
      <w:r>
        <w:rPr>
          <w:rFonts w:asciiTheme="minorHAnsi" w:hAnsiTheme="minorHAnsi" w:cstheme="minorHAnsi"/>
          <w:bCs/>
          <w:sz w:val="24"/>
          <w:szCs w:val="24"/>
          <w:lang w:val="cy-GB"/>
        </w:rPr>
        <w:t>.</w:t>
      </w:r>
    </w:p>
    <w:p w14:paraId="1B52803A" w14:textId="2C8A3CCD" w:rsidR="0074155F" w:rsidRPr="00AF28E5" w:rsidRDefault="0074155F" w:rsidP="0074155F">
      <w:pPr>
        <w:spacing w:before="120" w:after="120" w:line="360" w:lineRule="auto"/>
        <w:rPr>
          <w:rFonts w:asciiTheme="minorHAnsi" w:hAnsiTheme="minorHAnsi" w:cstheme="minorHAnsi"/>
          <w:b/>
          <w:sz w:val="24"/>
          <w:szCs w:val="24"/>
          <w:u w:val="single"/>
          <w:lang w:val="cy-GB"/>
        </w:rPr>
      </w:pPr>
      <w:r w:rsidRPr="0074155F">
        <w:rPr>
          <w:rFonts w:asciiTheme="minorHAnsi" w:hAnsiTheme="minorHAnsi" w:cstheme="minorHAnsi"/>
          <w:bCs/>
          <w:sz w:val="24"/>
          <w:szCs w:val="24"/>
          <w:lang w:val="cy-GB"/>
        </w:rPr>
        <w:t>Mae gan bob myfyriwr hawliau o dan UNICEF</w:t>
      </w:r>
      <w:r>
        <w:rPr>
          <w:rFonts w:asciiTheme="minorHAnsi" w:hAnsiTheme="minorHAnsi" w:cstheme="minorHAnsi"/>
          <w:bCs/>
          <w:sz w:val="24"/>
          <w:szCs w:val="24"/>
          <w:lang w:val="cy-GB"/>
        </w:rPr>
        <w:t xml:space="preserve"> (D.d)</w:t>
      </w:r>
      <w:r w:rsidRPr="0074155F">
        <w:rPr>
          <w:rFonts w:asciiTheme="minorHAnsi" w:hAnsiTheme="minorHAnsi" w:cstheme="minorHAnsi"/>
          <w:bCs/>
          <w:sz w:val="24"/>
          <w:szCs w:val="24"/>
          <w:lang w:val="cy-GB"/>
        </w:rPr>
        <w:t>, ac ni fydd yr ymchwil yn torri unrhyw un o'r hawliau hyn. Os bydd myfyriwr yn dewis cymryd rhan yn y lle cyntaf, bydd yn cadw'r hawl i newid ei benderfyniad heb ôl-effeithiau. Ni wneir unrhyw wahaniaeth rhwng dewis cymryd rhan a dewis peidio â chymryd rhan.</w:t>
      </w:r>
    </w:p>
    <w:p w14:paraId="645DAE1A" w14:textId="02F4EC27"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Dulliau Ymchwil</w:t>
      </w:r>
    </w:p>
    <w:p w14:paraId="5EF8F672" w14:textId="77777777" w:rsidR="00245625" w:rsidRDefault="00245625" w:rsidP="00245625">
      <w:pPr>
        <w:spacing w:line="360" w:lineRule="auto"/>
        <w:rPr>
          <w:rFonts w:asciiTheme="minorHAnsi" w:hAnsiTheme="minorHAnsi" w:cstheme="minorHAnsi"/>
          <w:sz w:val="24"/>
          <w:szCs w:val="24"/>
          <w:lang w:val="cy-GB"/>
        </w:rPr>
      </w:pPr>
      <w:r w:rsidRPr="00245625">
        <w:rPr>
          <w:rFonts w:asciiTheme="minorHAnsi" w:hAnsiTheme="minorHAnsi" w:cstheme="minorHAnsi"/>
          <w:sz w:val="24"/>
          <w:szCs w:val="24"/>
          <w:lang w:val="cy-GB"/>
        </w:rPr>
        <w:t xml:space="preserve">Yn y prosiect ymchwil hwn, ystyrir bod defnyddio methodoleg astudiaeth achos archwiliadol yn briodol ar gyfer archwilio effaith straegaethau meddylgarwch ar ymgysylltiad disgyblion â thasgau academaidd. Mae astudiaethau achos archwiliadol yn cynnig fframwaith cadarn ar gyfer ymchwilio i themau cymhleth yn eu lleoliadau naturiol (Yin, 2018) yn yr achos yma y ystafell dosbarth. Drwy defnyddio astudiaeth achos archwiliadol mae dull yn hwyluso dealltwriaeth ddofn o’r cymhlethdodau sy’n gysylltiedig â gweithredu strategaethau </w:t>
      </w:r>
      <w:r w:rsidRPr="00245625">
        <w:rPr>
          <w:rFonts w:asciiTheme="minorHAnsi" w:hAnsiTheme="minorHAnsi" w:cstheme="minorHAnsi"/>
          <w:sz w:val="24"/>
          <w:szCs w:val="24"/>
          <w:lang w:val="cy-GB"/>
        </w:rPr>
        <w:lastRenderedPageBreak/>
        <w:t xml:space="preserve">meddylgarwch a’u heffeithiau ar ymgysylltiad ddysgwyr (Baxter &amp; Jack, 2008). Mae dwy elfen i Astudiaeth Achos sef y ‘gwrthrych’ a’r ‘pwnc’. Y gwrthrych yr astudiaeth achos yw’r effaith caiff startagaethau meddylgarwch ar ymgysylltiad y ddysgwr a’r pwnc yr cyfranogwyr sydd yn cymryd rhan yn y sesiwnau sef ddisgyblion y ddosbarth. </w:t>
      </w:r>
    </w:p>
    <w:p w14:paraId="060306CB" w14:textId="77777777" w:rsidR="0081218C" w:rsidRPr="0081218C" w:rsidRDefault="0081218C" w:rsidP="0081218C">
      <w:pPr>
        <w:spacing w:line="360" w:lineRule="auto"/>
        <w:rPr>
          <w:rFonts w:asciiTheme="minorHAnsi" w:hAnsiTheme="minorHAnsi" w:cstheme="minorHAnsi"/>
          <w:sz w:val="24"/>
          <w:szCs w:val="24"/>
          <w:lang w:val="cy-GB"/>
        </w:rPr>
      </w:pPr>
    </w:p>
    <w:p w14:paraId="3D28540A" w14:textId="4C85FBE1" w:rsidR="0081218C" w:rsidRDefault="0081218C" w:rsidP="0081218C">
      <w:pPr>
        <w:spacing w:line="360" w:lineRule="auto"/>
        <w:rPr>
          <w:rFonts w:asciiTheme="minorHAnsi" w:hAnsiTheme="minorHAnsi" w:cstheme="minorHAnsi"/>
          <w:sz w:val="24"/>
          <w:szCs w:val="24"/>
          <w:lang w:val="cy-GB"/>
        </w:rPr>
      </w:pPr>
      <w:r w:rsidRPr="0081218C">
        <w:rPr>
          <w:rFonts w:asciiTheme="minorHAnsi" w:hAnsiTheme="minorHAnsi" w:cstheme="minorHAnsi"/>
          <w:sz w:val="24"/>
          <w:szCs w:val="24"/>
          <w:lang w:val="cy-GB"/>
        </w:rPr>
        <w:t>Wrth ymchwilio i ddylanwad strategaethau meddylgarwch ar ymgysylltiad ddisgyblion â thasgau academaidd, mae’r defnydd o holiaduron</w:t>
      </w:r>
      <w:r>
        <w:rPr>
          <w:rFonts w:asciiTheme="minorHAnsi" w:hAnsiTheme="minorHAnsi" w:cstheme="minorHAnsi"/>
          <w:sz w:val="24"/>
          <w:szCs w:val="24"/>
          <w:lang w:val="cy-GB"/>
        </w:rPr>
        <w:t>, gwelir atodiad 1,</w:t>
      </w:r>
      <w:r w:rsidRPr="0081218C">
        <w:rPr>
          <w:rFonts w:asciiTheme="minorHAnsi" w:hAnsiTheme="minorHAnsi" w:cstheme="minorHAnsi"/>
          <w:sz w:val="24"/>
          <w:szCs w:val="24"/>
          <w:lang w:val="cy-GB"/>
        </w:rPr>
        <w:t xml:space="preserve"> yn cynnig dull systematig effeithlon o gasglu data meintiol gan sampl fawr o gyfranogwyr. Felly byddaf yn defnyddio a chreu holiaduron anhysbys a chyfrinachol ar- lein (Cohen &amp; Manion &amp; Morrison, 2018). </w:t>
      </w:r>
      <w:r>
        <w:rPr>
          <w:rFonts w:asciiTheme="minorHAnsi" w:hAnsiTheme="minorHAnsi" w:cstheme="minorHAnsi"/>
          <w:sz w:val="24"/>
          <w:szCs w:val="24"/>
          <w:lang w:val="cy-GB"/>
        </w:rPr>
        <w:t xml:space="preserve">Wrth gwnued hyn, maent yn cydlynu i canllawiau BERA (2018) yn ogystal yn rhoi cyfle i’r ddisgyblion rhoi barn ddi-enw yn y gobaith eu bod yn fwy honest. </w:t>
      </w:r>
      <w:r w:rsidRPr="0081218C">
        <w:rPr>
          <w:rFonts w:asciiTheme="minorHAnsi" w:hAnsiTheme="minorHAnsi" w:cstheme="minorHAnsi"/>
          <w:sz w:val="24"/>
          <w:szCs w:val="24"/>
          <w:lang w:val="cy-GB"/>
        </w:rPr>
        <w:t xml:space="preserve">Bydd yr holiadur yn gynnwys cwestiynau agored yn ogystal â chwestiynau aml-ddewis, graddfa a mynegi barn. Er tegwch y disgyblion y dosbarth, byddaf yn sicrhau fod y cwestiynau wedi ei geirio yn iaith addas a dealladwy iddynt. </w:t>
      </w:r>
      <w:r>
        <w:rPr>
          <w:rFonts w:asciiTheme="minorHAnsi" w:hAnsiTheme="minorHAnsi" w:cstheme="minorHAnsi"/>
          <w:sz w:val="24"/>
          <w:szCs w:val="24"/>
          <w:lang w:val="cy-GB"/>
        </w:rPr>
        <w:t>M</w:t>
      </w:r>
      <w:r w:rsidRPr="0081218C">
        <w:rPr>
          <w:rFonts w:asciiTheme="minorHAnsi" w:hAnsiTheme="minorHAnsi" w:cstheme="minorHAnsi"/>
          <w:sz w:val="24"/>
          <w:szCs w:val="24"/>
          <w:lang w:val="cy-GB"/>
        </w:rPr>
        <w:t xml:space="preserve">ae holiaduron yn caniatáu archwilio i </w:t>
      </w:r>
      <w:r>
        <w:rPr>
          <w:rFonts w:asciiTheme="minorHAnsi" w:hAnsiTheme="minorHAnsi" w:cstheme="minorHAnsi"/>
          <w:sz w:val="24"/>
          <w:szCs w:val="24"/>
          <w:lang w:val="cy-GB"/>
        </w:rPr>
        <w:t>arsylwi ar g</w:t>
      </w:r>
      <w:r w:rsidRPr="0081218C">
        <w:rPr>
          <w:rFonts w:asciiTheme="minorHAnsi" w:hAnsiTheme="minorHAnsi" w:cstheme="minorHAnsi"/>
          <w:sz w:val="24"/>
          <w:szCs w:val="24"/>
          <w:lang w:val="cy-GB"/>
        </w:rPr>
        <w:t xml:space="preserve">wahaniaethau wrth edrych a dadansoddi ymatebion myfyrwyr i strategaethau meddylgarwch, gan ddarparu mewnwelediad gwerthfawr i ffactorau a allai ddylanwadu ar effeithiolrwydd yr arferion hyn </w:t>
      </w:r>
      <w:r>
        <w:rPr>
          <w:rFonts w:asciiTheme="minorHAnsi" w:hAnsiTheme="minorHAnsi" w:cstheme="minorHAnsi"/>
          <w:sz w:val="24"/>
          <w:szCs w:val="24"/>
          <w:lang w:val="cy-GB"/>
        </w:rPr>
        <w:t>yn ôl barn personol y ddisgyblion</w:t>
      </w:r>
      <w:r w:rsidRPr="0081218C">
        <w:rPr>
          <w:rFonts w:asciiTheme="minorHAnsi" w:hAnsiTheme="minorHAnsi" w:cstheme="minorHAnsi"/>
          <w:sz w:val="24"/>
          <w:szCs w:val="24"/>
          <w:lang w:val="cy-GB"/>
        </w:rPr>
        <w:t xml:space="preserve">(Field, 2013). Mae holiaduron yn aml yn casglu data meintiol, gan gyfyngu ar ddyfnder a chyfoeth y wybodaeth o gymharu â dulliau ansoddol fel cyfweliadau neu grwpiau ffocws (Babbie, 2016). Mae’n bosibl na fydd data meintiol yn dal y safbwyntiau cynnil neu’r rhesymau sylfaenol y tu ôl i ymatebion </w:t>
      </w:r>
      <w:r>
        <w:rPr>
          <w:rFonts w:asciiTheme="minorHAnsi" w:hAnsiTheme="minorHAnsi" w:cstheme="minorHAnsi"/>
          <w:sz w:val="24"/>
          <w:szCs w:val="24"/>
          <w:lang w:val="cy-GB"/>
        </w:rPr>
        <w:t>y ddisgyblion</w:t>
      </w:r>
      <w:r w:rsidRPr="0081218C">
        <w:rPr>
          <w:rFonts w:asciiTheme="minorHAnsi" w:hAnsiTheme="minorHAnsi" w:cstheme="minorHAnsi"/>
          <w:sz w:val="24"/>
          <w:szCs w:val="24"/>
          <w:lang w:val="cy-GB"/>
        </w:rPr>
        <w:t xml:space="preserve"> (Bryman, 2016).</w:t>
      </w:r>
      <w:r w:rsidRPr="0081218C">
        <w:t xml:space="preserve"> </w:t>
      </w:r>
      <w:r w:rsidRPr="0081218C">
        <w:rPr>
          <w:rFonts w:asciiTheme="minorHAnsi" w:hAnsiTheme="minorHAnsi" w:cstheme="minorHAnsi"/>
          <w:sz w:val="24"/>
          <w:szCs w:val="24"/>
          <w:lang w:val="cy-GB"/>
        </w:rPr>
        <w:t xml:space="preserve">Wrth gydnabod y diffygion hyn, dylai ymchwilwyr barhau i fod yn ymwybodol o ddulliau </w:t>
      </w:r>
      <w:r>
        <w:rPr>
          <w:rFonts w:asciiTheme="minorHAnsi" w:hAnsiTheme="minorHAnsi" w:cstheme="minorHAnsi"/>
          <w:sz w:val="24"/>
          <w:szCs w:val="24"/>
          <w:lang w:val="cy-GB"/>
        </w:rPr>
        <w:t>arall</w:t>
      </w:r>
      <w:r w:rsidRPr="0081218C">
        <w:rPr>
          <w:rFonts w:asciiTheme="minorHAnsi" w:hAnsiTheme="minorHAnsi" w:cstheme="minorHAnsi"/>
          <w:sz w:val="24"/>
          <w:szCs w:val="24"/>
          <w:lang w:val="cy-GB"/>
        </w:rPr>
        <w:t xml:space="preserve"> megis trafodaethau grŵp ffocws  i ychwanegu at y mewnwelediadau a gafwyd o ymatebion holiadur.</w:t>
      </w:r>
    </w:p>
    <w:p w14:paraId="54FE27CA" w14:textId="77777777" w:rsidR="0081218C" w:rsidRPr="0081218C" w:rsidRDefault="0081218C" w:rsidP="0081218C">
      <w:pPr>
        <w:spacing w:line="360" w:lineRule="auto"/>
        <w:rPr>
          <w:rFonts w:asciiTheme="minorHAnsi" w:hAnsiTheme="minorHAnsi" w:cstheme="minorHAnsi"/>
          <w:sz w:val="24"/>
          <w:szCs w:val="24"/>
          <w:lang w:val="cy-GB"/>
        </w:rPr>
      </w:pPr>
    </w:p>
    <w:p w14:paraId="00376750" w14:textId="77777777" w:rsidR="0081218C" w:rsidRDefault="0081218C" w:rsidP="0081218C">
      <w:pPr>
        <w:spacing w:line="360" w:lineRule="auto"/>
        <w:rPr>
          <w:rFonts w:asciiTheme="minorHAnsi" w:hAnsiTheme="minorHAnsi" w:cstheme="minorHAnsi"/>
          <w:sz w:val="24"/>
          <w:szCs w:val="24"/>
          <w:lang w:val="cy-GB"/>
        </w:rPr>
      </w:pPr>
      <w:r>
        <w:rPr>
          <w:rFonts w:asciiTheme="minorHAnsi" w:hAnsiTheme="minorHAnsi" w:cstheme="minorHAnsi"/>
          <w:sz w:val="24"/>
          <w:szCs w:val="24"/>
          <w:lang w:val="cy-GB"/>
        </w:rPr>
        <w:t>Felly wrth ystyried hyn, rwyf</w:t>
      </w:r>
      <w:r w:rsidRPr="0081218C">
        <w:rPr>
          <w:rFonts w:asciiTheme="minorHAnsi" w:hAnsiTheme="minorHAnsi" w:cstheme="minorHAnsi"/>
          <w:sz w:val="24"/>
          <w:szCs w:val="24"/>
          <w:lang w:val="cy-GB"/>
        </w:rPr>
        <w:t xml:space="preserve"> yn fwriadau cynnal cyfweliadau gyda grwpiau o ddisgyblion er mwyn thrafod ei barn a’r technegau defnyddiwyd yn ystod y sesiynau. Trwy gyfweliadau penagored neu led-strwythuredig, gall ymchwilwyr ymchwilio’n ddwfn i brofiadau bywyd myfyrwyr, gan ganiatáu archwiliad cyfoethog </w:t>
      </w:r>
      <w:r>
        <w:rPr>
          <w:rFonts w:asciiTheme="minorHAnsi" w:hAnsiTheme="minorHAnsi" w:cstheme="minorHAnsi"/>
          <w:sz w:val="24"/>
          <w:szCs w:val="24"/>
          <w:lang w:val="cy-GB"/>
        </w:rPr>
        <w:t>o’r stratagethau</w:t>
      </w:r>
      <w:r w:rsidRPr="0081218C">
        <w:rPr>
          <w:rFonts w:asciiTheme="minorHAnsi" w:hAnsiTheme="minorHAnsi" w:cstheme="minorHAnsi"/>
          <w:sz w:val="24"/>
          <w:szCs w:val="24"/>
          <w:lang w:val="cy-GB"/>
        </w:rPr>
        <w:t xml:space="preserve"> a defnyddir </w:t>
      </w:r>
      <w:r>
        <w:rPr>
          <w:rFonts w:asciiTheme="minorHAnsi" w:hAnsiTheme="minorHAnsi" w:cstheme="minorHAnsi"/>
          <w:sz w:val="24"/>
          <w:szCs w:val="24"/>
          <w:lang w:val="cy-GB"/>
        </w:rPr>
        <w:t>ac i gymharu’r barn a</w:t>
      </w:r>
      <w:r w:rsidRPr="0081218C">
        <w:rPr>
          <w:rFonts w:asciiTheme="minorHAnsi" w:hAnsiTheme="minorHAnsi" w:cstheme="minorHAnsi"/>
          <w:sz w:val="24"/>
          <w:szCs w:val="24"/>
          <w:lang w:val="cy-GB"/>
        </w:rPr>
        <w:t xml:space="preserve"> ddylanwadu</w:t>
      </w:r>
      <w:r>
        <w:rPr>
          <w:rFonts w:asciiTheme="minorHAnsi" w:hAnsiTheme="minorHAnsi" w:cstheme="minorHAnsi"/>
          <w:sz w:val="24"/>
          <w:szCs w:val="24"/>
          <w:lang w:val="cy-GB"/>
        </w:rPr>
        <w:t xml:space="preserve"> y ddisgyblion wrth ceisio ateb cwesitynau syml</w:t>
      </w:r>
      <w:r w:rsidRPr="0081218C">
        <w:rPr>
          <w:rFonts w:asciiTheme="minorHAnsi" w:hAnsiTheme="minorHAnsi" w:cstheme="minorHAnsi"/>
          <w:sz w:val="24"/>
          <w:szCs w:val="24"/>
          <w:lang w:val="cy-GB"/>
        </w:rPr>
        <w:t xml:space="preserve"> (Kvale &amp; Brinkmann, 2009). Mae’r cyfweliadau yn rhoi cyfle i’r disgyblion rhoi ei barn ac ymhelaethu ar welliannau i’r technegau gan gael mewnwelediad i’r meddyliadau a’i phrofiadau trwy holi cwestiynau. </w:t>
      </w:r>
      <w:r>
        <w:rPr>
          <w:rFonts w:asciiTheme="minorHAnsi" w:hAnsiTheme="minorHAnsi" w:cstheme="minorHAnsi"/>
          <w:sz w:val="24"/>
          <w:szCs w:val="24"/>
          <w:lang w:val="cy-GB"/>
        </w:rPr>
        <w:t>Serch hynny, m</w:t>
      </w:r>
      <w:r w:rsidRPr="0081218C">
        <w:rPr>
          <w:rFonts w:asciiTheme="minorHAnsi" w:hAnsiTheme="minorHAnsi" w:cstheme="minorHAnsi"/>
          <w:sz w:val="24"/>
          <w:szCs w:val="24"/>
          <w:lang w:val="cy-GB"/>
        </w:rPr>
        <w:t xml:space="preserve">ae cynnal grwpiau ffocws gyda myfyrwyr Blwyddyn 3 yn </w:t>
      </w:r>
      <w:r w:rsidRPr="0081218C">
        <w:rPr>
          <w:rFonts w:asciiTheme="minorHAnsi" w:hAnsiTheme="minorHAnsi" w:cstheme="minorHAnsi"/>
          <w:sz w:val="24"/>
          <w:szCs w:val="24"/>
          <w:lang w:val="cy-GB"/>
        </w:rPr>
        <w:lastRenderedPageBreak/>
        <w:t>cyflwyno heriau unigryw sy’n deillio o’u hoedran</w:t>
      </w:r>
      <w:r>
        <w:rPr>
          <w:rFonts w:asciiTheme="minorHAnsi" w:hAnsiTheme="minorHAnsi" w:cstheme="minorHAnsi"/>
          <w:sz w:val="24"/>
          <w:szCs w:val="24"/>
          <w:lang w:val="cy-GB"/>
        </w:rPr>
        <w:t xml:space="preserve">. </w:t>
      </w:r>
      <w:r w:rsidRPr="0081218C">
        <w:rPr>
          <w:rFonts w:asciiTheme="minorHAnsi" w:hAnsiTheme="minorHAnsi" w:cstheme="minorHAnsi"/>
          <w:sz w:val="24"/>
          <w:szCs w:val="24"/>
          <w:lang w:val="cy-GB"/>
        </w:rPr>
        <w:t xml:space="preserve">Yn gyntaf, mae gan blant yr oedran hwn fel arfer </w:t>
      </w:r>
      <w:r>
        <w:rPr>
          <w:rFonts w:asciiTheme="minorHAnsi" w:hAnsiTheme="minorHAnsi" w:cstheme="minorHAnsi"/>
          <w:sz w:val="24"/>
          <w:szCs w:val="24"/>
          <w:lang w:val="cy-GB"/>
        </w:rPr>
        <w:t>a amser</w:t>
      </w:r>
      <w:r w:rsidRPr="0081218C">
        <w:rPr>
          <w:rFonts w:asciiTheme="minorHAnsi" w:hAnsiTheme="minorHAnsi" w:cstheme="minorHAnsi"/>
          <w:sz w:val="24"/>
          <w:szCs w:val="24"/>
          <w:lang w:val="cy-GB"/>
        </w:rPr>
        <w:t xml:space="preserve"> canolbwyntio cyfyngedig a gallant </w:t>
      </w:r>
      <w:r>
        <w:rPr>
          <w:rFonts w:asciiTheme="minorHAnsi" w:hAnsiTheme="minorHAnsi" w:cstheme="minorHAnsi"/>
          <w:sz w:val="24"/>
          <w:szCs w:val="24"/>
          <w:lang w:val="cy-GB"/>
        </w:rPr>
        <w:t xml:space="preserve">eu gweld yn </w:t>
      </w:r>
      <w:r w:rsidRPr="0081218C">
        <w:rPr>
          <w:rFonts w:asciiTheme="minorHAnsi" w:hAnsiTheme="minorHAnsi" w:cstheme="minorHAnsi"/>
          <w:sz w:val="24"/>
          <w:szCs w:val="24"/>
          <w:lang w:val="cy-GB"/>
        </w:rPr>
        <w:t xml:space="preserve">anodd </w:t>
      </w:r>
      <w:r>
        <w:rPr>
          <w:rFonts w:asciiTheme="minorHAnsi" w:hAnsiTheme="minorHAnsi" w:cstheme="minorHAnsi"/>
          <w:sz w:val="24"/>
          <w:szCs w:val="24"/>
          <w:lang w:val="cy-GB"/>
        </w:rPr>
        <w:t>i g</w:t>
      </w:r>
      <w:r w:rsidRPr="0081218C">
        <w:rPr>
          <w:rFonts w:asciiTheme="minorHAnsi" w:hAnsiTheme="minorHAnsi" w:cstheme="minorHAnsi"/>
          <w:sz w:val="24"/>
          <w:szCs w:val="24"/>
          <w:lang w:val="cy-GB"/>
        </w:rPr>
        <w:t>ynnal ffocws ac ymgysylltiad trwy gydol trafodaeth grŵp (Pellegrini a Perlmutter, 1</w:t>
      </w:r>
      <w:r>
        <w:rPr>
          <w:rFonts w:asciiTheme="minorHAnsi" w:hAnsiTheme="minorHAnsi" w:cstheme="minorHAnsi"/>
          <w:sz w:val="24"/>
          <w:szCs w:val="24"/>
          <w:lang w:val="cy-GB"/>
        </w:rPr>
        <w:t xml:space="preserve">998). Felly, teimlwyd ar adegau nad oedd y sefyllfa ddirlawn yn cael eu rhannu o’r rhan ei phrofiadau a theimladau. </w:t>
      </w:r>
      <w:r w:rsidRPr="0081218C">
        <w:rPr>
          <w:rFonts w:asciiTheme="minorHAnsi" w:hAnsiTheme="minorHAnsi" w:cstheme="minorHAnsi"/>
          <w:sz w:val="24"/>
          <w:szCs w:val="24"/>
          <w:lang w:val="cy-GB"/>
        </w:rPr>
        <w:t xml:space="preserve">Mae sgiliau cyfathrebu myfyrwyr Blwyddyn 3 yn amrywio’n fawr, gyda rhai’n cael anhawster i fynegi eu meddyliau a’u teimladau mewn lleoliad grŵp, tra bod eraill efallai’n dominyddu’r sgwrs (Dockett &amp; Perry, 2007). Gall yr anghydbwysedd hwn mewn cyfranogiad </w:t>
      </w:r>
      <w:r>
        <w:rPr>
          <w:rFonts w:asciiTheme="minorHAnsi" w:hAnsiTheme="minorHAnsi" w:cstheme="minorHAnsi"/>
          <w:sz w:val="24"/>
          <w:szCs w:val="24"/>
          <w:lang w:val="cy-GB"/>
        </w:rPr>
        <w:t xml:space="preserve">grŵp ffocws sydd yn casglu </w:t>
      </w:r>
      <w:r w:rsidRPr="0081218C">
        <w:rPr>
          <w:rFonts w:asciiTheme="minorHAnsi" w:hAnsiTheme="minorHAnsi" w:cstheme="minorHAnsi"/>
          <w:sz w:val="24"/>
          <w:szCs w:val="24"/>
          <w:lang w:val="cy-GB"/>
        </w:rPr>
        <w:t xml:space="preserve">data </w:t>
      </w:r>
      <w:r>
        <w:rPr>
          <w:rFonts w:asciiTheme="minorHAnsi" w:hAnsiTheme="minorHAnsi" w:cstheme="minorHAnsi"/>
          <w:sz w:val="24"/>
          <w:szCs w:val="24"/>
          <w:lang w:val="cy-GB"/>
        </w:rPr>
        <w:t xml:space="preserve">eu </w:t>
      </w:r>
      <w:r w:rsidRPr="0081218C">
        <w:rPr>
          <w:rFonts w:asciiTheme="minorHAnsi" w:hAnsiTheme="minorHAnsi" w:cstheme="minorHAnsi"/>
          <w:sz w:val="24"/>
          <w:szCs w:val="24"/>
          <w:lang w:val="cy-GB"/>
        </w:rPr>
        <w:t>peryglu pa mor gynrychioliadol yw safbwyntiau'r grŵp</w:t>
      </w:r>
      <w:r>
        <w:rPr>
          <w:rFonts w:asciiTheme="minorHAnsi" w:hAnsiTheme="minorHAnsi" w:cstheme="minorHAnsi"/>
          <w:sz w:val="24"/>
          <w:szCs w:val="24"/>
          <w:lang w:val="cy-GB"/>
        </w:rPr>
        <w:t xml:space="preserve"> o ganlyniad i’r diffig ymateb neu gorymateb. Yr oedd y dull yma o ganlyniad i’r oedran yn llai effeithlon wrth ysyried nifer o ffactorau ond yn bennaf oherwydd dylanwadau cyfoedion. M</w:t>
      </w:r>
      <w:r w:rsidRPr="0081218C">
        <w:rPr>
          <w:rFonts w:asciiTheme="minorHAnsi" w:hAnsiTheme="minorHAnsi" w:cstheme="minorHAnsi"/>
          <w:sz w:val="24"/>
          <w:szCs w:val="24"/>
          <w:lang w:val="cy-GB"/>
        </w:rPr>
        <w:t>ae plant yn gyfarwydd iawn â chiwiau cymdeithasol ac yn cael eu dylanwadu gan ymddygiad a barn eu cyfoedion</w:t>
      </w:r>
      <w:r>
        <w:rPr>
          <w:rFonts w:asciiTheme="minorHAnsi" w:hAnsiTheme="minorHAnsi" w:cstheme="minorHAnsi"/>
          <w:sz w:val="24"/>
          <w:szCs w:val="24"/>
          <w:lang w:val="cy-GB"/>
        </w:rPr>
        <w:t xml:space="preserve"> yn aml</w:t>
      </w:r>
      <w:r w:rsidRPr="0081218C">
        <w:rPr>
          <w:rFonts w:asciiTheme="minorHAnsi" w:hAnsiTheme="minorHAnsi" w:cstheme="minorHAnsi"/>
          <w:sz w:val="24"/>
          <w:szCs w:val="24"/>
          <w:lang w:val="cy-GB"/>
        </w:rPr>
        <w:t xml:space="preserve"> (Brown, 2011)</w:t>
      </w:r>
      <w:r>
        <w:rPr>
          <w:rFonts w:asciiTheme="minorHAnsi" w:hAnsiTheme="minorHAnsi" w:cstheme="minorHAnsi"/>
          <w:sz w:val="24"/>
          <w:szCs w:val="24"/>
          <w:lang w:val="cy-GB"/>
        </w:rPr>
        <w:t>. G</w:t>
      </w:r>
      <w:r w:rsidRPr="0081218C">
        <w:rPr>
          <w:rFonts w:asciiTheme="minorHAnsi" w:hAnsiTheme="minorHAnsi" w:cstheme="minorHAnsi"/>
          <w:sz w:val="24"/>
          <w:szCs w:val="24"/>
          <w:lang w:val="cy-GB"/>
        </w:rPr>
        <w:t xml:space="preserve">all dylanwad cyfoedion ddylanwadu ar y mathau o bynciau ac ymddygiadau a drafodir yn y grŵp ffocws, gyda phlant yn aml yn adlewyrchu diddordebau ac agweddau eu cyfoedion (Berndt, 2017). </w:t>
      </w:r>
      <w:r>
        <w:rPr>
          <w:rFonts w:asciiTheme="minorHAnsi" w:hAnsiTheme="minorHAnsi" w:cstheme="minorHAnsi"/>
          <w:sz w:val="24"/>
          <w:szCs w:val="24"/>
          <w:lang w:val="cy-GB"/>
        </w:rPr>
        <w:t>Er mwyn osgoi hyn bu’n rhaid</w:t>
      </w:r>
      <w:r w:rsidRPr="0081218C">
        <w:rPr>
          <w:rFonts w:asciiTheme="minorHAnsi" w:hAnsiTheme="minorHAnsi" w:cstheme="minorHAnsi"/>
          <w:sz w:val="24"/>
          <w:szCs w:val="24"/>
          <w:lang w:val="cy-GB"/>
        </w:rPr>
        <w:t xml:space="preserve"> fod yn ymwybodol o ddeinameg dylanwad cyfoedion a defnyddio strategaethau i hyrwyddo cyfranogiad teg, meithrin deialog agored, ac annog mynegiant o safbwyntiau amrywiol o fewn lleoliad y grŵp ffocws.</w:t>
      </w:r>
      <w:r>
        <w:rPr>
          <w:rFonts w:asciiTheme="minorHAnsi" w:hAnsiTheme="minorHAnsi" w:cstheme="minorHAnsi"/>
          <w:sz w:val="24"/>
          <w:szCs w:val="24"/>
          <w:lang w:val="cy-GB"/>
        </w:rPr>
        <w:t xml:space="preserve"> Ond gan fod sampl bach yn rhan o’r ymchwil yr oedd hi’n anodd iawn i osgoi hyn. </w:t>
      </w:r>
    </w:p>
    <w:p w14:paraId="4D693A01" w14:textId="58E30A7C" w:rsidR="0081218C" w:rsidRDefault="0081218C" w:rsidP="0081218C">
      <w:pPr>
        <w:spacing w:line="360" w:lineRule="auto"/>
        <w:rPr>
          <w:rFonts w:asciiTheme="minorHAnsi" w:hAnsiTheme="minorHAnsi" w:cstheme="minorHAnsi"/>
          <w:sz w:val="24"/>
          <w:szCs w:val="24"/>
          <w:lang w:val="cy-GB"/>
        </w:rPr>
      </w:pPr>
      <w:r>
        <w:rPr>
          <w:rFonts w:asciiTheme="minorHAnsi" w:hAnsiTheme="minorHAnsi" w:cstheme="minorHAnsi"/>
          <w:sz w:val="24"/>
          <w:szCs w:val="24"/>
          <w:lang w:val="cy-GB"/>
        </w:rPr>
        <w:t>Bydd</w:t>
      </w:r>
      <w:r w:rsidRPr="0081218C">
        <w:rPr>
          <w:rFonts w:asciiTheme="minorHAnsi" w:hAnsiTheme="minorHAnsi" w:cstheme="minorHAnsi"/>
          <w:sz w:val="24"/>
          <w:szCs w:val="24"/>
          <w:lang w:val="cy-GB"/>
        </w:rPr>
        <w:t xml:space="preserve"> </w:t>
      </w:r>
      <w:r>
        <w:rPr>
          <w:rFonts w:asciiTheme="minorHAnsi" w:hAnsiTheme="minorHAnsi" w:cstheme="minorHAnsi"/>
          <w:sz w:val="24"/>
          <w:szCs w:val="24"/>
          <w:lang w:val="cy-GB"/>
        </w:rPr>
        <w:t>g</w:t>
      </w:r>
      <w:r w:rsidRPr="0081218C">
        <w:rPr>
          <w:rFonts w:asciiTheme="minorHAnsi" w:hAnsiTheme="minorHAnsi" w:cstheme="minorHAnsi"/>
          <w:sz w:val="24"/>
          <w:szCs w:val="24"/>
          <w:lang w:val="cy-GB"/>
        </w:rPr>
        <w:t>wneud recordio llais y cyfweliadau</w:t>
      </w:r>
      <w:r>
        <w:rPr>
          <w:rFonts w:asciiTheme="minorHAnsi" w:hAnsiTheme="minorHAnsi" w:cstheme="minorHAnsi"/>
          <w:sz w:val="24"/>
          <w:szCs w:val="24"/>
          <w:lang w:val="cy-GB"/>
        </w:rPr>
        <w:t xml:space="preserve"> heyfd o gymorth wrth casglu data</w:t>
      </w:r>
      <w:r w:rsidRPr="0081218C">
        <w:rPr>
          <w:rFonts w:asciiTheme="minorHAnsi" w:hAnsiTheme="minorHAnsi" w:cstheme="minorHAnsi"/>
          <w:sz w:val="24"/>
          <w:szCs w:val="24"/>
          <w:lang w:val="cy-GB"/>
        </w:rPr>
        <w:t xml:space="preserve">. Mae recordio llais mewn cyfweliadau ymchwil yn cynnig nifer o fanteision gan wella dyfnder, cywirdeb a dibynadwyedd casglu data (Rubin &amp; Rubin, 2012). Mae recordio cyfweliadau yn galluogi ymchwilwyr i gasglu ymatebion cyfranogwyr air am air, gan gadw cyfoeth eu hiaith, tôn, ac ymadroddion ( Marshall a Rossman, </w:t>
      </w:r>
      <w:r>
        <w:rPr>
          <w:rFonts w:asciiTheme="minorHAnsi" w:hAnsiTheme="minorHAnsi" w:cstheme="minorHAnsi"/>
          <w:sz w:val="24"/>
          <w:szCs w:val="24"/>
          <w:lang w:val="cy-GB"/>
        </w:rPr>
        <w:t>2</w:t>
      </w:r>
      <w:r w:rsidRPr="0081218C">
        <w:rPr>
          <w:rFonts w:asciiTheme="minorHAnsi" w:hAnsiTheme="minorHAnsi" w:cstheme="minorHAnsi"/>
          <w:sz w:val="24"/>
          <w:szCs w:val="24"/>
          <w:lang w:val="cy-GB"/>
        </w:rPr>
        <w:t>016). Mae’r lefel hon o fanylder yn hanfodol ar gyfer cynrychioli safbwyntiau a phrofiadau cyfranogwyr yn gywir, a thrwy hynny wella dilysrwydd y canfyddiadau.</w:t>
      </w:r>
      <w:r>
        <w:rPr>
          <w:rFonts w:asciiTheme="minorHAnsi" w:hAnsiTheme="minorHAnsi" w:cstheme="minorHAnsi"/>
          <w:sz w:val="24"/>
          <w:szCs w:val="24"/>
          <w:lang w:val="cy-GB"/>
        </w:rPr>
        <w:t xml:space="preserve"> O ganylniad i cyfyngiadau amser, dim ond un grŵp ffocws a llwyddwyd i gynnal, felly maent hyn yn cael ei ystyried yn ystod yr canlyniadau, nid darlun cyflawn o barn a sylwadau pob cyfrangowyr y bydd hyn. </w:t>
      </w:r>
    </w:p>
    <w:p w14:paraId="2130A8E7" w14:textId="277E1577" w:rsidR="0081218C" w:rsidRPr="0081218C" w:rsidRDefault="0081218C" w:rsidP="0081218C">
      <w:pPr>
        <w:spacing w:line="360" w:lineRule="auto"/>
        <w:rPr>
          <w:rFonts w:asciiTheme="minorHAnsi" w:hAnsiTheme="minorHAnsi" w:cstheme="minorHAnsi"/>
          <w:sz w:val="24"/>
          <w:szCs w:val="24"/>
          <w:lang w:val="cy-GB"/>
        </w:rPr>
      </w:pPr>
      <w:r w:rsidRPr="0081218C">
        <w:rPr>
          <w:rFonts w:asciiTheme="minorHAnsi" w:hAnsiTheme="minorHAnsi" w:cstheme="minorHAnsi"/>
          <w:sz w:val="24"/>
          <w:szCs w:val="24"/>
          <w:lang w:val="cy-GB"/>
        </w:rPr>
        <w:t xml:space="preserve">Mae arsylwi yn ddull ymchwil hollbwysig oherwydd ei allu i ddal ymddygiadau a rhyngweithiadau dilys mewn lleoliadau naturiolaidd, gan ddarparu data manwl, cyfoethog i ymchwilwyr (Angrosino, 2007). Mae’r dull hwn yn cynnig mewnwelediad i bywyd go iawn </w:t>
      </w:r>
      <w:r>
        <w:rPr>
          <w:rFonts w:asciiTheme="minorHAnsi" w:hAnsiTheme="minorHAnsi" w:cstheme="minorHAnsi"/>
          <w:sz w:val="24"/>
          <w:szCs w:val="24"/>
          <w:lang w:val="cy-GB"/>
        </w:rPr>
        <w:t xml:space="preserve">y cyfranowyr sydd </w:t>
      </w:r>
      <w:r w:rsidRPr="0081218C">
        <w:rPr>
          <w:rFonts w:asciiTheme="minorHAnsi" w:hAnsiTheme="minorHAnsi" w:cstheme="minorHAnsi"/>
          <w:sz w:val="24"/>
          <w:szCs w:val="24"/>
          <w:lang w:val="cy-GB"/>
        </w:rPr>
        <w:t>nad ydynt efallai’n hygyrch trwy ddulliau eraill</w:t>
      </w:r>
      <w:r>
        <w:rPr>
          <w:rFonts w:asciiTheme="minorHAnsi" w:hAnsiTheme="minorHAnsi" w:cstheme="minorHAnsi"/>
          <w:sz w:val="24"/>
          <w:szCs w:val="24"/>
          <w:lang w:val="cy-GB"/>
        </w:rPr>
        <w:t>. Maent heyfd yn</w:t>
      </w:r>
      <w:r w:rsidRPr="0081218C">
        <w:rPr>
          <w:rFonts w:asciiTheme="minorHAnsi" w:hAnsiTheme="minorHAnsi" w:cstheme="minorHAnsi"/>
          <w:sz w:val="24"/>
          <w:szCs w:val="24"/>
          <w:lang w:val="cy-GB"/>
        </w:rPr>
        <w:t xml:space="preserve"> ganiatáu</w:t>
      </w:r>
      <w:r>
        <w:rPr>
          <w:rFonts w:asciiTheme="minorHAnsi" w:hAnsiTheme="minorHAnsi" w:cstheme="minorHAnsi"/>
          <w:sz w:val="24"/>
          <w:szCs w:val="24"/>
          <w:lang w:val="cy-GB"/>
        </w:rPr>
        <w:t>’</w:t>
      </w:r>
      <w:r w:rsidRPr="0081218C">
        <w:rPr>
          <w:rFonts w:asciiTheme="minorHAnsi" w:hAnsiTheme="minorHAnsi" w:cstheme="minorHAnsi"/>
          <w:sz w:val="24"/>
          <w:szCs w:val="24"/>
          <w:lang w:val="cy-GB"/>
        </w:rPr>
        <w:t xml:space="preserve">r </w:t>
      </w:r>
      <w:r>
        <w:rPr>
          <w:rFonts w:asciiTheme="minorHAnsi" w:hAnsiTheme="minorHAnsi" w:cstheme="minorHAnsi"/>
          <w:sz w:val="24"/>
          <w:szCs w:val="24"/>
          <w:lang w:val="cy-GB"/>
        </w:rPr>
        <w:t xml:space="preserve">ymchwilydd i </w:t>
      </w:r>
      <w:r w:rsidRPr="0081218C">
        <w:rPr>
          <w:rFonts w:asciiTheme="minorHAnsi" w:hAnsiTheme="minorHAnsi" w:cstheme="minorHAnsi"/>
          <w:sz w:val="24"/>
          <w:szCs w:val="24"/>
          <w:lang w:val="cy-GB"/>
        </w:rPr>
        <w:t xml:space="preserve">archwilio a </w:t>
      </w:r>
      <w:r>
        <w:rPr>
          <w:rFonts w:asciiTheme="minorHAnsi" w:hAnsiTheme="minorHAnsi" w:cstheme="minorHAnsi"/>
          <w:sz w:val="24"/>
          <w:szCs w:val="24"/>
          <w:lang w:val="cy-GB"/>
        </w:rPr>
        <w:t xml:space="preserve">gweld y </w:t>
      </w:r>
      <w:r w:rsidRPr="0081218C">
        <w:rPr>
          <w:rFonts w:asciiTheme="minorHAnsi" w:hAnsiTheme="minorHAnsi" w:cstheme="minorHAnsi"/>
          <w:sz w:val="24"/>
          <w:szCs w:val="24"/>
          <w:lang w:val="cy-GB"/>
        </w:rPr>
        <w:t xml:space="preserve">ffactorau cyd-destunol sy’n llywio ymddygiad (Elliott, </w:t>
      </w:r>
      <w:r w:rsidRPr="0081218C">
        <w:rPr>
          <w:rFonts w:asciiTheme="minorHAnsi" w:hAnsiTheme="minorHAnsi" w:cstheme="minorHAnsi"/>
          <w:sz w:val="24"/>
          <w:szCs w:val="24"/>
          <w:lang w:val="cy-GB"/>
        </w:rPr>
        <w:lastRenderedPageBreak/>
        <w:t xml:space="preserve">2005). Yn ogystal, mae ymchwil arsylwadol yn lleihau ymyrraeth â chyfranogwyr, gan leihau’r risg o duedd ymateb a darparu cynrychiolaeth fwy cywir o ymddygiadau wrth iddynt ddigwydd yn naturiol (Hammersley &amp; Atkinson, 2007). Fodd bynnag, gall data arsylwi fod yn </w:t>
      </w:r>
      <w:r>
        <w:rPr>
          <w:rFonts w:asciiTheme="minorHAnsi" w:hAnsiTheme="minorHAnsi" w:cstheme="minorHAnsi"/>
          <w:sz w:val="24"/>
          <w:szCs w:val="24"/>
          <w:lang w:val="cy-GB"/>
        </w:rPr>
        <w:t>tueddol o’r ochr y ymchwilydd</w:t>
      </w:r>
      <w:r w:rsidRPr="0081218C">
        <w:rPr>
          <w:rFonts w:asciiTheme="minorHAnsi" w:hAnsiTheme="minorHAnsi" w:cstheme="minorHAnsi"/>
          <w:sz w:val="24"/>
          <w:szCs w:val="24"/>
          <w:lang w:val="cy-GB"/>
        </w:rPr>
        <w:t>, lle gall dehongliadau a dyfarniadau arsylwyr ddylanwadu ar gasglu a dadansoddi data (Adler &amp; Adler, 1994).</w:t>
      </w:r>
      <w:r>
        <w:rPr>
          <w:rFonts w:asciiTheme="minorHAnsi" w:hAnsiTheme="minorHAnsi" w:cstheme="minorHAnsi"/>
          <w:sz w:val="24"/>
          <w:szCs w:val="24"/>
          <w:lang w:val="cy-GB"/>
        </w:rPr>
        <w:t xml:space="preserve"> Serch </w:t>
      </w:r>
      <w:r w:rsidRPr="0081218C">
        <w:rPr>
          <w:rFonts w:asciiTheme="minorHAnsi" w:hAnsiTheme="minorHAnsi" w:cstheme="minorHAnsi"/>
          <w:sz w:val="24"/>
          <w:szCs w:val="24"/>
          <w:lang w:val="cy-GB"/>
        </w:rPr>
        <w:t>hynny, gall cynnal arsylwadau gymryd llawer o amser</w:t>
      </w:r>
      <w:r>
        <w:rPr>
          <w:rFonts w:asciiTheme="minorHAnsi" w:hAnsiTheme="minorHAnsi" w:cstheme="minorHAnsi"/>
          <w:sz w:val="24"/>
          <w:szCs w:val="24"/>
          <w:lang w:val="cy-GB"/>
        </w:rPr>
        <w:t xml:space="preserve">. Yn ogystal ag anodd wrth geisio arsylwi ar popeth. Dynnir system arsylwi Leuven. Maen dull systematig ar gyfer arsylwi a dadansoddi rhyngweithio o fewn ystafell ddosbarth ac ymddygiad ddisgyblion neu yn yr achos hyn yn edrych ar ei ymgysylltiad yn ystod y sesiwn meddylgawrch ac ar ôl wrth wneud tasgau academaidd. Gwelir wrth defnyddio dull cadarn o arsylwi gallai’r mentor ddosbarth a’r cynorthwyyd heyfd arsylwi ar y ddisgyblion yn ddilyn yr un meini prawf er mwyn ceisio cael darlun cyfan o gweithgareddau’r dosbarth wrth gyfrannu at y sesiynau, gwelir atodiau 2. </w:t>
      </w:r>
      <w:r w:rsidRPr="0081218C">
        <w:rPr>
          <w:rFonts w:asciiTheme="minorHAnsi" w:hAnsiTheme="minorHAnsi" w:cstheme="minorHAnsi"/>
          <w:sz w:val="24"/>
          <w:szCs w:val="24"/>
          <w:lang w:val="cy-GB"/>
        </w:rPr>
        <w:t>Er gwaethaf yr heriau hyn, mae ymchwil arsylwadol yn parhau i fod yn ddull gwerthfawr o astudio ymddygiad dynol, rhyngweithio cymdeithasol, a dylanwadau amgylcheddol, gan ategu dulliau ymchwil eraill a chyfrannu at ddealltwriaeth ddyfnach o ffenomenau ar draws disgyblaethau amrywiol.</w:t>
      </w:r>
    </w:p>
    <w:p w14:paraId="262DA98A" w14:textId="77777777" w:rsidR="0081218C" w:rsidRPr="00245625" w:rsidRDefault="0081218C" w:rsidP="00245625">
      <w:pPr>
        <w:spacing w:line="360" w:lineRule="auto"/>
        <w:rPr>
          <w:rFonts w:asciiTheme="minorHAnsi" w:hAnsiTheme="minorHAnsi" w:cstheme="minorHAnsi"/>
          <w:sz w:val="24"/>
          <w:szCs w:val="24"/>
          <w:lang w:val="cy-GB"/>
        </w:rPr>
      </w:pPr>
    </w:p>
    <w:p w14:paraId="0520DC5C" w14:textId="515A38F1" w:rsidR="00A53E23"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Cyflwyno a Dadasoddi Data</w:t>
      </w:r>
    </w:p>
    <w:p w14:paraId="027F94B4" w14:textId="6548A390"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 xml:space="preserve">Wrth gynnal ein ymchwilio i effaith gweithgareddau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ar fyfyrwyr Blwyddyn 3, fe wnaethom weithredu sawl proses i sicrhau dibynadwyedd, hygrededd, trosglwyddedd, dibynadwyedd, a chadarnhad ein canfyddiadau. Yn gyntaf, er mwyn gwella hygrededd, fe wnaethom gadw at egwyddorion sefydledig dylunio </w:t>
      </w:r>
      <w:r>
        <w:rPr>
          <w:rFonts w:asciiTheme="minorHAnsi" w:hAnsiTheme="minorHAnsi" w:cstheme="minorHAnsi"/>
          <w:bCs/>
          <w:sz w:val="24"/>
          <w:szCs w:val="24"/>
          <w:lang w:val="cy-GB"/>
        </w:rPr>
        <w:t>holiaduron</w:t>
      </w:r>
      <w:r w:rsidRPr="0081218C">
        <w:rPr>
          <w:rFonts w:asciiTheme="minorHAnsi" w:hAnsiTheme="minorHAnsi" w:cstheme="minorHAnsi"/>
          <w:bCs/>
          <w:sz w:val="24"/>
          <w:szCs w:val="24"/>
          <w:lang w:val="cy-GB"/>
        </w:rPr>
        <w:t xml:space="preserve">, gan sicrhau bod iaith a fformat ein holiadur yn briodol i oedran ac yn ddealladwy ar gyfer y </w:t>
      </w:r>
      <w:r>
        <w:rPr>
          <w:rFonts w:asciiTheme="minorHAnsi" w:hAnsiTheme="minorHAnsi" w:cstheme="minorHAnsi"/>
          <w:bCs/>
          <w:sz w:val="24"/>
          <w:szCs w:val="24"/>
          <w:lang w:val="cy-GB"/>
        </w:rPr>
        <w:t>y dosbarth</w:t>
      </w:r>
      <w:r w:rsidRPr="0081218C">
        <w:rPr>
          <w:rFonts w:asciiTheme="minorHAnsi" w:hAnsiTheme="minorHAnsi" w:cstheme="minorHAnsi"/>
          <w:bCs/>
          <w:sz w:val="24"/>
          <w:szCs w:val="24"/>
          <w:lang w:val="cy-GB"/>
        </w:rPr>
        <w:t xml:space="preserve"> (Krosnick &amp; Presser, 2010). Yn ogystal, </w:t>
      </w:r>
      <w:r>
        <w:rPr>
          <w:rFonts w:asciiTheme="minorHAnsi" w:hAnsiTheme="minorHAnsi" w:cstheme="minorHAnsi"/>
          <w:bCs/>
          <w:sz w:val="24"/>
          <w:szCs w:val="24"/>
          <w:lang w:val="cy-GB"/>
        </w:rPr>
        <w:t xml:space="preserve">wnaethom ni gadael </w:t>
      </w:r>
      <w:r w:rsidRPr="0081218C">
        <w:rPr>
          <w:rFonts w:asciiTheme="minorHAnsi" w:hAnsiTheme="minorHAnsi" w:cstheme="minorHAnsi"/>
          <w:bCs/>
          <w:sz w:val="24"/>
          <w:szCs w:val="24"/>
          <w:lang w:val="cy-GB"/>
        </w:rPr>
        <w:t>gyda grŵp bach o fyfyrwyr i brofi eglurder a phriodoldeb cwestiynau’r arolwg</w:t>
      </w:r>
      <w:r>
        <w:rPr>
          <w:rFonts w:asciiTheme="minorHAnsi" w:hAnsiTheme="minorHAnsi" w:cstheme="minorHAnsi"/>
          <w:bCs/>
          <w:sz w:val="24"/>
          <w:szCs w:val="24"/>
          <w:lang w:val="cy-GB"/>
        </w:rPr>
        <w:t xml:space="preserve"> cyn i’r weddill ei ateb</w:t>
      </w:r>
      <w:r w:rsidRPr="0081218C">
        <w:rPr>
          <w:rFonts w:asciiTheme="minorHAnsi" w:hAnsiTheme="minorHAnsi" w:cstheme="minorHAnsi"/>
          <w:bCs/>
          <w:sz w:val="24"/>
          <w:szCs w:val="24"/>
          <w:lang w:val="cy-GB"/>
        </w:rPr>
        <w:t>, gan ganiatáu inni fireinio’r geiriad a gwella dibynadwyedd yr ymatebion (Dillman et al., 2014).</w:t>
      </w:r>
      <w:r>
        <w:rPr>
          <w:rFonts w:asciiTheme="minorHAnsi" w:hAnsiTheme="minorHAnsi" w:cstheme="minorHAnsi"/>
          <w:bCs/>
          <w:sz w:val="24"/>
          <w:szCs w:val="24"/>
          <w:lang w:val="cy-GB"/>
        </w:rPr>
        <w:t xml:space="preserve"> Hefyd wrth gwneud hyn, yr oedd modd iddyn ni ei symlyeddio i rhai yn y dosbarth a oedd angen fwy o gymorth. Yn osystal a paradorwydd i ddarllen ac esbonio y gwestynnau er mwyn derbyn dealltwriaeth well o’r testun.</w:t>
      </w:r>
    </w:p>
    <w:p w14:paraId="7AA0E84D" w14:textId="634C4FC5" w:rsidR="0081218C" w:rsidRDefault="0081218C" w:rsidP="00AF28E5">
      <w:pPr>
        <w:spacing w:before="120" w:after="120" w:line="360" w:lineRule="auto"/>
        <w:rPr>
          <w:rFonts w:asciiTheme="minorHAnsi" w:hAnsiTheme="minorHAnsi" w:cstheme="minorHAnsi"/>
          <w:bCs/>
          <w:sz w:val="24"/>
          <w:szCs w:val="24"/>
          <w:lang w:val="cy-GB"/>
        </w:rPr>
      </w:pPr>
      <w:r>
        <w:rPr>
          <w:rFonts w:asciiTheme="minorHAnsi" w:hAnsiTheme="minorHAnsi" w:cstheme="minorHAnsi"/>
          <w:bCs/>
          <w:sz w:val="24"/>
          <w:szCs w:val="24"/>
          <w:lang w:val="cy-GB"/>
        </w:rPr>
        <w:t xml:space="preserve">Yr oedd hefyd yn bwysig i gael amrywiaeth o chwesitynau yn ystod y holiadur ac hefyd y grwp ffocws er mwyn rhoi digon o gyfleuoedd i’r ddisgylbion i fynegi ei barn. </w:t>
      </w:r>
      <w:r w:rsidRPr="0081218C">
        <w:rPr>
          <w:rFonts w:asciiTheme="minorHAnsi" w:hAnsiTheme="minorHAnsi" w:cstheme="minorHAnsi"/>
          <w:bCs/>
          <w:sz w:val="24"/>
          <w:szCs w:val="24"/>
          <w:lang w:val="cy-GB"/>
        </w:rPr>
        <w:t xml:space="preserve">Drwy roi cyfle i </w:t>
      </w:r>
      <w:r w:rsidRPr="0081218C">
        <w:rPr>
          <w:rFonts w:asciiTheme="minorHAnsi" w:hAnsiTheme="minorHAnsi" w:cstheme="minorHAnsi"/>
          <w:bCs/>
          <w:sz w:val="24"/>
          <w:szCs w:val="24"/>
          <w:lang w:val="cy-GB"/>
        </w:rPr>
        <w:lastRenderedPageBreak/>
        <w:t>ymatebwyr fynegi eu meddyliau a’u teimladau yn eu geiriau eu hunain</w:t>
      </w:r>
      <w:r>
        <w:rPr>
          <w:rFonts w:asciiTheme="minorHAnsi" w:hAnsiTheme="minorHAnsi" w:cstheme="minorHAnsi"/>
          <w:bCs/>
          <w:sz w:val="24"/>
          <w:szCs w:val="24"/>
          <w:lang w:val="cy-GB"/>
        </w:rPr>
        <w:t xml:space="preserve"> yr oeddwn yn cadw at uniondeb ei ymatebion er mwyn ei trogwlwyddo i fewn i’n data.</w:t>
      </w:r>
    </w:p>
    <w:p w14:paraId="030E28E5" w14:textId="1FF80E81" w:rsidR="00A53E23" w:rsidRPr="00AF28E5" w:rsidRDefault="0081218C" w:rsidP="00AF28E5">
      <w:pPr>
        <w:spacing w:before="120" w:after="120" w:line="360" w:lineRule="auto"/>
        <w:rPr>
          <w:rFonts w:asciiTheme="minorHAnsi" w:hAnsiTheme="minorHAnsi" w:cstheme="minorHAnsi"/>
          <w:b/>
          <w:sz w:val="24"/>
          <w:szCs w:val="24"/>
          <w:u w:val="single"/>
          <w:lang w:val="cy-GB"/>
        </w:rPr>
      </w:pPr>
      <w:r w:rsidRPr="0081218C">
        <w:rPr>
          <w:rFonts w:asciiTheme="minorHAnsi" w:hAnsiTheme="minorHAnsi" w:cstheme="minorHAnsi"/>
          <w:bCs/>
          <w:sz w:val="24"/>
          <w:szCs w:val="24"/>
          <w:lang w:val="cy-GB"/>
        </w:rPr>
        <w:t>Er mwyn gwella hygrededd a dibynadwyedd ein hymchwil, buom yn cynnal trafodaethau rheolaidd gyda’r mentor dosbarth a’r cynorthwyydd yn dilyn pob sesiwn arsylwi i rannu ein canfyddiadau a sicrhau aliniad yn y dehongliad o ymddygiadau a arsylwyd (Lincoln &amp; Guba, 1985). Roedd y trafodaethau hyn yn fodd o wirio aelodau, gan ganiatáu ar gyfer gwirio ein dehongliadau a sicrhau bod y data yn adlewyrchu ymddygiad ac agweddau'r plant yn gywir (Creswell &amp; Miller, 2000). Drwy gynnal cyfathrebu agored a thryloywder drwy gydol y broses ymchwil, ceisiwyd sefydlu ymddiriedaeth a hyder yn nibynadwyedd ein harsylwadau (Shenton, 2004). Ymhellach, rhoddodd y trafodaethau hyn gyfle i gadarnhau cysondeb a dilysrwydd ein canfyddiadau, gan gyfrannu at gadarnhad cyffredinol ein hymchwil (Lincoln &amp; Guba, 1985). Trwy ddeialog ar y cyd â’r mentor dosbarth a’r cynorthwyydd, anelwyd at gryfhau hygrededd, dibynadwyedd a chadarnhad ein canlyniadau ymchwil.</w:t>
      </w:r>
    </w:p>
    <w:p w14:paraId="24D4CC30" w14:textId="3CB3C5AC" w:rsidR="00A53E23"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Trafodaeth</w:t>
      </w:r>
    </w:p>
    <w:p w14:paraId="56214A75" w14:textId="77777777"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Wrth ddadansoddi'r data arsylwi (gweler Atodiad 2), archwiliwyd y gwahaniaethau mewn lefelau ymgysylltu fel y mesurwyd gan rifau graddfa Leuven i werthuso effeithiolrwydd y dulliau gweithgareddau m</w:t>
      </w:r>
      <w:r>
        <w:rPr>
          <w:rFonts w:asciiTheme="minorHAnsi" w:hAnsiTheme="minorHAnsi" w:cstheme="minorHAnsi"/>
          <w:bCs/>
          <w:sz w:val="24"/>
          <w:szCs w:val="24"/>
          <w:lang w:val="cy-GB"/>
        </w:rPr>
        <w:t>eddylgarwch</w:t>
      </w:r>
      <w:r w:rsidRPr="0081218C">
        <w:rPr>
          <w:rFonts w:asciiTheme="minorHAnsi" w:hAnsiTheme="minorHAnsi" w:cstheme="minorHAnsi"/>
          <w:bCs/>
          <w:sz w:val="24"/>
          <w:szCs w:val="24"/>
          <w:lang w:val="cy-GB"/>
        </w:rPr>
        <w:t>. I ddechrau, gwelsom ddiwrnod ysgol arferol heb unrhyw weithgareddau medd</w:t>
      </w:r>
      <w:r>
        <w:rPr>
          <w:rFonts w:asciiTheme="minorHAnsi" w:hAnsiTheme="minorHAnsi" w:cstheme="minorHAnsi"/>
          <w:bCs/>
          <w:sz w:val="24"/>
          <w:szCs w:val="24"/>
          <w:lang w:val="cy-GB"/>
        </w:rPr>
        <w:t>ylgarwch. Roeddwn yn d</w:t>
      </w:r>
      <w:r w:rsidRPr="0081218C">
        <w:rPr>
          <w:rFonts w:asciiTheme="minorHAnsi" w:hAnsiTheme="minorHAnsi" w:cstheme="minorHAnsi"/>
          <w:bCs/>
          <w:sz w:val="24"/>
          <w:szCs w:val="24"/>
          <w:lang w:val="cy-GB"/>
        </w:rPr>
        <w:t xml:space="preserve">dogfennu lefelau ymgysylltu'r myfyrwyr ar ôl dychwelyd i'r dosbarth ar ôl amser chwarae a chinio. Datgelodd ein harsylwadau fod </w:t>
      </w:r>
      <w:r>
        <w:rPr>
          <w:rFonts w:asciiTheme="minorHAnsi" w:hAnsiTheme="minorHAnsi" w:cstheme="minorHAnsi"/>
          <w:bCs/>
          <w:sz w:val="24"/>
          <w:szCs w:val="24"/>
          <w:lang w:val="cy-GB"/>
        </w:rPr>
        <w:t>bron bob</w:t>
      </w:r>
      <w:r w:rsidRPr="0081218C">
        <w:rPr>
          <w:rFonts w:asciiTheme="minorHAnsi" w:hAnsiTheme="minorHAnsi" w:cstheme="minorHAnsi"/>
          <w:bCs/>
          <w:sz w:val="24"/>
          <w:szCs w:val="24"/>
          <w:lang w:val="cy-GB"/>
        </w:rPr>
        <w:t xml:space="preserve"> myfyriwr yn dangos hapusrwydd</w:t>
      </w:r>
      <w:r>
        <w:rPr>
          <w:rFonts w:asciiTheme="minorHAnsi" w:hAnsiTheme="minorHAnsi" w:cstheme="minorHAnsi"/>
          <w:bCs/>
          <w:sz w:val="24"/>
          <w:szCs w:val="24"/>
          <w:lang w:val="cy-GB"/>
        </w:rPr>
        <w:t xml:space="preserve"> a chyffro</w:t>
      </w:r>
      <w:r w:rsidRPr="0081218C">
        <w:rPr>
          <w:rFonts w:asciiTheme="minorHAnsi" w:hAnsiTheme="minorHAnsi" w:cstheme="minorHAnsi"/>
          <w:bCs/>
          <w:sz w:val="24"/>
          <w:szCs w:val="24"/>
          <w:lang w:val="cy-GB"/>
        </w:rPr>
        <w:t xml:space="preserve"> ar ôl dychwelyd i'r dosbarth; fodd bynnag, roedd llawer yn amlwg wedi cynhyrfu oherwydd digwyddiadau yn ystod amser chwarae. Ymhellach, fe wnaethom nodi diffyg ffocws ymhlith myfyrwyr </w:t>
      </w:r>
      <w:r>
        <w:rPr>
          <w:rFonts w:asciiTheme="minorHAnsi" w:hAnsiTheme="minorHAnsi" w:cstheme="minorHAnsi"/>
          <w:bCs/>
          <w:sz w:val="24"/>
          <w:szCs w:val="24"/>
          <w:lang w:val="cy-GB"/>
        </w:rPr>
        <w:t xml:space="preserve">hynnny </w:t>
      </w:r>
      <w:r w:rsidRPr="0081218C">
        <w:rPr>
          <w:rFonts w:asciiTheme="minorHAnsi" w:hAnsiTheme="minorHAnsi" w:cstheme="minorHAnsi"/>
          <w:bCs/>
          <w:sz w:val="24"/>
          <w:szCs w:val="24"/>
          <w:lang w:val="cy-GB"/>
        </w:rPr>
        <w:t xml:space="preserve">wrth drosglwyddo i fodiwlau gwaith </w:t>
      </w:r>
      <w:r>
        <w:rPr>
          <w:rFonts w:asciiTheme="minorHAnsi" w:hAnsiTheme="minorHAnsi" w:cstheme="minorHAnsi"/>
          <w:bCs/>
          <w:sz w:val="24"/>
          <w:szCs w:val="24"/>
          <w:lang w:val="cy-GB"/>
        </w:rPr>
        <w:t>yn enwedig wrth ceisio dilyn cyfarwyddiadau newydd</w:t>
      </w:r>
      <w:r w:rsidRPr="0081218C">
        <w:rPr>
          <w:rFonts w:asciiTheme="minorHAnsi" w:hAnsiTheme="minorHAnsi" w:cstheme="minorHAnsi"/>
          <w:bCs/>
          <w:sz w:val="24"/>
          <w:szCs w:val="24"/>
          <w:lang w:val="cy-GB"/>
        </w:rPr>
        <w:t xml:space="preserve">, gyda rhai myfyrwyr yn gofyn dro ar ôl tro am eglurhad ar gyfarwyddiadau. Darparodd yr arsylwadau cychwynnol hyn linell sylfaen y gallem gymharu effeithiau gweithredu gweithgareddau meddwl yn ei herbyn mewn sesiynau dilynol. </w:t>
      </w:r>
    </w:p>
    <w:p w14:paraId="412296B8" w14:textId="77777777" w:rsidR="0081218C" w:rsidRDefault="0081218C" w:rsidP="00AF28E5">
      <w:pPr>
        <w:spacing w:before="120" w:after="120" w:line="360" w:lineRule="auto"/>
        <w:rPr>
          <w:rFonts w:asciiTheme="minorHAnsi" w:hAnsiTheme="minorHAnsi" w:cstheme="minorHAnsi"/>
          <w:bCs/>
          <w:sz w:val="24"/>
          <w:szCs w:val="24"/>
          <w:lang w:val="cy-GB"/>
        </w:rPr>
      </w:pPr>
      <w:r>
        <w:rPr>
          <w:rFonts w:asciiTheme="minorHAnsi" w:hAnsiTheme="minorHAnsi" w:cstheme="minorHAnsi"/>
          <w:bCs/>
          <w:sz w:val="24"/>
          <w:szCs w:val="24"/>
          <w:lang w:val="cy-GB"/>
        </w:rPr>
        <w:t xml:space="preserve">Felly cychywynom ni i greu amserlen gweithredu sesiynau meddylgarwch wrth ddychwelyd yn nôl i’r ddosbarth ar ôl cyfnodau chwarae annibynnol. </w:t>
      </w:r>
      <w:r w:rsidRPr="0081218C">
        <w:rPr>
          <w:rFonts w:asciiTheme="minorHAnsi" w:hAnsiTheme="minorHAnsi" w:cstheme="minorHAnsi"/>
          <w:bCs/>
          <w:sz w:val="24"/>
          <w:szCs w:val="24"/>
          <w:lang w:val="cy-GB"/>
        </w:rPr>
        <w:t xml:space="preserve">Yn dilyn rhoi gweithgareddau </w:t>
      </w:r>
      <w:r>
        <w:rPr>
          <w:rFonts w:asciiTheme="minorHAnsi" w:hAnsiTheme="minorHAnsi" w:cstheme="minorHAnsi"/>
          <w:bCs/>
          <w:sz w:val="24"/>
          <w:szCs w:val="24"/>
          <w:lang w:val="cy-GB"/>
        </w:rPr>
        <w:t>meddylgarwch ar waith</w:t>
      </w:r>
      <w:r w:rsidRPr="0081218C">
        <w:rPr>
          <w:rFonts w:asciiTheme="minorHAnsi" w:hAnsiTheme="minorHAnsi" w:cstheme="minorHAnsi"/>
          <w:bCs/>
          <w:sz w:val="24"/>
          <w:szCs w:val="24"/>
          <w:lang w:val="cy-GB"/>
        </w:rPr>
        <w:t xml:space="preserve">, gwelsom newidiadau nodedig yn lefelau ymgysylltiad myfyrwyr. Roedd niferoedd graddfa Leuven yn nodi lefelau uwch o ffocws a chyfranogiad yn ystod gweithgareddau dosbarth, gan awgrymu bod cyflwyno gweithgareddau meddwl wedi cael </w:t>
      </w:r>
      <w:r w:rsidRPr="0081218C">
        <w:rPr>
          <w:rFonts w:asciiTheme="minorHAnsi" w:hAnsiTheme="minorHAnsi" w:cstheme="minorHAnsi"/>
          <w:bCs/>
          <w:sz w:val="24"/>
          <w:szCs w:val="24"/>
          <w:lang w:val="cy-GB"/>
        </w:rPr>
        <w:lastRenderedPageBreak/>
        <w:t xml:space="preserve">effaith gadarnhaol ar ymgysylltiad myfyrwyr. Yn ogystal, roedd myfyrwyr yn ymddangos yn fwy cymhellol ac yn awyddus i gymryd rhan mewn trafodaethau ystafell ddosbarth, gan ddangos mwy o ymdeimlad o berchnogaeth a brwdfrydedd dros eu dysgu. </w:t>
      </w:r>
    </w:p>
    <w:p w14:paraId="03171B4C" w14:textId="21FE8C81"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 xml:space="preserve">Er bod anghysondebau yn y niferoedd ymgysylltu, mae’n bwysig ystyried y </w:t>
      </w:r>
      <w:r>
        <w:rPr>
          <w:rFonts w:asciiTheme="minorHAnsi" w:hAnsiTheme="minorHAnsi" w:cstheme="minorHAnsi"/>
          <w:bCs/>
          <w:sz w:val="24"/>
          <w:szCs w:val="24"/>
          <w:lang w:val="cy-GB"/>
        </w:rPr>
        <w:t>d</w:t>
      </w:r>
      <w:r w:rsidRPr="0081218C">
        <w:rPr>
          <w:rFonts w:asciiTheme="minorHAnsi" w:hAnsiTheme="minorHAnsi" w:cstheme="minorHAnsi"/>
          <w:bCs/>
          <w:sz w:val="24"/>
          <w:szCs w:val="24"/>
          <w:lang w:val="cy-GB"/>
        </w:rPr>
        <w:t>asgau medd</w:t>
      </w:r>
      <w:r>
        <w:rPr>
          <w:rFonts w:asciiTheme="minorHAnsi" w:hAnsiTheme="minorHAnsi" w:cstheme="minorHAnsi"/>
          <w:bCs/>
          <w:sz w:val="24"/>
          <w:szCs w:val="24"/>
          <w:lang w:val="cy-GB"/>
        </w:rPr>
        <w:t>ylgarwch</w:t>
      </w:r>
      <w:r w:rsidRPr="0081218C">
        <w:rPr>
          <w:rFonts w:asciiTheme="minorHAnsi" w:hAnsiTheme="minorHAnsi" w:cstheme="minorHAnsi"/>
          <w:bCs/>
          <w:sz w:val="24"/>
          <w:szCs w:val="24"/>
          <w:lang w:val="cy-GB"/>
        </w:rPr>
        <w:t xml:space="preserve"> sy’n cael eu cyflawni</w:t>
      </w:r>
      <w:r>
        <w:rPr>
          <w:rFonts w:asciiTheme="minorHAnsi" w:hAnsiTheme="minorHAnsi" w:cstheme="minorHAnsi"/>
          <w:bCs/>
          <w:sz w:val="24"/>
          <w:szCs w:val="24"/>
          <w:lang w:val="cy-GB"/>
        </w:rPr>
        <w:t xml:space="preserve">. </w:t>
      </w:r>
      <w:r w:rsidRPr="0081218C">
        <w:rPr>
          <w:rFonts w:asciiTheme="minorHAnsi" w:hAnsiTheme="minorHAnsi" w:cstheme="minorHAnsi"/>
          <w:bCs/>
          <w:sz w:val="24"/>
          <w:szCs w:val="24"/>
          <w:lang w:val="cy-GB"/>
        </w:rPr>
        <w:t>Dangosodd ein harsylwadau fod sesiynau ioga statudol yn ennyn lefelau uwch o ymgysylltu o gymharu â gweithgareddau ioga symud</w:t>
      </w:r>
      <w:r>
        <w:rPr>
          <w:rFonts w:asciiTheme="minorHAnsi" w:hAnsiTheme="minorHAnsi" w:cstheme="minorHAnsi"/>
          <w:bCs/>
          <w:sz w:val="24"/>
          <w:szCs w:val="24"/>
          <w:lang w:val="cy-GB"/>
        </w:rPr>
        <w:t>. Dywed rhai</w:t>
      </w:r>
      <w:r w:rsidRPr="0081218C">
        <w:rPr>
          <w:rFonts w:asciiTheme="minorHAnsi" w:hAnsiTheme="minorHAnsi" w:cstheme="minorHAnsi"/>
          <w:bCs/>
          <w:sz w:val="24"/>
          <w:szCs w:val="24"/>
          <w:lang w:val="cy-GB"/>
        </w:rPr>
        <w:t xml:space="preserve"> oherwydd bod angen mwy o reolaeth gan y myfyrwyr ar natur strwythuredig y cyntaf (Jones &amp; Davis, 2019). Roedd strwythur yoga statudol yn cyfyngu ar gyfleoedd i fyfyrwyr gymryd rhan mewn ymddygiad chwareus, a thrwy hynny feithrin amgylchedd mwy ffocws a disgybledig sy’n ffafriol i </w:t>
      </w:r>
      <w:r>
        <w:rPr>
          <w:rFonts w:asciiTheme="minorHAnsi" w:hAnsiTheme="minorHAnsi" w:cstheme="minorHAnsi"/>
          <w:bCs/>
          <w:sz w:val="24"/>
          <w:szCs w:val="24"/>
          <w:lang w:val="cy-GB"/>
        </w:rPr>
        <w:t>ymdawelu cyn rhoi cyfarwyddiadau</w:t>
      </w:r>
      <w:r w:rsidRPr="0081218C">
        <w:rPr>
          <w:rFonts w:asciiTheme="minorHAnsi" w:hAnsiTheme="minorHAnsi" w:cstheme="minorHAnsi"/>
          <w:bCs/>
          <w:sz w:val="24"/>
          <w:szCs w:val="24"/>
          <w:lang w:val="cy-GB"/>
        </w:rPr>
        <w:t xml:space="preserve"> (Brown &amp; Jones, 2018). Fodd bynnag, mae’n werth nodi y gallai ymyriadau syml, megis darparu cyfarwyddiadau clir neu addasu’r gweithgareddau, o bosibl wella lefelau ymgysylltu ar draws gwahanol dasgau med</w:t>
      </w:r>
      <w:r>
        <w:rPr>
          <w:rFonts w:asciiTheme="minorHAnsi" w:hAnsiTheme="minorHAnsi" w:cstheme="minorHAnsi"/>
          <w:bCs/>
          <w:sz w:val="24"/>
          <w:szCs w:val="24"/>
          <w:lang w:val="cy-GB"/>
        </w:rPr>
        <w:t>dylgarwch</w:t>
      </w:r>
      <w:r w:rsidRPr="0081218C">
        <w:rPr>
          <w:rFonts w:asciiTheme="minorHAnsi" w:hAnsiTheme="minorHAnsi" w:cstheme="minorHAnsi"/>
          <w:bCs/>
          <w:sz w:val="24"/>
          <w:szCs w:val="24"/>
          <w:lang w:val="cy-GB"/>
        </w:rPr>
        <w:t xml:space="preserve"> (Garcia &amp; Smith, 2020). Mae'r canfyddiadau hyn yn tanlinellu pwysigrwydd teilwra gweithgareddau meddwl i gyd-fynd â lefelau datblygiadol a hoffterau myfyrwyr er mwyn cael y canlyniadau gorau o ymgysylltu a dysgu.</w:t>
      </w:r>
      <w:r>
        <w:rPr>
          <w:rFonts w:asciiTheme="minorHAnsi" w:hAnsiTheme="minorHAnsi" w:cstheme="minorHAnsi"/>
          <w:bCs/>
          <w:sz w:val="24"/>
          <w:szCs w:val="24"/>
          <w:lang w:val="cy-GB"/>
        </w:rPr>
        <w:t xml:space="preserve"> </w:t>
      </w:r>
    </w:p>
    <w:p w14:paraId="29A390C5" w14:textId="0E94E6D3"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Roedd canfyddiadau’r ymchwil o’r grwpiau ffocws a’r holiaduron ymhlith myfyrwyr yn dangos yn glir ffafriaeth i chwarae gyda thoes fel gweithgaredd a</w:t>
      </w:r>
      <w:r>
        <w:rPr>
          <w:rFonts w:asciiTheme="minorHAnsi" w:hAnsiTheme="minorHAnsi" w:cstheme="minorHAnsi"/>
          <w:bCs/>
          <w:sz w:val="24"/>
          <w:szCs w:val="24"/>
          <w:lang w:val="cy-GB"/>
        </w:rPr>
        <w:t xml:space="preserve">c yn hoff o wnued hyn </w:t>
      </w:r>
      <w:r w:rsidRPr="0081218C">
        <w:rPr>
          <w:rFonts w:asciiTheme="minorHAnsi" w:hAnsiTheme="minorHAnsi" w:cstheme="minorHAnsi"/>
          <w:bCs/>
          <w:sz w:val="24"/>
          <w:szCs w:val="24"/>
          <w:lang w:val="cy-GB"/>
        </w:rPr>
        <w:t>ar gyfer hybu ymlacio a chanolbwyntio</w:t>
      </w:r>
      <w:r>
        <w:rPr>
          <w:rFonts w:asciiTheme="minorHAnsi" w:hAnsiTheme="minorHAnsi" w:cstheme="minorHAnsi"/>
          <w:bCs/>
          <w:sz w:val="24"/>
          <w:szCs w:val="24"/>
          <w:lang w:val="cy-GB"/>
        </w:rPr>
        <w:t xml:space="preserve">. </w:t>
      </w:r>
      <w:r w:rsidRPr="0081218C">
        <w:rPr>
          <w:rFonts w:asciiTheme="minorHAnsi" w:hAnsiTheme="minorHAnsi" w:cstheme="minorHAnsi"/>
          <w:bCs/>
          <w:sz w:val="24"/>
          <w:szCs w:val="24"/>
          <w:lang w:val="cy-GB"/>
        </w:rPr>
        <w:t xml:space="preserve">Dywedodd llawer o fyfyrwyr eu bod yn teimlo’n fwy abl i ganolbwyntio yn ystod cyflwyniadau wrth ymwneud â thoes, gan dynnu tebygrwydd rhwng y gweithgaredd hwn a’r defnydd o ‘fidgets’ ar gyfer ysgogiad synhwyraidd (Jones et al., 2018). Fodd bynnag, daeth gwahaniaeth nodedig i'r amlwg wrth gymharu'r canfyddiadau </w:t>
      </w:r>
      <w:r>
        <w:rPr>
          <w:rFonts w:asciiTheme="minorHAnsi" w:hAnsiTheme="minorHAnsi" w:cstheme="minorHAnsi"/>
          <w:bCs/>
          <w:sz w:val="24"/>
          <w:szCs w:val="24"/>
          <w:lang w:val="cy-GB"/>
        </w:rPr>
        <w:t>grŵpiau ffocws ar</w:t>
      </w:r>
      <w:r w:rsidRPr="0081218C">
        <w:rPr>
          <w:rFonts w:asciiTheme="minorHAnsi" w:hAnsiTheme="minorHAnsi" w:cstheme="minorHAnsi"/>
          <w:bCs/>
          <w:sz w:val="24"/>
          <w:szCs w:val="24"/>
          <w:lang w:val="cy-GB"/>
        </w:rPr>
        <w:t xml:space="preserve"> hyn ag arsylwada</w:t>
      </w:r>
      <w:r>
        <w:rPr>
          <w:rFonts w:asciiTheme="minorHAnsi" w:hAnsiTheme="minorHAnsi" w:cstheme="minorHAnsi"/>
          <w:bCs/>
          <w:sz w:val="24"/>
          <w:szCs w:val="24"/>
          <w:lang w:val="cy-GB"/>
        </w:rPr>
        <w:t>u</w:t>
      </w:r>
      <w:r w:rsidRPr="0081218C">
        <w:rPr>
          <w:rFonts w:asciiTheme="minorHAnsi" w:hAnsiTheme="minorHAnsi" w:cstheme="minorHAnsi"/>
          <w:bCs/>
          <w:sz w:val="24"/>
          <w:szCs w:val="24"/>
          <w:lang w:val="cy-GB"/>
        </w:rPr>
        <w:t xml:space="preserve"> o ymddygiad myfyrwyr.</w:t>
      </w:r>
      <w:r>
        <w:rPr>
          <w:rFonts w:asciiTheme="minorHAnsi" w:hAnsiTheme="minorHAnsi" w:cstheme="minorHAnsi"/>
          <w:bCs/>
          <w:sz w:val="24"/>
          <w:szCs w:val="24"/>
          <w:lang w:val="cy-GB"/>
        </w:rPr>
        <w:t xml:space="preserve"> Da</w:t>
      </w:r>
      <w:r w:rsidRPr="0081218C">
        <w:rPr>
          <w:rFonts w:asciiTheme="minorHAnsi" w:hAnsiTheme="minorHAnsi" w:cstheme="minorHAnsi"/>
          <w:bCs/>
          <w:sz w:val="24"/>
          <w:szCs w:val="24"/>
          <w:lang w:val="cy-GB"/>
        </w:rPr>
        <w:t>tgelodd arsylwadau fod myfyrwyr yn canolbwyntio’n ormodol ar y profiad cyffyrddol o drin y toes yn hytrach nag ar y cynnwys academaidd a oedd yn cael ei gyflwyno</w:t>
      </w:r>
      <w:r>
        <w:rPr>
          <w:rFonts w:asciiTheme="minorHAnsi" w:hAnsiTheme="minorHAnsi" w:cstheme="minorHAnsi"/>
          <w:bCs/>
          <w:sz w:val="24"/>
          <w:szCs w:val="24"/>
          <w:lang w:val="cy-GB"/>
        </w:rPr>
        <w:t xml:space="preserve">. </w:t>
      </w:r>
      <w:r w:rsidRPr="0081218C">
        <w:rPr>
          <w:rFonts w:asciiTheme="minorHAnsi" w:hAnsiTheme="minorHAnsi" w:cstheme="minorHAnsi"/>
          <w:bCs/>
          <w:sz w:val="24"/>
          <w:szCs w:val="24"/>
          <w:lang w:val="cy-GB"/>
        </w:rPr>
        <w:t xml:space="preserve">Mae'r arsylwi hwn yn </w:t>
      </w:r>
      <w:r>
        <w:rPr>
          <w:rFonts w:asciiTheme="minorHAnsi" w:hAnsiTheme="minorHAnsi" w:cstheme="minorHAnsi"/>
          <w:bCs/>
          <w:sz w:val="24"/>
          <w:szCs w:val="24"/>
          <w:lang w:val="cy-GB"/>
        </w:rPr>
        <w:t>wahanol i’r</w:t>
      </w:r>
      <w:r w:rsidRPr="0081218C">
        <w:rPr>
          <w:rFonts w:asciiTheme="minorHAnsi" w:hAnsiTheme="minorHAnsi" w:cstheme="minorHAnsi"/>
          <w:bCs/>
          <w:sz w:val="24"/>
          <w:szCs w:val="24"/>
          <w:lang w:val="cy-GB"/>
        </w:rPr>
        <w:t xml:space="preserve"> canfyddiadau myfyrwyr o effeithiolrwydd chwarae toes a'u hymwneud gwirioneddol â thasgau dysgu. Mae’r anghysondeb rhwng canfyddiadau ac ymddygiad a arsylwyd yn amlygu pwysigrwydd gwerthuso’n feirniadol effeithiolrwydd </w:t>
      </w:r>
      <w:r>
        <w:rPr>
          <w:rFonts w:asciiTheme="minorHAnsi" w:hAnsiTheme="minorHAnsi" w:cstheme="minorHAnsi"/>
          <w:bCs/>
          <w:sz w:val="24"/>
          <w:szCs w:val="24"/>
          <w:lang w:val="cy-GB"/>
        </w:rPr>
        <w:t>gweithgareddau. Yr oedd hi’n amwlg mwynhaodd y ddisgblion chwarae gyda’r toes a nad oedd yn arferol iddynt ond ni chafodd effaith gadarnhaol ar ei ymgysylltiad fel y dwyed</w:t>
      </w:r>
      <w:r w:rsidRPr="0081218C">
        <w:rPr>
          <w:rFonts w:asciiTheme="minorHAnsi" w:hAnsiTheme="minorHAnsi" w:cstheme="minorHAnsi"/>
          <w:bCs/>
          <w:sz w:val="24"/>
          <w:szCs w:val="24"/>
          <w:lang w:val="cy-GB"/>
        </w:rPr>
        <w:t xml:space="preserve">. Er y gall myfyrwyr weld rhai gweithgareddau fel rhai buddiol ar gyfer hybu ffocws ac ymlacio, mae'n hanfodol cadarnhau'r canfyddiadau hyn â thystiolaeth empirig i sicrhau eu heffeithiolrwydd wrth </w:t>
      </w:r>
      <w:r w:rsidRPr="0081218C">
        <w:rPr>
          <w:rFonts w:asciiTheme="minorHAnsi" w:hAnsiTheme="minorHAnsi" w:cstheme="minorHAnsi"/>
          <w:bCs/>
          <w:sz w:val="24"/>
          <w:szCs w:val="24"/>
          <w:lang w:val="cy-GB"/>
        </w:rPr>
        <w:lastRenderedPageBreak/>
        <w:t>gefnogi canlyniadau dysgu. Mae hyn yn tanlinellu arwyddocâd defnyddio dulliau lluosog, megis grwpiau ffocws, holiaduron, ac arsylwadau uniongyrchol, mewn ymchwil addysgol i ddarparu dealltwriaeth gynhwysfawr o brofiadau ac ymddygiadau myfyrwyr yn yr ystafell ddosbarth. Trwy driongli data o ffynonellau amrywiol, gall addysgwyr ac ymchwilwyr wneud penderfyniadau gwybodus ynghylch gweithredu ymyriadau ystafell ddosbarth gyda'r nod o wella ymgysylltiad myfyrwyr ac effeithiolrwydd dysgu.</w:t>
      </w:r>
    </w:p>
    <w:p w14:paraId="75FC9682" w14:textId="62739DC4"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Mae'r canfyddiadau hyn yn awgrymu y gall ymgorffori gweithgareddau med</w:t>
      </w:r>
      <w:r>
        <w:rPr>
          <w:rFonts w:asciiTheme="minorHAnsi" w:hAnsiTheme="minorHAnsi" w:cstheme="minorHAnsi"/>
          <w:bCs/>
          <w:sz w:val="24"/>
          <w:szCs w:val="24"/>
          <w:lang w:val="cy-GB"/>
        </w:rPr>
        <w:t>dylgarwch</w:t>
      </w:r>
      <w:r w:rsidRPr="0081218C">
        <w:rPr>
          <w:rFonts w:asciiTheme="minorHAnsi" w:hAnsiTheme="minorHAnsi" w:cstheme="minorHAnsi"/>
          <w:bCs/>
          <w:sz w:val="24"/>
          <w:szCs w:val="24"/>
          <w:lang w:val="cy-GB"/>
        </w:rPr>
        <w:t xml:space="preserve"> yn y cwricwlwm wella ymgysylltiad myfyrwyr a hyrwyddo amgylchedd dysgu cadarnhaol</w:t>
      </w:r>
      <w:r>
        <w:rPr>
          <w:rFonts w:asciiTheme="minorHAnsi" w:hAnsiTheme="minorHAnsi" w:cstheme="minorHAnsi"/>
          <w:bCs/>
          <w:sz w:val="24"/>
          <w:szCs w:val="24"/>
          <w:lang w:val="cy-GB"/>
        </w:rPr>
        <w:t xml:space="preserve"> ond ei fod yn debynol o’r ddosbarth a’r gweithgareddau a defnyddir. </w:t>
      </w:r>
    </w:p>
    <w:p w14:paraId="23301320" w14:textId="0AD05940"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Casgliad</w:t>
      </w:r>
    </w:p>
    <w:p w14:paraId="5C447939" w14:textId="6CA7F4D8" w:rsidR="00A53E23" w:rsidRP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 xml:space="preserve">I gloi, mae'r traethawd hwn wedi archwilio effaith gweithgareddau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megis ioga, myfyrdod, a chwarae synhwyraidd, ar ymgysylltiad a lles plant mewn lleoliadau addysgol. Trwy archwilio wahanol ddulliau ymchwil, gan gynnwys </w:t>
      </w:r>
      <w:r>
        <w:rPr>
          <w:rFonts w:asciiTheme="minorHAnsi" w:hAnsiTheme="minorHAnsi" w:cstheme="minorHAnsi"/>
          <w:bCs/>
          <w:sz w:val="24"/>
          <w:szCs w:val="24"/>
          <w:lang w:val="cy-GB"/>
        </w:rPr>
        <w:t>holiaduron</w:t>
      </w:r>
      <w:r w:rsidRPr="0081218C">
        <w:rPr>
          <w:rFonts w:asciiTheme="minorHAnsi" w:hAnsiTheme="minorHAnsi" w:cstheme="minorHAnsi"/>
          <w:bCs/>
          <w:sz w:val="24"/>
          <w:szCs w:val="24"/>
          <w:lang w:val="cy-GB"/>
        </w:rPr>
        <w:t xml:space="preserve">, grwpiau ffocws, ac arsylwadau uniongyrchol, rydym wedi cael mewnwelediadau gwerthfawr i fuddion ac effeithiau gweithgareddau hyn ar ymgysylltiad myfyrwyr, canolbwyntio, a rheoleiddio emosiynol. Mae’r canfyddiadau’n tanlinellu pwysigrwydd ystyried canfyddiadau  ac arsylwadau wrth werthuso effeithiolrwydd ymyriadau ystafell ddosbarth sydd wedi’u hanelu at hyrwyddo llesiant myfyrwyr a chanlyniadau dysgu. Er y gall myfyrwyr fynegi agweddau cadarnhaol tuag at 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megis chwarae gyda thoes neu gymryd rhan mewn sesiynau ioga, mae ein harsylwadau wedi datgelu naws yn eu lefelau ymgysylltu a’u hymatebion ymddygiadol, gan amlygu’r angen am werthuso beirniadol a gwneud penderfyniadau ar sail tystiolaeth mewn ymarfer addysgol. . Trwy drosoli cyfuniad o fethodolegau ymchwil a thriongli data o ffynonellau amrywiol. Wrth symud ymlaen, mae angen ymchwil pellach i archwilio effeithiau hirdymor gweithgareddau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ar ddatblygiad gwybyddol, emosiynol a chymdeithasol plant. Yn y pen draw, drwy roi blaenoriaeth i lesiant cyfannol myfyrwyr a meithrin amgylcheddau sy’n hybu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a hunanymwybyddiaeth, gallwn greu lleoliadau addysgol cynhwysol a chefnogol sy’n grymuso plant i ffynnu yn academaidd, yn gymdeithasol ac yn emosiynol.</w:t>
      </w:r>
    </w:p>
    <w:p w14:paraId="6694AD7C" w14:textId="15A91FCA"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 xml:space="preserve">Argymhelion </w:t>
      </w:r>
    </w:p>
    <w:p w14:paraId="7E6E9F3A" w14:textId="3618EF5E" w:rsidR="0074155F" w:rsidRDefault="0074155F" w:rsidP="00AF28E5">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lastRenderedPageBreak/>
        <w:t>Mewn fersiynau o’r ymchwil hwn yn y dyfodol, rwy’n argymell ymestyn hyd yr astudiaeth i ganiatáu ar gyfer dadansoddiad mwy cynhwysfawr o effaith y sesiynau ar ddeilliannau myfyrwyr. O</w:t>
      </w:r>
      <w:r>
        <w:rPr>
          <w:rFonts w:asciiTheme="minorHAnsi" w:hAnsiTheme="minorHAnsi" w:cstheme="minorHAnsi"/>
          <w:bCs/>
          <w:sz w:val="24"/>
          <w:szCs w:val="24"/>
          <w:lang w:val="cy-GB"/>
        </w:rPr>
        <w:t xml:space="preserve"> ganlyniad,</w:t>
      </w:r>
      <w:r w:rsidRPr="0074155F">
        <w:rPr>
          <w:rFonts w:asciiTheme="minorHAnsi" w:hAnsiTheme="minorHAnsi" w:cstheme="minorHAnsi"/>
          <w:bCs/>
          <w:sz w:val="24"/>
          <w:szCs w:val="24"/>
          <w:lang w:val="cy-GB"/>
        </w:rPr>
        <w:t xml:space="preserve"> cyfyngiadau amser a osodwyd gan amserlen y cyrsiau TAR, cyfyngwyd yr ymchwil i gyfnod o rai wythnosau. Er bod yr amserlen hon wedi rhoi rhai mewnwelediadau cychwynnol i effeithiau’r sesiynau ar ymgysylltiad disgyblion, byddai cyfnod ymchwil hirach yn rhoi dealltwriaeth ddyfnach o’r ffenomenau a arsylwyd</w:t>
      </w:r>
      <w:r>
        <w:rPr>
          <w:rFonts w:asciiTheme="minorHAnsi" w:hAnsiTheme="minorHAnsi" w:cstheme="minorHAnsi"/>
          <w:bCs/>
          <w:sz w:val="24"/>
          <w:szCs w:val="24"/>
          <w:lang w:val="cy-GB"/>
        </w:rPr>
        <w:t>.</w:t>
      </w:r>
    </w:p>
    <w:p w14:paraId="23C774C0" w14:textId="62878B5A" w:rsidR="0074155F" w:rsidRDefault="0074155F" w:rsidP="00AF28E5">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Mae sicrhau maint sampl cadarn a chynrychioldeb yn hanfodol ar gyfer dilysrwydd a chyffredinolrwydd canfyddiadau ymchwil. Trwy ehangu maint y sampl a sicrhau ei fod yn adlewyrchu'r boblogaeth o ddiddordeb yn gywir, gall ymchwilwyr wella dibynadwyedd a chymhwysedd eu canlyniadau. Gall </w:t>
      </w:r>
      <w:r>
        <w:rPr>
          <w:rFonts w:asciiTheme="minorHAnsi" w:hAnsiTheme="minorHAnsi" w:cstheme="minorHAnsi"/>
          <w:bCs/>
          <w:sz w:val="24"/>
          <w:szCs w:val="24"/>
          <w:lang w:val="cy-GB"/>
        </w:rPr>
        <w:t>cynnal y ymchwil yma mewn ysgol ddinesig rhoi fwy o dibanadwyedd i’r ymchwil gan canitau sampl o bob demograffig er mwyn gasglu ystod ehangach o satbwyntiau a phrofiadau.</w:t>
      </w:r>
    </w:p>
    <w:p w14:paraId="026D2735" w14:textId="38BE7316" w:rsidR="0074155F" w:rsidRDefault="0074155F" w:rsidP="00AF28E5">
      <w:pPr>
        <w:spacing w:before="120" w:after="120" w:line="360" w:lineRule="auto"/>
        <w:rPr>
          <w:rFonts w:asciiTheme="minorHAnsi" w:hAnsiTheme="minorHAnsi" w:cstheme="minorHAnsi"/>
          <w:bCs/>
          <w:sz w:val="24"/>
          <w:szCs w:val="24"/>
          <w:lang w:val="cy-GB"/>
        </w:rPr>
      </w:pPr>
      <w:r>
        <w:rPr>
          <w:rFonts w:asciiTheme="minorHAnsi" w:hAnsiTheme="minorHAnsi" w:cstheme="minorHAnsi"/>
          <w:bCs/>
          <w:sz w:val="24"/>
          <w:szCs w:val="24"/>
          <w:lang w:val="cy-GB"/>
        </w:rPr>
        <w:t xml:space="preserve">Y tro nesaf, byddwn y </w:t>
      </w:r>
      <w:r w:rsidRPr="0074155F">
        <w:rPr>
          <w:rFonts w:asciiTheme="minorHAnsi" w:hAnsiTheme="minorHAnsi" w:cstheme="minorHAnsi"/>
          <w:bCs/>
          <w:sz w:val="24"/>
          <w:szCs w:val="24"/>
          <w:lang w:val="cy-GB"/>
        </w:rPr>
        <w:t xml:space="preserve"> gynnal grwpiau ffocws ochr yn ochr ag arolygon holiadur, gallwch driongli ffynonellau data a chael dealltwriaeth ddyfnach o brofiadau a barn cyfranogwyr. </w:t>
      </w:r>
      <w:r>
        <w:rPr>
          <w:rFonts w:asciiTheme="minorHAnsi" w:hAnsiTheme="minorHAnsi" w:cstheme="minorHAnsi"/>
          <w:bCs/>
          <w:sz w:val="24"/>
          <w:szCs w:val="24"/>
          <w:lang w:val="cy-GB"/>
        </w:rPr>
        <w:t>Mae</w:t>
      </w:r>
      <w:r w:rsidRPr="0074155F">
        <w:rPr>
          <w:rFonts w:asciiTheme="minorHAnsi" w:hAnsiTheme="minorHAnsi" w:cstheme="minorHAnsi"/>
          <w:bCs/>
          <w:sz w:val="24"/>
          <w:szCs w:val="24"/>
          <w:lang w:val="cy-GB"/>
        </w:rPr>
        <w:t xml:space="preserve"> cyfyngiadau amser fod wedi atal cynnwys grwpiau ffocws yn </w:t>
      </w:r>
      <w:r>
        <w:rPr>
          <w:rFonts w:asciiTheme="minorHAnsi" w:hAnsiTheme="minorHAnsi" w:cstheme="minorHAnsi"/>
          <w:bCs/>
          <w:sz w:val="24"/>
          <w:szCs w:val="24"/>
          <w:lang w:val="cy-GB"/>
        </w:rPr>
        <w:t>yr</w:t>
      </w:r>
      <w:r w:rsidRPr="0074155F">
        <w:rPr>
          <w:rFonts w:asciiTheme="minorHAnsi" w:hAnsiTheme="minorHAnsi" w:cstheme="minorHAnsi"/>
          <w:bCs/>
          <w:sz w:val="24"/>
          <w:szCs w:val="24"/>
          <w:lang w:val="cy-GB"/>
        </w:rPr>
        <w:t xml:space="preserve"> ymchwil</w:t>
      </w:r>
      <w:r>
        <w:rPr>
          <w:rFonts w:asciiTheme="minorHAnsi" w:hAnsiTheme="minorHAnsi" w:cstheme="minorHAnsi"/>
          <w:bCs/>
          <w:sz w:val="24"/>
          <w:szCs w:val="24"/>
          <w:lang w:val="cy-GB"/>
        </w:rPr>
        <w:t>.</w:t>
      </w:r>
      <w:r w:rsidRPr="0074155F">
        <w:rPr>
          <w:rFonts w:asciiTheme="minorHAnsi" w:hAnsiTheme="minorHAnsi" w:cstheme="minorHAnsi"/>
          <w:bCs/>
          <w:sz w:val="24"/>
          <w:szCs w:val="24"/>
          <w:lang w:val="cy-GB"/>
        </w:rPr>
        <w:t xml:space="preserve"> </w:t>
      </w:r>
      <w:r>
        <w:rPr>
          <w:rFonts w:asciiTheme="minorHAnsi" w:hAnsiTheme="minorHAnsi" w:cstheme="minorHAnsi"/>
          <w:bCs/>
          <w:sz w:val="24"/>
          <w:szCs w:val="24"/>
          <w:lang w:val="cy-GB"/>
        </w:rPr>
        <w:t>G</w:t>
      </w:r>
      <w:r w:rsidRPr="0074155F">
        <w:rPr>
          <w:rFonts w:asciiTheme="minorHAnsi" w:hAnsiTheme="minorHAnsi" w:cstheme="minorHAnsi"/>
          <w:bCs/>
          <w:sz w:val="24"/>
          <w:szCs w:val="24"/>
          <w:lang w:val="cy-GB"/>
        </w:rPr>
        <w:t xml:space="preserve">all blaenoriaethu digon o amser ar gyfer cynllunio a gweithredu sesiynau grŵp ffocws mewn astudiaethau yn y dyfodol wella dilysrwydd a chynhwysedd eich canfyddiadau. Yn ogystal, mae </w:t>
      </w:r>
      <w:r>
        <w:rPr>
          <w:rFonts w:asciiTheme="minorHAnsi" w:hAnsiTheme="minorHAnsi" w:cstheme="minorHAnsi"/>
          <w:bCs/>
          <w:sz w:val="24"/>
          <w:szCs w:val="24"/>
          <w:lang w:val="cy-GB"/>
        </w:rPr>
        <w:t>cynnal</w:t>
      </w:r>
      <w:r w:rsidRPr="0074155F">
        <w:rPr>
          <w:rFonts w:asciiTheme="minorHAnsi" w:hAnsiTheme="minorHAnsi" w:cstheme="minorHAnsi"/>
          <w:bCs/>
          <w:sz w:val="24"/>
          <w:szCs w:val="24"/>
          <w:lang w:val="cy-GB"/>
        </w:rPr>
        <w:t xml:space="preserve"> grwpiau ffocws yn caniatáu rhyngweithio amser </w:t>
      </w:r>
      <w:r>
        <w:rPr>
          <w:rFonts w:asciiTheme="minorHAnsi" w:hAnsiTheme="minorHAnsi" w:cstheme="minorHAnsi"/>
          <w:bCs/>
          <w:sz w:val="24"/>
          <w:szCs w:val="24"/>
          <w:lang w:val="cy-GB"/>
        </w:rPr>
        <w:t>go iawn</w:t>
      </w:r>
      <w:r w:rsidRPr="0074155F">
        <w:rPr>
          <w:rFonts w:asciiTheme="minorHAnsi" w:hAnsiTheme="minorHAnsi" w:cstheme="minorHAnsi"/>
          <w:bCs/>
          <w:sz w:val="24"/>
          <w:szCs w:val="24"/>
          <w:lang w:val="cy-GB"/>
        </w:rPr>
        <w:t xml:space="preserve"> ac </w:t>
      </w:r>
      <w:r>
        <w:rPr>
          <w:rFonts w:asciiTheme="minorHAnsi" w:hAnsiTheme="minorHAnsi" w:cstheme="minorHAnsi"/>
          <w:bCs/>
          <w:sz w:val="24"/>
          <w:szCs w:val="24"/>
          <w:lang w:val="cy-GB"/>
        </w:rPr>
        <w:t>yn dderbyn</w:t>
      </w:r>
      <w:r w:rsidRPr="0074155F">
        <w:rPr>
          <w:rFonts w:asciiTheme="minorHAnsi" w:hAnsiTheme="minorHAnsi" w:cstheme="minorHAnsi"/>
          <w:bCs/>
          <w:sz w:val="24"/>
          <w:szCs w:val="24"/>
          <w:lang w:val="cy-GB"/>
        </w:rPr>
        <w:t xml:space="preserve"> ymatebion</w:t>
      </w:r>
      <w:r>
        <w:rPr>
          <w:rFonts w:asciiTheme="minorHAnsi" w:hAnsiTheme="minorHAnsi" w:cstheme="minorHAnsi"/>
          <w:bCs/>
          <w:sz w:val="24"/>
          <w:szCs w:val="24"/>
          <w:lang w:val="cy-GB"/>
        </w:rPr>
        <w:t xml:space="preserve"> eglur sydd yn helpu wrth dadansoddi data</w:t>
      </w:r>
      <w:r w:rsidRPr="0074155F">
        <w:rPr>
          <w:rFonts w:asciiTheme="minorHAnsi" w:hAnsiTheme="minorHAnsi" w:cstheme="minorHAnsi"/>
          <w:bCs/>
          <w:sz w:val="24"/>
          <w:szCs w:val="24"/>
          <w:lang w:val="cy-GB"/>
        </w:rPr>
        <w:t>.</w:t>
      </w:r>
    </w:p>
    <w:p w14:paraId="1005B03A" w14:textId="7AF75B18"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 xml:space="preserve">Rhestr Gyferirio </w:t>
      </w:r>
    </w:p>
    <w:p w14:paraId="1F258D4C" w14:textId="77777777" w:rsidR="0081218C" w:rsidRPr="0074155F" w:rsidRDefault="0081218C" w:rsidP="00AF28E5">
      <w:pPr>
        <w:spacing w:line="360" w:lineRule="auto"/>
        <w:rPr>
          <w:rFonts w:asciiTheme="minorHAnsi" w:hAnsiTheme="minorHAnsi" w:cstheme="minorHAnsi"/>
          <w:sz w:val="24"/>
          <w:szCs w:val="24"/>
          <w:lang w:val="cy-GB"/>
        </w:rPr>
      </w:pPr>
    </w:p>
    <w:p w14:paraId="7EAA56E6" w14:textId="07C58AEA"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Adle,P.A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Adle,P</w:t>
      </w:r>
      <w:proofErr w:type="spellEnd"/>
      <w:r>
        <w:rPr>
          <w:rFonts w:ascii="Segoe UI" w:hAnsi="Segoe UI" w:cs="Segoe UI"/>
          <w:color w:val="0D0D0D"/>
          <w:sz w:val="24"/>
          <w:szCs w:val="24"/>
        </w:rPr>
        <w:t>. (1994)</w:t>
      </w:r>
      <w:r>
        <w:rPr>
          <w:rFonts w:ascii="Segoe UI" w:hAnsi="Segoe UI" w:cs="Segoe UI"/>
          <w:i/>
          <w:iCs/>
          <w:color w:val="0D0D0D"/>
          <w:sz w:val="24"/>
          <w:szCs w:val="24"/>
        </w:rPr>
        <w:t xml:space="preserve"> Observational techniques. </w:t>
      </w:r>
      <w:proofErr w:type="spellStart"/>
      <w:proofErr w:type="gramStart"/>
      <w:r>
        <w:rPr>
          <w:rFonts w:ascii="Segoe UI" w:hAnsi="Segoe UI" w:cs="Segoe UI"/>
          <w:color w:val="0D0D0D"/>
          <w:sz w:val="24"/>
          <w:szCs w:val="24"/>
        </w:rPr>
        <w:t>CA:Sage</w:t>
      </w:r>
      <w:proofErr w:type="spellEnd"/>
      <w:proofErr w:type="gramEnd"/>
      <w:r>
        <w:rPr>
          <w:rFonts w:ascii="Segoe UI" w:hAnsi="Segoe UI" w:cs="Segoe UI"/>
          <w:color w:val="0D0D0D"/>
          <w:sz w:val="24"/>
          <w:szCs w:val="24"/>
        </w:rPr>
        <w:t xml:space="preserve"> Publications</w:t>
      </w:r>
    </w:p>
    <w:p w14:paraId="67D4C1E5" w14:textId="77777777"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t>Angrosino,M</w:t>
      </w:r>
      <w:proofErr w:type="gramEnd"/>
      <w:r>
        <w:rPr>
          <w:rFonts w:ascii="Segoe UI" w:hAnsi="Segoe UI" w:cs="Segoe UI"/>
          <w:color w:val="0D0D0D"/>
          <w:sz w:val="24"/>
          <w:szCs w:val="24"/>
        </w:rPr>
        <w:t>.V</w:t>
      </w:r>
      <w:proofErr w:type="spellEnd"/>
      <w:r>
        <w:rPr>
          <w:rFonts w:ascii="Segoe UI" w:hAnsi="Segoe UI" w:cs="Segoe UI"/>
          <w:color w:val="0D0D0D"/>
          <w:sz w:val="24"/>
          <w:szCs w:val="24"/>
        </w:rPr>
        <w:t xml:space="preserve"> (2007) </w:t>
      </w:r>
      <w:r>
        <w:rPr>
          <w:rFonts w:ascii="Segoe UI" w:hAnsi="Segoe UI" w:cs="Segoe UI"/>
          <w:i/>
          <w:iCs/>
          <w:color w:val="0D0D0D"/>
          <w:sz w:val="24"/>
          <w:szCs w:val="24"/>
        </w:rPr>
        <w:t xml:space="preserve">Doing ethnographic and observational research. </w:t>
      </w:r>
      <w:proofErr w:type="spellStart"/>
      <w:proofErr w:type="gramStart"/>
      <w:r>
        <w:rPr>
          <w:rFonts w:ascii="Segoe UI" w:hAnsi="Segoe UI" w:cs="Segoe UI"/>
          <w:i/>
          <w:iCs/>
          <w:color w:val="0D0D0D"/>
          <w:sz w:val="24"/>
          <w:szCs w:val="24"/>
        </w:rPr>
        <w:t>CA:Sage</w:t>
      </w:r>
      <w:proofErr w:type="spellEnd"/>
      <w:proofErr w:type="gramEnd"/>
      <w:r>
        <w:rPr>
          <w:rFonts w:ascii="Segoe UI" w:hAnsi="Segoe UI" w:cs="Segoe UI"/>
          <w:i/>
          <w:iCs/>
          <w:color w:val="0D0D0D"/>
          <w:sz w:val="24"/>
          <w:szCs w:val="24"/>
        </w:rPr>
        <w:t xml:space="preserve"> Productions</w:t>
      </w:r>
    </w:p>
    <w:p w14:paraId="681F5045"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Babbie,E</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(2016) </w:t>
      </w:r>
      <w:r>
        <w:rPr>
          <w:rFonts w:ascii="Segoe UI" w:hAnsi="Segoe UI" w:cs="Segoe UI"/>
          <w:i/>
          <w:iCs/>
          <w:color w:val="0D0D0D"/>
          <w:sz w:val="24"/>
          <w:szCs w:val="24"/>
        </w:rPr>
        <w:t>The practice of social research</w:t>
      </w:r>
      <w:r>
        <w:rPr>
          <w:rFonts w:ascii="Segoe UI" w:hAnsi="Segoe UI" w:cs="Segoe UI"/>
          <w:color w:val="0D0D0D"/>
          <w:sz w:val="24"/>
          <w:szCs w:val="24"/>
        </w:rPr>
        <w:t>. Cengage Learning</w:t>
      </w:r>
    </w:p>
    <w:p w14:paraId="14575E5B" w14:textId="77777777" w:rsidR="0081218C" w:rsidRPr="0074155F" w:rsidRDefault="0081218C" w:rsidP="00A755F9">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Barrick,A (2019) </w:t>
      </w:r>
      <w:r w:rsidRPr="0074155F">
        <w:rPr>
          <w:rFonts w:asciiTheme="minorHAnsi" w:hAnsiTheme="minorHAnsi" w:cstheme="minorHAnsi"/>
          <w:i/>
          <w:iCs/>
          <w:sz w:val="24"/>
          <w:szCs w:val="24"/>
          <w:lang w:val="cy-GB"/>
        </w:rPr>
        <w:t>Mindfulness and the Effectiveness in the classroom.</w:t>
      </w:r>
      <w:r w:rsidRPr="0074155F">
        <w:rPr>
          <w:rFonts w:asciiTheme="minorHAnsi" w:hAnsiTheme="minorHAnsi" w:cstheme="minorHAnsi"/>
          <w:sz w:val="24"/>
          <w:szCs w:val="24"/>
          <w:lang w:val="cy-GB"/>
        </w:rPr>
        <w:t xml:space="preserve"> California State University: Monterey Bay. Ar gael fan hyn:</w:t>
      </w:r>
      <w:r w:rsidRPr="0074155F">
        <w:rPr>
          <w:rFonts w:asciiTheme="minorHAnsi" w:hAnsiTheme="minorHAnsi" w:cstheme="minorHAnsi"/>
          <w:sz w:val="24"/>
          <w:szCs w:val="24"/>
        </w:rPr>
        <w:t xml:space="preserve"> </w:t>
      </w:r>
      <w:hyperlink r:id="rId7" w:history="1">
        <w:r w:rsidRPr="0074155F">
          <w:rPr>
            <w:rStyle w:val="Hyperlink"/>
            <w:rFonts w:asciiTheme="minorHAnsi" w:hAnsiTheme="minorHAnsi" w:cstheme="minorHAnsi"/>
            <w:sz w:val="24"/>
            <w:szCs w:val="24"/>
            <w:lang w:val="cy-GB"/>
          </w:rPr>
          <w:t>https://digitalcommons.csumb.edu/cgi/viewcontent.cgi?article=1444&amp;context=caps_thes_all</w:t>
        </w:r>
      </w:hyperlink>
      <w:r w:rsidRPr="0074155F">
        <w:rPr>
          <w:rFonts w:asciiTheme="minorHAnsi" w:hAnsiTheme="minorHAnsi" w:cstheme="minorHAnsi"/>
          <w:sz w:val="24"/>
          <w:szCs w:val="24"/>
          <w:lang w:val="cy-GB"/>
        </w:rPr>
        <w:t xml:space="preserve"> (Cyrchwyd: 12/03/2024) </w:t>
      </w:r>
    </w:p>
    <w:p w14:paraId="76CB8320" w14:textId="77777777" w:rsidR="0081218C"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lastRenderedPageBreak/>
        <w:t xml:space="preserve">Baxter, P &amp; Jack,S. (2008) </w:t>
      </w:r>
      <w:r w:rsidRPr="0074155F">
        <w:rPr>
          <w:rFonts w:asciiTheme="minorHAnsi" w:hAnsiTheme="minorHAnsi" w:cstheme="minorHAnsi"/>
          <w:i/>
          <w:iCs/>
          <w:sz w:val="24"/>
          <w:szCs w:val="24"/>
          <w:lang w:val="cy-GB"/>
        </w:rPr>
        <w:t xml:space="preserve">Qualitative Case Study Methodology: Study Design and Implementation for Novies Researchers. </w:t>
      </w:r>
      <w:r w:rsidRPr="0074155F">
        <w:rPr>
          <w:rFonts w:asciiTheme="minorHAnsi" w:hAnsiTheme="minorHAnsi" w:cstheme="minorHAnsi"/>
          <w:sz w:val="24"/>
          <w:szCs w:val="24"/>
          <w:lang w:val="cy-GB"/>
        </w:rPr>
        <w:t xml:space="preserve">McMaster University:Canada. </w:t>
      </w:r>
    </w:p>
    <w:p w14:paraId="78725A0F" w14:textId="77777777" w:rsidR="0081218C" w:rsidRPr="0074155F" w:rsidRDefault="0081218C" w:rsidP="00A755F9">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BERA (2018) </w:t>
      </w:r>
      <w:r w:rsidRPr="0074155F">
        <w:rPr>
          <w:rFonts w:asciiTheme="minorHAnsi" w:hAnsiTheme="minorHAnsi" w:cstheme="minorHAnsi"/>
          <w:i/>
          <w:iCs/>
          <w:sz w:val="24"/>
          <w:szCs w:val="24"/>
          <w:lang w:val="cy-GB"/>
        </w:rPr>
        <w:t xml:space="preserve">Ethical Guidleines for Educational Resaearch. </w:t>
      </w:r>
      <w:r w:rsidRPr="0074155F">
        <w:rPr>
          <w:rFonts w:asciiTheme="minorHAnsi" w:hAnsiTheme="minorHAnsi" w:cstheme="minorHAnsi"/>
          <w:sz w:val="24"/>
          <w:szCs w:val="24"/>
          <w:lang w:val="cy-GB"/>
        </w:rPr>
        <w:t>London; British Educational Research Asssociation</w:t>
      </w:r>
    </w:p>
    <w:p w14:paraId="55F5DFD1" w14:textId="12285F10"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Berndt, </w:t>
      </w:r>
      <w:proofErr w:type="gramStart"/>
      <w:r>
        <w:rPr>
          <w:rFonts w:ascii="Segoe UI" w:hAnsi="Segoe UI" w:cs="Segoe UI"/>
          <w:color w:val="0D0D0D"/>
          <w:sz w:val="24"/>
          <w:szCs w:val="24"/>
        </w:rPr>
        <w:t>T,J</w:t>
      </w:r>
      <w:proofErr w:type="gramEnd"/>
      <w:r>
        <w:rPr>
          <w:rFonts w:ascii="Segoe UI" w:hAnsi="Segoe UI" w:cs="Segoe UI"/>
          <w:color w:val="0D0D0D"/>
          <w:sz w:val="24"/>
          <w:szCs w:val="24"/>
        </w:rPr>
        <w:t xml:space="preserve"> (2017). </w:t>
      </w:r>
      <w:r>
        <w:rPr>
          <w:rFonts w:ascii="Segoe UI" w:hAnsi="Segoe UI" w:cs="Segoe UI"/>
          <w:i/>
          <w:iCs/>
          <w:color w:val="0D0D0D"/>
          <w:sz w:val="24"/>
          <w:szCs w:val="24"/>
        </w:rPr>
        <w:t xml:space="preserve">Children’s friendship: Shifts over a half-century in perspectives on their development and </w:t>
      </w:r>
      <w:proofErr w:type="spellStart"/>
      <w:r>
        <w:rPr>
          <w:rFonts w:ascii="Segoe UI" w:hAnsi="Segoe UI" w:cs="Segoe UI"/>
          <w:i/>
          <w:iCs/>
          <w:color w:val="0D0D0D"/>
          <w:sz w:val="24"/>
          <w:szCs w:val="24"/>
        </w:rPr>
        <w:t>thei</w:t>
      </w:r>
      <w:proofErr w:type="spellEnd"/>
      <w:r>
        <w:rPr>
          <w:rFonts w:ascii="Segoe UI" w:hAnsi="Segoe UI" w:cs="Segoe UI"/>
          <w:i/>
          <w:iCs/>
          <w:color w:val="0D0D0D"/>
          <w:sz w:val="24"/>
          <w:szCs w:val="24"/>
        </w:rPr>
        <w:t xml:space="preserve"> effects.</w:t>
      </w:r>
      <w:r>
        <w:rPr>
          <w:rFonts w:ascii="Segoe UI" w:hAnsi="Segoe UI" w:cs="Segoe UI"/>
          <w:color w:val="0D0D0D"/>
          <w:sz w:val="24"/>
          <w:szCs w:val="24"/>
        </w:rPr>
        <w:t xml:space="preserve"> New Haven: Yale University Press.</w:t>
      </w:r>
    </w:p>
    <w:p w14:paraId="54984432" w14:textId="7B8786EC"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Brown, B. (2011) </w:t>
      </w:r>
      <w:r>
        <w:rPr>
          <w:rFonts w:ascii="Segoe UI" w:hAnsi="Segoe UI" w:cs="Segoe UI"/>
          <w:i/>
          <w:iCs/>
          <w:color w:val="0D0D0D"/>
          <w:sz w:val="24"/>
          <w:szCs w:val="24"/>
        </w:rPr>
        <w:t xml:space="preserve">Adolescents’ relationships with peers. </w:t>
      </w:r>
      <w:r>
        <w:rPr>
          <w:rFonts w:ascii="Segoe UI" w:hAnsi="Segoe UI" w:cs="Segoe UI"/>
          <w:color w:val="0D0D0D"/>
          <w:sz w:val="24"/>
          <w:szCs w:val="24"/>
        </w:rPr>
        <w:t>John Wiley &amp; Sons.</w:t>
      </w:r>
    </w:p>
    <w:p w14:paraId="707D01E3" w14:textId="77777777" w:rsidR="0081218C" w:rsidRPr="0081218C" w:rsidRDefault="0081218C" w:rsidP="0081218C">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Bryman,A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(2016) </w:t>
      </w:r>
      <w:r>
        <w:rPr>
          <w:rFonts w:ascii="Segoe UI" w:hAnsi="Segoe UI" w:cs="Segoe UI"/>
          <w:i/>
          <w:iCs/>
          <w:color w:val="0D0D0D"/>
          <w:sz w:val="24"/>
          <w:szCs w:val="24"/>
        </w:rPr>
        <w:t>Social research methods.</w:t>
      </w:r>
      <w:r>
        <w:rPr>
          <w:rFonts w:ascii="Segoe UI" w:hAnsi="Segoe UI" w:cs="Segoe UI"/>
          <w:color w:val="0D0D0D"/>
          <w:sz w:val="24"/>
          <w:szCs w:val="24"/>
        </w:rPr>
        <w:t xml:space="preserve"> Oxford University Press.</w:t>
      </w:r>
    </w:p>
    <w:p w14:paraId="06BE457F" w14:textId="052659AE"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Campbell, A. (2015) </w:t>
      </w:r>
      <w:r>
        <w:rPr>
          <w:rFonts w:ascii="Segoe UI" w:hAnsi="Segoe UI" w:cs="Segoe UI"/>
          <w:i/>
          <w:iCs/>
          <w:color w:val="0D0D0D"/>
          <w:sz w:val="24"/>
          <w:szCs w:val="24"/>
        </w:rPr>
        <w:t>The Impact of a School Mindfulness Program on Adolescent Stress, Wellbeing and Emotion Regulation, with Attachment as a Moderator.</w:t>
      </w:r>
      <w:r>
        <w:rPr>
          <w:rFonts w:ascii="Segoe UI" w:hAnsi="Segoe UI" w:cs="Segoe UI"/>
          <w:color w:val="0D0D0D"/>
          <w:sz w:val="24"/>
          <w:szCs w:val="24"/>
        </w:rPr>
        <w:t xml:space="preserve"> Columbian College of Arts and Sciences of The George Washington University</w:t>
      </w:r>
    </w:p>
    <w:p w14:paraId="4C7CDF7E" w14:textId="77777777" w:rsidR="0081218C"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Cohen, L. Manion, L. Morrison, K. (2018) </w:t>
      </w:r>
      <w:r w:rsidRPr="0074155F">
        <w:rPr>
          <w:rFonts w:asciiTheme="minorHAnsi" w:hAnsiTheme="minorHAnsi" w:cstheme="minorHAnsi"/>
          <w:i/>
          <w:iCs/>
          <w:sz w:val="24"/>
          <w:szCs w:val="24"/>
          <w:lang w:val="cy-GB"/>
        </w:rPr>
        <w:t xml:space="preserve">Resarch Methods in Education. </w:t>
      </w:r>
      <w:r w:rsidRPr="0074155F">
        <w:rPr>
          <w:rFonts w:asciiTheme="minorHAnsi" w:hAnsiTheme="minorHAnsi" w:cstheme="minorHAnsi"/>
          <w:sz w:val="24"/>
          <w:szCs w:val="24"/>
          <w:lang w:val="cy-GB"/>
        </w:rPr>
        <w:t>Routledge.</w:t>
      </w:r>
    </w:p>
    <w:p w14:paraId="6D96D41D" w14:textId="028CA63A"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Dockett,S</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Perry, B. (2007) </w:t>
      </w:r>
      <w:r>
        <w:rPr>
          <w:rFonts w:ascii="Segoe UI" w:hAnsi="Segoe UI" w:cs="Segoe UI"/>
          <w:i/>
          <w:iCs/>
          <w:color w:val="0D0D0D"/>
          <w:sz w:val="24"/>
          <w:szCs w:val="24"/>
        </w:rPr>
        <w:t xml:space="preserve">Transitions to school: Perceptions, expectations and </w:t>
      </w:r>
      <w:proofErr w:type="spellStart"/>
      <w:r>
        <w:rPr>
          <w:rFonts w:ascii="Segoe UI" w:hAnsi="Segoe UI" w:cs="Segoe UI"/>
          <w:i/>
          <w:iCs/>
          <w:color w:val="0D0D0D"/>
          <w:sz w:val="24"/>
          <w:szCs w:val="24"/>
        </w:rPr>
        <w:t>expreicences</w:t>
      </w:r>
      <w:proofErr w:type="spellEnd"/>
      <w:r>
        <w:rPr>
          <w:rFonts w:ascii="Segoe UI" w:hAnsi="Segoe UI" w:cs="Segoe UI"/>
          <w:i/>
          <w:iCs/>
          <w:color w:val="0D0D0D"/>
          <w:sz w:val="24"/>
          <w:szCs w:val="24"/>
        </w:rPr>
        <w:t xml:space="preserve">. </w:t>
      </w:r>
      <w:r>
        <w:rPr>
          <w:rFonts w:ascii="Segoe UI" w:hAnsi="Segoe UI" w:cs="Segoe UI"/>
          <w:color w:val="0D0D0D"/>
          <w:sz w:val="24"/>
          <w:szCs w:val="24"/>
        </w:rPr>
        <w:t>Australia: Pearson Education Australia.</w:t>
      </w:r>
    </w:p>
    <w:p w14:paraId="4E545997"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Elliott,R</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(2005)</w:t>
      </w:r>
      <w:r>
        <w:rPr>
          <w:rFonts w:ascii="Segoe UI" w:hAnsi="Segoe UI" w:cs="Segoe UI"/>
          <w:i/>
          <w:iCs/>
          <w:color w:val="0D0D0D"/>
          <w:sz w:val="24"/>
          <w:szCs w:val="24"/>
        </w:rPr>
        <w:t xml:space="preserve"> A reflective stance for ethnography. </w:t>
      </w:r>
      <w:r>
        <w:rPr>
          <w:rFonts w:ascii="Segoe UI" w:hAnsi="Segoe UI" w:cs="Segoe UI"/>
          <w:color w:val="0D0D0D"/>
          <w:sz w:val="24"/>
          <w:szCs w:val="24"/>
        </w:rPr>
        <w:t xml:space="preserve">Qualitative Social Research </w:t>
      </w:r>
    </w:p>
    <w:p w14:paraId="14FDD5D7" w14:textId="77777777" w:rsidR="0081218C" w:rsidRPr="0074155F"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Field, A. (2013) </w:t>
      </w:r>
      <w:r w:rsidRPr="0074155F">
        <w:rPr>
          <w:rFonts w:asciiTheme="minorHAnsi" w:hAnsiTheme="minorHAnsi" w:cstheme="minorHAnsi"/>
          <w:i/>
          <w:iCs/>
          <w:sz w:val="24"/>
          <w:szCs w:val="24"/>
          <w:lang w:val="cy-GB"/>
        </w:rPr>
        <w:t xml:space="preserve">Discovering statistics using IBM SPSS statistics. </w:t>
      </w:r>
      <w:r w:rsidRPr="0074155F">
        <w:rPr>
          <w:rFonts w:asciiTheme="minorHAnsi" w:hAnsiTheme="minorHAnsi" w:cstheme="minorHAnsi"/>
          <w:sz w:val="24"/>
          <w:szCs w:val="24"/>
          <w:lang w:val="cy-GB"/>
        </w:rPr>
        <w:t xml:space="preserve">Sage. </w:t>
      </w:r>
    </w:p>
    <w:p w14:paraId="690166BB" w14:textId="77777777" w:rsidR="0081218C" w:rsidRPr="0074155F" w:rsidRDefault="0081218C" w:rsidP="00AF28E5">
      <w:pPr>
        <w:spacing w:line="360" w:lineRule="auto"/>
        <w:rPr>
          <w:rFonts w:asciiTheme="minorHAnsi" w:hAnsiTheme="minorHAnsi" w:cstheme="minorHAnsi"/>
          <w:color w:val="0D0D0D"/>
          <w:sz w:val="24"/>
          <w:szCs w:val="24"/>
        </w:rPr>
      </w:pPr>
      <w:proofErr w:type="spellStart"/>
      <w:proofErr w:type="gramStart"/>
      <w:r w:rsidRPr="0074155F">
        <w:rPr>
          <w:rFonts w:asciiTheme="minorHAnsi" w:hAnsiTheme="minorHAnsi" w:cstheme="minorHAnsi"/>
          <w:color w:val="0D0D0D"/>
          <w:sz w:val="24"/>
          <w:szCs w:val="24"/>
        </w:rPr>
        <w:t>Gov,Uk</w:t>
      </w:r>
      <w:proofErr w:type="spellEnd"/>
      <w:proofErr w:type="gramEnd"/>
      <w:r w:rsidRPr="0074155F">
        <w:rPr>
          <w:rFonts w:asciiTheme="minorHAnsi" w:hAnsiTheme="minorHAnsi" w:cstheme="minorHAnsi"/>
          <w:color w:val="0D0D0D"/>
          <w:sz w:val="24"/>
          <w:szCs w:val="24"/>
        </w:rPr>
        <w:t xml:space="preserve"> (2018) </w:t>
      </w:r>
      <w:r w:rsidRPr="0074155F">
        <w:rPr>
          <w:rFonts w:asciiTheme="minorHAnsi" w:hAnsiTheme="minorHAnsi" w:cstheme="minorHAnsi"/>
          <w:i/>
          <w:iCs/>
          <w:color w:val="0D0D0D"/>
          <w:sz w:val="24"/>
          <w:szCs w:val="24"/>
        </w:rPr>
        <w:t>The Data Protection Act</w:t>
      </w:r>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Ar</w:t>
      </w:r>
      <w:proofErr w:type="spellEnd"/>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gael</w:t>
      </w:r>
      <w:proofErr w:type="spellEnd"/>
      <w:r w:rsidRPr="0074155F">
        <w:rPr>
          <w:rFonts w:asciiTheme="minorHAnsi" w:hAnsiTheme="minorHAnsi" w:cstheme="minorHAnsi"/>
          <w:color w:val="0D0D0D"/>
          <w:sz w:val="24"/>
          <w:szCs w:val="24"/>
        </w:rPr>
        <w:t xml:space="preserve"> fan </w:t>
      </w:r>
      <w:proofErr w:type="spellStart"/>
      <w:r w:rsidRPr="0074155F">
        <w:rPr>
          <w:rFonts w:asciiTheme="minorHAnsi" w:hAnsiTheme="minorHAnsi" w:cstheme="minorHAnsi"/>
          <w:color w:val="0D0D0D"/>
          <w:sz w:val="24"/>
          <w:szCs w:val="24"/>
        </w:rPr>
        <w:t>hyn</w:t>
      </w:r>
      <w:proofErr w:type="spellEnd"/>
      <w:r w:rsidRPr="0074155F">
        <w:rPr>
          <w:rFonts w:asciiTheme="minorHAnsi" w:hAnsiTheme="minorHAnsi" w:cstheme="minorHAnsi"/>
          <w:color w:val="0D0D0D"/>
          <w:sz w:val="24"/>
          <w:szCs w:val="24"/>
        </w:rPr>
        <w:t>:</w:t>
      </w:r>
      <w:r w:rsidRPr="0074155F">
        <w:rPr>
          <w:rFonts w:asciiTheme="minorHAnsi" w:hAnsiTheme="minorHAnsi" w:cstheme="minorHAnsi"/>
        </w:rPr>
        <w:t xml:space="preserve"> </w:t>
      </w:r>
      <w:hyperlink r:id="rId8" w:history="1">
        <w:r w:rsidRPr="0074155F">
          <w:rPr>
            <w:rStyle w:val="Hyperlink"/>
            <w:rFonts w:asciiTheme="minorHAnsi" w:hAnsiTheme="minorHAnsi" w:cstheme="minorHAnsi"/>
            <w:sz w:val="24"/>
            <w:szCs w:val="24"/>
          </w:rPr>
          <w:t>https://www.gov.uk/data-protection</w:t>
        </w:r>
      </w:hyperlink>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Cyrchwyd</w:t>
      </w:r>
      <w:proofErr w:type="spellEnd"/>
      <w:r w:rsidRPr="0074155F">
        <w:rPr>
          <w:rFonts w:asciiTheme="minorHAnsi" w:hAnsiTheme="minorHAnsi" w:cstheme="minorHAnsi"/>
          <w:color w:val="0D0D0D"/>
          <w:sz w:val="24"/>
          <w:szCs w:val="24"/>
        </w:rPr>
        <w:t>: 21/03/2024)</w:t>
      </w:r>
    </w:p>
    <w:p w14:paraId="75CEF4AA"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Hammersley,M</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Atkinson,P</w:t>
      </w:r>
      <w:proofErr w:type="spellEnd"/>
      <w:r>
        <w:rPr>
          <w:rFonts w:ascii="Segoe UI" w:hAnsi="Segoe UI" w:cs="Segoe UI"/>
          <w:color w:val="0D0D0D"/>
          <w:sz w:val="24"/>
          <w:szCs w:val="24"/>
        </w:rPr>
        <w:t xml:space="preserve">. (2007) Ethnography: Principles in practice. </w:t>
      </w:r>
      <w:proofErr w:type="spellStart"/>
      <w:proofErr w:type="gramStart"/>
      <w:r>
        <w:rPr>
          <w:rFonts w:ascii="Segoe UI" w:hAnsi="Segoe UI" w:cs="Segoe UI"/>
          <w:color w:val="0D0D0D"/>
          <w:sz w:val="24"/>
          <w:szCs w:val="24"/>
        </w:rPr>
        <w:t>NY:Routeldge</w:t>
      </w:r>
      <w:proofErr w:type="spellEnd"/>
      <w:proofErr w:type="gramEnd"/>
      <w:r>
        <w:rPr>
          <w:rFonts w:ascii="Segoe UI" w:hAnsi="Segoe UI" w:cs="Segoe UI"/>
          <w:color w:val="0D0D0D"/>
          <w:sz w:val="24"/>
          <w:szCs w:val="24"/>
        </w:rPr>
        <w:t xml:space="preserve"> </w:t>
      </w:r>
    </w:p>
    <w:p w14:paraId="1F8D0AB5" w14:textId="77777777"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Jones, A. Smith B (2020) </w:t>
      </w:r>
      <w:r>
        <w:rPr>
          <w:rFonts w:ascii="Segoe UI" w:hAnsi="Segoe UI" w:cs="Segoe UI"/>
          <w:i/>
          <w:iCs/>
          <w:color w:val="0D0D0D"/>
          <w:sz w:val="24"/>
          <w:szCs w:val="24"/>
        </w:rPr>
        <w:t xml:space="preserve">Mindfulness interventions in education: A comprehensive review. </w:t>
      </w:r>
      <w:r>
        <w:rPr>
          <w:rFonts w:ascii="Segoe UI" w:hAnsi="Segoe UI" w:cs="Segoe UI"/>
          <w:color w:val="0D0D0D"/>
          <w:sz w:val="24"/>
          <w:szCs w:val="24"/>
        </w:rPr>
        <w:t xml:space="preserve"> Educational Psychology Review</w:t>
      </w:r>
    </w:p>
    <w:p w14:paraId="00E07948"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Kinder,M</w:t>
      </w:r>
      <w:proofErr w:type="spellEnd"/>
      <w:proofErr w:type="gramEnd"/>
      <w:r>
        <w:rPr>
          <w:rFonts w:ascii="Segoe UI" w:hAnsi="Segoe UI" w:cs="Segoe UI"/>
          <w:color w:val="0D0D0D"/>
          <w:sz w:val="24"/>
          <w:szCs w:val="24"/>
        </w:rPr>
        <w:t xml:space="preserve"> (2017) </w:t>
      </w:r>
      <w:r>
        <w:rPr>
          <w:rFonts w:ascii="Segoe UI" w:hAnsi="Segoe UI" w:cs="Segoe UI"/>
          <w:i/>
          <w:iCs/>
          <w:color w:val="0D0D0D"/>
          <w:sz w:val="24"/>
          <w:szCs w:val="24"/>
        </w:rPr>
        <w:t>Why mindfulness belongs in the Classroom</w:t>
      </w:r>
      <w:r>
        <w:rPr>
          <w:rFonts w:ascii="Segoe UI" w:hAnsi="Segoe UI" w:cs="Segoe UI"/>
          <w:color w:val="0D0D0D"/>
          <w:sz w:val="24"/>
          <w:szCs w:val="24"/>
        </w:rPr>
        <w:t xml:space="preserve"> Mindful Healthy mind, healthy life. </w:t>
      </w:r>
      <w:proofErr w:type="spellStart"/>
      <w:r>
        <w:rPr>
          <w:rFonts w:ascii="Segoe UI" w:hAnsi="Segoe UI" w:cs="Segoe UI"/>
          <w:color w:val="0D0D0D"/>
          <w:sz w:val="24"/>
          <w:szCs w:val="24"/>
        </w:rPr>
        <w:t>Ar</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gael</w:t>
      </w:r>
      <w:proofErr w:type="spellEnd"/>
      <w:r>
        <w:rPr>
          <w:rFonts w:ascii="Segoe UI" w:hAnsi="Segoe UI" w:cs="Segoe UI"/>
          <w:color w:val="0D0D0D"/>
          <w:sz w:val="24"/>
          <w:szCs w:val="24"/>
        </w:rPr>
        <w:t xml:space="preserve"> fan </w:t>
      </w:r>
      <w:proofErr w:type="spellStart"/>
      <w:r>
        <w:rPr>
          <w:rFonts w:ascii="Segoe UI" w:hAnsi="Segoe UI" w:cs="Segoe UI"/>
          <w:color w:val="0D0D0D"/>
          <w:sz w:val="24"/>
          <w:szCs w:val="24"/>
        </w:rPr>
        <w:t>hyn</w:t>
      </w:r>
      <w:proofErr w:type="spellEnd"/>
      <w:r>
        <w:rPr>
          <w:rFonts w:ascii="Segoe UI" w:hAnsi="Segoe UI" w:cs="Segoe UI"/>
          <w:color w:val="0D0D0D"/>
          <w:sz w:val="24"/>
          <w:szCs w:val="24"/>
        </w:rPr>
        <w:t xml:space="preserve">: </w:t>
      </w:r>
      <w:hyperlink r:id="rId9" w:history="1">
        <w:r w:rsidRPr="00A662D4">
          <w:rPr>
            <w:rStyle w:val="Hyperlink"/>
            <w:rFonts w:ascii="Segoe UI" w:hAnsi="Segoe UI" w:cs="Segoe UI"/>
            <w:sz w:val="24"/>
            <w:szCs w:val="24"/>
          </w:rPr>
          <w:t>https://www.mindful.org/why-mindfulness-belongs-in-the-classroom/</w:t>
        </w:r>
      </w:hyperlink>
    </w:p>
    <w:p w14:paraId="3E99631F"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Kuale,S</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Brinkmann,S</w:t>
      </w:r>
      <w:proofErr w:type="spellEnd"/>
      <w:r>
        <w:rPr>
          <w:rFonts w:ascii="Segoe UI" w:hAnsi="Segoe UI" w:cs="Segoe UI"/>
          <w:color w:val="0D0D0D"/>
          <w:sz w:val="24"/>
          <w:szCs w:val="24"/>
        </w:rPr>
        <w:t xml:space="preserve">. (2008) </w:t>
      </w:r>
      <w:proofErr w:type="spellStart"/>
      <w:r>
        <w:rPr>
          <w:rFonts w:ascii="Segoe UI" w:hAnsi="Segoe UI" w:cs="Segoe UI"/>
          <w:i/>
          <w:iCs/>
          <w:color w:val="0D0D0D"/>
          <w:sz w:val="24"/>
          <w:szCs w:val="24"/>
        </w:rPr>
        <w:t>InterViews</w:t>
      </w:r>
      <w:proofErr w:type="spellEnd"/>
      <w:r>
        <w:rPr>
          <w:rFonts w:ascii="Segoe UI" w:hAnsi="Segoe UI" w:cs="Segoe UI"/>
          <w:i/>
          <w:iCs/>
          <w:color w:val="0D0D0D"/>
          <w:sz w:val="24"/>
          <w:szCs w:val="24"/>
        </w:rPr>
        <w:t>: Learning the craft of Qualitative Research Interviewing</w:t>
      </w:r>
      <w:r>
        <w:rPr>
          <w:rFonts w:ascii="Segoe UI" w:hAnsi="Segoe UI" w:cs="Segoe UI"/>
          <w:color w:val="0D0D0D"/>
          <w:sz w:val="24"/>
          <w:szCs w:val="24"/>
        </w:rPr>
        <w:t>. Sage Publications.</w:t>
      </w:r>
    </w:p>
    <w:p w14:paraId="1D7C7D4C" w14:textId="77777777" w:rsidR="0081218C" w:rsidRPr="00AF28E5" w:rsidRDefault="0081218C" w:rsidP="00AF28E5">
      <w:pPr>
        <w:spacing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 xml:space="preserve">Llywodraeth Cymru (2015) </w:t>
      </w:r>
      <w:r w:rsidRPr="00AF28E5">
        <w:rPr>
          <w:rFonts w:asciiTheme="minorHAnsi" w:hAnsiTheme="minorHAnsi" w:cstheme="minorHAnsi"/>
          <w:i/>
          <w:iCs/>
          <w:sz w:val="24"/>
          <w:szCs w:val="24"/>
          <w:lang w:val="cy-GB"/>
        </w:rPr>
        <w:t>Deddf Llesiant Cenedlaethau’r Dyfodol (Cymru).</w:t>
      </w:r>
      <w:r w:rsidRPr="00AF28E5">
        <w:rPr>
          <w:rFonts w:asciiTheme="minorHAnsi" w:hAnsiTheme="minorHAnsi" w:cstheme="minorHAnsi"/>
          <w:sz w:val="24"/>
          <w:szCs w:val="24"/>
          <w:lang w:val="cy-GB"/>
        </w:rPr>
        <w:t xml:space="preserve">  Ar gael fan hyn:</w:t>
      </w:r>
      <w:r w:rsidRPr="00AF28E5">
        <w:rPr>
          <w:rFonts w:asciiTheme="minorHAnsi" w:hAnsiTheme="minorHAnsi" w:cstheme="minorHAnsi"/>
          <w:sz w:val="24"/>
          <w:szCs w:val="24"/>
        </w:rPr>
        <w:t xml:space="preserve"> </w:t>
      </w:r>
      <w:hyperlink r:id="rId10" w:history="1">
        <w:r w:rsidRPr="00AF28E5">
          <w:rPr>
            <w:rStyle w:val="Hyperlink"/>
            <w:rFonts w:asciiTheme="minorHAnsi" w:hAnsiTheme="minorHAnsi" w:cstheme="minorHAnsi"/>
            <w:sz w:val="24"/>
            <w:szCs w:val="24"/>
            <w:lang w:val="cy-GB"/>
          </w:rPr>
          <w:t>https://www.futuregenerations.wales/wp-content/uploads/2017/01/wfg-essentials-guide-cy.pdf</w:t>
        </w:r>
      </w:hyperlink>
      <w:r w:rsidRPr="00AF28E5">
        <w:rPr>
          <w:rFonts w:asciiTheme="minorHAnsi" w:hAnsiTheme="minorHAnsi" w:cstheme="minorHAnsi"/>
          <w:sz w:val="24"/>
          <w:szCs w:val="24"/>
          <w:lang w:val="cy-GB"/>
        </w:rPr>
        <w:t xml:space="preserve"> (Cyrchwyd: 12/03/2024)</w:t>
      </w:r>
    </w:p>
    <w:p w14:paraId="4BDF942A" w14:textId="5206365D"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Marshall,C</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Rossman,G</w:t>
      </w:r>
      <w:proofErr w:type="spellEnd"/>
      <w:r>
        <w:rPr>
          <w:rFonts w:ascii="Segoe UI" w:hAnsi="Segoe UI" w:cs="Segoe UI"/>
          <w:color w:val="0D0D0D"/>
          <w:sz w:val="24"/>
          <w:szCs w:val="24"/>
        </w:rPr>
        <w:t xml:space="preserve">. (2015) </w:t>
      </w:r>
      <w:r>
        <w:rPr>
          <w:rFonts w:ascii="Segoe UI" w:hAnsi="Segoe UI" w:cs="Segoe UI"/>
          <w:i/>
          <w:iCs/>
          <w:color w:val="0D0D0D"/>
          <w:sz w:val="24"/>
          <w:szCs w:val="24"/>
        </w:rPr>
        <w:t>Designing Qualitive Research.</w:t>
      </w:r>
      <w:r>
        <w:rPr>
          <w:rFonts w:ascii="Segoe UI" w:hAnsi="Segoe UI" w:cs="Segoe UI"/>
          <w:color w:val="0D0D0D"/>
          <w:sz w:val="24"/>
          <w:szCs w:val="24"/>
        </w:rPr>
        <w:t xml:space="preserve"> Sage Publications.</w:t>
      </w:r>
    </w:p>
    <w:p w14:paraId="5B43FB01" w14:textId="77777777"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lastRenderedPageBreak/>
        <w:t>Pellegrini,A.D</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Perlmutter,J.C</w:t>
      </w:r>
      <w:proofErr w:type="spellEnd"/>
      <w:r>
        <w:rPr>
          <w:rFonts w:ascii="Segoe UI" w:hAnsi="Segoe UI" w:cs="Segoe UI"/>
          <w:color w:val="0D0D0D"/>
          <w:sz w:val="24"/>
          <w:szCs w:val="24"/>
        </w:rPr>
        <w:t xml:space="preserve">. (1998) </w:t>
      </w:r>
      <w:r>
        <w:rPr>
          <w:rFonts w:ascii="Segoe UI" w:hAnsi="Segoe UI" w:cs="Segoe UI"/>
          <w:i/>
          <w:iCs/>
          <w:color w:val="0D0D0D"/>
          <w:sz w:val="24"/>
          <w:szCs w:val="24"/>
        </w:rPr>
        <w:t xml:space="preserve">The role of play in human development. New York, </w:t>
      </w:r>
      <w:proofErr w:type="spellStart"/>
      <w:proofErr w:type="gramStart"/>
      <w:r>
        <w:rPr>
          <w:rFonts w:ascii="Segoe UI" w:hAnsi="Segoe UI" w:cs="Segoe UI"/>
          <w:i/>
          <w:iCs/>
          <w:color w:val="0D0D0D"/>
          <w:sz w:val="24"/>
          <w:szCs w:val="24"/>
        </w:rPr>
        <w:t>NY:Oxford</w:t>
      </w:r>
      <w:proofErr w:type="spellEnd"/>
      <w:proofErr w:type="gramEnd"/>
      <w:r>
        <w:rPr>
          <w:rFonts w:ascii="Segoe UI" w:hAnsi="Segoe UI" w:cs="Segoe UI"/>
          <w:i/>
          <w:iCs/>
          <w:color w:val="0D0D0D"/>
          <w:sz w:val="24"/>
          <w:szCs w:val="24"/>
        </w:rPr>
        <w:t xml:space="preserve"> University Press.</w:t>
      </w:r>
    </w:p>
    <w:p w14:paraId="5A0136D8"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Renshaw,T</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(2019) </w:t>
      </w:r>
      <w:r>
        <w:rPr>
          <w:rFonts w:ascii="Segoe UI" w:hAnsi="Segoe UI" w:cs="Segoe UI"/>
          <w:i/>
          <w:iCs/>
          <w:color w:val="0D0D0D"/>
          <w:sz w:val="24"/>
          <w:szCs w:val="24"/>
        </w:rPr>
        <w:t xml:space="preserve">Cultivating Mindfulness in School to Promote Well-Being. </w:t>
      </w:r>
      <w:r>
        <w:rPr>
          <w:rFonts w:ascii="Segoe UI" w:hAnsi="Segoe UI" w:cs="Segoe UI"/>
          <w:color w:val="0D0D0D"/>
          <w:sz w:val="24"/>
          <w:szCs w:val="24"/>
        </w:rPr>
        <w:t>Handbook of Positive Psychology</w:t>
      </w:r>
    </w:p>
    <w:p w14:paraId="7BA1E25E" w14:textId="77777777" w:rsidR="0081218C" w:rsidRP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Rubin,H</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Rubin,I</w:t>
      </w:r>
      <w:proofErr w:type="spellEnd"/>
      <w:r>
        <w:rPr>
          <w:rFonts w:ascii="Segoe UI" w:hAnsi="Segoe UI" w:cs="Segoe UI"/>
          <w:color w:val="0D0D0D"/>
          <w:sz w:val="24"/>
          <w:szCs w:val="24"/>
        </w:rPr>
        <w:t xml:space="preserve">. (2011) </w:t>
      </w:r>
      <w:r>
        <w:rPr>
          <w:rFonts w:ascii="Segoe UI" w:hAnsi="Segoe UI" w:cs="Segoe UI"/>
          <w:i/>
          <w:iCs/>
          <w:color w:val="0D0D0D"/>
          <w:sz w:val="24"/>
          <w:szCs w:val="24"/>
        </w:rPr>
        <w:t xml:space="preserve">Qualitative Interviewing: The art of hearing Data. </w:t>
      </w:r>
      <w:r>
        <w:rPr>
          <w:rFonts w:ascii="Segoe UI" w:hAnsi="Segoe UI" w:cs="Segoe UI"/>
          <w:color w:val="0D0D0D"/>
          <w:sz w:val="24"/>
          <w:szCs w:val="24"/>
        </w:rPr>
        <w:t>Sage Publications.</w:t>
      </w:r>
    </w:p>
    <w:p w14:paraId="0C76318E"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Smith,J</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(2017) </w:t>
      </w:r>
      <w:r>
        <w:rPr>
          <w:rFonts w:ascii="Segoe UI" w:hAnsi="Segoe UI" w:cs="Segoe UI"/>
          <w:i/>
          <w:iCs/>
          <w:color w:val="0D0D0D"/>
          <w:sz w:val="24"/>
          <w:szCs w:val="24"/>
        </w:rPr>
        <w:t>Stress and Coping: The eye of Mindfulness</w:t>
      </w:r>
      <w:r>
        <w:rPr>
          <w:rFonts w:ascii="Segoe UI" w:hAnsi="Segoe UI" w:cs="Segoe UI"/>
          <w:color w:val="0D0D0D"/>
          <w:sz w:val="24"/>
          <w:szCs w:val="24"/>
        </w:rPr>
        <w:t>. Co: Kendall Hunt Publishing</w:t>
      </w:r>
    </w:p>
    <w:p w14:paraId="2D57BC60" w14:textId="77777777" w:rsidR="0081218C" w:rsidRPr="0074155F"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Stake,R</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(1995) </w:t>
      </w:r>
      <w:r>
        <w:rPr>
          <w:rFonts w:ascii="Segoe UI" w:hAnsi="Segoe UI" w:cs="Segoe UI"/>
          <w:i/>
          <w:iCs/>
          <w:color w:val="0D0D0D"/>
          <w:sz w:val="24"/>
          <w:szCs w:val="24"/>
        </w:rPr>
        <w:t>The Art of Case Study Research</w:t>
      </w:r>
      <w:r>
        <w:rPr>
          <w:rFonts w:ascii="Segoe UI" w:hAnsi="Segoe UI" w:cs="Segoe UI"/>
          <w:color w:val="0D0D0D"/>
          <w:sz w:val="24"/>
          <w:szCs w:val="24"/>
        </w:rPr>
        <w:t xml:space="preserve"> </w:t>
      </w:r>
      <w:proofErr w:type="spellStart"/>
      <w:r>
        <w:rPr>
          <w:rFonts w:ascii="Segoe UI" w:hAnsi="Segoe UI" w:cs="Segoe UI"/>
          <w:color w:val="0D0D0D"/>
          <w:sz w:val="24"/>
          <w:szCs w:val="24"/>
        </w:rPr>
        <w:t>Llundain</w:t>
      </w:r>
      <w:proofErr w:type="spellEnd"/>
      <w:r>
        <w:rPr>
          <w:rFonts w:ascii="Segoe UI" w:hAnsi="Segoe UI" w:cs="Segoe UI"/>
          <w:color w:val="0D0D0D"/>
          <w:sz w:val="24"/>
          <w:szCs w:val="24"/>
        </w:rPr>
        <w:t xml:space="preserve">: SAGE Publications </w:t>
      </w:r>
    </w:p>
    <w:p w14:paraId="19E273A9" w14:textId="77777777" w:rsidR="0081218C" w:rsidRPr="00A755F9" w:rsidRDefault="0081218C" w:rsidP="00A755F9">
      <w:pPr>
        <w:spacing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 xml:space="preserve">Tatter,G. (2019) </w:t>
      </w:r>
      <w:r w:rsidRPr="00AF28E5">
        <w:rPr>
          <w:rFonts w:asciiTheme="minorHAnsi" w:hAnsiTheme="minorHAnsi" w:cstheme="minorHAnsi"/>
          <w:i/>
          <w:iCs/>
          <w:sz w:val="24"/>
          <w:szCs w:val="24"/>
          <w:lang w:val="cy-GB"/>
        </w:rPr>
        <w:t>Making time for mindfulness</w:t>
      </w:r>
      <w:r w:rsidRPr="00AF28E5">
        <w:rPr>
          <w:rFonts w:asciiTheme="minorHAnsi" w:hAnsiTheme="minorHAnsi" w:cstheme="minorHAnsi"/>
          <w:sz w:val="24"/>
          <w:szCs w:val="24"/>
          <w:lang w:val="cy-GB"/>
        </w:rPr>
        <w:t>. Harvard Graduate School of Education. Ar gael fan hyn:</w:t>
      </w:r>
      <w:r w:rsidRPr="00AF28E5">
        <w:rPr>
          <w:rFonts w:asciiTheme="minorHAnsi" w:hAnsiTheme="minorHAnsi" w:cstheme="minorHAnsi"/>
          <w:sz w:val="24"/>
          <w:szCs w:val="24"/>
        </w:rPr>
        <w:t xml:space="preserve"> </w:t>
      </w:r>
      <w:hyperlink r:id="rId11" w:history="1">
        <w:r w:rsidRPr="00A755F9">
          <w:rPr>
            <w:rStyle w:val="Hyperlink"/>
            <w:rFonts w:asciiTheme="minorHAnsi" w:hAnsiTheme="minorHAnsi" w:cstheme="minorHAnsi"/>
            <w:sz w:val="24"/>
            <w:szCs w:val="24"/>
            <w:lang w:val="cy-GB"/>
          </w:rPr>
          <w:t>https://www.gse.harvard.edu/ideas/usable-knowledge/19/01/making-time-mindfulness</w:t>
        </w:r>
      </w:hyperlink>
      <w:r w:rsidRPr="00A755F9">
        <w:rPr>
          <w:rFonts w:asciiTheme="minorHAnsi" w:hAnsiTheme="minorHAnsi" w:cstheme="minorHAnsi"/>
          <w:sz w:val="24"/>
          <w:szCs w:val="24"/>
          <w:lang w:val="cy-GB"/>
        </w:rPr>
        <w:t xml:space="preserve"> (Cyrchwyd: 12/03/2024)</w:t>
      </w:r>
    </w:p>
    <w:p w14:paraId="1F7BEA7F" w14:textId="12905F9B" w:rsidR="0081218C" w:rsidRDefault="0081218C" w:rsidP="00AF28E5">
      <w:pPr>
        <w:spacing w:line="360" w:lineRule="auto"/>
        <w:rPr>
          <w:rFonts w:ascii="Segoe UI" w:hAnsi="Segoe UI" w:cs="Segoe UI"/>
          <w:color w:val="0D0D0D"/>
          <w:sz w:val="24"/>
          <w:szCs w:val="24"/>
        </w:rPr>
      </w:pPr>
      <w:proofErr w:type="spellStart"/>
      <w:r>
        <w:rPr>
          <w:rFonts w:ascii="Segoe UI" w:hAnsi="Segoe UI" w:cs="Segoe UI"/>
          <w:color w:val="0D0D0D"/>
          <w:sz w:val="24"/>
          <w:szCs w:val="24"/>
        </w:rPr>
        <w:t>Tellis</w:t>
      </w:r>
      <w:proofErr w:type="spellEnd"/>
      <w:r>
        <w:rPr>
          <w:rFonts w:ascii="Segoe UI" w:hAnsi="Segoe UI" w:cs="Segoe UI"/>
          <w:color w:val="0D0D0D"/>
          <w:sz w:val="24"/>
          <w:szCs w:val="24"/>
        </w:rPr>
        <w:t>, W (1997</w:t>
      </w:r>
      <w:proofErr w:type="gramStart"/>
      <w:r>
        <w:rPr>
          <w:rFonts w:ascii="Segoe UI" w:hAnsi="Segoe UI" w:cs="Segoe UI"/>
          <w:color w:val="0D0D0D"/>
          <w:sz w:val="24"/>
          <w:szCs w:val="24"/>
        </w:rPr>
        <w:t xml:space="preserve">) </w:t>
      </w:r>
      <w:r>
        <w:rPr>
          <w:rFonts w:ascii="Segoe UI" w:hAnsi="Segoe UI" w:cs="Segoe UI"/>
          <w:i/>
          <w:iCs/>
          <w:color w:val="0D0D0D"/>
          <w:sz w:val="24"/>
          <w:szCs w:val="24"/>
        </w:rPr>
        <w:t xml:space="preserve"> Introduction</w:t>
      </w:r>
      <w:proofErr w:type="gramEnd"/>
      <w:r>
        <w:rPr>
          <w:rFonts w:ascii="Segoe UI" w:hAnsi="Segoe UI" w:cs="Segoe UI"/>
          <w:i/>
          <w:iCs/>
          <w:color w:val="0D0D0D"/>
          <w:sz w:val="24"/>
          <w:szCs w:val="24"/>
        </w:rPr>
        <w:t xml:space="preserve"> to Case Study </w:t>
      </w:r>
      <w:r>
        <w:rPr>
          <w:rFonts w:ascii="Segoe UI" w:hAnsi="Segoe UI" w:cs="Segoe UI"/>
          <w:color w:val="0D0D0D"/>
          <w:sz w:val="24"/>
          <w:szCs w:val="24"/>
        </w:rPr>
        <w:t>The Qualitative Report</w:t>
      </w:r>
    </w:p>
    <w:p w14:paraId="6FDFC447" w14:textId="77777777"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UNICEF (D.D) </w:t>
      </w:r>
      <w:r>
        <w:rPr>
          <w:rFonts w:ascii="Segoe UI" w:hAnsi="Segoe UI" w:cs="Segoe UI"/>
          <w:i/>
          <w:iCs/>
          <w:color w:val="0D0D0D"/>
          <w:sz w:val="24"/>
          <w:szCs w:val="24"/>
        </w:rPr>
        <w:t xml:space="preserve">The Convention on the Right of the Child: The Children’s version </w:t>
      </w:r>
      <w:proofErr w:type="spellStart"/>
      <w:r>
        <w:rPr>
          <w:rFonts w:ascii="Segoe UI" w:hAnsi="Segoe UI" w:cs="Segoe UI"/>
          <w:color w:val="0D0D0D"/>
          <w:sz w:val="24"/>
          <w:szCs w:val="24"/>
        </w:rPr>
        <w:t>Ar</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gael</w:t>
      </w:r>
      <w:proofErr w:type="spellEnd"/>
      <w:r>
        <w:rPr>
          <w:rFonts w:ascii="Segoe UI" w:hAnsi="Segoe UI" w:cs="Segoe UI"/>
          <w:color w:val="0D0D0D"/>
          <w:sz w:val="24"/>
          <w:szCs w:val="24"/>
        </w:rPr>
        <w:t xml:space="preserve"> fan </w:t>
      </w:r>
      <w:proofErr w:type="spellStart"/>
      <w:r>
        <w:rPr>
          <w:rFonts w:ascii="Segoe UI" w:hAnsi="Segoe UI" w:cs="Segoe UI"/>
          <w:color w:val="0D0D0D"/>
          <w:sz w:val="24"/>
          <w:szCs w:val="24"/>
        </w:rPr>
        <w:t>hyn</w:t>
      </w:r>
      <w:proofErr w:type="spellEnd"/>
      <w:r>
        <w:rPr>
          <w:rFonts w:ascii="Segoe UI" w:hAnsi="Segoe UI" w:cs="Segoe UI"/>
          <w:color w:val="0D0D0D"/>
          <w:sz w:val="24"/>
          <w:szCs w:val="24"/>
        </w:rPr>
        <w:t>:</w:t>
      </w:r>
      <w:r w:rsidRPr="0074155F">
        <w:t xml:space="preserve"> </w:t>
      </w:r>
      <w:hyperlink r:id="rId12" w:history="1">
        <w:r w:rsidRPr="00A662D4">
          <w:rPr>
            <w:rStyle w:val="Hyperlink"/>
            <w:rFonts w:ascii="Segoe UI" w:hAnsi="Segoe UI" w:cs="Segoe UI"/>
            <w:sz w:val="24"/>
            <w:szCs w:val="24"/>
          </w:rPr>
          <w:t>https://www.unicef.org/child-rights-convention/convention-text-childrens-version</w:t>
        </w:r>
      </w:hyperlink>
      <w:r>
        <w:rPr>
          <w:rFonts w:ascii="Segoe UI" w:hAnsi="Segoe UI" w:cs="Segoe UI"/>
          <w:color w:val="0D0D0D"/>
          <w:sz w:val="24"/>
          <w:szCs w:val="24"/>
        </w:rPr>
        <w:t xml:space="preserve"> (</w:t>
      </w:r>
      <w:proofErr w:type="spellStart"/>
      <w:r>
        <w:rPr>
          <w:rFonts w:ascii="Segoe UI" w:hAnsi="Segoe UI" w:cs="Segoe UI"/>
          <w:color w:val="0D0D0D"/>
          <w:sz w:val="24"/>
          <w:szCs w:val="24"/>
        </w:rPr>
        <w:t>Cyrchwyd</w:t>
      </w:r>
      <w:proofErr w:type="spellEnd"/>
      <w:r>
        <w:rPr>
          <w:rFonts w:ascii="Segoe UI" w:hAnsi="Segoe UI" w:cs="Segoe UI"/>
          <w:color w:val="0D0D0D"/>
          <w:sz w:val="24"/>
          <w:szCs w:val="24"/>
        </w:rPr>
        <w:t>: 28/04/2024)</w:t>
      </w:r>
    </w:p>
    <w:p w14:paraId="7679D632" w14:textId="7E42BE71" w:rsidR="0081218C" w:rsidRPr="0074155F" w:rsidRDefault="0081218C" w:rsidP="00AF28E5">
      <w:pPr>
        <w:spacing w:line="360" w:lineRule="auto"/>
        <w:rPr>
          <w:rFonts w:asciiTheme="minorHAnsi" w:hAnsiTheme="minorHAnsi" w:cstheme="minorHAnsi"/>
          <w:color w:val="0D0D0D"/>
          <w:sz w:val="24"/>
          <w:szCs w:val="24"/>
        </w:rPr>
      </w:pPr>
      <w:r w:rsidRPr="0074155F">
        <w:rPr>
          <w:rFonts w:asciiTheme="minorHAnsi" w:hAnsiTheme="minorHAnsi" w:cstheme="minorHAnsi"/>
          <w:color w:val="0D0D0D"/>
          <w:sz w:val="24"/>
          <w:szCs w:val="24"/>
        </w:rPr>
        <w:t xml:space="preserve">UWTSD (2022) </w:t>
      </w:r>
      <w:r w:rsidRPr="0074155F">
        <w:rPr>
          <w:rFonts w:asciiTheme="minorHAnsi" w:hAnsiTheme="minorHAnsi" w:cstheme="minorHAnsi"/>
          <w:i/>
          <w:iCs/>
          <w:color w:val="0D0D0D"/>
          <w:sz w:val="24"/>
          <w:szCs w:val="24"/>
        </w:rPr>
        <w:t>Research Ethics &amp; Integrity Code of Practice</w:t>
      </w:r>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Prifysgol</w:t>
      </w:r>
      <w:proofErr w:type="spellEnd"/>
      <w:r w:rsidRPr="0074155F">
        <w:rPr>
          <w:rFonts w:asciiTheme="minorHAnsi" w:hAnsiTheme="minorHAnsi" w:cstheme="minorHAnsi"/>
          <w:color w:val="0D0D0D"/>
          <w:sz w:val="24"/>
          <w:szCs w:val="24"/>
        </w:rPr>
        <w:t xml:space="preserve"> Y </w:t>
      </w:r>
      <w:proofErr w:type="spellStart"/>
      <w:r w:rsidRPr="0074155F">
        <w:rPr>
          <w:rFonts w:asciiTheme="minorHAnsi" w:hAnsiTheme="minorHAnsi" w:cstheme="minorHAnsi"/>
          <w:color w:val="0D0D0D"/>
          <w:sz w:val="24"/>
          <w:szCs w:val="24"/>
        </w:rPr>
        <w:t>drindod</w:t>
      </w:r>
      <w:proofErr w:type="spellEnd"/>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Dewi</w:t>
      </w:r>
      <w:proofErr w:type="spellEnd"/>
      <w:r w:rsidRPr="0074155F">
        <w:rPr>
          <w:rFonts w:asciiTheme="minorHAnsi" w:hAnsiTheme="minorHAnsi" w:cstheme="minorHAnsi"/>
          <w:color w:val="0D0D0D"/>
          <w:sz w:val="24"/>
          <w:szCs w:val="24"/>
        </w:rPr>
        <w:t xml:space="preserve"> Sant. </w:t>
      </w:r>
      <w:proofErr w:type="spellStart"/>
      <w:r w:rsidRPr="0074155F">
        <w:rPr>
          <w:rFonts w:asciiTheme="minorHAnsi" w:hAnsiTheme="minorHAnsi" w:cstheme="minorHAnsi"/>
          <w:color w:val="0D0D0D"/>
          <w:sz w:val="24"/>
          <w:szCs w:val="24"/>
        </w:rPr>
        <w:t>Ar</w:t>
      </w:r>
      <w:proofErr w:type="spellEnd"/>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gael</w:t>
      </w:r>
      <w:proofErr w:type="spellEnd"/>
      <w:r w:rsidRPr="0074155F">
        <w:rPr>
          <w:rFonts w:asciiTheme="minorHAnsi" w:hAnsiTheme="minorHAnsi" w:cstheme="minorHAnsi"/>
          <w:color w:val="0D0D0D"/>
          <w:sz w:val="24"/>
          <w:szCs w:val="24"/>
        </w:rPr>
        <w:t xml:space="preserve"> fan </w:t>
      </w:r>
      <w:proofErr w:type="spellStart"/>
      <w:r w:rsidRPr="0074155F">
        <w:rPr>
          <w:rFonts w:asciiTheme="minorHAnsi" w:hAnsiTheme="minorHAnsi" w:cstheme="minorHAnsi"/>
          <w:color w:val="0D0D0D"/>
          <w:sz w:val="24"/>
          <w:szCs w:val="24"/>
        </w:rPr>
        <w:t>hyn</w:t>
      </w:r>
      <w:proofErr w:type="spellEnd"/>
      <w:r w:rsidRPr="0074155F">
        <w:rPr>
          <w:rFonts w:asciiTheme="minorHAnsi" w:hAnsiTheme="minorHAnsi" w:cstheme="minorHAnsi"/>
          <w:color w:val="0D0D0D"/>
          <w:sz w:val="24"/>
          <w:szCs w:val="24"/>
        </w:rPr>
        <w:t xml:space="preserve">: </w:t>
      </w:r>
      <w:hyperlink r:id="rId13" w:history="1">
        <w:r w:rsidRPr="0074155F">
          <w:rPr>
            <w:rStyle w:val="Hyperlink"/>
            <w:rFonts w:asciiTheme="minorHAnsi" w:hAnsiTheme="minorHAnsi" w:cstheme="minorHAnsi"/>
            <w:sz w:val="24"/>
            <w:szCs w:val="24"/>
          </w:rPr>
          <w:t>https://www.uwtsd.ac.uk/research/research-integrity-and-ethics</w:t>
        </w:r>
      </w:hyperlink>
    </w:p>
    <w:p w14:paraId="3B1B267D" w14:textId="77777777" w:rsidR="0081218C" w:rsidRPr="0074155F"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Yin,R (2018) </w:t>
      </w:r>
      <w:r w:rsidRPr="0074155F">
        <w:rPr>
          <w:rFonts w:asciiTheme="minorHAnsi" w:hAnsiTheme="minorHAnsi" w:cstheme="minorHAnsi"/>
          <w:i/>
          <w:iCs/>
          <w:sz w:val="24"/>
          <w:szCs w:val="24"/>
          <w:lang w:val="cy-GB"/>
        </w:rPr>
        <w:t xml:space="preserve">Case Study Research and Applications: Design and Methods. </w:t>
      </w:r>
      <w:r w:rsidRPr="0074155F">
        <w:rPr>
          <w:rFonts w:asciiTheme="minorHAnsi" w:hAnsiTheme="minorHAnsi" w:cstheme="minorHAnsi"/>
          <w:sz w:val="24"/>
          <w:szCs w:val="24"/>
          <w:lang w:val="cy-GB"/>
        </w:rPr>
        <w:t>Sage Publications: Indonesia</w:t>
      </w:r>
    </w:p>
    <w:p w14:paraId="1BA059A9"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Yin,R</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(2014) </w:t>
      </w:r>
      <w:r>
        <w:rPr>
          <w:rFonts w:ascii="Segoe UI" w:hAnsi="Segoe UI" w:cs="Segoe UI"/>
          <w:i/>
          <w:iCs/>
          <w:color w:val="0D0D0D"/>
          <w:sz w:val="24"/>
          <w:szCs w:val="24"/>
        </w:rPr>
        <w:t xml:space="preserve">Case Study Research Design and Methods </w:t>
      </w:r>
      <w:r>
        <w:rPr>
          <w:rFonts w:ascii="Segoe UI" w:hAnsi="Segoe UI" w:cs="Segoe UI"/>
          <w:color w:val="0D0D0D"/>
          <w:sz w:val="24"/>
          <w:szCs w:val="24"/>
        </w:rPr>
        <w:t>SAGE Publications</w:t>
      </w:r>
    </w:p>
    <w:p w14:paraId="719C7079"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Zen,Y</w:t>
      </w:r>
      <w:proofErr w:type="spellEnd"/>
      <w:proofErr w:type="gramEnd"/>
      <w:r>
        <w:rPr>
          <w:rFonts w:ascii="Segoe UI" w:hAnsi="Segoe UI" w:cs="Segoe UI"/>
          <w:color w:val="0D0D0D"/>
          <w:sz w:val="24"/>
          <w:szCs w:val="24"/>
        </w:rPr>
        <w:t xml:space="preserve"> (2018) </w:t>
      </w:r>
      <w:r>
        <w:rPr>
          <w:rFonts w:ascii="Segoe UI" w:hAnsi="Segoe UI" w:cs="Segoe UI"/>
          <w:i/>
          <w:iCs/>
          <w:color w:val="0D0D0D"/>
          <w:sz w:val="24"/>
          <w:szCs w:val="24"/>
        </w:rPr>
        <w:t xml:space="preserve">Effects of Mindfulness-Based Interventions on Attention in children and </w:t>
      </w:r>
      <w:proofErr w:type="spellStart"/>
      <w:r>
        <w:rPr>
          <w:rFonts w:ascii="Segoe UI" w:hAnsi="Segoe UI" w:cs="Segoe UI"/>
          <w:i/>
          <w:iCs/>
          <w:color w:val="0D0D0D"/>
          <w:sz w:val="24"/>
          <w:szCs w:val="24"/>
        </w:rPr>
        <w:t>Adolesecents</w:t>
      </w:r>
      <w:proofErr w:type="spellEnd"/>
      <w:r>
        <w:rPr>
          <w:rFonts w:ascii="Segoe UI" w:hAnsi="Segoe UI" w:cs="Segoe UI"/>
          <w:i/>
          <w:iCs/>
          <w:color w:val="0D0D0D"/>
          <w:sz w:val="24"/>
          <w:szCs w:val="24"/>
        </w:rPr>
        <w:t xml:space="preserve">: A meta-Analysis. </w:t>
      </w:r>
      <w:r>
        <w:rPr>
          <w:rFonts w:ascii="Segoe UI" w:hAnsi="Segoe UI" w:cs="Segoe UI"/>
          <w:color w:val="0D0D0D"/>
          <w:sz w:val="24"/>
          <w:szCs w:val="24"/>
        </w:rPr>
        <w:t xml:space="preserve">Environ Res Public Health. </w:t>
      </w:r>
      <w:proofErr w:type="spellStart"/>
      <w:r>
        <w:rPr>
          <w:rFonts w:ascii="Segoe UI" w:hAnsi="Segoe UI" w:cs="Segoe UI"/>
          <w:color w:val="0D0D0D"/>
          <w:sz w:val="24"/>
          <w:szCs w:val="24"/>
        </w:rPr>
        <w:t>Ar</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gael</w:t>
      </w:r>
      <w:proofErr w:type="spellEnd"/>
      <w:r>
        <w:rPr>
          <w:rFonts w:ascii="Segoe UI" w:hAnsi="Segoe UI" w:cs="Segoe UI"/>
          <w:color w:val="0D0D0D"/>
          <w:sz w:val="24"/>
          <w:szCs w:val="24"/>
        </w:rPr>
        <w:t xml:space="preserve"> fan </w:t>
      </w:r>
      <w:proofErr w:type="spellStart"/>
      <w:r>
        <w:rPr>
          <w:rFonts w:ascii="Segoe UI" w:hAnsi="Segoe UI" w:cs="Segoe UI"/>
          <w:color w:val="0D0D0D"/>
          <w:sz w:val="24"/>
          <w:szCs w:val="24"/>
        </w:rPr>
        <w:t>hyn</w:t>
      </w:r>
      <w:proofErr w:type="spellEnd"/>
      <w:r>
        <w:rPr>
          <w:rFonts w:ascii="Segoe UI" w:hAnsi="Segoe UI" w:cs="Segoe UI"/>
          <w:color w:val="0D0D0D"/>
          <w:sz w:val="24"/>
          <w:szCs w:val="24"/>
        </w:rPr>
        <w:t xml:space="preserve">: </w:t>
      </w:r>
      <w:hyperlink r:id="rId14" w:history="1">
        <w:r w:rsidRPr="00A662D4">
          <w:rPr>
            <w:rStyle w:val="Hyperlink"/>
            <w:rFonts w:ascii="Segoe UI" w:hAnsi="Segoe UI" w:cs="Segoe UI"/>
            <w:sz w:val="24"/>
            <w:szCs w:val="24"/>
          </w:rPr>
          <w:t>https://www.ncbi.nlm.nih.gov/pmc/articles/PMC9690476/</w:t>
        </w:r>
      </w:hyperlink>
    </w:p>
    <w:p w14:paraId="59D1121A" w14:textId="31369FB8" w:rsidR="0081218C" w:rsidRDefault="0081218C" w:rsidP="00AF28E5">
      <w:pPr>
        <w:spacing w:line="360" w:lineRule="auto"/>
        <w:rPr>
          <w:rFonts w:ascii="Segoe UI" w:hAnsi="Segoe UI" w:cs="Segoe UI"/>
          <w:i/>
          <w:iCs/>
          <w:color w:val="0D0D0D"/>
          <w:sz w:val="24"/>
          <w:szCs w:val="24"/>
        </w:rPr>
      </w:pPr>
      <w:proofErr w:type="spellStart"/>
      <w:r>
        <w:rPr>
          <w:rFonts w:ascii="Segoe UI" w:hAnsi="Segoe UI" w:cs="Segoe UI"/>
          <w:color w:val="0D0D0D"/>
          <w:sz w:val="24"/>
          <w:szCs w:val="24"/>
        </w:rPr>
        <w:t>Dillman</w:t>
      </w:r>
      <w:proofErr w:type="spellEnd"/>
      <w:r>
        <w:rPr>
          <w:rFonts w:ascii="Segoe UI" w:hAnsi="Segoe UI" w:cs="Segoe UI"/>
          <w:color w:val="0D0D0D"/>
          <w:sz w:val="24"/>
          <w:szCs w:val="24"/>
        </w:rPr>
        <w:t xml:space="preserve"> D.A. </w:t>
      </w:r>
      <w:proofErr w:type="spellStart"/>
      <w:proofErr w:type="gramStart"/>
      <w:r>
        <w:rPr>
          <w:rFonts w:ascii="Segoe UI" w:hAnsi="Segoe UI" w:cs="Segoe UI"/>
          <w:color w:val="0D0D0D"/>
          <w:sz w:val="24"/>
          <w:szCs w:val="24"/>
        </w:rPr>
        <w:t>Smyth,J.D</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Christian,L.M</w:t>
      </w:r>
      <w:proofErr w:type="spellEnd"/>
      <w:r>
        <w:rPr>
          <w:rFonts w:ascii="Segoe UI" w:hAnsi="Segoe UI" w:cs="Segoe UI"/>
          <w:color w:val="0D0D0D"/>
          <w:sz w:val="24"/>
          <w:szCs w:val="24"/>
        </w:rPr>
        <w:t xml:space="preserve">. (2014) </w:t>
      </w:r>
      <w:r>
        <w:rPr>
          <w:rFonts w:ascii="Segoe UI" w:hAnsi="Segoe UI" w:cs="Segoe UI"/>
          <w:i/>
          <w:iCs/>
          <w:color w:val="0D0D0D"/>
          <w:sz w:val="24"/>
          <w:szCs w:val="24"/>
        </w:rPr>
        <w:t xml:space="preserve"> Internet, phone, mail, and mixed mode </w:t>
      </w:r>
      <w:proofErr w:type="spellStart"/>
      <w:r>
        <w:rPr>
          <w:rFonts w:ascii="Segoe UI" w:hAnsi="Segoe UI" w:cs="Segoe UI"/>
          <w:i/>
          <w:iCs/>
          <w:color w:val="0D0D0D"/>
          <w:sz w:val="24"/>
          <w:szCs w:val="24"/>
        </w:rPr>
        <w:t>surverys</w:t>
      </w:r>
      <w:proofErr w:type="spellEnd"/>
      <w:r>
        <w:rPr>
          <w:rFonts w:ascii="Segoe UI" w:hAnsi="Segoe UI" w:cs="Segoe UI"/>
          <w:i/>
          <w:iCs/>
          <w:color w:val="0D0D0D"/>
          <w:sz w:val="24"/>
          <w:szCs w:val="24"/>
        </w:rPr>
        <w:t>: The tailored design method. John Wiley&amp; Sons.</w:t>
      </w:r>
    </w:p>
    <w:p w14:paraId="7D11E3D1" w14:textId="5A1DDF50"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Kronick,J.A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Presser,S</w:t>
      </w:r>
      <w:proofErr w:type="spellEnd"/>
      <w:r>
        <w:rPr>
          <w:rFonts w:ascii="Segoe UI" w:hAnsi="Segoe UI" w:cs="Segoe UI"/>
          <w:color w:val="0D0D0D"/>
          <w:sz w:val="24"/>
          <w:szCs w:val="24"/>
        </w:rPr>
        <w:t xml:space="preserve">. (2010) </w:t>
      </w:r>
      <w:r>
        <w:rPr>
          <w:rFonts w:ascii="Segoe UI" w:hAnsi="Segoe UI" w:cs="Segoe UI"/>
          <w:i/>
          <w:iCs/>
          <w:color w:val="0D0D0D"/>
          <w:sz w:val="24"/>
          <w:szCs w:val="24"/>
        </w:rPr>
        <w:t xml:space="preserve">questions and questionnaire deign. </w:t>
      </w:r>
      <w:r>
        <w:rPr>
          <w:rFonts w:ascii="Segoe UI" w:hAnsi="Segoe UI" w:cs="Segoe UI"/>
          <w:color w:val="0D0D0D"/>
          <w:sz w:val="24"/>
          <w:szCs w:val="24"/>
        </w:rPr>
        <w:t xml:space="preserve"> Handbook of survey research</w:t>
      </w:r>
    </w:p>
    <w:p w14:paraId="37163254" w14:textId="4C90D59B"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Creswell,J</w:t>
      </w:r>
      <w:proofErr w:type="gramEnd"/>
      <w:r>
        <w:rPr>
          <w:rFonts w:ascii="Segoe UI" w:hAnsi="Segoe UI" w:cs="Segoe UI"/>
          <w:color w:val="0D0D0D"/>
          <w:sz w:val="24"/>
          <w:szCs w:val="24"/>
        </w:rPr>
        <w:t>.W</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Miller,D.L</w:t>
      </w:r>
      <w:proofErr w:type="spellEnd"/>
      <w:r>
        <w:rPr>
          <w:rFonts w:ascii="Segoe UI" w:hAnsi="Segoe UI" w:cs="Segoe UI"/>
          <w:color w:val="0D0D0D"/>
          <w:sz w:val="24"/>
          <w:szCs w:val="24"/>
        </w:rPr>
        <w:t xml:space="preserve">. (2000) </w:t>
      </w:r>
      <w:r>
        <w:rPr>
          <w:rFonts w:ascii="Segoe UI" w:hAnsi="Segoe UI" w:cs="Segoe UI"/>
          <w:i/>
          <w:iCs/>
          <w:color w:val="0D0D0D"/>
          <w:sz w:val="24"/>
          <w:szCs w:val="24"/>
        </w:rPr>
        <w:t xml:space="preserve"> Determining validity in qualitative inquiry. </w:t>
      </w:r>
      <w:r>
        <w:rPr>
          <w:rFonts w:ascii="Segoe UI" w:hAnsi="Segoe UI" w:cs="Segoe UI"/>
          <w:color w:val="0D0D0D"/>
          <w:sz w:val="24"/>
          <w:szCs w:val="24"/>
        </w:rPr>
        <w:t>Theory into Practice</w:t>
      </w:r>
    </w:p>
    <w:p w14:paraId="4685D6D7" w14:textId="0B281C6F"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Lincol,Y.S</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Guba,E.G</w:t>
      </w:r>
      <w:proofErr w:type="spellEnd"/>
      <w:r>
        <w:rPr>
          <w:rFonts w:ascii="Segoe UI" w:hAnsi="Segoe UI" w:cs="Segoe UI"/>
          <w:color w:val="0D0D0D"/>
          <w:sz w:val="24"/>
          <w:szCs w:val="24"/>
        </w:rPr>
        <w:t xml:space="preserve"> (1985) </w:t>
      </w:r>
      <w:r>
        <w:rPr>
          <w:rFonts w:ascii="Segoe UI" w:hAnsi="Segoe UI" w:cs="Segoe UI"/>
          <w:i/>
          <w:iCs/>
          <w:color w:val="0D0D0D"/>
          <w:sz w:val="24"/>
          <w:szCs w:val="24"/>
        </w:rPr>
        <w:t xml:space="preserve">Naturalistic inquiry. </w:t>
      </w:r>
      <w:r>
        <w:rPr>
          <w:rFonts w:ascii="Segoe UI" w:hAnsi="Segoe UI" w:cs="Segoe UI"/>
          <w:color w:val="0D0D0D"/>
          <w:sz w:val="24"/>
          <w:szCs w:val="24"/>
        </w:rPr>
        <w:t>Sage Publications</w:t>
      </w:r>
    </w:p>
    <w:p w14:paraId="289B77A6" w14:textId="27410643"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lastRenderedPageBreak/>
        <w:t>Shenton,A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(2004) </w:t>
      </w:r>
      <w:r>
        <w:rPr>
          <w:rFonts w:ascii="Segoe UI" w:hAnsi="Segoe UI" w:cs="Segoe UI"/>
          <w:i/>
          <w:iCs/>
          <w:color w:val="0D0D0D"/>
          <w:sz w:val="24"/>
          <w:szCs w:val="24"/>
        </w:rPr>
        <w:t>Strategies for ensuring trustworthiness in qualitative research projects. Education Information</w:t>
      </w:r>
    </w:p>
    <w:p w14:paraId="6A0AE7D6" w14:textId="53A359BB"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Brown,A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Jones,B</w:t>
      </w:r>
      <w:proofErr w:type="spellEnd"/>
      <w:r>
        <w:rPr>
          <w:rFonts w:ascii="Segoe UI" w:hAnsi="Segoe UI" w:cs="Segoe UI"/>
          <w:color w:val="0D0D0D"/>
          <w:sz w:val="24"/>
          <w:szCs w:val="24"/>
        </w:rPr>
        <w:t xml:space="preserve">. (2018) </w:t>
      </w:r>
      <w:r>
        <w:rPr>
          <w:rFonts w:ascii="Segoe UI" w:hAnsi="Segoe UI" w:cs="Segoe UI"/>
          <w:i/>
          <w:iCs/>
          <w:color w:val="0D0D0D"/>
          <w:sz w:val="24"/>
          <w:szCs w:val="24"/>
        </w:rPr>
        <w:t xml:space="preserve">The impact of structured activities on student engagement levels. </w:t>
      </w:r>
      <w:r>
        <w:rPr>
          <w:rFonts w:ascii="Segoe UI" w:hAnsi="Segoe UI" w:cs="Segoe UI"/>
          <w:color w:val="0D0D0D"/>
          <w:sz w:val="24"/>
          <w:szCs w:val="24"/>
        </w:rPr>
        <w:t>Educational Psychology Review.</w:t>
      </w:r>
    </w:p>
    <w:p w14:paraId="466A7B81" w14:textId="123371AD"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t>Gracia,C</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Smith,T</w:t>
      </w:r>
      <w:proofErr w:type="spellEnd"/>
      <w:r>
        <w:rPr>
          <w:rFonts w:ascii="Segoe UI" w:hAnsi="Segoe UI" w:cs="Segoe UI"/>
          <w:color w:val="0D0D0D"/>
          <w:sz w:val="24"/>
          <w:szCs w:val="24"/>
        </w:rPr>
        <w:t xml:space="preserve">. (2020) </w:t>
      </w:r>
      <w:r>
        <w:rPr>
          <w:rFonts w:ascii="Segoe UI" w:hAnsi="Segoe UI" w:cs="Segoe UI"/>
          <w:i/>
          <w:iCs/>
          <w:color w:val="0D0D0D"/>
          <w:sz w:val="24"/>
          <w:szCs w:val="24"/>
        </w:rPr>
        <w:t xml:space="preserve">Enhancing engagement in classroom activities: Strategies for effective instruction. </w:t>
      </w:r>
      <w:r>
        <w:rPr>
          <w:rFonts w:ascii="Segoe UI" w:hAnsi="Segoe UI" w:cs="Segoe UI"/>
          <w:color w:val="0D0D0D"/>
          <w:sz w:val="24"/>
          <w:szCs w:val="24"/>
        </w:rPr>
        <w:t>Journal of Education Psychology</w:t>
      </w:r>
      <w:r>
        <w:rPr>
          <w:rFonts w:ascii="Segoe UI" w:hAnsi="Segoe UI" w:cs="Segoe UI"/>
          <w:i/>
          <w:iCs/>
          <w:color w:val="0D0D0D"/>
          <w:sz w:val="24"/>
          <w:szCs w:val="24"/>
        </w:rPr>
        <w:t xml:space="preserve"> </w:t>
      </w:r>
    </w:p>
    <w:p w14:paraId="12172D19" w14:textId="27C1E05D"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Jones,B</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Davis,C</w:t>
      </w:r>
      <w:proofErr w:type="spellEnd"/>
      <w:r>
        <w:rPr>
          <w:rFonts w:ascii="Segoe UI" w:hAnsi="Segoe UI" w:cs="Segoe UI"/>
          <w:color w:val="0D0D0D"/>
          <w:sz w:val="24"/>
          <w:szCs w:val="24"/>
        </w:rPr>
        <w:t>. (2019) Understanding the role of movement in learning: Implications for instructional design. Educational Technology Research and Development</w:t>
      </w:r>
    </w:p>
    <w:p w14:paraId="651B4A25" w14:textId="4673546C"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Smith,J</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(2017) Investigating student engagement in classroom activities: A meta-analysis. Journal of educational Research</w:t>
      </w:r>
    </w:p>
    <w:p w14:paraId="6F36053B" w14:textId="77777777" w:rsidR="00A433FB" w:rsidRDefault="00A433FB" w:rsidP="00AF28E5">
      <w:pPr>
        <w:spacing w:line="360" w:lineRule="auto"/>
        <w:rPr>
          <w:rFonts w:ascii="Segoe UI" w:hAnsi="Segoe UI" w:cs="Segoe UI"/>
          <w:color w:val="0D0D0D"/>
          <w:sz w:val="24"/>
          <w:szCs w:val="24"/>
        </w:rPr>
      </w:pPr>
    </w:p>
    <w:p w14:paraId="19B83967" w14:textId="1B015F35" w:rsidR="00A433FB" w:rsidRDefault="00A433FB" w:rsidP="00AF28E5">
      <w:pPr>
        <w:spacing w:line="360" w:lineRule="auto"/>
        <w:rPr>
          <w:rFonts w:ascii="Segoe UI" w:hAnsi="Segoe UI" w:cs="Segoe UI"/>
          <w:color w:val="0D0D0D"/>
          <w:sz w:val="24"/>
          <w:szCs w:val="24"/>
          <w:u w:val="single"/>
        </w:rPr>
      </w:pPr>
      <w:proofErr w:type="spellStart"/>
      <w:r w:rsidRPr="00A433FB">
        <w:rPr>
          <w:rFonts w:ascii="Segoe UI" w:hAnsi="Segoe UI" w:cs="Segoe UI"/>
          <w:color w:val="0D0D0D"/>
          <w:sz w:val="24"/>
          <w:szCs w:val="24"/>
          <w:u w:val="single"/>
        </w:rPr>
        <w:t>Atodiad</w:t>
      </w:r>
      <w:proofErr w:type="spellEnd"/>
      <w:r w:rsidRPr="00A433FB">
        <w:rPr>
          <w:rFonts w:ascii="Segoe UI" w:hAnsi="Segoe UI" w:cs="Segoe UI"/>
          <w:color w:val="0D0D0D"/>
          <w:sz w:val="24"/>
          <w:szCs w:val="24"/>
          <w:u w:val="single"/>
        </w:rPr>
        <w:t xml:space="preserve"> 1</w:t>
      </w:r>
    </w:p>
    <w:p w14:paraId="69A6729E" w14:textId="77777777" w:rsidR="00A433FB" w:rsidRDefault="00A433FB" w:rsidP="00A433FB">
      <w:proofErr w:type="spellStart"/>
      <w:r w:rsidRPr="00094064">
        <w:t>Diolch</w:t>
      </w:r>
      <w:proofErr w:type="spellEnd"/>
      <w:r w:rsidRPr="00094064">
        <w:t xml:space="preserve"> am </w:t>
      </w:r>
      <w:proofErr w:type="spellStart"/>
      <w:r w:rsidRPr="00094064">
        <w:t>gymryd</w:t>
      </w:r>
      <w:proofErr w:type="spellEnd"/>
      <w:r w:rsidRPr="00094064">
        <w:t xml:space="preserve"> </w:t>
      </w:r>
      <w:proofErr w:type="spellStart"/>
      <w:r w:rsidRPr="00094064">
        <w:t>rhan</w:t>
      </w:r>
      <w:proofErr w:type="spellEnd"/>
      <w:r w:rsidRPr="00094064">
        <w:t xml:space="preserve"> </w:t>
      </w:r>
      <w:proofErr w:type="spellStart"/>
      <w:r w:rsidRPr="00094064">
        <w:t>yn</w:t>
      </w:r>
      <w:proofErr w:type="spellEnd"/>
      <w:r w:rsidRPr="00094064">
        <w:t xml:space="preserve"> </w:t>
      </w:r>
      <w:proofErr w:type="spellStart"/>
      <w:r w:rsidRPr="00094064">
        <w:t>yr</w:t>
      </w:r>
      <w:proofErr w:type="spellEnd"/>
      <w:r w:rsidRPr="00094064">
        <w:t xml:space="preserve"> </w:t>
      </w:r>
      <w:proofErr w:type="spellStart"/>
      <w:r w:rsidRPr="00094064">
        <w:t>arolwg</w:t>
      </w:r>
      <w:proofErr w:type="spellEnd"/>
      <w:r w:rsidRPr="00094064">
        <w:t xml:space="preserve"> </w:t>
      </w:r>
      <w:proofErr w:type="spellStart"/>
      <w:r w:rsidRPr="00094064">
        <w:t>hwn</w:t>
      </w:r>
      <w:proofErr w:type="spellEnd"/>
      <w:r w:rsidRPr="00094064">
        <w:t xml:space="preserve">! </w:t>
      </w:r>
      <w:proofErr w:type="spellStart"/>
      <w:r w:rsidRPr="00094064">
        <w:t>Bydd</w:t>
      </w:r>
      <w:proofErr w:type="spellEnd"/>
      <w:r w:rsidRPr="00094064">
        <w:t xml:space="preserve"> </w:t>
      </w:r>
      <w:proofErr w:type="spellStart"/>
      <w:r w:rsidRPr="00094064">
        <w:t>eich</w:t>
      </w:r>
      <w:proofErr w:type="spellEnd"/>
      <w:r w:rsidRPr="00094064">
        <w:t xml:space="preserve"> </w:t>
      </w:r>
      <w:proofErr w:type="spellStart"/>
      <w:r w:rsidRPr="00094064">
        <w:t>adborth</w:t>
      </w:r>
      <w:proofErr w:type="spellEnd"/>
      <w:r w:rsidRPr="00094064">
        <w:t xml:space="preserve"> </w:t>
      </w:r>
      <w:proofErr w:type="spellStart"/>
      <w:r w:rsidRPr="00094064">
        <w:t>yn</w:t>
      </w:r>
      <w:proofErr w:type="spellEnd"/>
      <w:r w:rsidRPr="00094064">
        <w:t xml:space="preserve"> </w:t>
      </w:r>
      <w:proofErr w:type="spellStart"/>
      <w:r w:rsidRPr="00094064">
        <w:t>ein</w:t>
      </w:r>
      <w:proofErr w:type="spellEnd"/>
      <w:r w:rsidRPr="00094064">
        <w:t xml:space="preserve"> </w:t>
      </w:r>
      <w:proofErr w:type="spellStart"/>
      <w:r w:rsidRPr="00094064">
        <w:t>helpu</w:t>
      </w:r>
      <w:proofErr w:type="spellEnd"/>
      <w:r w:rsidRPr="00094064">
        <w:t xml:space="preserve"> </w:t>
      </w:r>
      <w:proofErr w:type="spellStart"/>
      <w:r w:rsidRPr="00094064">
        <w:t>i</w:t>
      </w:r>
      <w:proofErr w:type="spellEnd"/>
      <w:r w:rsidRPr="00094064">
        <w:t xml:space="preserve"> </w:t>
      </w:r>
      <w:proofErr w:type="spellStart"/>
      <w:r w:rsidRPr="00094064">
        <w:t>ddeall</w:t>
      </w:r>
      <w:proofErr w:type="spellEnd"/>
      <w:r w:rsidRPr="00094064">
        <w:t xml:space="preserve"> </w:t>
      </w:r>
      <w:proofErr w:type="spellStart"/>
      <w:r w:rsidRPr="00094064">
        <w:t>sut</w:t>
      </w:r>
      <w:proofErr w:type="spellEnd"/>
      <w:r w:rsidRPr="00094064">
        <w:t xml:space="preserve"> </w:t>
      </w:r>
      <w:proofErr w:type="spellStart"/>
      <w:r w:rsidRPr="00094064">
        <w:t>mae</w:t>
      </w:r>
      <w:proofErr w:type="spellEnd"/>
      <w:r w:rsidRPr="00094064">
        <w:t xml:space="preserve"> </w:t>
      </w:r>
      <w:proofErr w:type="spellStart"/>
      <w:r w:rsidRPr="00094064">
        <w:t>gweithgareddau</w:t>
      </w:r>
      <w:proofErr w:type="spellEnd"/>
      <w:r w:rsidRPr="00094064">
        <w:t xml:space="preserve"> </w:t>
      </w:r>
      <w:proofErr w:type="spellStart"/>
      <w:r>
        <w:t>meddylgarwch</w:t>
      </w:r>
      <w:proofErr w:type="spellEnd"/>
      <w:r w:rsidRPr="00094064">
        <w:t xml:space="preserve"> </w:t>
      </w:r>
      <w:proofErr w:type="spellStart"/>
      <w:r w:rsidRPr="00094064">
        <w:t>yn</w:t>
      </w:r>
      <w:proofErr w:type="spellEnd"/>
      <w:r w:rsidRPr="00094064">
        <w:t xml:space="preserve"> </w:t>
      </w:r>
      <w:proofErr w:type="spellStart"/>
      <w:r w:rsidRPr="00094064">
        <w:t>effeithio</w:t>
      </w:r>
      <w:proofErr w:type="spellEnd"/>
      <w:r w:rsidRPr="00094064">
        <w:t xml:space="preserve"> </w:t>
      </w:r>
      <w:proofErr w:type="spellStart"/>
      <w:r w:rsidRPr="00094064">
        <w:t>ar</w:t>
      </w:r>
      <w:r>
        <w:t>no</w:t>
      </w:r>
      <w:proofErr w:type="spellEnd"/>
      <w:r w:rsidRPr="00094064">
        <w:t xml:space="preserve"> chi</w:t>
      </w:r>
      <w:r>
        <w:t xml:space="preserve"> </w:t>
      </w:r>
      <w:proofErr w:type="spellStart"/>
      <w:r>
        <w:t>fel</w:t>
      </w:r>
      <w:proofErr w:type="spellEnd"/>
      <w:r>
        <w:t xml:space="preserve"> </w:t>
      </w:r>
      <w:proofErr w:type="spellStart"/>
      <w:r>
        <w:t>ddisgyblion</w:t>
      </w:r>
      <w:proofErr w:type="spellEnd"/>
      <w:r>
        <w:t>.</w:t>
      </w:r>
      <w:r w:rsidRPr="00094064">
        <w:t xml:space="preserve"> </w:t>
      </w:r>
      <w:proofErr w:type="spellStart"/>
      <w:r w:rsidRPr="00094064">
        <w:t>Bydd</w:t>
      </w:r>
      <w:proofErr w:type="spellEnd"/>
      <w:r w:rsidRPr="00094064">
        <w:t xml:space="preserve"> </w:t>
      </w:r>
      <w:proofErr w:type="spellStart"/>
      <w:r w:rsidRPr="00094064">
        <w:t>eich</w:t>
      </w:r>
      <w:proofErr w:type="spellEnd"/>
      <w:r w:rsidRPr="00094064">
        <w:t xml:space="preserve"> </w:t>
      </w:r>
      <w:proofErr w:type="spellStart"/>
      <w:r w:rsidRPr="00094064">
        <w:t>ymatebion</w:t>
      </w:r>
      <w:proofErr w:type="spellEnd"/>
      <w:r w:rsidRPr="00094064">
        <w:t xml:space="preserve"> </w:t>
      </w:r>
      <w:proofErr w:type="spellStart"/>
      <w:r w:rsidRPr="00094064">
        <w:t>yn</w:t>
      </w:r>
      <w:proofErr w:type="spellEnd"/>
      <w:r w:rsidRPr="00094064">
        <w:t xml:space="preserve"> </w:t>
      </w:r>
      <w:proofErr w:type="spellStart"/>
      <w:r w:rsidRPr="00094064">
        <w:t>cael</w:t>
      </w:r>
      <w:proofErr w:type="spellEnd"/>
      <w:r w:rsidRPr="00094064">
        <w:t xml:space="preserve"> </w:t>
      </w:r>
      <w:proofErr w:type="spellStart"/>
      <w:r w:rsidRPr="00094064">
        <w:t>eu</w:t>
      </w:r>
      <w:proofErr w:type="spellEnd"/>
      <w:r w:rsidRPr="00094064">
        <w:t xml:space="preserve"> </w:t>
      </w:r>
      <w:proofErr w:type="spellStart"/>
      <w:r w:rsidRPr="00094064">
        <w:t>cadw'n</w:t>
      </w:r>
      <w:proofErr w:type="spellEnd"/>
      <w:r w:rsidRPr="00094064">
        <w:t xml:space="preserve"> </w:t>
      </w:r>
      <w:proofErr w:type="spellStart"/>
      <w:r w:rsidRPr="00094064">
        <w:t>gyfrinachol</w:t>
      </w:r>
      <w:proofErr w:type="spellEnd"/>
      <w:r w:rsidRPr="00094064">
        <w:t>.</w:t>
      </w:r>
    </w:p>
    <w:p w14:paraId="31880612" w14:textId="77777777" w:rsidR="00A433FB" w:rsidRDefault="00A433FB" w:rsidP="00A433FB"/>
    <w:p w14:paraId="4A5D9EE1" w14:textId="77777777" w:rsidR="00A433FB" w:rsidRDefault="00A433FB" w:rsidP="00A433FB">
      <w:pPr>
        <w:pStyle w:val="ListParagraph"/>
        <w:numPr>
          <w:ilvl w:val="0"/>
          <w:numId w:val="7"/>
        </w:numPr>
      </w:pPr>
      <w:proofErr w:type="spellStart"/>
      <w:r w:rsidRPr="00094064">
        <w:t>Ydych</w:t>
      </w:r>
      <w:proofErr w:type="spellEnd"/>
      <w:r w:rsidRPr="00094064">
        <w:t xml:space="preserve"> chi </w:t>
      </w:r>
      <w:proofErr w:type="spellStart"/>
      <w:r w:rsidRPr="00094064">
        <w:t>erioed</w:t>
      </w:r>
      <w:proofErr w:type="spellEnd"/>
      <w:r w:rsidRPr="00094064">
        <w:t xml:space="preserve"> </w:t>
      </w:r>
      <w:proofErr w:type="spellStart"/>
      <w:r w:rsidRPr="00094064">
        <w:t>wedi</w:t>
      </w:r>
      <w:proofErr w:type="spellEnd"/>
      <w:r w:rsidRPr="00094064">
        <w:t xml:space="preserve"> </w:t>
      </w:r>
      <w:proofErr w:type="spellStart"/>
      <w:r w:rsidRPr="00094064">
        <w:t>cymryd</w:t>
      </w:r>
      <w:proofErr w:type="spellEnd"/>
      <w:r w:rsidRPr="00094064">
        <w:t xml:space="preserve"> </w:t>
      </w:r>
      <w:proofErr w:type="spellStart"/>
      <w:r w:rsidRPr="00094064">
        <w:t>rhan</w:t>
      </w:r>
      <w:proofErr w:type="spellEnd"/>
      <w:r w:rsidRPr="00094064">
        <w:t xml:space="preserve"> </w:t>
      </w:r>
      <w:proofErr w:type="spellStart"/>
      <w:r w:rsidRPr="00094064">
        <w:t>mewn</w:t>
      </w:r>
      <w:proofErr w:type="spellEnd"/>
      <w:r w:rsidRPr="00094064">
        <w:t xml:space="preserve"> </w:t>
      </w:r>
      <w:proofErr w:type="spellStart"/>
      <w:r w:rsidRPr="00094064">
        <w:t>gweithgareddau</w:t>
      </w:r>
      <w:proofErr w:type="spellEnd"/>
      <w:r w:rsidRPr="00094064">
        <w:t xml:space="preserve"> </w:t>
      </w:r>
      <w:proofErr w:type="spellStart"/>
      <w:r>
        <w:t>meddylgarwch</w:t>
      </w:r>
      <w:proofErr w:type="spellEnd"/>
      <w:r w:rsidRPr="00094064">
        <w:t xml:space="preserve"> </w:t>
      </w:r>
      <w:proofErr w:type="spellStart"/>
      <w:r w:rsidRPr="00094064">
        <w:t>fel</w:t>
      </w:r>
      <w:proofErr w:type="spellEnd"/>
      <w:r w:rsidRPr="00094064">
        <w:t xml:space="preserve"> </w:t>
      </w:r>
      <w:proofErr w:type="spellStart"/>
      <w:r w:rsidRPr="00094064">
        <w:t>ioga</w:t>
      </w:r>
      <w:proofErr w:type="spellEnd"/>
      <w:r w:rsidRPr="00094064">
        <w:t xml:space="preserve"> neu </w:t>
      </w:r>
      <w:proofErr w:type="spellStart"/>
      <w:r w:rsidRPr="00094064">
        <w:t>fyfyrio</w:t>
      </w:r>
      <w:proofErr w:type="spellEnd"/>
      <w:r w:rsidRPr="00094064">
        <w:t>?</w:t>
      </w:r>
    </w:p>
    <w:tbl>
      <w:tblPr>
        <w:tblStyle w:val="TableGrid"/>
        <w:tblW w:w="0" w:type="auto"/>
        <w:tblInd w:w="720" w:type="dxa"/>
        <w:tblLook w:val="04A0" w:firstRow="1" w:lastRow="0" w:firstColumn="1" w:lastColumn="0" w:noHBand="0" w:noVBand="1"/>
      </w:tblPr>
      <w:tblGrid>
        <w:gridCol w:w="835"/>
        <w:gridCol w:w="7461"/>
      </w:tblGrid>
      <w:tr w:rsidR="00A433FB" w14:paraId="7329AD14" w14:textId="77777777" w:rsidTr="00C011E6">
        <w:tc>
          <w:tcPr>
            <w:tcW w:w="835" w:type="dxa"/>
          </w:tcPr>
          <w:p w14:paraId="04A4FC60" w14:textId="77777777" w:rsidR="00A433FB" w:rsidRDefault="00A433FB" w:rsidP="00C011E6">
            <w:pPr>
              <w:pStyle w:val="ListParagraph"/>
              <w:ind w:left="0"/>
            </w:pPr>
          </w:p>
        </w:tc>
        <w:tc>
          <w:tcPr>
            <w:tcW w:w="7461" w:type="dxa"/>
          </w:tcPr>
          <w:p w14:paraId="4872B229" w14:textId="77777777" w:rsidR="00A433FB" w:rsidRDefault="00A433FB" w:rsidP="00C011E6">
            <w:pPr>
              <w:pStyle w:val="ListParagraph"/>
              <w:ind w:left="0"/>
            </w:pPr>
            <w:proofErr w:type="spellStart"/>
            <w:r>
              <w:t>Ydw</w:t>
            </w:r>
            <w:proofErr w:type="spellEnd"/>
          </w:p>
        </w:tc>
      </w:tr>
      <w:tr w:rsidR="00A433FB" w14:paraId="440E9308" w14:textId="77777777" w:rsidTr="00C011E6">
        <w:tc>
          <w:tcPr>
            <w:tcW w:w="835" w:type="dxa"/>
          </w:tcPr>
          <w:p w14:paraId="20E1BE78" w14:textId="77777777" w:rsidR="00A433FB" w:rsidRDefault="00A433FB" w:rsidP="00C011E6">
            <w:pPr>
              <w:pStyle w:val="ListParagraph"/>
              <w:ind w:left="0"/>
            </w:pPr>
          </w:p>
        </w:tc>
        <w:tc>
          <w:tcPr>
            <w:tcW w:w="7461" w:type="dxa"/>
          </w:tcPr>
          <w:p w14:paraId="0F54D225" w14:textId="77777777" w:rsidR="00A433FB" w:rsidRDefault="00A433FB" w:rsidP="00C011E6">
            <w:pPr>
              <w:pStyle w:val="ListParagraph"/>
              <w:ind w:left="0"/>
            </w:pPr>
            <w:proofErr w:type="spellStart"/>
            <w:r>
              <w:t>Nac</w:t>
            </w:r>
            <w:proofErr w:type="spellEnd"/>
            <w:r>
              <w:t xml:space="preserve"> </w:t>
            </w:r>
            <w:proofErr w:type="spellStart"/>
            <w:r>
              <w:t>Ydw</w:t>
            </w:r>
            <w:proofErr w:type="spellEnd"/>
          </w:p>
        </w:tc>
      </w:tr>
    </w:tbl>
    <w:p w14:paraId="7E2B7F95" w14:textId="77777777" w:rsidR="00A433FB" w:rsidRDefault="00A433FB" w:rsidP="00A433FB">
      <w:pPr>
        <w:pStyle w:val="ListParagraph"/>
      </w:pPr>
    </w:p>
    <w:p w14:paraId="65CA63A0" w14:textId="77777777" w:rsidR="00A433FB" w:rsidRDefault="00A433FB" w:rsidP="00A433FB">
      <w:pPr>
        <w:pStyle w:val="ListParagraph"/>
        <w:numPr>
          <w:ilvl w:val="0"/>
          <w:numId w:val="7"/>
        </w:numPr>
      </w:pPr>
      <w:r>
        <w:t>P</w:t>
      </w:r>
      <w:r w:rsidRPr="00094064">
        <w:t xml:space="preserve">a mor </w:t>
      </w:r>
      <w:proofErr w:type="spellStart"/>
      <w:r w:rsidRPr="00094064">
        <w:t>aml</w:t>
      </w:r>
      <w:proofErr w:type="spellEnd"/>
      <w:r w:rsidRPr="00094064">
        <w:t xml:space="preserve"> </w:t>
      </w:r>
      <w:proofErr w:type="spellStart"/>
      <w:r w:rsidRPr="00094064">
        <w:t>ydych</w:t>
      </w:r>
      <w:proofErr w:type="spellEnd"/>
      <w:r w:rsidRPr="00094064">
        <w:t xml:space="preserve"> </w:t>
      </w:r>
      <w:proofErr w:type="spellStart"/>
      <w:r w:rsidRPr="00094064">
        <w:t>chi'n</w:t>
      </w:r>
      <w:proofErr w:type="spellEnd"/>
      <w:r w:rsidRPr="00094064">
        <w:t xml:space="preserve"> </w:t>
      </w:r>
      <w:proofErr w:type="spellStart"/>
      <w:r w:rsidRPr="00094064">
        <w:t>cymryd</w:t>
      </w:r>
      <w:proofErr w:type="spellEnd"/>
      <w:r w:rsidRPr="00094064">
        <w:t xml:space="preserve"> </w:t>
      </w:r>
      <w:proofErr w:type="spellStart"/>
      <w:r w:rsidRPr="00094064">
        <w:t>rhan</w:t>
      </w:r>
      <w:proofErr w:type="spellEnd"/>
      <w:r w:rsidRPr="00094064">
        <w:t xml:space="preserve"> </w:t>
      </w:r>
      <w:proofErr w:type="spellStart"/>
      <w:r w:rsidRPr="00094064">
        <w:t>yn</w:t>
      </w:r>
      <w:proofErr w:type="spellEnd"/>
      <w:r w:rsidRPr="00094064">
        <w:t xml:space="preserve"> y </w:t>
      </w:r>
      <w:proofErr w:type="spellStart"/>
      <w:r w:rsidRPr="00094064">
        <w:t>gweithgareddau</w:t>
      </w:r>
      <w:proofErr w:type="spellEnd"/>
      <w:r w:rsidRPr="00094064">
        <w:t xml:space="preserve"> </w:t>
      </w:r>
      <w:proofErr w:type="spellStart"/>
      <w:r w:rsidRPr="00094064">
        <w:t>hyn</w:t>
      </w:r>
      <w:proofErr w:type="spellEnd"/>
      <w:r w:rsidRPr="00094064">
        <w:t>?</w:t>
      </w:r>
    </w:p>
    <w:tbl>
      <w:tblPr>
        <w:tblStyle w:val="TableGrid"/>
        <w:tblW w:w="0" w:type="auto"/>
        <w:tblInd w:w="720" w:type="dxa"/>
        <w:tblLook w:val="04A0" w:firstRow="1" w:lastRow="0" w:firstColumn="1" w:lastColumn="0" w:noHBand="0" w:noVBand="1"/>
      </w:tblPr>
      <w:tblGrid>
        <w:gridCol w:w="835"/>
        <w:gridCol w:w="7461"/>
      </w:tblGrid>
      <w:tr w:rsidR="00A433FB" w14:paraId="740492EE" w14:textId="77777777" w:rsidTr="00C011E6">
        <w:tc>
          <w:tcPr>
            <w:tcW w:w="835" w:type="dxa"/>
          </w:tcPr>
          <w:p w14:paraId="205CCB91" w14:textId="77777777" w:rsidR="00A433FB" w:rsidRDefault="00A433FB" w:rsidP="00C011E6">
            <w:pPr>
              <w:pStyle w:val="ListParagraph"/>
              <w:ind w:left="0"/>
            </w:pPr>
          </w:p>
        </w:tc>
        <w:tc>
          <w:tcPr>
            <w:tcW w:w="7461" w:type="dxa"/>
          </w:tcPr>
          <w:p w14:paraId="22FA365F" w14:textId="77777777" w:rsidR="00A433FB" w:rsidRDefault="00A433FB" w:rsidP="00C011E6">
            <w:pPr>
              <w:pStyle w:val="ListParagraph"/>
              <w:ind w:left="0"/>
            </w:pPr>
            <w:proofErr w:type="spellStart"/>
            <w:r>
              <w:t>Unwaith</w:t>
            </w:r>
            <w:proofErr w:type="spellEnd"/>
            <w:r>
              <w:t xml:space="preserve"> y </w:t>
            </w:r>
            <w:proofErr w:type="spellStart"/>
            <w:r>
              <w:t>dydd</w:t>
            </w:r>
            <w:proofErr w:type="spellEnd"/>
          </w:p>
        </w:tc>
      </w:tr>
      <w:tr w:rsidR="00A433FB" w14:paraId="666556FF" w14:textId="77777777" w:rsidTr="00C011E6">
        <w:tc>
          <w:tcPr>
            <w:tcW w:w="835" w:type="dxa"/>
          </w:tcPr>
          <w:p w14:paraId="6E85AC0B" w14:textId="77777777" w:rsidR="00A433FB" w:rsidRDefault="00A433FB" w:rsidP="00C011E6">
            <w:pPr>
              <w:pStyle w:val="ListParagraph"/>
              <w:ind w:left="0"/>
            </w:pPr>
          </w:p>
        </w:tc>
        <w:tc>
          <w:tcPr>
            <w:tcW w:w="7461" w:type="dxa"/>
          </w:tcPr>
          <w:p w14:paraId="19261E4E" w14:textId="77777777" w:rsidR="00A433FB" w:rsidRDefault="00A433FB" w:rsidP="00C011E6">
            <w:pPr>
              <w:pStyle w:val="ListParagraph"/>
              <w:ind w:left="0"/>
            </w:pPr>
            <w:r>
              <w:t xml:space="preserve">Fwy nag </w:t>
            </w:r>
            <w:proofErr w:type="spellStart"/>
            <w:r>
              <w:t>unwaith</w:t>
            </w:r>
            <w:proofErr w:type="spellEnd"/>
            <w:r>
              <w:t xml:space="preserve"> y </w:t>
            </w:r>
            <w:proofErr w:type="spellStart"/>
            <w:r>
              <w:t>dydd</w:t>
            </w:r>
            <w:proofErr w:type="spellEnd"/>
          </w:p>
        </w:tc>
      </w:tr>
      <w:tr w:rsidR="00A433FB" w14:paraId="52B95059" w14:textId="77777777" w:rsidTr="00C011E6">
        <w:tc>
          <w:tcPr>
            <w:tcW w:w="835" w:type="dxa"/>
          </w:tcPr>
          <w:p w14:paraId="58C76B79" w14:textId="77777777" w:rsidR="00A433FB" w:rsidRDefault="00A433FB" w:rsidP="00C011E6">
            <w:pPr>
              <w:pStyle w:val="ListParagraph"/>
              <w:ind w:left="0"/>
            </w:pPr>
          </w:p>
        </w:tc>
        <w:tc>
          <w:tcPr>
            <w:tcW w:w="7461" w:type="dxa"/>
          </w:tcPr>
          <w:p w14:paraId="7572DDF1" w14:textId="77777777" w:rsidR="00A433FB" w:rsidRDefault="00A433FB" w:rsidP="00C011E6">
            <w:pPr>
              <w:pStyle w:val="ListParagraph"/>
              <w:ind w:left="0"/>
            </w:pPr>
            <w:proofErr w:type="spellStart"/>
            <w:r>
              <w:t>Unwaith</w:t>
            </w:r>
            <w:proofErr w:type="spellEnd"/>
            <w:r>
              <w:t xml:space="preserve"> </w:t>
            </w:r>
            <w:proofErr w:type="spellStart"/>
            <w:r>
              <w:t>yr</w:t>
            </w:r>
            <w:proofErr w:type="spellEnd"/>
            <w:r>
              <w:t xml:space="preserve"> </w:t>
            </w:r>
            <w:proofErr w:type="spellStart"/>
            <w:r>
              <w:t>wythnos</w:t>
            </w:r>
            <w:proofErr w:type="spellEnd"/>
          </w:p>
        </w:tc>
      </w:tr>
    </w:tbl>
    <w:p w14:paraId="2A4C5275" w14:textId="77777777" w:rsidR="00A433FB" w:rsidRDefault="00A433FB" w:rsidP="00A433FB">
      <w:pPr>
        <w:pStyle w:val="ListParagraph"/>
      </w:pPr>
    </w:p>
    <w:p w14:paraId="4D040A1A" w14:textId="77777777" w:rsidR="00A433FB" w:rsidRDefault="00A433FB" w:rsidP="00A433FB">
      <w:pPr>
        <w:pStyle w:val="ListParagraph"/>
        <w:numPr>
          <w:ilvl w:val="0"/>
          <w:numId w:val="7"/>
        </w:numPr>
      </w:pPr>
      <w:proofErr w:type="spellStart"/>
      <w:r>
        <w:t>Ble</w:t>
      </w:r>
      <w:proofErr w:type="spellEnd"/>
      <w:r w:rsidRPr="00094064">
        <w:t xml:space="preserve"> </w:t>
      </w:r>
      <w:proofErr w:type="spellStart"/>
      <w:r w:rsidRPr="00094064">
        <w:t>ydych</w:t>
      </w:r>
      <w:proofErr w:type="spellEnd"/>
      <w:r w:rsidRPr="00094064">
        <w:t xml:space="preserve"> </w:t>
      </w:r>
      <w:proofErr w:type="spellStart"/>
      <w:r w:rsidRPr="00094064">
        <w:t>ch</w:t>
      </w:r>
      <w:r>
        <w:t>i’n</w:t>
      </w:r>
      <w:proofErr w:type="spellEnd"/>
      <w:r>
        <w:t xml:space="preserve"> </w:t>
      </w:r>
      <w:proofErr w:type="spellStart"/>
      <w:r>
        <w:t>gwneud</w:t>
      </w:r>
      <w:proofErr w:type="spellEnd"/>
      <w:r>
        <w:t xml:space="preserve"> </w:t>
      </w:r>
      <w:proofErr w:type="spellStart"/>
      <w:r>
        <w:t>yr</w:t>
      </w:r>
      <w:proofErr w:type="spellEnd"/>
      <w:r>
        <w:t xml:space="preserve"> </w:t>
      </w:r>
      <w:proofErr w:type="spellStart"/>
      <w:r>
        <w:t>gweithgareddau</w:t>
      </w:r>
      <w:proofErr w:type="spellEnd"/>
      <w:r>
        <w:t xml:space="preserve"> </w:t>
      </w:r>
      <w:proofErr w:type="spellStart"/>
      <w:r>
        <w:t>hyn</w:t>
      </w:r>
      <w:proofErr w:type="spellEnd"/>
      <w:r w:rsidRPr="00094064">
        <w:t>?</w:t>
      </w:r>
    </w:p>
    <w:tbl>
      <w:tblPr>
        <w:tblStyle w:val="TableGrid"/>
        <w:tblW w:w="0" w:type="auto"/>
        <w:tblInd w:w="720" w:type="dxa"/>
        <w:tblLook w:val="04A0" w:firstRow="1" w:lastRow="0" w:firstColumn="1" w:lastColumn="0" w:noHBand="0" w:noVBand="1"/>
      </w:tblPr>
      <w:tblGrid>
        <w:gridCol w:w="835"/>
        <w:gridCol w:w="7461"/>
      </w:tblGrid>
      <w:tr w:rsidR="00A433FB" w14:paraId="6333ACA7" w14:textId="77777777" w:rsidTr="00C011E6">
        <w:tc>
          <w:tcPr>
            <w:tcW w:w="835" w:type="dxa"/>
          </w:tcPr>
          <w:p w14:paraId="2F0458BE" w14:textId="77777777" w:rsidR="00A433FB" w:rsidRDefault="00A433FB" w:rsidP="00C011E6">
            <w:pPr>
              <w:pStyle w:val="ListParagraph"/>
              <w:ind w:left="0"/>
            </w:pPr>
          </w:p>
        </w:tc>
        <w:tc>
          <w:tcPr>
            <w:tcW w:w="7461" w:type="dxa"/>
          </w:tcPr>
          <w:p w14:paraId="54CD4DEF" w14:textId="77777777" w:rsidR="00A433FB" w:rsidRDefault="00A433FB" w:rsidP="00C011E6">
            <w:pPr>
              <w:pStyle w:val="ListParagraph"/>
              <w:ind w:left="0"/>
            </w:pPr>
            <w:proofErr w:type="spellStart"/>
            <w:r>
              <w:t>Yn</w:t>
            </w:r>
            <w:proofErr w:type="spellEnd"/>
            <w:r>
              <w:t xml:space="preserve"> </w:t>
            </w:r>
            <w:proofErr w:type="spellStart"/>
            <w:r>
              <w:t>yr</w:t>
            </w:r>
            <w:proofErr w:type="spellEnd"/>
            <w:r>
              <w:t xml:space="preserve"> </w:t>
            </w:r>
            <w:proofErr w:type="spellStart"/>
            <w:r>
              <w:t>ysgol</w:t>
            </w:r>
            <w:proofErr w:type="spellEnd"/>
          </w:p>
        </w:tc>
      </w:tr>
      <w:tr w:rsidR="00A433FB" w14:paraId="06EFD642" w14:textId="77777777" w:rsidTr="00C011E6">
        <w:tc>
          <w:tcPr>
            <w:tcW w:w="835" w:type="dxa"/>
          </w:tcPr>
          <w:p w14:paraId="507372E9" w14:textId="77777777" w:rsidR="00A433FB" w:rsidRDefault="00A433FB" w:rsidP="00C011E6">
            <w:pPr>
              <w:pStyle w:val="ListParagraph"/>
              <w:ind w:left="0"/>
            </w:pPr>
          </w:p>
        </w:tc>
        <w:tc>
          <w:tcPr>
            <w:tcW w:w="7461" w:type="dxa"/>
          </w:tcPr>
          <w:p w14:paraId="780C323A" w14:textId="77777777" w:rsidR="00A433FB" w:rsidRDefault="00A433FB" w:rsidP="00C011E6">
            <w:pPr>
              <w:pStyle w:val="ListParagraph"/>
              <w:ind w:left="0"/>
            </w:pPr>
            <w:proofErr w:type="spellStart"/>
            <w:r>
              <w:t>Yn</w:t>
            </w:r>
            <w:proofErr w:type="spellEnd"/>
            <w:r>
              <w:t xml:space="preserve"> y </w:t>
            </w:r>
            <w:proofErr w:type="spellStart"/>
            <w:r>
              <w:t>tŷ</w:t>
            </w:r>
            <w:proofErr w:type="spellEnd"/>
          </w:p>
        </w:tc>
      </w:tr>
      <w:tr w:rsidR="00A433FB" w14:paraId="01E43663" w14:textId="77777777" w:rsidTr="00C011E6">
        <w:tc>
          <w:tcPr>
            <w:tcW w:w="835" w:type="dxa"/>
          </w:tcPr>
          <w:p w14:paraId="39FB46C4" w14:textId="77777777" w:rsidR="00A433FB" w:rsidRDefault="00A433FB" w:rsidP="00C011E6">
            <w:pPr>
              <w:pStyle w:val="ListParagraph"/>
              <w:ind w:left="0"/>
            </w:pPr>
          </w:p>
        </w:tc>
        <w:tc>
          <w:tcPr>
            <w:tcW w:w="7461" w:type="dxa"/>
          </w:tcPr>
          <w:p w14:paraId="77D6AE28" w14:textId="77777777" w:rsidR="00A433FB" w:rsidRDefault="00A433FB" w:rsidP="00C011E6">
            <w:pPr>
              <w:pStyle w:val="ListParagraph"/>
              <w:ind w:left="0"/>
            </w:pPr>
            <w:proofErr w:type="spellStart"/>
            <w:r>
              <w:t>Mewn</w:t>
            </w:r>
            <w:proofErr w:type="spellEnd"/>
            <w:r>
              <w:t xml:space="preserve"> </w:t>
            </w:r>
            <w:proofErr w:type="spellStart"/>
            <w:r>
              <w:t>clwb</w:t>
            </w:r>
            <w:proofErr w:type="spellEnd"/>
            <w:r>
              <w:t>/</w:t>
            </w:r>
            <w:proofErr w:type="spellStart"/>
            <w:r>
              <w:t>tîm</w:t>
            </w:r>
            <w:proofErr w:type="spellEnd"/>
          </w:p>
        </w:tc>
      </w:tr>
      <w:tr w:rsidR="00A433FB" w14:paraId="269E88A1" w14:textId="77777777" w:rsidTr="00C011E6">
        <w:tc>
          <w:tcPr>
            <w:tcW w:w="835" w:type="dxa"/>
          </w:tcPr>
          <w:p w14:paraId="2B071F33" w14:textId="77777777" w:rsidR="00A433FB" w:rsidRDefault="00A433FB" w:rsidP="00C011E6">
            <w:pPr>
              <w:pStyle w:val="ListParagraph"/>
              <w:ind w:left="0"/>
            </w:pPr>
          </w:p>
        </w:tc>
        <w:tc>
          <w:tcPr>
            <w:tcW w:w="7461" w:type="dxa"/>
          </w:tcPr>
          <w:p w14:paraId="4B44B9F3" w14:textId="77777777" w:rsidR="00A433FB" w:rsidRDefault="00A433FB" w:rsidP="00C011E6">
            <w:pPr>
              <w:pStyle w:val="ListParagraph"/>
              <w:ind w:left="0"/>
            </w:pPr>
            <w:proofErr w:type="spellStart"/>
            <w:r>
              <w:t>Rhywle</w:t>
            </w:r>
            <w:proofErr w:type="spellEnd"/>
            <w:r>
              <w:t xml:space="preserve"> </w:t>
            </w:r>
            <w:proofErr w:type="spellStart"/>
            <w:r>
              <w:t>arall</w:t>
            </w:r>
            <w:proofErr w:type="spellEnd"/>
          </w:p>
        </w:tc>
      </w:tr>
    </w:tbl>
    <w:p w14:paraId="2AEC4ACD" w14:textId="77777777" w:rsidR="00A433FB" w:rsidRDefault="00A433FB" w:rsidP="00A433FB">
      <w:pPr>
        <w:pStyle w:val="ListParagraph"/>
      </w:pPr>
    </w:p>
    <w:p w14:paraId="45FE6ACC" w14:textId="77777777" w:rsidR="00A433FB" w:rsidRDefault="00A433FB" w:rsidP="00A433FB">
      <w:pPr>
        <w:pStyle w:val="ListParagraph"/>
        <w:numPr>
          <w:ilvl w:val="0"/>
          <w:numId w:val="7"/>
        </w:numPr>
      </w:pPr>
      <w:r w:rsidRPr="00094064">
        <w:t xml:space="preserve">Sut </w:t>
      </w:r>
      <w:proofErr w:type="spellStart"/>
      <w:r w:rsidRPr="00094064">
        <w:t>ydych</w:t>
      </w:r>
      <w:proofErr w:type="spellEnd"/>
      <w:r w:rsidRPr="00094064">
        <w:t xml:space="preserve"> </w:t>
      </w:r>
      <w:proofErr w:type="spellStart"/>
      <w:r w:rsidRPr="00094064">
        <w:t>chi'n</w:t>
      </w:r>
      <w:proofErr w:type="spellEnd"/>
      <w:r w:rsidRPr="00094064">
        <w:t xml:space="preserve"> </w:t>
      </w:r>
      <w:proofErr w:type="spellStart"/>
      <w:r w:rsidRPr="00094064">
        <w:t>teimlo</w:t>
      </w:r>
      <w:proofErr w:type="spellEnd"/>
      <w:r w:rsidRPr="00094064">
        <w:t xml:space="preserve"> </w:t>
      </w:r>
      <w:proofErr w:type="spellStart"/>
      <w:r w:rsidRPr="00094064">
        <w:t>cyn</w:t>
      </w:r>
      <w:proofErr w:type="spellEnd"/>
      <w:r w:rsidRPr="00094064">
        <w:t xml:space="preserve"> </w:t>
      </w:r>
      <w:proofErr w:type="spellStart"/>
      <w:r w:rsidRPr="00094064">
        <w:t>cymryd</w:t>
      </w:r>
      <w:proofErr w:type="spellEnd"/>
      <w:r w:rsidRPr="00094064">
        <w:t xml:space="preserve"> </w:t>
      </w:r>
      <w:proofErr w:type="spellStart"/>
      <w:r w:rsidRPr="00094064">
        <w:t>rhan</w:t>
      </w:r>
      <w:proofErr w:type="spellEnd"/>
      <w:r w:rsidRPr="00094064">
        <w:t xml:space="preserve"> </w:t>
      </w:r>
      <w:proofErr w:type="spellStart"/>
      <w:r w:rsidRPr="00094064">
        <w:t>mewn</w:t>
      </w:r>
      <w:proofErr w:type="spellEnd"/>
      <w:r w:rsidRPr="00094064">
        <w:t xml:space="preserve"> </w:t>
      </w:r>
      <w:proofErr w:type="spellStart"/>
      <w:r w:rsidRPr="00094064">
        <w:t>gweithgareddau</w:t>
      </w:r>
      <w:proofErr w:type="spellEnd"/>
      <w:r w:rsidRPr="00094064">
        <w:t xml:space="preserve"> </w:t>
      </w:r>
      <w:proofErr w:type="spellStart"/>
      <w:r>
        <w:t>meddylgawrch</w:t>
      </w:r>
      <w:proofErr w:type="spellEnd"/>
    </w:p>
    <w:tbl>
      <w:tblPr>
        <w:tblStyle w:val="TableGrid"/>
        <w:tblW w:w="0" w:type="auto"/>
        <w:tblInd w:w="720" w:type="dxa"/>
        <w:tblLook w:val="04A0" w:firstRow="1" w:lastRow="0" w:firstColumn="1" w:lastColumn="0" w:noHBand="0" w:noVBand="1"/>
      </w:tblPr>
      <w:tblGrid>
        <w:gridCol w:w="835"/>
        <w:gridCol w:w="7461"/>
      </w:tblGrid>
      <w:tr w:rsidR="00A433FB" w14:paraId="7A183768" w14:textId="77777777" w:rsidTr="00C011E6">
        <w:tc>
          <w:tcPr>
            <w:tcW w:w="835" w:type="dxa"/>
          </w:tcPr>
          <w:p w14:paraId="4C53E329" w14:textId="77777777" w:rsidR="00A433FB" w:rsidRDefault="00A433FB" w:rsidP="00C011E6">
            <w:pPr>
              <w:pStyle w:val="ListParagraph"/>
              <w:ind w:left="0"/>
            </w:pPr>
          </w:p>
        </w:tc>
        <w:tc>
          <w:tcPr>
            <w:tcW w:w="7461" w:type="dxa"/>
          </w:tcPr>
          <w:p w14:paraId="493E6792" w14:textId="77777777" w:rsidR="00A433FB" w:rsidRDefault="00A433FB" w:rsidP="00C011E6">
            <w:pPr>
              <w:pStyle w:val="ListParagraph"/>
              <w:ind w:left="0"/>
            </w:pPr>
            <w:proofErr w:type="spellStart"/>
            <w:r>
              <w:t>hapus</w:t>
            </w:r>
            <w:proofErr w:type="spellEnd"/>
          </w:p>
        </w:tc>
      </w:tr>
      <w:tr w:rsidR="00A433FB" w14:paraId="5E721071" w14:textId="77777777" w:rsidTr="00C011E6">
        <w:tc>
          <w:tcPr>
            <w:tcW w:w="835" w:type="dxa"/>
          </w:tcPr>
          <w:p w14:paraId="0E129C27" w14:textId="77777777" w:rsidR="00A433FB" w:rsidRDefault="00A433FB" w:rsidP="00C011E6">
            <w:pPr>
              <w:pStyle w:val="ListParagraph"/>
              <w:ind w:left="0"/>
            </w:pPr>
          </w:p>
        </w:tc>
        <w:tc>
          <w:tcPr>
            <w:tcW w:w="7461" w:type="dxa"/>
          </w:tcPr>
          <w:p w14:paraId="7AFD31F2" w14:textId="77777777" w:rsidR="00A433FB" w:rsidRDefault="00A433FB" w:rsidP="00C011E6">
            <w:pPr>
              <w:pStyle w:val="ListParagraph"/>
              <w:ind w:left="0"/>
            </w:pPr>
            <w:proofErr w:type="spellStart"/>
            <w:r>
              <w:t>Yn</w:t>
            </w:r>
            <w:proofErr w:type="spellEnd"/>
            <w:r>
              <w:t xml:space="preserve"> </w:t>
            </w:r>
            <w:proofErr w:type="spellStart"/>
            <w:r>
              <w:t>llonydd</w:t>
            </w:r>
            <w:proofErr w:type="spellEnd"/>
          </w:p>
        </w:tc>
      </w:tr>
      <w:tr w:rsidR="00A433FB" w14:paraId="31D22F5D" w14:textId="77777777" w:rsidTr="00C011E6">
        <w:tc>
          <w:tcPr>
            <w:tcW w:w="835" w:type="dxa"/>
          </w:tcPr>
          <w:p w14:paraId="58ED9EBC" w14:textId="77777777" w:rsidR="00A433FB" w:rsidRDefault="00A433FB" w:rsidP="00C011E6">
            <w:pPr>
              <w:pStyle w:val="ListParagraph"/>
              <w:ind w:left="0"/>
            </w:pPr>
          </w:p>
        </w:tc>
        <w:tc>
          <w:tcPr>
            <w:tcW w:w="7461" w:type="dxa"/>
          </w:tcPr>
          <w:p w14:paraId="2EEF6A6A" w14:textId="77777777" w:rsidR="00A433FB" w:rsidRDefault="00A433FB" w:rsidP="00C011E6">
            <w:pPr>
              <w:pStyle w:val="ListParagraph"/>
              <w:ind w:left="0"/>
            </w:pPr>
            <w:proofErr w:type="spellStart"/>
            <w:r>
              <w:t>Straen</w:t>
            </w:r>
            <w:proofErr w:type="spellEnd"/>
            <w:r>
              <w:t xml:space="preserve"> </w:t>
            </w:r>
          </w:p>
        </w:tc>
      </w:tr>
      <w:tr w:rsidR="00A433FB" w14:paraId="0BBA52CA" w14:textId="77777777" w:rsidTr="00C011E6">
        <w:tc>
          <w:tcPr>
            <w:tcW w:w="835" w:type="dxa"/>
          </w:tcPr>
          <w:p w14:paraId="676FC7DE" w14:textId="77777777" w:rsidR="00A433FB" w:rsidRDefault="00A433FB" w:rsidP="00C011E6">
            <w:pPr>
              <w:pStyle w:val="ListParagraph"/>
              <w:ind w:left="0"/>
            </w:pPr>
          </w:p>
        </w:tc>
        <w:tc>
          <w:tcPr>
            <w:tcW w:w="7461" w:type="dxa"/>
          </w:tcPr>
          <w:p w14:paraId="46537B9F" w14:textId="77777777" w:rsidR="00A433FB" w:rsidRDefault="00A433FB" w:rsidP="00C011E6">
            <w:pPr>
              <w:pStyle w:val="ListParagraph"/>
              <w:ind w:left="0"/>
            </w:pPr>
            <w:proofErr w:type="spellStart"/>
            <w:r>
              <w:t>iawn</w:t>
            </w:r>
            <w:proofErr w:type="spellEnd"/>
          </w:p>
        </w:tc>
      </w:tr>
    </w:tbl>
    <w:p w14:paraId="0606C290" w14:textId="77777777" w:rsidR="00A433FB" w:rsidRDefault="00A433FB" w:rsidP="00A433FB">
      <w:pPr>
        <w:pStyle w:val="ListParagraph"/>
      </w:pPr>
    </w:p>
    <w:p w14:paraId="4C62C41C" w14:textId="77777777" w:rsidR="00A433FB" w:rsidRDefault="00A433FB" w:rsidP="00A433FB">
      <w:pPr>
        <w:pStyle w:val="ListParagraph"/>
        <w:numPr>
          <w:ilvl w:val="0"/>
          <w:numId w:val="7"/>
        </w:numPr>
      </w:pPr>
      <w:r w:rsidRPr="00094064">
        <w:t xml:space="preserve">Sut </w:t>
      </w:r>
      <w:proofErr w:type="spellStart"/>
      <w:r w:rsidRPr="00094064">
        <w:t>ydych</w:t>
      </w:r>
      <w:proofErr w:type="spellEnd"/>
      <w:r w:rsidRPr="00094064">
        <w:t xml:space="preserve"> </w:t>
      </w:r>
      <w:proofErr w:type="spellStart"/>
      <w:r w:rsidRPr="00094064">
        <w:t>chi'n</w:t>
      </w:r>
      <w:proofErr w:type="spellEnd"/>
      <w:r w:rsidRPr="00094064">
        <w:t xml:space="preserve"> </w:t>
      </w:r>
      <w:proofErr w:type="spellStart"/>
      <w:r w:rsidRPr="00094064">
        <w:t>teimlo</w:t>
      </w:r>
      <w:proofErr w:type="spellEnd"/>
      <w:r w:rsidRPr="00094064">
        <w:t xml:space="preserve"> </w:t>
      </w:r>
      <w:proofErr w:type="spellStart"/>
      <w:r>
        <w:t>ar</w:t>
      </w:r>
      <w:proofErr w:type="spellEnd"/>
      <w:r>
        <w:t xml:space="preserve"> </w:t>
      </w:r>
      <w:proofErr w:type="spellStart"/>
      <w:r>
        <w:t>ôl</w:t>
      </w:r>
      <w:proofErr w:type="spellEnd"/>
      <w:r w:rsidRPr="00094064">
        <w:t xml:space="preserve"> </w:t>
      </w:r>
      <w:proofErr w:type="spellStart"/>
      <w:r w:rsidRPr="00094064">
        <w:t>cymryd</w:t>
      </w:r>
      <w:proofErr w:type="spellEnd"/>
      <w:r w:rsidRPr="00094064">
        <w:t xml:space="preserve"> </w:t>
      </w:r>
      <w:proofErr w:type="spellStart"/>
      <w:r w:rsidRPr="00094064">
        <w:t>rhan</w:t>
      </w:r>
      <w:proofErr w:type="spellEnd"/>
      <w:r w:rsidRPr="00094064">
        <w:t xml:space="preserve"> </w:t>
      </w:r>
      <w:proofErr w:type="spellStart"/>
      <w:r w:rsidRPr="00094064">
        <w:t>mewn</w:t>
      </w:r>
      <w:proofErr w:type="spellEnd"/>
      <w:r w:rsidRPr="00094064">
        <w:t xml:space="preserve"> </w:t>
      </w:r>
      <w:proofErr w:type="spellStart"/>
      <w:r w:rsidRPr="00094064">
        <w:t>gweithgareddau</w:t>
      </w:r>
      <w:proofErr w:type="spellEnd"/>
      <w:r w:rsidRPr="00094064">
        <w:t xml:space="preserve"> </w:t>
      </w:r>
      <w:proofErr w:type="spellStart"/>
      <w:r>
        <w:t>meddylgarwch</w:t>
      </w:r>
      <w:proofErr w:type="spellEnd"/>
    </w:p>
    <w:tbl>
      <w:tblPr>
        <w:tblStyle w:val="TableGrid"/>
        <w:tblW w:w="0" w:type="auto"/>
        <w:tblInd w:w="720" w:type="dxa"/>
        <w:tblLook w:val="04A0" w:firstRow="1" w:lastRow="0" w:firstColumn="1" w:lastColumn="0" w:noHBand="0" w:noVBand="1"/>
      </w:tblPr>
      <w:tblGrid>
        <w:gridCol w:w="835"/>
        <w:gridCol w:w="7461"/>
      </w:tblGrid>
      <w:tr w:rsidR="00A433FB" w14:paraId="133C8AD6" w14:textId="77777777" w:rsidTr="00C011E6">
        <w:tc>
          <w:tcPr>
            <w:tcW w:w="835" w:type="dxa"/>
          </w:tcPr>
          <w:p w14:paraId="040A500D" w14:textId="77777777" w:rsidR="00A433FB" w:rsidRDefault="00A433FB" w:rsidP="00C011E6">
            <w:pPr>
              <w:pStyle w:val="ListParagraph"/>
              <w:ind w:left="0"/>
            </w:pPr>
          </w:p>
        </w:tc>
        <w:tc>
          <w:tcPr>
            <w:tcW w:w="7461" w:type="dxa"/>
          </w:tcPr>
          <w:p w14:paraId="1AADA917" w14:textId="77777777" w:rsidR="00A433FB" w:rsidRDefault="00A433FB" w:rsidP="00C011E6">
            <w:pPr>
              <w:pStyle w:val="ListParagraph"/>
              <w:ind w:left="0"/>
            </w:pPr>
            <w:proofErr w:type="spellStart"/>
            <w:r>
              <w:t>Yn</w:t>
            </w:r>
            <w:proofErr w:type="spellEnd"/>
            <w:r>
              <w:t xml:space="preserve"> </w:t>
            </w:r>
            <w:proofErr w:type="spellStart"/>
            <w:r>
              <w:t>fwy</w:t>
            </w:r>
            <w:proofErr w:type="spellEnd"/>
            <w:r>
              <w:t xml:space="preserve"> </w:t>
            </w:r>
            <w:proofErr w:type="spellStart"/>
            <w:r>
              <w:t>hapus</w:t>
            </w:r>
            <w:proofErr w:type="spellEnd"/>
          </w:p>
        </w:tc>
      </w:tr>
      <w:tr w:rsidR="00A433FB" w14:paraId="6C6159C2" w14:textId="77777777" w:rsidTr="00C011E6">
        <w:tc>
          <w:tcPr>
            <w:tcW w:w="835" w:type="dxa"/>
          </w:tcPr>
          <w:p w14:paraId="14A6DF0E" w14:textId="77777777" w:rsidR="00A433FB" w:rsidRDefault="00A433FB" w:rsidP="00C011E6">
            <w:pPr>
              <w:pStyle w:val="ListParagraph"/>
              <w:ind w:left="0"/>
            </w:pPr>
          </w:p>
        </w:tc>
        <w:tc>
          <w:tcPr>
            <w:tcW w:w="7461" w:type="dxa"/>
          </w:tcPr>
          <w:p w14:paraId="60C7CF1C" w14:textId="77777777" w:rsidR="00A433FB" w:rsidRDefault="00A433FB" w:rsidP="00C011E6">
            <w:pPr>
              <w:pStyle w:val="ListParagraph"/>
              <w:ind w:left="0"/>
            </w:pPr>
            <w:proofErr w:type="spellStart"/>
            <w:r>
              <w:t>Yn</w:t>
            </w:r>
            <w:proofErr w:type="spellEnd"/>
            <w:r>
              <w:t xml:space="preserve"> </w:t>
            </w:r>
            <w:proofErr w:type="spellStart"/>
            <w:r>
              <w:t>fwy</w:t>
            </w:r>
            <w:proofErr w:type="spellEnd"/>
            <w:r>
              <w:t xml:space="preserve"> </w:t>
            </w:r>
            <w:proofErr w:type="spellStart"/>
            <w:r>
              <w:t>llonydd</w:t>
            </w:r>
            <w:proofErr w:type="spellEnd"/>
          </w:p>
        </w:tc>
      </w:tr>
      <w:tr w:rsidR="00A433FB" w14:paraId="1A3586FF" w14:textId="77777777" w:rsidTr="00C011E6">
        <w:tc>
          <w:tcPr>
            <w:tcW w:w="835" w:type="dxa"/>
          </w:tcPr>
          <w:p w14:paraId="6DBD5997" w14:textId="77777777" w:rsidR="00A433FB" w:rsidRDefault="00A433FB" w:rsidP="00C011E6">
            <w:pPr>
              <w:pStyle w:val="ListParagraph"/>
              <w:ind w:left="0"/>
            </w:pPr>
          </w:p>
        </w:tc>
        <w:tc>
          <w:tcPr>
            <w:tcW w:w="7461" w:type="dxa"/>
          </w:tcPr>
          <w:p w14:paraId="1422E846" w14:textId="77777777" w:rsidR="00A433FB" w:rsidRDefault="00A433FB" w:rsidP="00C011E6">
            <w:pPr>
              <w:pStyle w:val="ListParagraph"/>
              <w:ind w:left="0"/>
            </w:pPr>
            <w:r>
              <w:t xml:space="preserve">Fwy o </w:t>
            </w:r>
            <w:proofErr w:type="spellStart"/>
            <w:r>
              <w:t>straen</w:t>
            </w:r>
            <w:proofErr w:type="spellEnd"/>
            <w:r>
              <w:t xml:space="preserve"> </w:t>
            </w:r>
          </w:p>
        </w:tc>
      </w:tr>
      <w:tr w:rsidR="00A433FB" w14:paraId="12F0BE41" w14:textId="77777777" w:rsidTr="00C011E6">
        <w:tc>
          <w:tcPr>
            <w:tcW w:w="835" w:type="dxa"/>
          </w:tcPr>
          <w:p w14:paraId="128895A5" w14:textId="77777777" w:rsidR="00A433FB" w:rsidRDefault="00A433FB" w:rsidP="00C011E6">
            <w:pPr>
              <w:pStyle w:val="ListParagraph"/>
              <w:ind w:left="0"/>
            </w:pPr>
          </w:p>
        </w:tc>
        <w:tc>
          <w:tcPr>
            <w:tcW w:w="7461" w:type="dxa"/>
          </w:tcPr>
          <w:p w14:paraId="1CE1867A" w14:textId="77777777" w:rsidR="00A433FB" w:rsidRDefault="00A433FB" w:rsidP="00C011E6">
            <w:pPr>
              <w:pStyle w:val="ListParagraph"/>
              <w:ind w:left="0"/>
            </w:pPr>
            <w:r>
              <w:t xml:space="preserve">Dim </w:t>
            </w:r>
            <w:proofErr w:type="spellStart"/>
            <w:r>
              <w:t>newid</w:t>
            </w:r>
            <w:proofErr w:type="spellEnd"/>
            <w:r>
              <w:t xml:space="preserve"> </w:t>
            </w:r>
          </w:p>
        </w:tc>
      </w:tr>
    </w:tbl>
    <w:p w14:paraId="38BF857A" w14:textId="77777777" w:rsidR="00A433FB" w:rsidRDefault="00A433FB" w:rsidP="00A433FB">
      <w:pPr>
        <w:pStyle w:val="ListParagraph"/>
      </w:pPr>
    </w:p>
    <w:p w14:paraId="26706633" w14:textId="77777777" w:rsidR="00A433FB" w:rsidRDefault="00A433FB" w:rsidP="00A433FB">
      <w:pPr>
        <w:pStyle w:val="ListParagraph"/>
        <w:numPr>
          <w:ilvl w:val="0"/>
          <w:numId w:val="7"/>
        </w:numPr>
      </w:pPr>
      <w:proofErr w:type="spellStart"/>
      <w:r w:rsidRPr="00094064">
        <w:t>Ydych</w:t>
      </w:r>
      <w:proofErr w:type="spellEnd"/>
      <w:r w:rsidRPr="00094064">
        <w:t xml:space="preserve"> chi </w:t>
      </w:r>
      <w:proofErr w:type="spellStart"/>
      <w:r w:rsidRPr="00094064">
        <w:t>wedi</w:t>
      </w:r>
      <w:proofErr w:type="spellEnd"/>
      <w:r w:rsidRPr="00094064">
        <w:t xml:space="preserve"> </w:t>
      </w:r>
      <w:proofErr w:type="spellStart"/>
      <w:r w:rsidRPr="00094064">
        <w:t>sylwi</w:t>
      </w:r>
      <w:proofErr w:type="spellEnd"/>
      <w:r w:rsidRPr="00094064">
        <w:t xml:space="preserve"> </w:t>
      </w:r>
      <w:proofErr w:type="spellStart"/>
      <w:r w:rsidRPr="00094064">
        <w:t>ar</w:t>
      </w:r>
      <w:proofErr w:type="spellEnd"/>
      <w:r w:rsidRPr="00094064">
        <w:t xml:space="preserve"> </w:t>
      </w:r>
      <w:proofErr w:type="spellStart"/>
      <w:r w:rsidRPr="00094064">
        <w:t>unrhyw</w:t>
      </w:r>
      <w:proofErr w:type="spellEnd"/>
      <w:r w:rsidRPr="00094064">
        <w:t xml:space="preserve"> </w:t>
      </w:r>
      <w:proofErr w:type="spellStart"/>
      <w:r w:rsidRPr="00094064">
        <w:t>newidiadau</w:t>
      </w:r>
      <w:proofErr w:type="spellEnd"/>
      <w:r w:rsidRPr="00094064">
        <w:t xml:space="preserve"> </w:t>
      </w:r>
      <w:proofErr w:type="spellStart"/>
      <w:r w:rsidRPr="00094064">
        <w:t>yn</w:t>
      </w:r>
      <w:proofErr w:type="spellEnd"/>
      <w:r w:rsidRPr="00094064">
        <w:t xml:space="preserve"> </w:t>
      </w:r>
      <w:proofErr w:type="spellStart"/>
      <w:r w:rsidRPr="00094064">
        <w:t>eich</w:t>
      </w:r>
      <w:proofErr w:type="spellEnd"/>
      <w:r w:rsidRPr="00094064">
        <w:t xml:space="preserve"> </w:t>
      </w:r>
      <w:proofErr w:type="spellStart"/>
      <w:r w:rsidRPr="00094064">
        <w:t>gallu</w:t>
      </w:r>
      <w:proofErr w:type="spellEnd"/>
      <w:r w:rsidRPr="00094064">
        <w:t xml:space="preserve"> </w:t>
      </w:r>
      <w:proofErr w:type="spellStart"/>
      <w:r w:rsidRPr="00094064">
        <w:t>i</w:t>
      </w:r>
      <w:proofErr w:type="spellEnd"/>
      <w:r w:rsidRPr="00094064">
        <w:t xml:space="preserve"> </w:t>
      </w:r>
      <w:proofErr w:type="spellStart"/>
      <w:r w:rsidRPr="00094064">
        <w:t>ganolbwyntio</w:t>
      </w:r>
      <w:proofErr w:type="spellEnd"/>
      <w:r w:rsidRPr="00094064">
        <w:t xml:space="preserve"> </w:t>
      </w:r>
      <w:proofErr w:type="spellStart"/>
      <w:r w:rsidRPr="00094064">
        <w:t>yn</w:t>
      </w:r>
      <w:proofErr w:type="spellEnd"/>
      <w:r w:rsidRPr="00094064">
        <w:t xml:space="preserve"> y </w:t>
      </w:r>
      <w:proofErr w:type="spellStart"/>
      <w:r w:rsidRPr="00094064">
        <w:t>dosbarth</w:t>
      </w:r>
      <w:proofErr w:type="spellEnd"/>
      <w:r w:rsidRPr="00094064">
        <w:t xml:space="preserve"> </w:t>
      </w:r>
      <w:proofErr w:type="spellStart"/>
      <w:r w:rsidRPr="00094064">
        <w:t>ar</w:t>
      </w:r>
      <w:proofErr w:type="spellEnd"/>
      <w:r w:rsidRPr="00094064">
        <w:t xml:space="preserve"> </w:t>
      </w:r>
      <w:proofErr w:type="spellStart"/>
      <w:r w:rsidRPr="00094064">
        <w:t>ôl</w:t>
      </w:r>
      <w:proofErr w:type="spellEnd"/>
      <w:r w:rsidRPr="00094064">
        <w:t xml:space="preserve"> </w:t>
      </w:r>
      <w:proofErr w:type="spellStart"/>
      <w:r w:rsidRPr="00094064">
        <w:t>cymryd</w:t>
      </w:r>
      <w:proofErr w:type="spellEnd"/>
      <w:r w:rsidRPr="00094064">
        <w:t xml:space="preserve"> </w:t>
      </w:r>
      <w:proofErr w:type="spellStart"/>
      <w:r w:rsidRPr="00094064">
        <w:t>rhan</w:t>
      </w:r>
      <w:proofErr w:type="spellEnd"/>
      <w:r w:rsidRPr="00094064">
        <w:t xml:space="preserve"> </w:t>
      </w:r>
      <w:proofErr w:type="spellStart"/>
      <w:r w:rsidRPr="00094064">
        <w:t>mewn</w:t>
      </w:r>
      <w:proofErr w:type="spellEnd"/>
      <w:r w:rsidRPr="00094064">
        <w:t xml:space="preserve"> </w:t>
      </w:r>
      <w:proofErr w:type="spellStart"/>
      <w:r w:rsidRPr="00094064">
        <w:t>gweithgareddau</w:t>
      </w:r>
      <w:proofErr w:type="spellEnd"/>
      <w:r w:rsidRPr="00094064">
        <w:t xml:space="preserve"> </w:t>
      </w:r>
      <w:proofErr w:type="spellStart"/>
      <w:r>
        <w:t>hyn</w:t>
      </w:r>
      <w:proofErr w:type="spellEnd"/>
      <w:r w:rsidRPr="00094064">
        <w:t>?</w:t>
      </w:r>
    </w:p>
    <w:tbl>
      <w:tblPr>
        <w:tblStyle w:val="TableGrid"/>
        <w:tblW w:w="0" w:type="auto"/>
        <w:tblInd w:w="720" w:type="dxa"/>
        <w:tblLook w:val="04A0" w:firstRow="1" w:lastRow="0" w:firstColumn="1" w:lastColumn="0" w:noHBand="0" w:noVBand="1"/>
      </w:tblPr>
      <w:tblGrid>
        <w:gridCol w:w="835"/>
        <w:gridCol w:w="7461"/>
      </w:tblGrid>
      <w:tr w:rsidR="00A433FB" w14:paraId="0C905053" w14:textId="77777777" w:rsidTr="00C011E6">
        <w:tc>
          <w:tcPr>
            <w:tcW w:w="835" w:type="dxa"/>
          </w:tcPr>
          <w:p w14:paraId="410D73F1" w14:textId="77777777" w:rsidR="00A433FB" w:rsidRDefault="00A433FB" w:rsidP="00C011E6">
            <w:pPr>
              <w:pStyle w:val="ListParagraph"/>
              <w:ind w:left="0"/>
            </w:pPr>
          </w:p>
        </w:tc>
        <w:tc>
          <w:tcPr>
            <w:tcW w:w="7461" w:type="dxa"/>
          </w:tcPr>
          <w:p w14:paraId="3C25ADFB" w14:textId="77777777" w:rsidR="00A433FB" w:rsidRDefault="00A433FB" w:rsidP="00C011E6">
            <w:pPr>
              <w:pStyle w:val="ListParagraph"/>
              <w:ind w:left="0"/>
            </w:pPr>
            <w:proofErr w:type="spellStart"/>
            <w:r>
              <w:t>Ydw</w:t>
            </w:r>
            <w:proofErr w:type="spellEnd"/>
          </w:p>
        </w:tc>
      </w:tr>
      <w:tr w:rsidR="00A433FB" w14:paraId="1DA6BC88" w14:textId="77777777" w:rsidTr="00C011E6">
        <w:tc>
          <w:tcPr>
            <w:tcW w:w="835" w:type="dxa"/>
          </w:tcPr>
          <w:p w14:paraId="17664756" w14:textId="77777777" w:rsidR="00A433FB" w:rsidRDefault="00A433FB" w:rsidP="00C011E6">
            <w:pPr>
              <w:pStyle w:val="ListParagraph"/>
              <w:ind w:left="0"/>
            </w:pPr>
          </w:p>
        </w:tc>
        <w:tc>
          <w:tcPr>
            <w:tcW w:w="7461" w:type="dxa"/>
          </w:tcPr>
          <w:p w14:paraId="49CB7726" w14:textId="77777777" w:rsidR="00A433FB" w:rsidRDefault="00A433FB" w:rsidP="00C011E6">
            <w:pPr>
              <w:pStyle w:val="ListParagraph"/>
              <w:ind w:left="0"/>
            </w:pPr>
            <w:proofErr w:type="spellStart"/>
            <w:r>
              <w:t>Nac</w:t>
            </w:r>
            <w:proofErr w:type="spellEnd"/>
            <w:r>
              <w:t xml:space="preserve"> </w:t>
            </w:r>
            <w:proofErr w:type="spellStart"/>
            <w:r>
              <w:t>Ydw</w:t>
            </w:r>
            <w:proofErr w:type="spellEnd"/>
          </w:p>
        </w:tc>
      </w:tr>
    </w:tbl>
    <w:p w14:paraId="209B6B13" w14:textId="77777777" w:rsidR="00A433FB" w:rsidRDefault="00A433FB" w:rsidP="00A433FB">
      <w:pPr>
        <w:pStyle w:val="ListParagraph"/>
      </w:pPr>
    </w:p>
    <w:p w14:paraId="05677E30" w14:textId="77777777" w:rsidR="00A433FB" w:rsidRDefault="00A433FB" w:rsidP="00A433FB">
      <w:pPr>
        <w:pStyle w:val="ListParagraph"/>
        <w:numPr>
          <w:ilvl w:val="0"/>
          <w:numId w:val="7"/>
        </w:numPr>
      </w:pPr>
      <w:r w:rsidRPr="00094064">
        <w:t xml:space="preserve"> </w:t>
      </w:r>
      <w:proofErr w:type="spellStart"/>
      <w:r w:rsidRPr="00094064">
        <w:t>Ydych</w:t>
      </w:r>
      <w:proofErr w:type="spellEnd"/>
      <w:r w:rsidRPr="00094064">
        <w:t xml:space="preserve"> </w:t>
      </w:r>
      <w:proofErr w:type="spellStart"/>
      <w:r w:rsidRPr="00094064">
        <w:t>chi'n</w:t>
      </w:r>
      <w:proofErr w:type="spellEnd"/>
      <w:r w:rsidRPr="00094064">
        <w:t xml:space="preserve"> </w:t>
      </w:r>
      <w:proofErr w:type="spellStart"/>
      <w:r w:rsidRPr="00094064">
        <w:t>teimlo'n</w:t>
      </w:r>
      <w:proofErr w:type="spellEnd"/>
      <w:r w:rsidRPr="00094064">
        <w:t xml:space="preserve"> </w:t>
      </w:r>
      <w:proofErr w:type="spellStart"/>
      <w:r w:rsidRPr="00094064">
        <w:t>fwy</w:t>
      </w:r>
      <w:proofErr w:type="spellEnd"/>
      <w:r w:rsidRPr="00094064">
        <w:t xml:space="preserve"> </w:t>
      </w:r>
      <w:proofErr w:type="spellStart"/>
      <w:r w:rsidRPr="00094064">
        <w:t>hyderus</w:t>
      </w:r>
      <w:proofErr w:type="spellEnd"/>
      <w:r w:rsidRPr="00094064">
        <w:t xml:space="preserve"> </w:t>
      </w:r>
      <w:proofErr w:type="spellStart"/>
      <w:r w:rsidRPr="00094064">
        <w:t>wrth</w:t>
      </w:r>
      <w:proofErr w:type="spellEnd"/>
      <w:r w:rsidRPr="00094064">
        <w:t xml:space="preserve"> </w:t>
      </w:r>
      <w:proofErr w:type="spellStart"/>
      <w:r w:rsidRPr="00094064">
        <w:t>reoli</w:t>
      </w:r>
      <w:proofErr w:type="spellEnd"/>
      <w:r w:rsidRPr="00094064">
        <w:t xml:space="preserve"> </w:t>
      </w:r>
      <w:proofErr w:type="spellStart"/>
      <w:r w:rsidRPr="00094064">
        <w:t>emosiynau</w:t>
      </w:r>
      <w:proofErr w:type="spellEnd"/>
      <w:r w:rsidRPr="00094064">
        <w:t xml:space="preserve"> </w:t>
      </w:r>
      <w:proofErr w:type="spellStart"/>
      <w:r w:rsidRPr="00094064">
        <w:t>anodd</w:t>
      </w:r>
      <w:proofErr w:type="spellEnd"/>
      <w:r w:rsidRPr="00094064">
        <w:t xml:space="preserve"> </w:t>
      </w:r>
      <w:proofErr w:type="spellStart"/>
      <w:r w:rsidRPr="00094064">
        <w:t>ar</w:t>
      </w:r>
      <w:proofErr w:type="spellEnd"/>
      <w:r w:rsidRPr="00094064">
        <w:t xml:space="preserve"> </w:t>
      </w:r>
      <w:proofErr w:type="spellStart"/>
      <w:r w:rsidRPr="00094064">
        <w:t>ôl</w:t>
      </w:r>
      <w:proofErr w:type="spellEnd"/>
      <w:r w:rsidRPr="00094064">
        <w:t xml:space="preserve"> </w:t>
      </w:r>
      <w:proofErr w:type="spellStart"/>
      <w:r w:rsidRPr="00094064">
        <w:t>ymarfer</w:t>
      </w:r>
      <w:proofErr w:type="spellEnd"/>
      <w:r w:rsidRPr="00094064">
        <w:t xml:space="preserve"> </w:t>
      </w:r>
      <w:proofErr w:type="spellStart"/>
      <w:r w:rsidRPr="00094064">
        <w:t>gweithgareddau</w:t>
      </w:r>
      <w:proofErr w:type="spellEnd"/>
      <w:r w:rsidRPr="00094064">
        <w:t xml:space="preserve"> </w:t>
      </w:r>
      <w:proofErr w:type="spellStart"/>
      <w:r>
        <w:t>meddylgawrch</w:t>
      </w:r>
      <w:proofErr w:type="spellEnd"/>
      <w:r>
        <w:t>?</w:t>
      </w:r>
    </w:p>
    <w:tbl>
      <w:tblPr>
        <w:tblStyle w:val="TableGrid"/>
        <w:tblW w:w="0" w:type="auto"/>
        <w:tblInd w:w="720" w:type="dxa"/>
        <w:tblLook w:val="04A0" w:firstRow="1" w:lastRow="0" w:firstColumn="1" w:lastColumn="0" w:noHBand="0" w:noVBand="1"/>
      </w:tblPr>
      <w:tblGrid>
        <w:gridCol w:w="835"/>
        <w:gridCol w:w="7461"/>
      </w:tblGrid>
      <w:tr w:rsidR="00A433FB" w14:paraId="05DBBF65" w14:textId="77777777" w:rsidTr="00C011E6">
        <w:tc>
          <w:tcPr>
            <w:tcW w:w="835" w:type="dxa"/>
          </w:tcPr>
          <w:p w14:paraId="6E60B972" w14:textId="77777777" w:rsidR="00A433FB" w:rsidRDefault="00A433FB" w:rsidP="00C011E6">
            <w:pPr>
              <w:pStyle w:val="ListParagraph"/>
              <w:ind w:left="0"/>
            </w:pPr>
          </w:p>
        </w:tc>
        <w:tc>
          <w:tcPr>
            <w:tcW w:w="7461" w:type="dxa"/>
          </w:tcPr>
          <w:p w14:paraId="0FB74B98" w14:textId="77777777" w:rsidR="00A433FB" w:rsidRDefault="00A433FB" w:rsidP="00C011E6">
            <w:pPr>
              <w:pStyle w:val="ListParagraph"/>
              <w:ind w:left="0"/>
            </w:pPr>
            <w:proofErr w:type="spellStart"/>
            <w:r>
              <w:t>Ydw</w:t>
            </w:r>
            <w:proofErr w:type="spellEnd"/>
          </w:p>
        </w:tc>
      </w:tr>
      <w:tr w:rsidR="00A433FB" w14:paraId="7CE8BB7C" w14:textId="77777777" w:rsidTr="00C011E6">
        <w:tc>
          <w:tcPr>
            <w:tcW w:w="835" w:type="dxa"/>
          </w:tcPr>
          <w:p w14:paraId="5A4A2981" w14:textId="77777777" w:rsidR="00A433FB" w:rsidRDefault="00A433FB" w:rsidP="00C011E6">
            <w:pPr>
              <w:pStyle w:val="ListParagraph"/>
              <w:ind w:left="0"/>
            </w:pPr>
          </w:p>
        </w:tc>
        <w:tc>
          <w:tcPr>
            <w:tcW w:w="7461" w:type="dxa"/>
          </w:tcPr>
          <w:p w14:paraId="6A273352" w14:textId="77777777" w:rsidR="00A433FB" w:rsidRDefault="00A433FB" w:rsidP="00C011E6">
            <w:pPr>
              <w:pStyle w:val="ListParagraph"/>
              <w:ind w:left="0"/>
            </w:pPr>
            <w:proofErr w:type="spellStart"/>
            <w:r>
              <w:t>Nac</w:t>
            </w:r>
            <w:proofErr w:type="spellEnd"/>
            <w:r>
              <w:t xml:space="preserve"> </w:t>
            </w:r>
            <w:proofErr w:type="spellStart"/>
            <w:r>
              <w:t>Ydw</w:t>
            </w:r>
            <w:proofErr w:type="spellEnd"/>
          </w:p>
        </w:tc>
      </w:tr>
      <w:tr w:rsidR="00A433FB" w14:paraId="20CEB63D" w14:textId="77777777" w:rsidTr="00C011E6">
        <w:tc>
          <w:tcPr>
            <w:tcW w:w="835" w:type="dxa"/>
          </w:tcPr>
          <w:p w14:paraId="076D7711" w14:textId="77777777" w:rsidR="00A433FB" w:rsidRDefault="00A433FB" w:rsidP="00C011E6">
            <w:pPr>
              <w:pStyle w:val="ListParagraph"/>
              <w:ind w:left="0"/>
            </w:pPr>
          </w:p>
        </w:tc>
        <w:tc>
          <w:tcPr>
            <w:tcW w:w="7461" w:type="dxa"/>
          </w:tcPr>
          <w:p w14:paraId="0D7D73C3" w14:textId="77777777" w:rsidR="00A433FB" w:rsidRDefault="00A433FB" w:rsidP="00C011E6">
            <w:pPr>
              <w:pStyle w:val="ListParagraph"/>
              <w:ind w:left="0"/>
            </w:pPr>
            <w:r>
              <w:t xml:space="preserve">Dim </w:t>
            </w:r>
            <w:proofErr w:type="spellStart"/>
            <w:r>
              <w:t>yn</w:t>
            </w:r>
            <w:proofErr w:type="spellEnd"/>
            <w:r>
              <w:t xml:space="preserve"> </w:t>
            </w:r>
            <w:proofErr w:type="spellStart"/>
            <w:r>
              <w:t>siwr</w:t>
            </w:r>
            <w:proofErr w:type="spellEnd"/>
          </w:p>
        </w:tc>
      </w:tr>
    </w:tbl>
    <w:p w14:paraId="3532170E" w14:textId="77777777" w:rsidR="00A433FB" w:rsidRDefault="00A433FB" w:rsidP="00A433FB">
      <w:pPr>
        <w:pStyle w:val="ListParagraph"/>
        <w:numPr>
          <w:ilvl w:val="0"/>
          <w:numId w:val="7"/>
        </w:numPr>
      </w:pPr>
      <w:proofErr w:type="spellStart"/>
      <w:r>
        <w:t>Ar</w:t>
      </w:r>
      <w:proofErr w:type="spellEnd"/>
      <w:r>
        <w:t xml:space="preserve"> </w:t>
      </w:r>
      <w:proofErr w:type="spellStart"/>
      <w:r>
        <w:t>raddfa</w:t>
      </w:r>
      <w:proofErr w:type="spellEnd"/>
      <w:r>
        <w:t xml:space="preserve"> o 1 </w:t>
      </w:r>
      <w:proofErr w:type="spellStart"/>
      <w:r>
        <w:t>i</w:t>
      </w:r>
      <w:proofErr w:type="spellEnd"/>
      <w:r>
        <w:t xml:space="preserve"> 5, faint </w:t>
      </w:r>
      <w:proofErr w:type="spellStart"/>
      <w:r>
        <w:t>ydych</w:t>
      </w:r>
      <w:proofErr w:type="spellEnd"/>
      <w:r>
        <w:t xml:space="preserve"> </w:t>
      </w:r>
      <w:proofErr w:type="spellStart"/>
      <w:r>
        <w:t>chi'n</w:t>
      </w:r>
      <w:proofErr w:type="spellEnd"/>
      <w:r>
        <w:t xml:space="preserve"> </w:t>
      </w:r>
      <w:proofErr w:type="spellStart"/>
      <w:r>
        <w:t>mwynhau</w:t>
      </w:r>
      <w:proofErr w:type="spellEnd"/>
      <w:r>
        <w:t xml:space="preserve"> </w:t>
      </w:r>
      <w:proofErr w:type="spellStart"/>
      <w:r>
        <w:t>cymryd</w:t>
      </w:r>
      <w:proofErr w:type="spellEnd"/>
      <w:r>
        <w:t xml:space="preserve"> </w:t>
      </w:r>
      <w:proofErr w:type="spellStart"/>
      <w:r>
        <w:t>rhan</w:t>
      </w:r>
      <w:proofErr w:type="spellEnd"/>
      <w:r>
        <w:t xml:space="preserve"> </w:t>
      </w:r>
      <w:proofErr w:type="spellStart"/>
      <w:r>
        <w:t>mewn</w:t>
      </w:r>
      <w:proofErr w:type="spellEnd"/>
      <w:r>
        <w:t xml:space="preserve"> </w:t>
      </w:r>
      <w:proofErr w:type="spellStart"/>
      <w:r>
        <w:t>gweithgareddau</w:t>
      </w:r>
      <w:proofErr w:type="spellEnd"/>
      <w:r>
        <w:t xml:space="preserve"> </w:t>
      </w:r>
      <w:proofErr w:type="spellStart"/>
      <w:r>
        <w:t>meddylgawrch</w:t>
      </w:r>
      <w:proofErr w:type="spellEnd"/>
      <w:r>
        <w:t>?</w:t>
      </w:r>
    </w:p>
    <w:p w14:paraId="5DAB4635" w14:textId="77777777" w:rsidR="00A433FB" w:rsidRDefault="00A433FB" w:rsidP="00A433FB">
      <w:pPr>
        <w:pStyle w:val="ListParagraph"/>
      </w:pPr>
      <w:r>
        <w:t>(</w:t>
      </w:r>
      <w:proofErr w:type="spellStart"/>
      <w:r>
        <w:t>ddim</w:t>
      </w:r>
      <w:proofErr w:type="spellEnd"/>
      <w:r>
        <w:t xml:space="preserve"> </w:t>
      </w:r>
      <w:proofErr w:type="spellStart"/>
      <w:r>
        <w:t>wedi</w:t>
      </w:r>
      <w:proofErr w:type="spellEnd"/>
      <w:r>
        <w:t xml:space="preserve"> </w:t>
      </w:r>
      <w:proofErr w:type="spellStart"/>
      <w:proofErr w:type="gramStart"/>
      <w:r>
        <w:t>mwynhau</w:t>
      </w:r>
      <w:proofErr w:type="spellEnd"/>
      <w:r>
        <w:t xml:space="preserve">)   </w:t>
      </w:r>
      <w:proofErr w:type="gramEnd"/>
      <w:r>
        <w:t xml:space="preserve">                                                                   (</w:t>
      </w:r>
      <w:proofErr w:type="spellStart"/>
      <w:r>
        <w:t>wedi</w:t>
      </w:r>
      <w:proofErr w:type="spellEnd"/>
      <w:r>
        <w:t xml:space="preserve"> </w:t>
      </w:r>
      <w:proofErr w:type="spellStart"/>
      <w:r>
        <w:t>mwynhau</w:t>
      </w:r>
      <w:proofErr w:type="spellEnd"/>
      <w:r>
        <w:t xml:space="preserve"> </w:t>
      </w:r>
      <w:proofErr w:type="spellStart"/>
      <w:r>
        <w:t>llawer</w:t>
      </w:r>
      <w:proofErr w:type="spellEnd"/>
      <w:r>
        <w:t>)</w:t>
      </w:r>
    </w:p>
    <w:p w14:paraId="0EB13C18" w14:textId="77777777" w:rsidR="00A433FB" w:rsidRDefault="00A433FB" w:rsidP="00A433FB">
      <w:pPr>
        <w:pStyle w:val="ListParagraph"/>
        <w:numPr>
          <w:ilvl w:val="0"/>
          <w:numId w:val="8"/>
        </w:numPr>
      </w:pPr>
      <w:r>
        <w:t xml:space="preserve">                        2.                          3.                         4.                          5.   </w:t>
      </w:r>
    </w:p>
    <w:p w14:paraId="405B1A38" w14:textId="77777777" w:rsidR="00A433FB" w:rsidRDefault="00A433FB" w:rsidP="00A433FB">
      <w:pPr>
        <w:pStyle w:val="ListParagraph"/>
        <w:numPr>
          <w:ilvl w:val="0"/>
          <w:numId w:val="7"/>
        </w:numPr>
      </w:pPr>
      <w:proofErr w:type="gramStart"/>
      <w:r w:rsidRPr="00094064">
        <w:t>A</w:t>
      </w:r>
      <w:proofErr w:type="gramEnd"/>
      <w:r w:rsidRPr="00094064">
        <w:t xml:space="preserve"> </w:t>
      </w:r>
      <w:proofErr w:type="spellStart"/>
      <w:r w:rsidRPr="00094064">
        <w:t>oes</w:t>
      </w:r>
      <w:proofErr w:type="spellEnd"/>
      <w:r w:rsidRPr="00094064">
        <w:t xml:space="preserve"> </w:t>
      </w:r>
      <w:proofErr w:type="spellStart"/>
      <w:r w:rsidRPr="00094064">
        <w:t>unrhyw</w:t>
      </w:r>
      <w:proofErr w:type="spellEnd"/>
      <w:r w:rsidRPr="00094064">
        <w:t xml:space="preserve"> </w:t>
      </w:r>
      <w:proofErr w:type="spellStart"/>
      <w:r w:rsidRPr="00094064">
        <w:t>beth</w:t>
      </w:r>
      <w:proofErr w:type="spellEnd"/>
      <w:r w:rsidRPr="00094064">
        <w:t xml:space="preserve"> </w:t>
      </w:r>
      <w:proofErr w:type="spellStart"/>
      <w:r w:rsidRPr="00094064">
        <w:t>arall</w:t>
      </w:r>
      <w:proofErr w:type="spellEnd"/>
      <w:r w:rsidRPr="00094064">
        <w:t xml:space="preserve"> </w:t>
      </w:r>
      <w:proofErr w:type="spellStart"/>
      <w:r w:rsidRPr="00094064">
        <w:t>yr</w:t>
      </w:r>
      <w:proofErr w:type="spellEnd"/>
      <w:r w:rsidRPr="00094064">
        <w:t xml:space="preserve"> </w:t>
      </w:r>
      <w:proofErr w:type="spellStart"/>
      <w:r w:rsidRPr="00094064">
        <w:t>hoffech</w:t>
      </w:r>
      <w:proofErr w:type="spellEnd"/>
      <w:r w:rsidRPr="00094064">
        <w:t xml:space="preserve"> </w:t>
      </w:r>
      <w:proofErr w:type="spellStart"/>
      <w:r w:rsidRPr="00094064">
        <w:t>ei</w:t>
      </w:r>
      <w:proofErr w:type="spellEnd"/>
      <w:r w:rsidRPr="00094064">
        <w:t xml:space="preserve"> </w:t>
      </w:r>
      <w:proofErr w:type="spellStart"/>
      <w:r w:rsidRPr="00094064">
        <w:t>rannu</w:t>
      </w:r>
      <w:proofErr w:type="spellEnd"/>
      <w:r w:rsidRPr="00094064">
        <w:t xml:space="preserve"> am </w:t>
      </w:r>
      <w:proofErr w:type="spellStart"/>
      <w:r w:rsidRPr="00094064">
        <w:t>eich</w:t>
      </w:r>
      <w:proofErr w:type="spellEnd"/>
      <w:r w:rsidRPr="00094064">
        <w:t xml:space="preserve"> </w:t>
      </w:r>
      <w:proofErr w:type="spellStart"/>
      <w:r w:rsidRPr="00094064">
        <w:t>profiadau</w:t>
      </w:r>
      <w:proofErr w:type="spellEnd"/>
      <w:r w:rsidRPr="00094064">
        <w:t xml:space="preserve"> </w:t>
      </w:r>
      <w:proofErr w:type="spellStart"/>
      <w:r w:rsidRPr="00094064">
        <w:t>gyda</w:t>
      </w:r>
      <w:proofErr w:type="spellEnd"/>
      <w:r w:rsidRPr="00094064">
        <w:t xml:space="preserve"> </w:t>
      </w:r>
      <w:proofErr w:type="spellStart"/>
      <w:r w:rsidRPr="00094064">
        <w:t>gweithgareddau</w:t>
      </w:r>
      <w:proofErr w:type="spellEnd"/>
      <w:r w:rsidRPr="00094064">
        <w:t xml:space="preserve"> </w:t>
      </w:r>
      <w:proofErr w:type="spellStart"/>
      <w:r>
        <w:t>meddylgarwch</w:t>
      </w:r>
      <w:proofErr w:type="spellEnd"/>
      <w:r>
        <w:t>?</w:t>
      </w:r>
    </w:p>
    <w:tbl>
      <w:tblPr>
        <w:tblStyle w:val="TableGrid"/>
        <w:tblW w:w="0" w:type="auto"/>
        <w:tblInd w:w="720" w:type="dxa"/>
        <w:tblLook w:val="04A0" w:firstRow="1" w:lastRow="0" w:firstColumn="1" w:lastColumn="0" w:noHBand="0" w:noVBand="1"/>
      </w:tblPr>
      <w:tblGrid>
        <w:gridCol w:w="8296"/>
      </w:tblGrid>
      <w:tr w:rsidR="00A433FB" w14:paraId="11F47FEE" w14:textId="77777777" w:rsidTr="00C011E6">
        <w:tc>
          <w:tcPr>
            <w:tcW w:w="9016" w:type="dxa"/>
          </w:tcPr>
          <w:p w14:paraId="0209A459" w14:textId="77777777" w:rsidR="00A433FB" w:rsidRDefault="00A433FB" w:rsidP="00C011E6">
            <w:pPr>
              <w:pStyle w:val="ListParagraph"/>
              <w:ind w:left="0"/>
            </w:pPr>
          </w:p>
          <w:p w14:paraId="46F2A12E" w14:textId="77777777" w:rsidR="00A433FB" w:rsidRDefault="00A433FB" w:rsidP="00C011E6">
            <w:pPr>
              <w:pStyle w:val="ListParagraph"/>
              <w:ind w:left="0"/>
            </w:pPr>
          </w:p>
          <w:p w14:paraId="651E3A0D" w14:textId="77777777" w:rsidR="00A433FB" w:rsidRDefault="00A433FB" w:rsidP="00C011E6">
            <w:pPr>
              <w:pStyle w:val="ListParagraph"/>
              <w:ind w:left="0"/>
            </w:pPr>
          </w:p>
          <w:p w14:paraId="53A5FB7C" w14:textId="77777777" w:rsidR="00A433FB" w:rsidRDefault="00A433FB" w:rsidP="00C011E6">
            <w:pPr>
              <w:pStyle w:val="ListParagraph"/>
              <w:ind w:left="0"/>
            </w:pPr>
          </w:p>
          <w:p w14:paraId="21AD9A11" w14:textId="77777777" w:rsidR="00A433FB" w:rsidRDefault="00A433FB" w:rsidP="00C011E6">
            <w:pPr>
              <w:pStyle w:val="ListParagraph"/>
              <w:ind w:left="0"/>
            </w:pPr>
          </w:p>
          <w:p w14:paraId="1BFC45BC" w14:textId="77777777" w:rsidR="00A433FB" w:rsidRDefault="00A433FB" w:rsidP="00C011E6">
            <w:pPr>
              <w:pStyle w:val="ListParagraph"/>
              <w:ind w:left="0"/>
            </w:pPr>
          </w:p>
          <w:p w14:paraId="380C02AE" w14:textId="77777777" w:rsidR="00A433FB" w:rsidRDefault="00A433FB" w:rsidP="00C011E6">
            <w:pPr>
              <w:pStyle w:val="ListParagraph"/>
              <w:ind w:left="0"/>
            </w:pPr>
          </w:p>
          <w:p w14:paraId="3FCFAEB1" w14:textId="77777777" w:rsidR="00A433FB" w:rsidRDefault="00A433FB" w:rsidP="00C011E6">
            <w:pPr>
              <w:pStyle w:val="ListParagraph"/>
              <w:ind w:left="0"/>
            </w:pPr>
          </w:p>
          <w:p w14:paraId="1D6DA235" w14:textId="77777777" w:rsidR="00A433FB" w:rsidRDefault="00A433FB" w:rsidP="00C011E6">
            <w:pPr>
              <w:pStyle w:val="ListParagraph"/>
              <w:ind w:left="0"/>
            </w:pPr>
          </w:p>
        </w:tc>
      </w:tr>
    </w:tbl>
    <w:p w14:paraId="46313AB8" w14:textId="77777777" w:rsidR="00A433FB" w:rsidRPr="00A433FB" w:rsidRDefault="00A433FB" w:rsidP="00AF28E5">
      <w:pPr>
        <w:spacing w:line="360" w:lineRule="auto"/>
        <w:rPr>
          <w:rFonts w:ascii="Segoe UI" w:hAnsi="Segoe UI" w:cs="Segoe UI"/>
          <w:color w:val="0D0D0D"/>
          <w:sz w:val="24"/>
          <w:szCs w:val="24"/>
          <w:u w:val="single"/>
        </w:rPr>
      </w:pPr>
    </w:p>
    <w:p w14:paraId="66D1AC95" w14:textId="060D1B7C" w:rsidR="0081218C" w:rsidRDefault="00A433FB" w:rsidP="00AF28E5">
      <w:pPr>
        <w:spacing w:line="360" w:lineRule="auto"/>
        <w:rPr>
          <w:rFonts w:ascii="Segoe UI" w:hAnsi="Segoe UI" w:cs="Segoe UI"/>
          <w:color w:val="0D0D0D"/>
          <w:sz w:val="24"/>
          <w:szCs w:val="24"/>
          <w:u w:val="single"/>
        </w:rPr>
      </w:pPr>
      <w:proofErr w:type="spellStart"/>
      <w:r>
        <w:rPr>
          <w:rFonts w:ascii="Segoe UI" w:hAnsi="Segoe UI" w:cs="Segoe UI"/>
          <w:color w:val="0D0D0D"/>
          <w:sz w:val="24"/>
          <w:szCs w:val="24"/>
          <w:u w:val="single"/>
        </w:rPr>
        <w:t>Atodiad</w:t>
      </w:r>
      <w:proofErr w:type="spellEnd"/>
      <w:r>
        <w:rPr>
          <w:rFonts w:ascii="Segoe UI" w:hAnsi="Segoe UI" w:cs="Segoe UI"/>
          <w:color w:val="0D0D0D"/>
          <w:sz w:val="24"/>
          <w:szCs w:val="24"/>
          <w:u w:val="single"/>
        </w:rPr>
        <w:t xml:space="preserve"> 2</w:t>
      </w:r>
    </w:p>
    <w:p w14:paraId="2E0DCE58" w14:textId="5C519C26" w:rsidR="00A433FB" w:rsidRPr="00A433FB" w:rsidRDefault="00A433FB" w:rsidP="00AF28E5">
      <w:pPr>
        <w:spacing w:line="360" w:lineRule="auto"/>
        <w:rPr>
          <w:rFonts w:ascii="Segoe UI" w:hAnsi="Segoe UI" w:cs="Segoe UI"/>
          <w:color w:val="0D0D0D"/>
          <w:sz w:val="24"/>
          <w:szCs w:val="24"/>
          <w:u w:val="single"/>
        </w:rPr>
      </w:pPr>
      <w:r>
        <w:rPr>
          <w:rFonts w:ascii="Segoe UI" w:hAnsi="Segoe UI" w:cs="Segoe UI"/>
          <w:noProof/>
          <w:color w:val="0D0D0D"/>
          <w:sz w:val="24"/>
          <w:szCs w:val="24"/>
          <w:u w:val="single"/>
          <w14:ligatures w14:val="standardContextual"/>
        </w:rPr>
        <w:lastRenderedPageBreak/>
        <w:drawing>
          <wp:inline distT="0" distB="0" distL="0" distR="0" wp14:anchorId="41E03D90" wp14:editId="6892F9D7">
            <wp:extent cx="5731510" cy="3582035"/>
            <wp:effectExtent l="0" t="0" r="0" b="0"/>
            <wp:docPr id="166665312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53120" name="Picture 2"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Segoe UI" w:hAnsi="Segoe UI" w:cs="Segoe UI"/>
          <w:noProof/>
          <w:color w:val="0D0D0D"/>
          <w:sz w:val="24"/>
          <w:szCs w:val="24"/>
          <w:u w:val="single"/>
          <w14:ligatures w14:val="standardContextual"/>
        </w:rPr>
        <w:drawing>
          <wp:inline distT="0" distB="0" distL="0" distR="0" wp14:anchorId="69BE8B09" wp14:editId="62EDCAFD">
            <wp:extent cx="5731510" cy="3582035"/>
            <wp:effectExtent l="0" t="0" r="0" b="0"/>
            <wp:docPr id="20073911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91104"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A433FB" w:rsidRPr="00A433FB">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80F6F" w14:textId="77777777" w:rsidR="00F63695" w:rsidRDefault="00F63695" w:rsidP="00142864">
      <w:r>
        <w:separator/>
      </w:r>
    </w:p>
  </w:endnote>
  <w:endnote w:type="continuationSeparator" w:id="0">
    <w:p w14:paraId="4674BAF0" w14:textId="77777777" w:rsidR="00F63695" w:rsidRDefault="00F63695" w:rsidP="00142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698194"/>
      <w:docPartObj>
        <w:docPartGallery w:val="Page Numbers (Bottom of Page)"/>
        <w:docPartUnique/>
      </w:docPartObj>
    </w:sdtPr>
    <w:sdtContent>
      <w:p w14:paraId="4EA5A524" w14:textId="4A742C99" w:rsidR="00142864" w:rsidRDefault="00142864" w:rsidP="00A662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4C27F4" w14:textId="77777777" w:rsidR="00142864" w:rsidRDefault="00142864" w:rsidP="001428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145370"/>
      <w:docPartObj>
        <w:docPartGallery w:val="Page Numbers (Bottom of Page)"/>
        <w:docPartUnique/>
      </w:docPartObj>
    </w:sdtPr>
    <w:sdtContent>
      <w:p w14:paraId="1EF2926D" w14:textId="432C3F2E" w:rsidR="00142864" w:rsidRDefault="00142864" w:rsidP="00A662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4A718B" w14:textId="77777777" w:rsidR="00142864" w:rsidRDefault="00142864" w:rsidP="001428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F50D9" w14:textId="77777777" w:rsidR="00F63695" w:rsidRDefault="00F63695" w:rsidP="00142864">
      <w:r>
        <w:separator/>
      </w:r>
    </w:p>
  </w:footnote>
  <w:footnote w:type="continuationSeparator" w:id="0">
    <w:p w14:paraId="0C54B04D" w14:textId="77777777" w:rsidR="00F63695" w:rsidRDefault="00F63695" w:rsidP="001428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1EAA2" w14:textId="661AA4B8" w:rsidR="00142864" w:rsidRDefault="00142864" w:rsidP="00142864">
    <w:pPr>
      <w:pStyle w:val="Header"/>
      <w:tabs>
        <w:tab w:val="clear" w:pos="4513"/>
        <w:tab w:val="clear" w:pos="9026"/>
        <w:tab w:val="left" w:pos="6610"/>
      </w:tabs>
    </w:pPr>
    <w:r>
      <w:t>ECAD7004</w:t>
    </w:r>
    <w:r>
      <w:tab/>
      <w:t>Megan Owens-1800606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C4BFD"/>
    <w:multiLevelType w:val="multilevel"/>
    <w:tmpl w:val="D8DE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5A7A98"/>
    <w:multiLevelType w:val="hybridMultilevel"/>
    <w:tmpl w:val="98708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C45FE1"/>
    <w:multiLevelType w:val="multilevel"/>
    <w:tmpl w:val="16C27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C826E6"/>
    <w:multiLevelType w:val="multilevel"/>
    <w:tmpl w:val="1C38041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3BB6053F"/>
    <w:multiLevelType w:val="multilevel"/>
    <w:tmpl w:val="F7DE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C638C0"/>
    <w:multiLevelType w:val="hybridMultilevel"/>
    <w:tmpl w:val="B78AAB1E"/>
    <w:lvl w:ilvl="0" w:tplc="B6B01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2A872C7"/>
    <w:multiLevelType w:val="multilevel"/>
    <w:tmpl w:val="3520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A70F7A"/>
    <w:multiLevelType w:val="multilevel"/>
    <w:tmpl w:val="D19A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2308">
    <w:abstractNumId w:val="2"/>
  </w:num>
  <w:num w:numId="2" w16cid:durableId="2052151954">
    <w:abstractNumId w:val="3"/>
  </w:num>
  <w:num w:numId="3" w16cid:durableId="675227817">
    <w:abstractNumId w:val="7"/>
  </w:num>
  <w:num w:numId="4" w16cid:durableId="1477993029">
    <w:abstractNumId w:val="0"/>
  </w:num>
  <w:num w:numId="5" w16cid:durableId="1959557226">
    <w:abstractNumId w:val="6"/>
  </w:num>
  <w:num w:numId="6" w16cid:durableId="2017490722">
    <w:abstractNumId w:val="4"/>
  </w:num>
  <w:num w:numId="7" w16cid:durableId="123546746">
    <w:abstractNumId w:val="1"/>
  </w:num>
  <w:num w:numId="8" w16cid:durableId="2424213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FE5"/>
    <w:rsid w:val="00023D9F"/>
    <w:rsid w:val="000E04C8"/>
    <w:rsid w:val="00142864"/>
    <w:rsid w:val="00233CF0"/>
    <w:rsid w:val="00234E5C"/>
    <w:rsid w:val="002359A7"/>
    <w:rsid w:val="00245625"/>
    <w:rsid w:val="00646119"/>
    <w:rsid w:val="0074155F"/>
    <w:rsid w:val="00757B46"/>
    <w:rsid w:val="007A03B1"/>
    <w:rsid w:val="0081218C"/>
    <w:rsid w:val="009A53AB"/>
    <w:rsid w:val="009D2923"/>
    <w:rsid w:val="00A433FB"/>
    <w:rsid w:val="00A53E23"/>
    <w:rsid w:val="00A755F9"/>
    <w:rsid w:val="00AF28E5"/>
    <w:rsid w:val="00C076BF"/>
    <w:rsid w:val="00CB628D"/>
    <w:rsid w:val="00E156ED"/>
    <w:rsid w:val="00F11FE5"/>
    <w:rsid w:val="00F63695"/>
    <w:rsid w:val="00F83CCA"/>
    <w:rsid w:val="00FB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AFDAA7"/>
  <w15:chartTrackingRefBased/>
  <w15:docId w15:val="{8D3EF747-00D2-DB4C-96EA-FB989E03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FE5"/>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E04C8"/>
  </w:style>
  <w:style w:type="character" w:styleId="Hyperlink">
    <w:name w:val="Hyperlink"/>
    <w:basedOn w:val="DefaultParagraphFont"/>
    <w:uiPriority w:val="99"/>
    <w:unhideWhenUsed/>
    <w:rsid w:val="009A53AB"/>
    <w:rPr>
      <w:color w:val="0563C1" w:themeColor="hyperlink"/>
      <w:u w:val="single"/>
    </w:rPr>
  </w:style>
  <w:style w:type="character" w:styleId="UnresolvedMention">
    <w:name w:val="Unresolved Mention"/>
    <w:basedOn w:val="DefaultParagraphFont"/>
    <w:uiPriority w:val="99"/>
    <w:semiHidden/>
    <w:unhideWhenUsed/>
    <w:rsid w:val="009A53AB"/>
    <w:rPr>
      <w:color w:val="605E5C"/>
      <w:shd w:val="clear" w:color="auto" w:fill="E1DFDD"/>
    </w:rPr>
  </w:style>
  <w:style w:type="paragraph" w:styleId="Header">
    <w:name w:val="header"/>
    <w:basedOn w:val="Normal"/>
    <w:link w:val="HeaderChar"/>
    <w:uiPriority w:val="99"/>
    <w:unhideWhenUsed/>
    <w:rsid w:val="00142864"/>
    <w:pPr>
      <w:tabs>
        <w:tab w:val="center" w:pos="4513"/>
        <w:tab w:val="right" w:pos="9026"/>
      </w:tabs>
    </w:pPr>
  </w:style>
  <w:style w:type="character" w:customStyle="1" w:styleId="HeaderChar">
    <w:name w:val="Header Char"/>
    <w:basedOn w:val="DefaultParagraphFont"/>
    <w:link w:val="Header"/>
    <w:uiPriority w:val="99"/>
    <w:rsid w:val="0014286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42864"/>
    <w:pPr>
      <w:tabs>
        <w:tab w:val="center" w:pos="4513"/>
        <w:tab w:val="right" w:pos="9026"/>
      </w:tabs>
    </w:pPr>
  </w:style>
  <w:style w:type="character" w:customStyle="1" w:styleId="FooterChar">
    <w:name w:val="Footer Char"/>
    <w:basedOn w:val="DefaultParagraphFont"/>
    <w:link w:val="Footer"/>
    <w:uiPriority w:val="99"/>
    <w:rsid w:val="00142864"/>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142864"/>
  </w:style>
  <w:style w:type="paragraph" w:styleId="ListParagraph">
    <w:name w:val="List Paragraph"/>
    <w:basedOn w:val="Normal"/>
    <w:uiPriority w:val="34"/>
    <w:qFormat/>
    <w:rsid w:val="00A433FB"/>
    <w:pPr>
      <w:ind w:left="720"/>
      <w:contextualSpacing/>
    </w:pPr>
    <w:rPr>
      <w:rFonts w:asciiTheme="minorHAnsi" w:eastAsiaTheme="minorHAnsi" w:hAnsiTheme="minorHAnsi" w:cstheme="minorBidi"/>
      <w:kern w:val="2"/>
      <w:sz w:val="24"/>
      <w:szCs w:val="24"/>
      <w:lang w:eastAsia="en-US"/>
      <w14:ligatures w14:val="standardContextual"/>
    </w:rPr>
  </w:style>
  <w:style w:type="table" w:styleId="TableGrid">
    <w:name w:val="Table Grid"/>
    <w:basedOn w:val="TableNormal"/>
    <w:uiPriority w:val="39"/>
    <w:rsid w:val="00A433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150279">
      <w:bodyDiv w:val="1"/>
      <w:marLeft w:val="0"/>
      <w:marRight w:val="0"/>
      <w:marTop w:val="0"/>
      <w:marBottom w:val="0"/>
      <w:divBdr>
        <w:top w:val="none" w:sz="0" w:space="0" w:color="auto"/>
        <w:left w:val="none" w:sz="0" w:space="0" w:color="auto"/>
        <w:bottom w:val="none" w:sz="0" w:space="0" w:color="auto"/>
        <w:right w:val="none" w:sz="0" w:space="0" w:color="auto"/>
      </w:divBdr>
    </w:div>
    <w:div w:id="560482097">
      <w:bodyDiv w:val="1"/>
      <w:marLeft w:val="0"/>
      <w:marRight w:val="0"/>
      <w:marTop w:val="0"/>
      <w:marBottom w:val="0"/>
      <w:divBdr>
        <w:top w:val="none" w:sz="0" w:space="0" w:color="auto"/>
        <w:left w:val="none" w:sz="0" w:space="0" w:color="auto"/>
        <w:bottom w:val="none" w:sz="0" w:space="0" w:color="auto"/>
        <w:right w:val="none" w:sz="0" w:space="0" w:color="auto"/>
      </w:divBdr>
    </w:div>
    <w:div w:id="709114383">
      <w:bodyDiv w:val="1"/>
      <w:marLeft w:val="0"/>
      <w:marRight w:val="0"/>
      <w:marTop w:val="0"/>
      <w:marBottom w:val="0"/>
      <w:divBdr>
        <w:top w:val="none" w:sz="0" w:space="0" w:color="auto"/>
        <w:left w:val="none" w:sz="0" w:space="0" w:color="auto"/>
        <w:bottom w:val="none" w:sz="0" w:space="0" w:color="auto"/>
        <w:right w:val="none" w:sz="0" w:space="0" w:color="auto"/>
      </w:divBdr>
    </w:div>
    <w:div w:id="720373528">
      <w:bodyDiv w:val="1"/>
      <w:marLeft w:val="0"/>
      <w:marRight w:val="0"/>
      <w:marTop w:val="0"/>
      <w:marBottom w:val="0"/>
      <w:divBdr>
        <w:top w:val="none" w:sz="0" w:space="0" w:color="auto"/>
        <w:left w:val="none" w:sz="0" w:space="0" w:color="auto"/>
        <w:bottom w:val="none" w:sz="0" w:space="0" w:color="auto"/>
        <w:right w:val="none" w:sz="0" w:space="0" w:color="auto"/>
      </w:divBdr>
    </w:div>
    <w:div w:id="1307903797">
      <w:bodyDiv w:val="1"/>
      <w:marLeft w:val="0"/>
      <w:marRight w:val="0"/>
      <w:marTop w:val="0"/>
      <w:marBottom w:val="0"/>
      <w:divBdr>
        <w:top w:val="none" w:sz="0" w:space="0" w:color="auto"/>
        <w:left w:val="none" w:sz="0" w:space="0" w:color="auto"/>
        <w:bottom w:val="none" w:sz="0" w:space="0" w:color="auto"/>
        <w:right w:val="none" w:sz="0" w:space="0" w:color="auto"/>
      </w:divBdr>
    </w:div>
    <w:div w:id="1338000425">
      <w:bodyDiv w:val="1"/>
      <w:marLeft w:val="0"/>
      <w:marRight w:val="0"/>
      <w:marTop w:val="0"/>
      <w:marBottom w:val="0"/>
      <w:divBdr>
        <w:top w:val="none" w:sz="0" w:space="0" w:color="auto"/>
        <w:left w:val="none" w:sz="0" w:space="0" w:color="auto"/>
        <w:bottom w:val="none" w:sz="0" w:space="0" w:color="auto"/>
        <w:right w:val="none" w:sz="0" w:space="0" w:color="auto"/>
      </w:divBdr>
    </w:div>
    <w:div w:id="1474836576">
      <w:bodyDiv w:val="1"/>
      <w:marLeft w:val="0"/>
      <w:marRight w:val="0"/>
      <w:marTop w:val="0"/>
      <w:marBottom w:val="0"/>
      <w:divBdr>
        <w:top w:val="none" w:sz="0" w:space="0" w:color="auto"/>
        <w:left w:val="none" w:sz="0" w:space="0" w:color="auto"/>
        <w:bottom w:val="none" w:sz="0" w:space="0" w:color="auto"/>
        <w:right w:val="none" w:sz="0" w:space="0" w:color="auto"/>
      </w:divBdr>
    </w:div>
    <w:div w:id="1653485453">
      <w:bodyDiv w:val="1"/>
      <w:marLeft w:val="0"/>
      <w:marRight w:val="0"/>
      <w:marTop w:val="0"/>
      <w:marBottom w:val="0"/>
      <w:divBdr>
        <w:top w:val="none" w:sz="0" w:space="0" w:color="auto"/>
        <w:left w:val="none" w:sz="0" w:space="0" w:color="auto"/>
        <w:bottom w:val="none" w:sz="0" w:space="0" w:color="auto"/>
        <w:right w:val="none" w:sz="0" w:space="0" w:color="auto"/>
      </w:divBdr>
    </w:div>
    <w:div w:id="21229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ata-protection" TargetMode="External"/><Relationship Id="rId13" Type="http://schemas.openxmlformats.org/officeDocument/2006/relationships/hyperlink" Target="https://www.uwtsd.ac.uk/research/research-integrity-and-ethic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igitalcommons.csumb.edu/cgi/viewcontent.cgi?article=1444&amp;context=caps_thes_all" TargetMode="External"/><Relationship Id="rId12" Type="http://schemas.openxmlformats.org/officeDocument/2006/relationships/hyperlink" Target="https://www.unicef.org/child-rights-convention/convention-text-childrens-versio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se.harvard.edu/ideas/usable-knowledge/19/01/making-time-mindfulness"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www.futuregenerations.wales/wp-content/uploads/2017/01/wfg-essentials-guide-cy.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mindful.org/why-mindfulness-belongs-in-the-classroom/" TargetMode="External"/><Relationship Id="rId14" Type="http://schemas.openxmlformats.org/officeDocument/2006/relationships/hyperlink" Target="https://www.ncbi.nlm.nih.gov/pmc/articles/PMC96904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5679</Words>
  <Characters>32884</Characters>
  <Application>Microsoft Office Word</Application>
  <DocSecurity>0</DocSecurity>
  <Lines>587</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Owens (1800606)</dc:creator>
  <cp:keywords/>
  <dc:description/>
  <cp:lastModifiedBy>Megan Owens (1800606)</cp:lastModifiedBy>
  <cp:revision>2</cp:revision>
  <dcterms:created xsi:type="dcterms:W3CDTF">2024-05-03T12:28:00Z</dcterms:created>
  <dcterms:modified xsi:type="dcterms:W3CDTF">2024-05-03T12:28:00Z</dcterms:modified>
</cp:coreProperties>
</file>