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mc:AlternateContent>
          <mc:Choice Requires="wpg">
            <w:drawing>
              <wp:inline distT="0" distB="0" distL="0" distR="0">
                <wp:extent cx="3480721" cy="1937606"/>
                <wp:effectExtent l="0" t="0" r="0" b="0"/>
                <wp:docPr id="1073741827" name="officeArt object" descr="officeArt object"/>
                <wp:cNvGraphicFramePr/>
                <a:graphic xmlns:a="http://schemas.openxmlformats.org/drawingml/2006/main">
                  <a:graphicData uri="http://schemas.microsoft.com/office/word/2010/wordprocessingGroup">
                    <wpg:wgp>
                      <wpg:cNvGrpSpPr/>
                      <wpg:grpSpPr>
                        <a:xfrm>
                          <a:off x="0" y="0"/>
                          <a:ext cx="3480721" cy="1937606"/>
                          <a:chOff x="0" y="0"/>
                          <a:chExt cx="3480720" cy="1937605"/>
                        </a:xfrm>
                      </wpg:grpSpPr>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139700" y="88900"/>
                            <a:ext cx="3201321" cy="1556606"/>
                          </a:xfrm>
                          <a:prstGeom prst="rect">
                            <a:avLst/>
                          </a:prstGeom>
                          <a:ln w="12700" cap="flat">
                            <a:noFill/>
                            <a:miter lim="400000"/>
                          </a:ln>
                          <a:effectLst/>
                        </pic:spPr>
                      </pic:pic>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3480721" cy="1937606"/>
                          </a:xfrm>
                          <a:prstGeom prst="rect">
                            <a:avLst/>
                          </a:prstGeom>
                          <a:ln w="12700" cap="flat">
                            <a:noFill/>
                            <a:miter lim="400000"/>
                          </a:ln>
                          <a:effectLst/>
                        </pic:spPr>
                      </pic:pic>
                    </wpg:wgp>
                  </a:graphicData>
                </a:graphic>
              </wp:inline>
            </w:drawing>
          </mc:Choice>
          <mc:Fallback>
            <w:pict>
              <v:group id="_x0000_s1026" style="visibility:visible;width:274.1pt;height:152.6pt;" coordorigin="0,0" coordsize="3480721,1937606">
                <v:shape id="_x0000_s1027" type="#_x0000_t75" style="position:absolute;left:139700;top:88900;width:3201321;height:1556606;">
                  <v:imagedata r:id="rId4" o:title="image1.png"/>
                </v:shape>
                <v:shape id="_x0000_s1028" type="#_x0000_t75" style="position:absolute;left:0;top:0;width:3480721;height:1937606;">
                  <v:imagedata r:id="rId5" o:title="image2.png"/>
                </v:shape>
              </v:group>
            </w:pict>
          </mc:Fallback>
        </mc:AlternateContent>
      </w:r>
    </w:p>
    <w:p>
      <w:pPr>
        <w:pStyle w:val="Body"/>
        <w:bidi w:val="0"/>
      </w:pPr>
    </w:p>
    <w:p>
      <w:pPr>
        <w:pStyle w:val="Default"/>
        <w:bidi w:val="0"/>
        <w:ind w:left="0" w:right="0" w:firstLine="0"/>
        <w:jc w:val="left"/>
        <w:rPr>
          <w:b w:val="1"/>
          <w:bCs w:val="1"/>
          <w:sz w:val="34"/>
          <w:szCs w:val="34"/>
          <w:u w:color="000000"/>
          <w:rtl w:val="0"/>
          <w14:textOutline w14:w="12700" w14:cap="flat">
            <w14:noFill/>
            <w14:miter w14:lim="400000"/>
          </w14:textOutline>
        </w:rPr>
      </w:pPr>
      <w:r>
        <w:rPr>
          <w:b w:val="1"/>
          <w:bCs w:val="1"/>
          <w:sz w:val="34"/>
          <w:szCs w:val="34"/>
          <w:u w:color="000000"/>
          <w:rtl w:val="0"/>
          <w:lang w:val="en-US"/>
          <w14:textOutline w14:w="12700" w14:cap="flat">
            <w14:noFill/>
            <w14:miter w14:lim="400000"/>
          </w14:textOutline>
        </w:rPr>
        <w:t>LCBB4002 COMMUNITY ENGAGEMENT ASSESSMENT 2</w:t>
      </w:r>
    </w:p>
    <w:p>
      <w:pPr>
        <w:pStyle w:val="Default"/>
        <w:bidi w:val="0"/>
        <w:spacing w:after="160" w:line="259" w:lineRule="auto"/>
        <w:ind w:left="0" w:right="0" w:firstLine="0"/>
        <w:jc w:val="left"/>
        <w:rPr>
          <w:i w:val="1"/>
          <w:iCs w:val="1"/>
          <w:outline w:val="0"/>
          <w:color w:val="1d2228"/>
          <w:sz w:val="26"/>
          <w:szCs w:val="26"/>
          <w:u w:color="1d2228"/>
          <w:shd w:val="clear" w:color="auto" w:fill="ffffff"/>
          <w:rtl w:val="0"/>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i w:val="1"/>
          <w:iCs w:val="1"/>
          <w:outline w:val="0"/>
          <w:color w:val="1d2228"/>
          <w:sz w:val="26"/>
          <w:szCs w:val="26"/>
          <w:u w:color="1d2228"/>
          <w:shd w:val="clear" w:color="auto" w:fill="ffffff"/>
          <w:rtl w:val="0"/>
          <w14:textOutline w14:w="12700" w14:cap="flat">
            <w14:noFill/>
            <w14:miter w14:lim="400000"/>
          </w14:textOutline>
          <w14:textFill>
            <w14:solidFill>
              <w14:srgbClr w14:val="1D2228"/>
            </w14:solidFill>
          </w14:textFill>
        </w:rPr>
      </w:pPr>
      <w:r>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t xml:space="preserve">Student name: Brindusa-Mihaela Ciobanu   </w:t>
      </w:r>
    </w:p>
    <w:p>
      <w:pPr>
        <w:pStyle w:val="Default"/>
        <w:bidi w:val="0"/>
        <w:spacing w:after="160" w:line="259" w:lineRule="auto"/>
        <w:ind w:left="0" w:right="0" w:firstLine="0"/>
        <w:jc w:val="left"/>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pPr>
      <w:r>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t>Student ID: 2247469</w:t>
      </w:r>
    </w:p>
    <w:p>
      <w:pPr>
        <w:pStyle w:val="Default"/>
        <w:bidi w:val="0"/>
        <w:spacing w:after="160" w:line="259" w:lineRule="auto"/>
        <w:ind w:left="0" w:right="0" w:firstLine="0"/>
        <w:jc w:val="left"/>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T</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o empower teenagers and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to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prevent high crime rates in</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Kettering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area</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we developed a thirteen months project</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This plan</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recogni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es the need to provide opportunities for personal growth and development to address the root causes of crime. Collaboration and partnerships with various stakeholders are emphasi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ed to create a comprehensive support network</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to implement awareness campaigns and workshops and to engage teenagers in peer discussions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xperiences and observations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of</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the project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are to</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inspire others to create positive change in their communities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and to create a lasting impact on their lives and the community as a whole.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In the first month of the project 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n 2014, the Head of Community Services at Kettering Borough Council and The Friends of Rockingham Road Pleasure Park formed a team to open an outdoor gym for young people in Rockingham Pleasure Park. They secured funding, installed equipment, and designed programs to promote physical activity and community engagement. The project exemplifies the power of collaboration and community involvement in creating positive opportunities for young people.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rFonts w:ascii="Arial" w:cs="Arial" w:hAnsi="Arial" w:eastAsia="Arial"/>
          <w:b w:val="1"/>
          <w:bCs w:val="1"/>
          <w:sz w:val="24"/>
          <w:szCs w:val="24"/>
          <w:u w:color="000000"/>
          <w:rtl w:val="0"/>
          <w14:textOutline w14:w="12700" w14:cap="flat">
            <w14:noFill/>
            <w14:miter w14:lim="400000"/>
          </w14:textOutline>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drawing>
          <wp:anchor distT="57150" distB="57150" distL="57150" distR="57150" simplePos="0" relativeHeight="251659264" behindDoc="0" locked="0" layoutInCell="1" allowOverlap="1">
            <wp:simplePos x="0" y="0"/>
            <wp:positionH relativeFrom="margin">
              <wp:posOffset>228600</wp:posOffset>
            </wp:positionH>
            <wp:positionV relativeFrom="line">
              <wp:posOffset>281040</wp:posOffset>
            </wp:positionV>
            <wp:extent cx="3517954" cy="2413892"/>
            <wp:effectExtent l="0" t="0" r="0" b="0"/>
            <wp:wrapThrough wrapText="bothSides" distL="57150" distR="57150">
              <wp:wrapPolygon edited="1">
                <wp:start x="0" y="0"/>
                <wp:lineTo x="21600" y="0"/>
                <wp:lineTo x="21600" y="21600"/>
                <wp:lineTo x="0" y="21600"/>
                <wp:lineTo x="0" y="0"/>
              </wp:wrapPolygon>
            </wp:wrapThrough>
            <wp:docPr id="1073741828" name="officeArt object" descr="Picture 5"/>
            <wp:cNvGraphicFramePr/>
            <a:graphic xmlns:a="http://schemas.openxmlformats.org/drawingml/2006/main">
              <a:graphicData uri="http://schemas.openxmlformats.org/drawingml/2006/picture">
                <pic:pic xmlns:pic="http://schemas.openxmlformats.org/drawingml/2006/picture">
                  <pic:nvPicPr>
                    <pic:cNvPr id="1073741828" name="Picture 5" descr="Picture 5"/>
                    <pic:cNvPicPr>
                      <a:picLocks noChangeAspect="1"/>
                    </pic:cNvPicPr>
                  </pic:nvPicPr>
                  <pic:blipFill>
                    <a:blip r:embed="rId6">
                      <a:extLst/>
                    </a:blip>
                    <a:stretch>
                      <a:fillRect/>
                    </a:stretch>
                  </pic:blipFill>
                  <pic:spPr>
                    <a:xfrm>
                      <a:off x="0" y="0"/>
                      <a:ext cx="3517954" cy="2413892"/>
                    </a:xfrm>
                    <a:prstGeom prst="rect">
                      <a:avLst/>
                    </a:prstGeom>
                    <a:ln w="12700" cap="flat">
                      <a:noFill/>
                      <a:miter lim="400000"/>
                    </a:ln>
                    <a:effectLst/>
                  </pic:spPr>
                </pic:pic>
              </a:graphicData>
            </a:graphic>
          </wp:anchor>
        </w:drawing>
      </w:r>
      <w:r>
        <w:rPr>
          <w:rFonts w:ascii="Arial" w:hAnsi="Arial"/>
          <w:b w:val="1"/>
          <w:bCs w:val="1"/>
          <w:sz w:val="24"/>
          <w:szCs w:val="24"/>
          <w:u w:color="000000"/>
          <w:rtl w:val="0"/>
          <w:lang w:val="en-US"/>
          <w14:textOutline w14:w="12700" w14:cap="flat">
            <w14:noFill/>
            <w14:miter w14:lim="400000"/>
          </w14:textOutline>
        </w:rPr>
        <w:t>Photo: Rockingham Road Pleasure Park.</w:t>
      </w:r>
    </w:p>
    <w:p>
      <w:pPr>
        <w:pStyle w:val="Body"/>
        <w:widowControl w:val="0"/>
        <w:bidi w:val="0"/>
        <w:ind w:left="120" w:right="0" w:firstLine="0"/>
        <w:jc w:val="left"/>
        <w:rPr>
          <w:rFonts w:ascii="Times New Roman" w:cs="Times New Roman" w:hAnsi="Times New Roman" w:eastAsia="Times New Roman"/>
          <w:sz w:val="24"/>
          <w:szCs w:val="24"/>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Label Dark"/>
        <w:rPr>
          <w:b w:val="1"/>
          <w:bCs w:val="1"/>
        </w:rPr>
      </w:pPr>
    </w:p>
    <w:p>
      <w:pPr>
        <w:pStyle w:val="Label Dark"/>
        <w:rPr>
          <w:b w:val="1"/>
          <w:bCs w:val="1"/>
        </w:rPr>
      </w:pPr>
    </w:p>
    <w:p>
      <w:pPr>
        <w:pStyle w:val="Label Dark"/>
        <w:rPr>
          <w:b w:val="1"/>
          <w:bCs w:val="1"/>
        </w:rPr>
      </w:pPr>
    </w:p>
    <w:p>
      <w:pPr>
        <w:pStyle w:val="Label Dark"/>
        <w:jc w:val="left"/>
        <w:rPr>
          <w:b w:val="1"/>
          <w:bCs w:val="1"/>
        </w:rPr>
      </w:pPr>
    </w:p>
    <w:p>
      <w:pPr>
        <w:pStyle w:val="Label Dark"/>
        <w:jc w:val="left"/>
        <w:rPr>
          <w:b w:val="1"/>
          <w:bCs w:val="1"/>
        </w:rPr>
      </w:pPr>
      <w:r>
        <w:rPr>
          <w:b w:val="1"/>
          <w:bCs w:val="1"/>
          <w:rtl w:val="0"/>
          <w:lang w:val="en-US"/>
        </w:rPr>
        <w:t>Palm Sunday with procession through Rockingham Rd Pleasure Park</w:t>
      </w:r>
      <w:r>
        <w:rPr>
          <w:b w:val="1"/>
          <w:bCs w:val="1"/>
          <w:rtl w:val="0"/>
          <w:lang w:val="en-US"/>
        </w:rPr>
        <w:t> </w:t>
      </w:r>
    </w:p>
    <w:p>
      <w:pPr>
        <w:pStyle w:val="Body"/>
        <w:widowControl w:val="0"/>
        <w:bidi w:val="0"/>
        <w:ind w:left="0" w:right="0" w:firstLine="0"/>
        <w:jc w:val="left"/>
        <w:rPr>
          <w:rFonts w:ascii="Calibri" w:cs="Calibri" w:hAnsi="Calibri" w:eastAsia="Calibri"/>
          <w:u w:color="000000"/>
          <w:rtl w:val="0"/>
        </w:rPr>
      </w:pPr>
    </w:p>
    <w:tbl>
      <w:tblPr>
        <w:tblW w:w="583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918"/>
        <w:gridCol w:w="2918"/>
      </w:tblGrid>
      <w:tr>
        <w:tblPrEx>
          <w:shd w:val="clear" w:color="auto" w:fill="auto"/>
        </w:tblPrEx>
        <w:trPr>
          <w:trHeight w:val="4868" w:hRule="atLeast"/>
        </w:trPr>
        <w:tc>
          <w:tcPr>
            <w:tcW w:type="dxa" w:w="29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Table Style 2"/>
              <w:bidi w:val="0"/>
              <w:ind w:left="0" w:right="0" w:firstLine="0"/>
              <w:jc w:val="left"/>
              <w:rPr>
                <w:rtl w:val="0"/>
              </w:rPr>
            </w:pPr>
            <w:r>
              <w:rPr>
                <w:rFonts w:ascii="Arial" w:cs="Arial" w:hAnsi="Arial" w:eastAsia="Arial"/>
                <w:outline w:val="0"/>
                <w:color w:val="444444"/>
                <w:sz w:val="46"/>
                <w:szCs w:val="46"/>
                <w:rtl w:val="0"/>
                <w14:textFill>
                  <w14:solidFill>
                    <w14:srgbClr w14:val="444444"/>
                  </w14:solidFill>
                </w14:textFill>
              </w:rPr>
              <w:drawing>
                <wp:inline distT="0" distB="0" distL="0" distR="0">
                  <wp:extent cx="1824313" cy="3042954"/>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rocessing from the park.jpg"/>
                          <pic:cNvPicPr>
                            <a:picLocks noChangeAspect="1"/>
                          </pic:cNvPicPr>
                        </pic:nvPicPr>
                        <pic:blipFill>
                          <a:blip r:embed="rId7">
                            <a:extLst/>
                          </a:blip>
                          <a:stretch>
                            <a:fillRect/>
                          </a:stretch>
                        </pic:blipFill>
                        <pic:spPr>
                          <a:xfrm>
                            <a:off x="0" y="0"/>
                            <a:ext cx="1824313" cy="3042954"/>
                          </a:xfrm>
                          <a:prstGeom prst="rect">
                            <a:avLst/>
                          </a:prstGeom>
                          <a:ln w="12700" cap="flat">
                            <a:noFill/>
                            <a:miter lim="400000"/>
                          </a:ln>
                          <a:effectLst/>
                        </pic:spPr>
                      </pic:pic>
                    </a:graphicData>
                  </a:graphic>
                </wp:inline>
              </w:drawing>
            </w:r>
          </w:p>
        </w:tc>
        <w:tc>
          <w:tcPr>
            <w:tcW w:type="dxa" w:w="29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Table Style 2"/>
              <w:bidi w:val="0"/>
              <w:ind w:left="0" w:right="0" w:firstLine="0"/>
              <w:jc w:val="left"/>
              <w:rPr>
                <w:rtl w:val="0"/>
              </w:rPr>
            </w:pPr>
            <w:r>
              <w:rPr>
                <w:rFonts w:ascii="Arial" w:cs="Arial" w:hAnsi="Arial" w:eastAsia="Arial"/>
                <w:outline w:val="0"/>
                <w:color w:val="444444"/>
                <w:sz w:val="46"/>
                <w:szCs w:val="46"/>
                <w:rtl w:val="0"/>
                <w14:textFill>
                  <w14:solidFill>
                    <w14:srgbClr w14:val="444444"/>
                  </w14:solidFill>
                </w14:textFill>
              </w:rPr>
              <w:drawing>
                <wp:inline distT="0" distB="0" distL="0" distR="0">
                  <wp:extent cx="1824313" cy="3042954"/>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rade in the park 14.jpg"/>
                          <pic:cNvPicPr>
                            <a:picLocks noChangeAspect="1"/>
                          </pic:cNvPicPr>
                        </pic:nvPicPr>
                        <pic:blipFill>
                          <a:blip r:embed="rId8">
                            <a:extLst/>
                          </a:blip>
                          <a:stretch>
                            <a:fillRect/>
                          </a:stretch>
                        </pic:blipFill>
                        <pic:spPr>
                          <a:xfrm>
                            <a:off x="0" y="0"/>
                            <a:ext cx="1824313" cy="3042954"/>
                          </a:xfrm>
                          <a:prstGeom prst="rect">
                            <a:avLst/>
                          </a:prstGeom>
                          <a:ln w="12700" cap="flat">
                            <a:noFill/>
                            <a:miter lim="400000"/>
                          </a:ln>
                          <a:effectLst/>
                        </pic:spPr>
                      </pic:pic>
                    </a:graphicData>
                  </a:graphic>
                </wp:inline>
              </w:drawing>
            </w:r>
          </w:p>
        </w:tc>
      </w:tr>
    </w:tbl>
    <w:p>
      <w:pPr>
        <w:pStyle w:val="Default"/>
        <w:bidi w:val="0"/>
        <w:ind w:left="0" w:right="0" w:firstLine="0"/>
        <w:jc w:val="left"/>
        <w:rPr>
          <w:rFonts w:ascii="Arial" w:cs="Arial" w:hAnsi="Arial" w:eastAsia="Arial"/>
          <w:outline w:val="0"/>
          <w:color w:val="444444"/>
          <w:sz w:val="46"/>
          <w:szCs w:val="46"/>
          <w:shd w:val="clear" w:color="auto" w:fill="ffffff"/>
          <w:rtl w:val="0"/>
          <w14:textFill>
            <w14:solidFill>
              <w14:srgbClr w14:val="444444"/>
            </w14:solidFill>
          </w14:textFill>
        </w:rPr>
      </w:pPr>
    </w:p>
    <w:p>
      <w:pPr>
        <w:pStyle w:val="Default"/>
        <w:bidi w:val="0"/>
        <w:ind w:left="0" w:right="0" w:firstLine="0"/>
        <w:jc w:val="left"/>
        <w:rPr>
          <w:rFonts w:ascii="Arial" w:cs="Arial" w:hAnsi="Arial" w:eastAsia="Arial"/>
          <w:outline w:val="0"/>
          <w:color w:val="444444"/>
          <w:sz w:val="46"/>
          <w:szCs w:val="46"/>
          <w:shd w:val="clear" w:color="auto" w:fill="ffffff"/>
          <w:rtl w:val="0"/>
          <w14:textFill>
            <w14:solidFill>
              <w14:srgbClr w14:val="444444"/>
            </w14:solidFill>
          </w14:textFill>
        </w:rPr>
      </w:pPr>
    </w:p>
    <w:p>
      <w:pPr>
        <w:pStyle w:val="Default"/>
        <w:bidi w:val="0"/>
        <w:ind w:left="0" w:right="0" w:firstLine="0"/>
        <w:jc w:val="left"/>
        <w:rPr>
          <w:rFonts w:ascii="Arial" w:cs="Arial" w:hAnsi="Arial" w:eastAsia="Arial"/>
          <w:outline w:val="0"/>
          <w:color w:val="444444"/>
          <w:sz w:val="46"/>
          <w:szCs w:val="46"/>
          <w:shd w:val="clear" w:color="auto" w:fill="ffffff"/>
          <w:rtl w:val="0"/>
          <w14:textFill>
            <w14:solidFill>
              <w14:srgbClr w14:val="444444"/>
            </w14:solidFill>
          </w14:textFill>
        </w:rPr>
      </w:pP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sz w:val="24"/>
          <w:szCs w:val="24"/>
          <w:u w:color="000000"/>
          <w:rtl w:val="0"/>
          <w:lang w:val="en-US"/>
          <w14:textOutline w14:w="12700" w14:cap="flat">
            <w14:noFill/>
            <w14:miter w14:lim="400000"/>
          </w14:textOutline>
        </w:rPr>
        <w:t xml:space="preserve">During the second and third months of the project Kettering Borough Council with Alex Jelley (Economic Regeneration Manager) organised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The Kettering Teenage Market which took place on Saturday, December 5th, in the town centre, offering free stalls and insurance for traders aged 16-21. This event celebrated the talent and creativity of young people in Kettering, with participants selling their own handmade and individually designed products, such as printed mugs, jewellery, gifts, home ware, textiles, and homemade cakes and confectionery. Interested young traders were able to book a stall by visiting www.kettering.gov.uk/markets. The market provided a platform for youth to showcase their skills and unique offerings. </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While the Kettering Teenage Market may not directly address the issue of high crime in teenagers in Kettering, it can have a positive impact on the overall well-being and</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opportunities for young people in the area. By providing a platform for young traders to showcase their skills and creativity, the market promotes a sense of purpose and achievement among teenagers. This can help divert their attention and energy towards productive pursuits, reducing the likelihood of engaging in criminal activities.</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Additionally, the market fosters entrepreneurship and provides young people with valuable experience in running their own businesses. This can enhance their employability and offer alternative pathways to success, reducing the appeal of criminal activities as a means of income.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Moreover, the market encourages community engagement and collaboration among young people. By connecting with like-minded individuals and forming partnerships, teenagers can build a supportive network that promotes positive behavio</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u</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r and discourages involvement in criminal activities.</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While the impact of the Kettering Teenage Market on reducing high crime in teenagers may be indirect, it contributes to creating a positive and supportive environment that nurtures the potential of young people and offers them alternative paths towards a brighter future.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The Research and Development Committee established a partnership known as the Youth Engagement Task and Finish Group in April 2016. This collaborative effort was initiated following a successful motion at the Council and aimed to explore effective strategies for the Council to engage with, listen to, and inform young people in the Borough.</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The Borough Council's project-based initiatives have had a significant impact on reducing the high crime rate among teenagers in Kettering. By directly involving young people in the design and delivery of projects that affect them, these initiatives have provided constructive outlets and opportunities for positive engagement. </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One example is the development of new play areas and outdoor gyms at Rockingham Road Pleasure Park and Grafton Street Park, which engaged </w:t>
      </w:r>
      <w:r>
        <w:rPr>
          <w:sz w:val="24"/>
          <w:szCs w:val="24"/>
          <w:u w:color="000000"/>
          <w:rtl w:val="0"/>
          <w:lang w:val="en-US"/>
          <w14:textOutline w14:w="12700" w14:cap="flat">
            <w14:noFill/>
            <w14:miter w14:lim="400000"/>
          </w14:textOutline>
        </w:rPr>
        <w:t xml:space="preserve">St Andrew's School </w:t>
      </w:r>
      <w:r>
        <w:rPr>
          <w:rFonts w:ascii="Times" w:cs="Times" w:hAnsi="Times" w:eastAsia="Times"/>
          <w:sz w:val="24"/>
          <w:szCs w:val="24"/>
          <w:u w:color="000000"/>
          <w:rtl w:val="0"/>
          <w14:textOutline w14:w="12700" w14:cap="flat">
            <w14:noFill/>
            <w14:miter w14:lim="400000"/>
          </w14:textOutline>
        </w:rPr>
        <w:br w:type="textWrapping"/>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and pupils. This involvement fostered a sense of ownership and pride in these spaces, helping to deter young people from engaging in criminal activities.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During the Council meeting in 2015, the Deputy Head of St Andrew's School advocated for the Council's support in implementing the Little Ambassadors program in other schools within the town. The Deputy Head emphasi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ed the positive impact of the program and suggested that extending this initiative to other schools would empower their communities and facilitate similar positive outcomes.Similarly, the extension of opening times and improved facilities at the Ise Skate Park and the development of new skate facilities at Rothwell followed a similar approach. By consulting with local users and involving young people in the decision-making process, these projects created a sense of ownership and belonging. This, in turn, reduced the likelihood of young people turning to crime.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Overall, these project-based initiatives have empowered young people, fostered a stronger connection to the community, and provided constructive alternatives to criminal behavio</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u</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r. As a result, they have played a key role in reducing the high crime rate among teenagers in Kettering.</w:t>
      </w:r>
    </w:p>
    <w:p>
      <w:pPr>
        <w:pStyle w:val="Default"/>
        <w:bidi w:val="0"/>
        <w:spacing w:after="160" w:line="259" w:lineRule="auto"/>
        <w:ind w:left="0" w:right="0" w:firstLine="0"/>
        <w:jc w:val="left"/>
        <w:rPr>
          <w:outline w:val="0"/>
          <w:color w:val="1d2228"/>
          <w:u w:color="1d2228"/>
          <w:shd w:val="clear" w:color="auto" w:fill="ffffff"/>
          <w:rtl w:val="0"/>
          <w:lang w:val="en-US"/>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outline w:val="0"/>
          <w:color w:val="1d2228"/>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In the m</w:t>
      </w:r>
      <w:r>
        <w:rPr>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t>onths four and five</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it is more about implementing awareness campaigns and workshops, engage teenagers in peer discussions.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Youth Works is an organi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ation dedicated to supporting young people and contributing to their development. It plays a crucial role in reducing crime rates and improving youth education. To ensure that</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they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can provide the necessary support,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they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have specific eligibility criteria that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teenagers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need to met. To qualify for</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their</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services, individuals must</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b</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 aged between 16 and 25 (from the 16th birthday to the 26th birthday</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r</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eside in Northamptonshire</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n</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ot be in Local Authority Care (LAC) or currently working with the Leaving Care Team</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r</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equire support in navigating mental health services, accessing adult mental health services, or in other life areas made more challenging by a mental health diagnosis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h</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ave a history of mental health issues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Their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aim is to provide support to as many young people as possible, ultimately contributing to their growth and well-being.</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In month six and nine the project aimed to mobilise the resources, to provide mentoring for adolescences.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The Youth Employment Initiative (YEI) is a funding program that was implemented in collaboration between the government and the EU during months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six</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xml:space="preserve"> and </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nine</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 Its primary objective is to address the issue of youth unemployment and provide support to teenagers who are not in education, employment, or training (NEETs) in regions with high youth unemployment rates exceeding 25%.</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Over the course of three years, the YEI has demonstrated positive outcomes and received favo</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u</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rable initial evaluations. By offering financial resources and assistance, the initiative has effectively contributed to reducing youth unemployment rates and addressing the specific challenges faced by NEETs.</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Furthermore, one of the significant benefits of the YEI is its impact on mitigating the high crime rate among teenagers. Through the provision of employment and training opportunities, the initiative offers constructive alternatives, empowering young individuals and redirecting them away from engaging in criminal activities. This not only benefits the individuals themselves but also contributes to creating safer communities as a whole.</w:t>
      </w:r>
    </w:p>
    <w:p>
      <w:pPr>
        <w:pStyle w:val="Default"/>
        <w:bidi w:val="0"/>
        <w:spacing w:after="160" w:line="259" w:lineRule="auto"/>
        <w:ind w:left="0" w:right="0" w:firstLine="0"/>
        <w:jc w:val="left"/>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pP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Dr. Anna Carlile from Goldsmiths University of London explains that the Youth Friendly Employer framework provides organi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ations with the necessary tools and support to effectively harness the potential of young people they engage with, whether as employees, customers, or other stakeholders. This framework assists organi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ations in positioning themselves to create an environment conducive to the growth and development of young individuals, enabling them to thrive and contribute positively to the organi</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s</w:t>
      </w:r>
      <w:r>
        <w:rPr>
          <w:outline w:val="0"/>
          <w:color w:val="1d2228"/>
          <w:sz w:val="24"/>
          <w:szCs w:val="24"/>
          <w:u w:color="1d2228"/>
          <w:shd w:val="clear" w:color="auto" w:fill="ffffff"/>
          <w:rtl w:val="0"/>
          <w:lang w:val="en-US"/>
          <w14:textOutline w14:w="12700" w14:cap="flat">
            <w14:noFill/>
            <w14:miter w14:lim="400000"/>
          </w14:textOutline>
          <w14:textFill>
            <w14:solidFill>
              <w14:srgbClr w14:val="1D2228"/>
            </w14:solidFill>
          </w14:textFill>
        </w:rPr>
        <w:t>ation and wider society.</w:t>
      </w:r>
    </w:p>
    <w:p>
      <w:pPr>
        <w:pStyle w:val="Default"/>
        <w:bidi w:val="0"/>
        <w:spacing w:after="160" w:line="259"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In conclusion, the project aimed to address the issue of high crime rates involving teenagers in Kettering. Through extensive research and analysis of the situation, it was evident that proactive measures needed to be taken to tackle this pressing issue. The project focused on implementing a comprehensive approach that involved community engagement, youth empowerment, and targeted interventions.</w:t>
      </w:r>
    </w:p>
    <w:p>
      <w:pPr>
        <w:pStyle w:val="Default"/>
        <w:bidi w:val="0"/>
        <w:spacing w:after="160" w:line="259"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By engaging with various stakeholders, including local authorities, law enforcement agencies, community organi</w:t>
      </w:r>
      <w:r>
        <w:rPr>
          <w:sz w:val="24"/>
          <w:szCs w:val="24"/>
          <w:u w:color="000000"/>
          <w:rtl w:val="0"/>
          <w:lang w:val="en-US"/>
          <w14:textOutline w14:w="12700" w14:cap="flat">
            <w14:noFill/>
            <w14:miter w14:lim="400000"/>
          </w14:textOutline>
        </w:rPr>
        <w:t>s</w:t>
      </w:r>
      <w:r>
        <w:rPr>
          <w:sz w:val="24"/>
          <w:szCs w:val="24"/>
          <w:u w:color="000000"/>
          <w:rtl w:val="0"/>
          <w:lang w:val="en-US"/>
          <w14:textOutline w14:w="12700" w14:cap="flat">
            <w14:noFill/>
            <w14:miter w14:lim="400000"/>
          </w14:textOutline>
        </w:rPr>
        <w:t>ations, and schools, the project aimed to create a collaborative network to address the root causes of teenage crime. Through targeted interventions such as educational programs, mentorship initiatives, and employment opportunities, the project aimed to provide teenagers with alternatives to criminal activities and empower them to make positive choices.</w:t>
      </w:r>
    </w:p>
    <w:p>
      <w:pPr>
        <w:pStyle w:val="Default"/>
        <w:bidi w:val="0"/>
        <w:spacing w:after="160" w:line="259"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Additionally, the project recogni</w:t>
      </w:r>
      <w:r>
        <w:rPr>
          <w:sz w:val="24"/>
          <w:szCs w:val="24"/>
          <w:u w:color="000000"/>
          <w:rtl w:val="0"/>
          <w:lang w:val="en-US"/>
          <w14:textOutline w14:w="12700" w14:cap="flat">
            <w14:noFill/>
            <w14:miter w14:lim="400000"/>
          </w14:textOutline>
        </w:rPr>
        <w:t>se</w:t>
      </w:r>
      <w:r>
        <w:rPr>
          <w:sz w:val="24"/>
          <w:szCs w:val="24"/>
          <w:u w:color="000000"/>
          <w:rtl w:val="0"/>
          <w:lang w:val="en-US"/>
          <w14:textOutline w14:w="12700" w14:cap="flat">
            <w14:noFill/>
            <w14:miter w14:lim="400000"/>
          </w14:textOutline>
        </w:rPr>
        <w:t>d the importance of addressing underlying social issues such as poverty, lack of educational opportunities, and limited access to recreational facilities. Efforts were made to advocate for policy changes and allocate resources towards creating safe spaces, recreational areas, and educational programs specifically tailored for teenagers in Kettering.</w:t>
      </w:r>
    </w:p>
    <w:p>
      <w:pPr>
        <w:pStyle w:val="Default"/>
        <w:bidi w:val="0"/>
        <w:spacing w:after="160" w:line="259"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Overall, the project aimed to create a safer and more inclusive community for teenagers in Kettering by addressing the factors contributing to high crime rates. Through collaborative efforts, targeted interventions, and long-term sustainable solutions, it is expected that the project will have a positive impact on reducing teenage crime and creating a brighter future for the youth in the area.</w:t>
      </w: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Kettering Borough Council. (n.d.). 11 Outdoor Gyms and Play Areas.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"https://www.kettering.gov.uk/download/meetings/id/11285/11_outdoor_gyms_and_play_areas"</w:instrText>
      </w:r>
      <w:r>
        <w:rPr>
          <w:rStyle w:val="Hyperlink.0"/>
          <w:rFonts w:ascii="Times" w:cs="Times" w:hAnsi="Times" w:eastAsia="Times"/>
          <w:rtl w:val="0"/>
        </w:rPr>
        <w:fldChar w:fldCharType="separate" w:fldLock="0"/>
      </w:r>
      <w:r>
        <w:rPr>
          <w:rStyle w:val="Hyperlink.0"/>
          <w:rFonts w:ascii="Times" w:hAnsi="Times"/>
          <w:rtl w:val="0"/>
          <w:lang w:val="en-US"/>
        </w:rPr>
        <w:t>https://www.kettering.gov.uk/download/meetings/id/11285/11_outdoor_gyms_and_play_areas</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Kettering Borough Council. (n.d.). Delivering Our Town Centres.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"https://www.kettering.gov.uk/download/meetings/id/11798/10_delivering_our_town_centres"</w:instrText>
      </w:r>
      <w:r>
        <w:rPr>
          <w:rStyle w:val="Hyperlink.0"/>
          <w:rFonts w:ascii="Times" w:cs="Times" w:hAnsi="Times" w:eastAsia="Times"/>
          <w:rtl w:val="0"/>
        </w:rPr>
        <w:fldChar w:fldCharType="separate" w:fldLock="0"/>
      </w:r>
      <w:r>
        <w:rPr>
          <w:rStyle w:val="Hyperlink.0"/>
          <w:rFonts w:ascii="Times" w:hAnsi="Times"/>
          <w:rtl w:val="0"/>
          <w:lang w:val="en-US"/>
        </w:rPr>
        <w:t>https://www.kettering.gov.uk/download/meetings/id/11798/10_delivering_our_town_centres</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Kettering Borough Council. (2016). Report and Conclusions of the Youth Engagement Task and Finish Group Autumn 2016.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"https://www.kettering.gov.uk/download/meetings/id/12350/13_appendix_a"</w:instrText>
      </w:r>
      <w:r>
        <w:rPr>
          <w:rStyle w:val="Hyperlink.0"/>
          <w:rFonts w:ascii="Times" w:cs="Times" w:hAnsi="Times" w:eastAsia="Times"/>
          <w:rtl w:val="0"/>
        </w:rPr>
        <w:fldChar w:fldCharType="separate" w:fldLock="0"/>
      </w:r>
      <w:r>
        <w:rPr>
          <w:rStyle w:val="Hyperlink.0"/>
          <w:rFonts w:ascii="Times" w:hAnsi="Times"/>
          <w:rtl w:val="0"/>
          <w:lang w:val="en-US"/>
        </w:rPr>
        <w:t>https://www.kettering.gov.uk/download/meetings/id/12350/13_appendix_a</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 Youth Employment UK. (2023). About Us.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"https://www.youthemployment.org.uk/about-us/"</w:instrText>
      </w:r>
      <w:r>
        <w:rPr>
          <w:rStyle w:val="Hyperlink.0"/>
          <w:rFonts w:ascii="Times" w:cs="Times" w:hAnsi="Times" w:eastAsia="Times"/>
          <w:rtl w:val="0"/>
        </w:rPr>
        <w:fldChar w:fldCharType="separate" w:fldLock="0"/>
      </w:r>
      <w:r>
        <w:rPr>
          <w:rStyle w:val="Hyperlink.0"/>
          <w:rFonts w:ascii="Times" w:hAnsi="Times"/>
          <w:rtl w:val="0"/>
          <w:lang w:val="en-US"/>
        </w:rPr>
        <w:t>https://www.youthemployment.org.uk/about-us/</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 European Parliament. (2017). Briefing: How the EU budget is spent September 2017 Youth Employment Initiative.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"https://www.europarl.europa.eu/RegData/etudes/BRIE/2017/608688/EPRS_BRI(2017)608688_EN.pdf"</w:instrText>
      </w:r>
      <w:r>
        <w:rPr>
          <w:rStyle w:val="Hyperlink.0"/>
          <w:rFonts w:ascii="Times" w:cs="Times" w:hAnsi="Times" w:eastAsia="Times"/>
          <w:rtl w:val="0"/>
        </w:rPr>
        <w:fldChar w:fldCharType="separate" w:fldLock="0"/>
      </w:r>
      <w:r>
        <w:rPr>
          <w:rStyle w:val="Hyperlink.0"/>
          <w:rFonts w:ascii="Times" w:hAnsi="Times"/>
          <w:rtl w:val="0"/>
          <w:lang w:val="en-US"/>
        </w:rPr>
        <w:t>https://www.europarl.europa.eu/RegData/etudes/BRIE/2017/608688/EPRS_BRI(2017)608688_EN.pdf</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Youth Works Northamptonshire. (n.d.). History.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"https://www.youthworksnorthamptonshire.org.uk/about-us/history"</w:instrText>
      </w:r>
      <w:r>
        <w:rPr>
          <w:rStyle w:val="Hyperlink.0"/>
          <w:rFonts w:ascii="Times" w:cs="Times" w:hAnsi="Times" w:eastAsia="Times"/>
          <w:rtl w:val="0"/>
        </w:rPr>
        <w:fldChar w:fldCharType="separate" w:fldLock="0"/>
      </w:r>
      <w:r>
        <w:rPr>
          <w:rStyle w:val="Hyperlink.0"/>
          <w:rFonts w:ascii="Times" w:hAnsi="Times"/>
          <w:rtl w:val="0"/>
          <w:lang w:val="en-US"/>
        </w:rPr>
        <w:t>https://www.youthworksnorthamptonshire.org.uk/about-us/history</w:t>
      </w:r>
      <w:r>
        <w:rPr>
          <w:rFonts w:ascii="Times" w:cs="Times" w:hAnsi="Times" w:eastAsia="Times"/>
          <w:rtl w:val="0"/>
        </w:rPr>
        <w:fldChar w:fldCharType="end" w:fldLock="0"/>
      </w:r>
    </w:p>
    <w:p>
      <w:pPr>
        <w:pStyle w:val="Default"/>
        <w:numPr>
          <w:ilvl w:val="0"/>
          <w:numId w:val="2"/>
        </w:numPr>
        <w:bidi w:val="0"/>
        <w:spacing w:after="240"/>
        <w:ind w:right="0"/>
        <w:jc w:val="left"/>
        <w:rPr>
          <w:rFonts w:ascii="Times" w:hAnsi="Times"/>
          <w:rtl w:val="0"/>
          <w:lang w:val="en-US"/>
        </w:rPr>
      </w:pPr>
      <w:r>
        <w:rPr>
          <w:rFonts w:ascii="Times" w:hAnsi="Times"/>
          <w:rtl w:val="0"/>
          <w:lang w:val="en-US"/>
        </w:rPr>
        <w:t xml:space="preserve"> Youth Works Northamptonshire. (n.d.). Eligibility Criteria. Retrieved from </w:t>
      </w:r>
      <w:r>
        <w:rPr>
          <w:rStyle w:val="Hyperlink.0"/>
          <w:rFonts w:ascii="Times" w:cs="Times" w:hAnsi="Times" w:eastAsia="Times"/>
          <w:rtl w:val="0"/>
        </w:rPr>
        <w:fldChar w:fldCharType="begin" w:fldLock="0"/>
      </w:r>
      <w:r>
        <w:rPr>
          <w:rStyle w:val="Hyperlink.0"/>
          <w:rFonts w:ascii="Times" w:cs="Times" w:hAnsi="Times" w:eastAsia="Times"/>
          <w:rtl w:val="0"/>
        </w:rPr>
        <w:instrText xml:space="preserve"> HYPERLINK "https://www.youthworksnorthamptonshire.org.uk/restart/eligibility-criteria/"</w:instrText>
      </w:r>
      <w:r>
        <w:rPr>
          <w:rStyle w:val="Hyperlink.0"/>
          <w:rFonts w:ascii="Times" w:cs="Times" w:hAnsi="Times" w:eastAsia="Times"/>
          <w:rtl w:val="0"/>
        </w:rPr>
        <w:fldChar w:fldCharType="separate" w:fldLock="0"/>
      </w:r>
      <w:r>
        <w:rPr>
          <w:rStyle w:val="Hyperlink.0"/>
          <w:rFonts w:ascii="Times" w:hAnsi="Times"/>
          <w:rtl w:val="0"/>
          <w:lang w:val="en-US"/>
        </w:rPr>
        <w:t>https://www.youthworksnorthamptonshire.org.uk/restart/eligibility-criteria/</w:t>
      </w:r>
      <w:r>
        <w:rPr>
          <w:rFonts w:ascii="Times" w:cs="Times" w:hAnsi="Times" w:eastAsia="Times"/>
          <w:rtl w:val="0"/>
        </w:rPr>
        <w:fldChar w:fldCharType="end" w:fldLock="0"/>
      </w:r>
    </w:p>
    <w:p>
      <w:pPr>
        <w:pStyle w:val="Default"/>
        <w:bidi w:val="0"/>
        <w:spacing w:after="240"/>
        <w:ind w:left="0" w:right="0" w:firstLine="0"/>
        <w:jc w:val="left"/>
        <w:rPr>
          <w:rFonts w:ascii="Times" w:cs="Times" w:hAnsi="Times" w:eastAsia="Times"/>
          <w:rtl w:val="0"/>
        </w:rPr>
      </w:pPr>
    </w:p>
    <w:p>
      <w:pPr>
        <w:pStyle w:val="Default"/>
        <w:bidi w:val="0"/>
        <w:spacing w:after="320"/>
        <w:ind w:left="0" w:right="0" w:firstLine="0"/>
        <w:jc w:val="center"/>
        <w:rPr>
          <w:rFonts w:ascii="Helvetica" w:cs="Helvetica" w:hAnsi="Helvetica" w:eastAsia="Helvetica"/>
          <w:sz w:val="32"/>
          <w:szCs w:val="32"/>
          <w:shd w:val="clear" w:color="auto" w:fill="f7f3ee"/>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Fonts w:ascii="Calibri" w:cs="Calibri" w:hAnsi="Calibri" w:eastAsia="Calibri"/>
          <w:u w:color="000000"/>
          <w:rtl w:val="0"/>
        </w:rPr>
      </w:pPr>
    </w:p>
    <w:p>
      <w:pPr>
        <w:pStyle w:val="Body"/>
        <w:widowControl w:val="0"/>
        <w:bidi w:val="0"/>
        <w:ind w:left="0" w:right="0" w:firstLine="0"/>
        <w:jc w:val="left"/>
        <w:rPr>
          <w:rtl w:val="0"/>
        </w:rPr>
      </w:pPr>
      <w:r>
        <w:rPr>
          <w:rFonts w:ascii="Calibri" w:cs="Calibri" w:hAnsi="Calibri" w:eastAsia="Calibri"/>
          <w:u w:color="000000"/>
          <w:rtl w:val="0"/>
        </w:rPr>
      </w:r>
    </w:p>
    <w:sectPr>
      <w:headerReference w:type="default" r:id="rId9"/>
      <w:footerReference w:type="default" r:id="rId10"/>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ime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Label Dark">
    <w:name w:val="Label Dark"/>
    <w:next w:val="Label Dark"/>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numbering" w:styleId="Numbered">
    <w:name w:val="Numbered"/>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