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1527C24" wp14:paraId="2C078E63" wp14:textId="30D88D66">
      <w:pPr>
        <w:rPr>
          <w:sz w:val="32"/>
          <w:szCs w:val="32"/>
        </w:rPr>
      </w:pPr>
      <w:r w:rsidRPr="21527C24" w:rsidR="650CA455">
        <w:rPr>
          <w:sz w:val="32"/>
          <w:szCs w:val="32"/>
        </w:rPr>
        <w:t>The concept of Men’s Rea and the confirmation of criminal liability within</w:t>
      </w:r>
      <w:r w:rsidRPr="21527C24" w:rsidR="445F16EE">
        <w:rPr>
          <w:sz w:val="32"/>
          <w:szCs w:val="32"/>
        </w:rPr>
        <w:t xml:space="preserve"> law.</w:t>
      </w:r>
    </w:p>
    <w:p w:rsidR="21527C24" w:rsidP="21527C24" w:rsidRDefault="21527C24" w14:paraId="428AE9CE" w14:textId="7D0EC5F3">
      <w:pPr>
        <w:pStyle w:val="Normal"/>
        <w:rPr>
          <w:sz w:val="32"/>
          <w:szCs w:val="32"/>
        </w:rPr>
      </w:pPr>
    </w:p>
    <w:p w:rsidR="6F97D465" w:rsidP="21527C24" w:rsidRDefault="6F97D465" w14:paraId="0343AA26" w14:textId="0D6C1B70">
      <w:pPr>
        <w:pStyle w:val="Normal"/>
        <w:rPr>
          <w:sz w:val="24"/>
          <w:szCs w:val="24"/>
        </w:rPr>
      </w:pPr>
      <w:r w:rsidRPr="21527C24" w:rsidR="6F97D465">
        <w:rPr>
          <w:sz w:val="24"/>
          <w:szCs w:val="24"/>
        </w:rPr>
        <w:t xml:space="preserve">Men’s Rea, a Latin term meaning “guilty mind,” </w:t>
      </w:r>
      <w:r w:rsidRPr="21527C24" w:rsidR="28DD780A">
        <w:rPr>
          <w:sz w:val="24"/>
          <w:szCs w:val="24"/>
        </w:rPr>
        <w:t>is a</w:t>
      </w:r>
      <w:r w:rsidRPr="21527C24" w:rsidR="143185AB">
        <w:rPr>
          <w:sz w:val="24"/>
          <w:szCs w:val="24"/>
        </w:rPr>
        <w:t xml:space="preserve">n important concept in criminal law, refers to an individual's mental condition or intention when </w:t>
      </w:r>
      <w:r w:rsidRPr="21527C24" w:rsidR="58B8CF1E">
        <w:rPr>
          <w:sz w:val="24"/>
          <w:szCs w:val="24"/>
        </w:rPr>
        <w:t>they commit a criminal act. Understanding men’s rea is critical for understanding the complicated su</w:t>
      </w:r>
      <w:r w:rsidRPr="21527C24" w:rsidR="3E71D81B">
        <w:rPr>
          <w:sz w:val="24"/>
          <w:szCs w:val="24"/>
        </w:rPr>
        <w:t xml:space="preserve">bject of criminal liability because it differentiates </w:t>
      </w:r>
      <w:r w:rsidRPr="21527C24" w:rsidR="2BB1DEAD">
        <w:rPr>
          <w:sz w:val="24"/>
          <w:szCs w:val="24"/>
        </w:rPr>
        <w:t>between criminal and mostly unintentional ac</w:t>
      </w:r>
      <w:r w:rsidRPr="21527C24" w:rsidR="0B045146">
        <w:rPr>
          <w:sz w:val="24"/>
          <w:szCs w:val="24"/>
        </w:rPr>
        <w:t xml:space="preserve">tions. This essay </w:t>
      </w:r>
      <w:r w:rsidRPr="21527C24" w:rsidR="3BAB3A1A">
        <w:rPr>
          <w:sz w:val="24"/>
          <w:szCs w:val="24"/>
        </w:rPr>
        <w:t>evaluates</w:t>
      </w:r>
      <w:r w:rsidRPr="21527C24" w:rsidR="0B045146">
        <w:rPr>
          <w:sz w:val="24"/>
          <w:szCs w:val="24"/>
        </w:rPr>
        <w:t xml:space="preserve"> these challenges by examining various aspects </w:t>
      </w:r>
      <w:r w:rsidRPr="21527C24" w:rsidR="7D0654E8">
        <w:rPr>
          <w:sz w:val="24"/>
          <w:szCs w:val="24"/>
        </w:rPr>
        <w:t xml:space="preserve">of men’s rea, including its definition, various levels, and its role in confirming </w:t>
      </w:r>
      <w:r w:rsidRPr="21527C24" w:rsidR="3544A3B6">
        <w:rPr>
          <w:sz w:val="24"/>
          <w:szCs w:val="24"/>
        </w:rPr>
        <w:t>criminal liability.</w:t>
      </w:r>
    </w:p>
    <w:p w:rsidR="57A57739" w:rsidP="218DE707" w:rsidRDefault="57A57739" w14:paraId="1C58E411" w14:textId="0639E79F">
      <w:pPr>
        <w:pStyle w:val="Normal"/>
        <w:rPr>
          <w:sz w:val="24"/>
          <w:szCs w:val="24"/>
        </w:rPr>
      </w:pPr>
      <w:r w:rsidRPr="2D4681C8" w:rsidR="367AAE83">
        <w:rPr>
          <w:sz w:val="24"/>
          <w:szCs w:val="24"/>
        </w:rPr>
        <w:t xml:space="preserve">Men’s Rea is defined as guilty mind or </w:t>
      </w:r>
      <w:r w:rsidRPr="2D4681C8" w:rsidR="3F0311B7">
        <w:rPr>
          <w:sz w:val="24"/>
          <w:szCs w:val="24"/>
        </w:rPr>
        <w:t xml:space="preserve">wrongful purpose, a criminal </w:t>
      </w:r>
      <w:r w:rsidRPr="2D4681C8" w:rsidR="4B953C4E">
        <w:rPr>
          <w:sz w:val="24"/>
          <w:szCs w:val="24"/>
        </w:rPr>
        <w:t xml:space="preserve">intent. </w:t>
      </w:r>
      <w:r w:rsidRPr="2D4681C8" w:rsidR="58988EB6">
        <w:rPr>
          <w:sz w:val="24"/>
          <w:szCs w:val="24"/>
        </w:rPr>
        <w:t>(TheFreeDictionary.com</w:t>
      </w:r>
      <w:r w:rsidRPr="2D4681C8" w:rsidR="58988EB6">
        <w:rPr>
          <w:rFonts w:ascii="Calibri" w:hAnsi="Calibri" w:eastAsia="Calibri" w:cs="Calibri"/>
          <w:b w:val="0"/>
          <w:bCs w:val="0"/>
          <w:i w:val="0"/>
          <w:iCs w:val="0"/>
          <w:caps w:val="0"/>
          <w:smallCaps w:val="0"/>
          <w:noProof w:val="0"/>
          <w:color w:val="2C3E50"/>
          <w:sz w:val="24"/>
          <w:szCs w:val="24"/>
          <w:lang w:val="en-GB"/>
        </w:rPr>
        <w:t xml:space="preserve">. (2018). </w:t>
      </w:r>
      <w:r w:rsidRPr="2D4681C8" w:rsidR="58988EB6">
        <w:rPr>
          <w:rFonts w:ascii="Calibri" w:hAnsi="Calibri" w:eastAsia="Calibri" w:cs="Calibri"/>
          <w:b w:val="0"/>
          <w:bCs w:val="0"/>
          <w:i w:val="1"/>
          <w:iCs w:val="1"/>
          <w:caps w:val="0"/>
          <w:smallCaps w:val="0"/>
          <w:noProof w:val="0"/>
          <w:color w:val="2C3E50"/>
          <w:sz w:val="24"/>
          <w:szCs w:val="24"/>
          <w:lang w:val="en-GB"/>
        </w:rPr>
        <w:t>mens</w:t>
      </w:r>
      <w:r w:rsidRPr="2D4681C8" w:rsidR="58988EB6">
        <w:rPr>
          <w:rFonts w:ascii="Calibri" w:hAnsi="Calibri" w:eastAsia="Calibri" w:cs="Calibri"/>
          <w:b w:val="0"/>
          <w:bCs w:val="0"/>
          <w:i w:val="1"/>
          <w:iCs w:val="1"/>
          <w:caps w:val="0"/>
          <w:smallCaps w:val="0"/>
          <w:noProof w:val="0"/>
          <w:color w:val="2C3E50"/>
          <w:sz w:val="24"/>
          <w:szCs w:val="24"/>
          <w:lang w:val="en-GB"/>
        </w:rPr>
        <w:t xml:space="preserve"> rea</w:t>
      </w:r>
      <w:r w:rsidRPr="2D4681C8" w:rsidR="58988EB6">
        <w:rPr>
          <w:rFonts w:ascii="Calibri" w:hAnsi="Calibri" w:eastAsia="Calibri" w:cs="Calibri"/>
          <w:b w:val="0"/>
          <w:bCs w:val="0"/>
          <w:i w:val="0"/>
          <w:iCs w:val="0"/>
          <w:caps w:val="0"/>
          <w:smallCaps w:val="0"/>
          <w:noProof w:val="0"/>
          <w:color w:val="2C3E50"/>
          <w:sz w:val="24"/>
          <w:szCs w:val="24"/>
          <w:lang w:val="en-GB"/>
        </w:rPr>
        <w:t xml:space="preserve">. [online] Available at: </w:t>
      </w:r>
      <w:hyperlink r:id="R346bb4d84a7a412a">
        <w:r w:rsidRPr="2D4681C8" w:rsidR="58988EB6">
          <w:rPr>
            <w:rStyle w:val="Hyperlink"/>
            <w:rFonts w:ascii="Calibri" w:hAnsi="Calibri" w:eastAsia="Calibri" w:cs="Calibri"/>
            <w:b w:val="0"/>
            <w:bCs w:val="0"/>
            <w:i w:val="0"/>
            <w:iCs w:val="0"/>
            <w:caps w:val="0"/>
            <w:smallCaps w:val="0"/>
            <w:noProof w:val="0"/>
            <w:sz w:val="24"/>
            <w:szCs w:val="24"/>
            <w:lang w:val="en-GB"/>
          </w:rPr>
          <w:t>https://legal-dictionary.thefreedictionary.com/mens+rea</w:t>
        </w:r>
      </w:hyperlink>
      <w:r w:rsidRPr="2D4681C8" w:rsidR="58988EB6">
        <w:rPr>
          <w:rFonts w:ascii="Calibri" w:hAnsi="Calibri" w:eastAsia="Calibri" w:cs="Calibri"/>
          <w:b w:val="0"/>
          <w:bCs w:val="0"/>
          <w:i w:val="0"/>
          <w:iCs w:val="0"/>
          <w:caps w:val="0"/>
          <w:smallCaps w:val="0"/>
          <w:noProof w:val="0"/>
          <w:sz w:val="24"/>
          <w:szCs w:val="24"/>
          <w:lang w:val="en-GB"/>
        </w:rPr>
        <w:t xml:space="preserve"> ).</w:t>
      </w:r>
    </w:p>
    <w:p w:rsidR="57A57739" w:rsidP="019E77CF" w:rsidRDefault="57A57739" w14:paraId="2317A9F0" w14:textId="1116DCA8">
      <w:pPr>
        <w:pStyle w:val="Normal"/>
        <w:rPr>
          <w:rFonts w:ascii="Calibri" w:hAnsi="Calibri" w:eastAsia="Calibri" w:cs="Calibri"/>
          <w:noProof w:val="0"/>
          <w:sz w:val="24"/>
          <w:szCs w:val="24"/>
          <w:lang w:val="en-GB"/>
        </w:rPr>
      </w:pPr>
      <w:r w:rsidRPr="019E77CF" w:rsidR="0FE3C607">
        <w:rPr>
          <w:sz w:val="24"/>
          <w:szCs w:val="24"/>
        </w:rPr>
        <w:t xml:space="preserve">The basic </w:t>
      </w:r>
      <w:r w:rsidRPr="019E77CF" w:rsidR="3A241877">
        <w:rPr>
          <w:sz w:val="24"/>
          <w:szCs w:val="24"/>
        </w:rPr>
        <w:t>principle</w:t>
      </w:r>
      <w:r w:rsidRPr="019E77CF" w:rsidR="0FE3C607">
        <w:rPr>
          <w:sz w:val="24"/>
          <w:szCs w:val="24"/>
        </w:rPr>
        <w:t xml:space="preserve"> of criminal law </w:t>
      </w:r>
      <w:r w:rsidRPr="019E77CF" w:rsidR="01E5C9AA">
        <w:rPr>
          <w:sz w:val="24"/>
          <w:szCs w:val="24"/>
        </w:rPr>
        <w:t>is that a crime consists of both a mental and physical element.</w:t>
      </w:r>
      <w:r w:rsidRPr="019E77CF" w:rsidR="3441B435">
        <w:rPr>
          <w:sz w:val="24"/>
          <w:szCs w:val="24"/>
        </w:rPr>
        <w:t xml:space="preserve"> </w:t>
      </w:r>
      <w:r w:rsidRPr="019E77CF" w:rsidR="1B275C3B">
        <w:rPr>
          <w:sz w:val="24"/>
          <w:szCs w:val="24"/>
        </w:rPr>
        <w:t xml:space="preserve">A person’s awareness of the fact that his or her conduct is criminal </w:t>
      </w:r>
      <w:r w:rsidRPr="019E77CF" w:rsidR="218DF29F">
        <w:rPr>
          <w:sz w:val="24"/>
          <w:szCs w:val="24"/>
        </w:rPr>
        <w:t>is the mental element, and ‘actus reus</w:t>
      </w:r>
      <w:r w:rsidRPr="019E77CF" w:rsidR="3F854A69">
        <w:rPr>
          <w:sz w:val="24"/>
          <w:szCs w:val="24"/>
        </w:rPr>
        <w:t>’ (</w:t>
      </w:r>
      <w:r w:rsidRPr="019E77CF" w:rsidR="218DF29F">
        <w:rPr>
          <w:sz w:val="24"/>
          <w:szCs w:val="24"/>
        </w:rPr>
        <w:t xml:space="preserve">the act </w:t>
      </w:r>
      <w:r w:rsidRPr="019E77CF" w:rsidR="59CC416C">
        <w:rPr>
          <w:sz w:val="24"/>
          <w:szCs w:val="24"/>
        </w:rPr>
        <w:t>itself) is the physical element</w:t>
      </w:r>
      <w:r w:rsidRPr="019E77CF" w:rsidR="4FB5FAB4">
        <w:rPr>
          <w:sz w:val="24"/>
          <w:szCs w:val="24"/>
        </w:rPr>
        <w:t>.</w:t>
      </w:r>
      <w:r w:rsidRPr="019E77CF" w:rsidR="23C6D061">
        <w:rPr>
          <w:sz w:val="24"/>
          <w:szCs w:val="24"/>
        </w:rPr>
        <w:t xml:space="preserve"> The concept of men’s rea first </w:t>
      </w:r>
      <w:r w:rsidRPr="019E77CF" w:rsidR="23C6D061">
        <w:rPr>
          <w:sz w:val="24"/>
          <w:szCs w:val="24"/>
        </w:rPr>
        <w:t>emerged</w:t>
      </w:r>
      <w:r w:rsidRPr="019E77CF" w:rsidR="23C6D061">
        <w:rPr>
          <w:sz w:val="24"/>
          <w:szCs w:val="24"/>
        </w:rPr>
        <w:t xml:space="preserve"> in England in the 1600s, when judges began</w:t>
      </w:r>
      <w:r w:rsidRPr="019E77CF" w:rsidR="4FBC2488">
        <w:rPr>
          <w:sz w:val="24"/>
          <w:szCs w:val="24"/>
        </w:rPr>
        <w:t xml:space="preserve"> to argue that an act alone could not </w:t>
      </w:r>
      <w:r w:rsidRPr="019E77CF" w:rsidR="4FBC2488">
        <w:rPr>
          <w:sz w:val="24"/>
          <w:szCs w:val="24"/>
        </w:rPr>
        <w:t>constitute</w:t>
      </w:r>
      <w:r w:rsidRPr="019E77CF" w:rsidR="4FBC2488">
        <w:rPr>
          <w:sz w:val="24"/>
          <w:szCs w:val="24"/>
        </w:rPr>
        <w:t xml:space="preserve"> criminality unless it was accompanied</w:t>
      </w:r>
      <w:r w:rsidRPr="019E77CF" w:rsidR="0E6109BA">
        <w:rPr>
          <w:sz w:val="24"/>
          <w:szCs w:val="24"/>
        </w:rPr>
        <w:t xml:space="preserve"> b</w:t>
      </w:r>
      <w:r w:rsidRPr="019E77CF" w:rsidR="4D05EEEB">
        <w:rPr>
          <w:sz w:val="24"/>
          <w:szCs w:val="24"/>
        </w:rPr>
        <w:t xml:space="preserve">y </w:t>
      </w:r>
      <w:r w:rsidRPr="019E77CF" w:rsidR="0E6109BA">
        <w:rPr>
          <w:sz w:val="24"/>
          <w:szCs w:val="24"/>
        </w:rPr>
        <w:t>a guilty state of mind. The degree for a particular common law crime varie</w:t>
      </w:r>
      <w:r w:rsidRPr="019E77CF" w:rsidR="6DB37C52">
        <w:rPr>
          <w:sz w:val="24"/>
          <w:szCs w:val="24"/>
        </w:rPr>
        <w:t>d depending on men’s rea.</w:t>
      </w:r>
      <w:r w:rsidRPr="019E77CF" w:rsidR="26DC300A">
        <w:rPr>
          <w:sz w:val="24"/>
          <w:szCs w:val="24"/>
        </w:rPr>
        <w:t xml:space="preserve"> Murder requires a malicious state of mind, while theft involves a felonious state of mi</w:t>
      </w:r>
      <w:r w:rsidRPr="019E77CF" w:rsidR="062EA2A3">
        <w:rPr>
          <w:sz w:val="24"/>
          <w:szCs w:val="24"/>
        </w:rPr>
        <w:t>nd. Men’s rea is commonly used alongside the word's general intent, however</w:t>
      </w:r>
      <w:r w:rsidRPr="019E77CF" w:rsidR="5D657D20">
        <w:rPr>
          <w:sz w:val="24"/>
          <w:szCs w:val="24"/>
        </w:rPr>
        <w:t xml:space="preserve"> this cause confusion because general intent is used to describe criminal liability when the defen</w:t>
      </w:r>
      <w:r w:rsidRPr="019E77CF" w:rsidR="2425FA6D">
        <w:rPr>
          <w:sz w:val="24"/>
          <w:szCs w:val="24"/>
        </w:rPr>
        <w:t>dant does not intent to achieve a specific result. On the other hand, specific intent descri</w:t>
      </w:r>
      <w:r w:rsidRPr="019E77CF" w:rsidR="62CADF9E">
        <w:rPr>
          <w:sz w:val="24"/>
          <w:szCs w:val="24"/>
        </w:rPr>
        <w:t xml:space="preserve">bes a state of mind that goes </w:t>
      </w:r>
      <w:r w:rsidRPr="019E77CF" w:rsidR="54CCE341">
        <w:rPr>
          <w:sz w:val="24"/>
          <w:szCs w:val="24"/>
        </w:rPr>
        <w:t>beyond</w:t>
      </w:r>
      <w:r w:rsidRPr="019E77CF" w:rsidR="62CADF9E">
        <w:rPr>
          <w:sz w:val="24"/>
          <w:szCs w:val="24"/>
        </w:rPr>
        <w:t xml:space="preserve"> what is </w:t>
      </w:r>
      <w:r w:rsidRPr="019E77CF" w:rsidR="37DF3616">
        <w:rPr>
          <w:sz w:val="24"/>
          <w:szCs w:val="24"/>
        </w:rPr>
        <w:t>required</w:t>
      </w:r>
      <w:r w:rsidRPr="019E77CF" w:rsidR="62CADF9E">
        <w:rPr>
          <w:sz w:val="24"/>
          <w:szCs w:val="24"/>
        </w:rPr>
        <w:t>. To secure a conv</w:t>
      </w:r>
      <w:r w:rsidRPr="019E77CF" w:rsidR="757A70A8">
        <w:rPr>
          <w:sz w:val="24"/>
          <w:szCs w:val="24"/>
        </w:rPr>
        <w:t>iction</w:t>
      </w:r>
      <w:r w:rsidRPr="019E77CF" w:rsidR="7BE698EC">
        <w:rPr>
          <w:sz w:val="24"/>
          <w:szCs w:val="24"/>
        </w:rPr>
        <w:t>, the prosecution must show that the defendant committed the crime while in a certain state</w:t>
      </w:r>
      <w:r w:rsidRPr="019E77CF" w:rsidR="00C23769">
        <w:rPr>
          <w:sz w:val="24"/>
          <w:szCs w:val="24"/>
        </w:rPr>
        <w:t xml:space="preserve"> of mind. Every crime’s definition is specified before a person can be convicted, as a </w:t>
      </w:r>
      <w:r w:rsidRPr="019E77CF" w:rsidR="4BB01740">
        <w:rPr>
          <w:sz w:val="24"/>
          <w:szCs w:val="24"/>
        </w:rPr>
        <w:t>prerequisite for men’s rea.</w:t>
      </w:r>
      <w:r w:rsidRPr="019E77CF" w:rsidR="1F6018DD">
        <w:rPr>
          <w:sz w:val="24"/>
          <w:szCs w:val="24"/>
        </w:rPr>
        <w:t xml:space="preserve"> There are three states of mind which </w:t>
      </w:r>
      <w:r w:rsidRPr="019E77CF" w:rsidR="1F6018DD">
        <w:rPr>
          <w:sz w:val="24"/>
          <w:szCs w:val="24"/>
        </w:rPr>
        <w:t>constitute</w:t>
      </w:r>
      <w:r w:rsidRPr="019E77CF" w:rsidR="1F6018DD">
        <w:rPr>
          <w:sz w:val="24"/>
          <w:szCs w:val="24"/>
        </w:rPr>
        <w:t xml:space="preserve"> the necessary men’s rea for cr</w:t>
      </w:r>
      <w:r w:rsidRPr="019E77CF" w:rsidR="70305CF6">
        <w:rPr>
          <w:sz w:val="24"/>
          <w:szCs w:val="24"/>
        </w:rPr>
        <w:t xml:space="preserve">iminal offence. These are intention, recklessness and </w:t>
      </w:r>
      <w:r w:rsidRPr="019E77CF" w:rsidR="646B9472">
        <w:rPr>
          <w:sz w:val="24"/>
          <w:szCs w:val="24"/>
        </w:rPr>
        <w:t>negligence and are described be</w:t>
      </w:r>
      <w:r w:rsidRPr="019E77CF" w:rsidR="5C4FFC57">
        <w:rPr>
          <w:sz w:val="24"/>
          <w:szCs w:val="24"/>
        </w:rPr>
        <w:t xml:space="preserve">low. Intention </w:t>
      </w:r>
      <w:r w:rsidRPr="019E77CF" w:rsidR="0EABE6E3">
        <w:rPr>
          <w:sz w:val="24"/>
          <w:szCs w:val="24"/>
        </w:rPr>
        <w:t xml:space="preserve">direct intent refers to the normal situation in which the outcome of a person’s actions </w:t>
      </w:r>
      <w:r w:rsidRPr="019E77CF" w:rsidR="3AA13B0A">
        <w:rPr>
          <w:sz w:val="24"/>
          <w:szCs w:val="24"/>
        </w:rPr>
        <w:t>is desired</w:t>
      </w:r>
      <w:r w:rsidRPr="019E77CF" w:rsidR="2A2DA13D">
        <w:rPr>
          <w:sz w:val="24"/>
          <w:szCs w:val="24"/>
        </w:rPr>
        <w:t>.</w:t>
      </w:r>
    </w:p>
    <w:p w:rsidR="57A57739" w:rsidP="218DE707" w:rsidRDefault="57A57739" w14:paraId="3385F034" w14:textId="4C0EBF6A">
      <w:pPr>
        <w:pStyle w:val="Normal"/>
        <w:rPr>
          <w:rFonts w:ascii="Calibri" w:hAnsi="Calibri" w:eastAsia="Calibri" w:cs="Calibri"/>
          <w:noProof w:val="0"/>
          <w:sz w:val="24"/>
          <w:szCs w:val="24"/>
          <w:lang w:val="en-GB"/>
        </w:rPr>
      </w:pPr>
      <w:r w:rsidRPr="2D4681C8" w:rsidR="00189565">
        <w:rPr>
          <w:sz w:val="24"/>
          <w:szCs w:val="24"/>
        </w:rPr>
        <w:t xml:space="preserve"> </w:t>
      </w:r>
      <w:r w:rsidRPr="2D4681C8" w:rsidR="00189565">
        <w:rPr>
          <w:sz w:val="24"/>
          <w:szCs w:val="24"/>
        </w:rPr>
        <w:t xml:space="preserve">Oblique intent </w:t>
      </w:r>
      <w:r w:rsidRPr="2D4681C8" w:rsidR="73D44C8B">
        <w:rPr>
          <w:sz w:val="24"/>
          <w:szCs w:val="24"/>
        </w:rPr>
        <w:t>occurs</w:t>
      </w:r>
      <w:r w:rsidRPr="2D4681C8" w:rsidR="00189565">
        <w:rPr>
          <w:sz w:val="24"/>
          <w:szCs w:val="24"/>
        </w:rPr>
        <w:t xml:space="preserve"> when the defendant is aware </w:t>
      </w:r>
      <w:r w:rsidRPr="2D4681C8" w:rsidR="1ADF2272">
        <w:rPr>
          <w:sz w:val="24"/>
          <w:szCs w:val="24"/>
        </w:rPr>
        <w:t>that the outcome is almost certain</w:t>
      </w:r>
      <w:r w:rsidRPr="2D4681C8" w:rsidR="6C77A906">
        <w:rPr>
          <w:sz w:val="24"/>
          <w:szCs w:val="24"/>
        </w:rPr>
        <w:t xml:space="preserve">, even if it is not </w:t>
      </w:r>
      <w:r w:rsidRPr="2D4681C8" w:rsidR="6C77A906">
        <w:rPr>
          <w:sz w:val="24"/>
          <w:szCs w:val="24"/>
        </w:rPr>
        <w:t>desired</w:t>
      </w:r>
      <w:r w:rsidRPr="2D4681C8" w:rsidR="6C77A906">
        <w:rPr>
          <w:sz w:val="24"/>
          <w:szCs w:val="24"/>
        </w:rPr>
        <w:t xml:space="preserve"> for its own sake, and the defendant </w:t>
      </w:r>
      <w:r w:rsidRPr="2D4681C8" w:rsidR="6C77A906">
        <w:rPr>
          <w:sz w:val="24"/>
          <w:szCs w:val="24"/>
        </w:rPr>
        <w:t>proceeds</w:t>
      </w:r>
      <w:r w:rsidRPr="2D4681C8" w:rsidR="6C77A906">
        <w:rPr>
          <w:sz w:val="24"/>
          <w:szCs w:val="24"/>
        </w:rPr>
        <w:t xml:space="preserve"> </w:t>
      </w:r>
      <w:r w:rsidRPr="2D4681C8" w:rsidR="7B23BDD3">
        <w:rPr>
          <w:sz w:val="24"/>
          <w:szCs w:val="24"/>
        </w:rPr>
        <w:t>with his actions regardless.</w:t>
      </w:r>
      <w:r w:rsidRPr="2D4681C8" w:rsidR="7B23BDD3">
        <w:rPr>
          <w:sz w:val="24"/>
          <w:szCs w:val="24"/>
        </w:rPr>
        <w:t xml:space="preserve"> </w:t>
      </w:r>
      <w:r w:rsidRPr="2D4681C8" w:rsidR="23A3E2DC">
        <w:rPr>
          <w:sz w:val="24"/>
          <w:szCs w:val="24"/>
        </w:rPr>
        <w:t>This information I took from this website (</w:t>
      </w:r>
      <w:r w:rsidRPr="2D4681C8" w:rsidR="23A3E2DC">
        <w:rPr>
          <w:rFonts w:ascii="Calibri" w:hAnsi="Calibri" w:eastAsia="Calibri" w:cs="Calibri"/>
          <w:b w:val="0"/>
          <w:bCs w:val="0"/>
          <w:i w:val="0"/>
          <w:iCs w:val="0"/>
          <w:caps w:val="0"/>
          <w:smallCaps w:val="0"/>
          <w:noProof w:val="0"/>
          <w:color w:val="2C3E50"/>
          <w:sz w:val="24"/>
          <w:szCs w:val="24"/>
          <w:lang w:val="en-GB"/>
        </w:rPr>
        <w:t xml:space="preserve">www.studocu.com. (n.d.). </w:t>
      </w:r>
      <w:r w:rsidRPr="2D4681C8" w:rsidR="23A3E2DC">
        <w:rPr>
          <w:rFonts w:ascii="Calibri" w:hAnsi="Calibri" w:eastAsia="Calibri" w:cs="Calibri"/>
          <w:b w:val="0"/>
          <w:bCs w:val="0"/>
          <w:i w:val="1"/>
          <w:iCs w:val="1"/>
          <w:caps w:val="0"/>
          <w:smallCaps w:val="0"/>
          <w:noProof w:val="0"/>
          <w:color w:val="2C3E50"/>
          <w:sz w:val="24"/>
          <w:szCs w:val="24"/>
          <w:lang w:val="en-GB"/>
        </w:rPr>
        <w:t>2-MENS REA A Level - notes</w:t>
      </w:r>
      <w:r w:rsidRPr="2D4681C8" w:rsidR="677FC21B">
        <w:rPr>
          <w:rFonts w:ascii="Calibri" w:hAnsi="Calibri" w:eastAsia="Calibri" w:cs="Calibri"/>
          <w:b w:val="0"/>
          <w:bCs w:val="0"/>
          <w:i w:val="1"/>
          <w:iCs w:val="1"/>
          <w:caps w:val="0"/>
          <w:smallCaps w:val="0"/>
          <w:noProof w:val="0"/>
          <w:color w:val="2C3E50"/>
          <w:sz w:val="24"/>
          <w:szCs w:val="24"/>
          <w:lang w:val="en-GB"/>
        </w:rPr>
        <w:t xml:space="preserve"> – </w:t>
      </w:r>
      <w:r w:rsidRPr="2D4681C8" w:rsidR="70591A3A">
        <w:rPr>
          <w:rFonts w:ascii="Calibri" w:hAnsi="Calibri" w:eastAsia="Calibri" w:cs="Calibri"/>
          <w:b w:val="0"/>
          <w:bCs w:val="0"/>
          <w:i w:val="1"/>
          <w:iCs w:val="1"/>
          <w:caps w:val="0"/>
          <w:smallCaps w:val="0"/>
          <w:noProof w:val="0"/>
          <w:color w:val="2C3E50"/>
          <w:sz w:val="24"/>
          <w:szCs w:val="24"/>
          <w:lang w:val="en-GB"/>
        </w:rPr>
        <w:t>introduction</w:t>
      </w:r>
      <w:r w:rsidRPr="2D4681C8" w:rsidR="23A3E2DC">
        <w:rPr>
          <w:rFonts w:ascii="Calibri" w:hAnsi="Calibri" w:eastAsia="Calibri" w:cs="Calibri"/>
          <w:b w:val="0"/>
          <w:bCs w:val="0"/>
          <w:i w:val="1"/>
          <w:iCs w:val="1"/>
          <w:caps w:val="0"/>
          <w:smallCaps w:val="0"/>
          <w:noProof w:val="0"/>
          <w:color w:val="2C3E50"/>
          <w:sz w:val="24"/>
          <w:szCs w:val="24"/>
          <w:lang w:val="en-GB"/>
        </w:rPr>
        <w:t xml:space="preserve"> </w:t>
      </w:r>
      <w:r w:rsidRPr="2D4681C8" w:rsidR="66371319">
        <w:rPr>
          <w:rFonts w:ascii="Calibri" w:hAnsi="Calibri" w:eastAsia="Calibri" w:cs="Calibri"/>
          <w:b w:val="0"/>
          <w:bCs w:val="0"/>
          <w:i w:val="1"/>
          <w:iCs w:val="1"/>
          <w:caps w:val="0"/>
          <w:smallCaps w:val="0"/>
          <w:noProof w:val="0"/>
          <w:color w:val="2C3E50"/>
          <w:sz w:val="24"/>
          <w:szCs w:val="24"/>
          <w:lang w:val="en-GB"/>
        </w:rPr>
        <w:t>the</w:t>
      </w:r>
      <w:r w:rsidRPr="2D4681C8" w:rsidR="23A3E2DC">
        <w:rPr>
          <w:rFonts w:ascii="Calibri" w:hAnsi="Calibri" w:eastAsia="Calibri" w:cs="Calibri"/>
          <w:b w:val="0"/>
          <w:bCs w:val="0"/>
          <w:i w:val="1"/>
          <w:iCs w:val="1"/>
          <w:caps w:val="0"/>
          <w:smallCaps w:val="0"/>
          <w:noProof w:val="0"/>
          <w:color w:val="2C3E50"/>
          <w:sz w:val="24"/>
          <w:szCs w:val="24"/>
          <w:lang w:val="en-GB"/>
        </w:rPr>
        <w:t xml:space="preserve"> prosecution must prove that the defendant committed - </w:t>
      </w:r>
      <w:r w:rsidRPr="2D4681C8" w:rsidR="23A3E2DC">
        <w:rPr>
          <w:rFonts w:ascii="Calibri" w:hAnsi="Calibri" w:eastAsia="Calibri" w:cs="Calibri"/>
          <w:b w:val="0"/>
          <w:bCs w:val="0"/>
          <w:i w:val="1"/>
          <w:iCs w:val="1"/>
          <w:caps w:val="0"/>
          <w:smallCaps w:val="0"/>
          <w:noProof w:val="0"/>
          <w:color w:val="2C3E50"/>
          <w:sz w:val="24"/>
          <w:szCs w:val="24"/>
          <w:lang w:val="en-GB"/>
        </w:rPr>
        <w:t>StuDocu</w:t>
      </w:r>
      <w:r w:rsidRPr="2D4681C8" w:rsidR="23A3E2DC">
        <w:rPr>
          <w:rFonts w:ascii="Calibri" w:hAnsi="Calibri" w:eastAsia="Calibri" w:cs="Calibri"/>
          <w:b w:val="0"/>
          <w:bCs w:val="0"/>
          <w:i w:val="0"/>
          <w:iCs w:val="0"/>
          <w:caps w:val="0"/>
          <w:smallCaps w:val="0"/>
          <w:noProof w:val="0"/>
          <w:color w:val="2C3E50"/>
          <w:sz w:val="24"/>
          <w:szCs w:val="24"/>
          <w:lang w:val="en-GB"/>
        </w:rPr>
        <w:t>. [online] Available at: https://www.studocu.com/en-gb/document/university-of-essex/criminal-law/2-mens-rea-a-level-notes/14595606)</w:t>
      </w:r>
    </w:p>
    <w:p w:rsidR="57A57739" w:rsidP="218DE707" w:rsidRDefault="57A57739" w14:paraId="2F123570" w14:textId="2133A7D7">
      <w:pPr>
        <w:pStyle w:val="Normal"/>
        <w:rPr>
          <w:sz w:val="24"/>
          <w:szCs w:val="24"/>
        </w:rPr>
      </w:pPr>
    </w:p>
    <w:p w:rsidR="57A57739" w:rsidP="218DE707" w:rsidRDefault="57A57739" w14:paraId="075AAE90" w14:textId="542763CF">
      <w:pPr>
        <w:pStyle w:val="Normal"/>
        <w:rPr>
          <w:rFonts w:ascii="Calibri" w:hAnsi="Calibri" w:eastAsia="Calibri" w:cs="Calibri"/>
          <w:noProof w:val="0"/>
          <w:sz w:val="24"/>
          <w:szCs w:val="24"/>
          <w:lang w:val="en-GB"/>
        </w:rPr>
      </w:pPr>
      <w:r w:rsidRPr="218DE707" w:rsidR="37EB056D">
        <w:rPr>
          <w:sz w:val="24"/>
          <w:szCs w:val="24"/>
        </w:rPr>
        <w:t>Intention based on foresight of conse</w:t>
      </w:r>
      <w:r w:rsidRPr="218DE707" w:rsidR="29ED0910">
        <w:rPr>
          <w:sz w:val="24"/>
          <w:szCs w:val="24"/>
        </w:rPr>
        <w:t xml:space="preserve">quences. According to the law, foresight </w:t>
      </w:r>
      <w:r w:rsidRPr="218DE707" w:rsidR="093F7BA9">
        <w:rPr>
          <w:sz w:val="24"/>
          <w:szCs w:val="24"/>
        </w:rPr>
        <w:t xml:space="preserve">of consequences can only be evidence of intent if the accused </w:t>
      </w:r>
      <w:r w:rsidRPr="218DE707" w:rsidR="542D5B80">
        <w:rPr>
          <w:sz w:val="24"/>
          <w:szCs w:val="24"/>
        </w:rPr>
        <w:t>were</w:t>
      </w:r>
      <w:r w:rsidRPr="218DE707" w:rsidR="093F7BA9">
        <w:rPr>
          <w:sz w:val="24"/>
          <w:szCs w:val="24"/>
        </w:rPr>
        <w:t xml:space="preserve"> aware that those consequences wou</w:t>
      </w:r>
      <w:r w:rsidRPr="218DE707" w:rsidR="6D3C7AB3">
        <w:rPr>
          <w:sz w:val="24"/>
          <w:szCs w:val="24"/>
        </w:rPr>
        <w:t>ld undoubtedly occur.</w:t>
      </w:r>
      <w:r w:rsidRPr="218DE707" w:rsidR="0E6EE5EA">
        <w:rPr>
          <w:sz w:val="24"/>
          <w:szCs w:val="24"/>
        </w:rPr>
        <w:t xml:space="preserve"> Therefore, it is insufficient to simply have the possibility of a specific occurrence.</w:t>
      </w:r>
      <w:r w:rsidRPr="218DE707" w:rsidR="46AD34B7">
        <w:rPr>
          <w:sz w:val="24"/>
          <w:szCs w:val="24"/>
        </w:rPr>
        <w:t xml:space="preserve"> To make the jury’s understanding clearer. A </w:t>
      </w:r>
      <w:r w:rsidRPr="218DE707" w:rsidR="5E3DF61D">
        <w:rPr>
          <w:sz w:val="24"/>
          <w:szCs w:val="24"/>
        </w:rPr>
        <w:t xml:space="preserve">court of jury </w:t>
      </w:r>
      <w:r w:rsidRPr="218DE707" w:rsidR="5B87C080">
        <w:rPr>
          <w:sz w:val="24"/>
          <w:szCs w:val="24"/>
        </w:rPr>
        <w:t>in determining</w:t>
      </w:r>
      <w:r w:rsidRPr="218DE707" w:rsidR="5E3DF61D">
        <w:rPr>
          <w:sz w:val="24"/>
          <w:szCs w:val="24"/>
        </w:rPr>
        <w:t xml:space="preserve"> whether a person has committed an offence shall not be found</w:t>
      </w:r>
      <w:r w:rsidRPr="218DE707" w:rsidR="3D9068B6">
        <w:rPr>
          <w:sz w:val="24"/>
          <w:szCs w:val="24"/>
        </w:rPr>
        <w:t xml:space="preserve"> in law to infer that he intended or foresaw a result of his actions by </w:t>
      </w:r>
      <w:r w:rsidRPr="218DE707" w:rsidR="6B695DB0">
        <w:rPr>
          <w:sz w:val="24"/>
          <w:szCs w:val="24"/>
        </w:rPr>
        <w:t>reason only</w:t>
      </w:r>
      <w:r w:rsidRPr="218DE707" w:rsidR="7C354DE7">
        <w:rPr>
          <w:sz w:val="24"/>
          <w:szCs w:val="24"/>
        </w:rPr>
        <w:t xml:space="preserve"> of it being a natural and probable consequence</w:t>
      </w:r>
      <w:r w:rsidRPr="218DE707" w:rsidR="33A07EB6">
        <w:rPr>
          <w:sz w:val="24"/>
          <w:szCs w:val="24"/>
        </w:rPr>
        <w:t xml:space="preserve"> of those actions; rather, it shall decide whether he did intent or </w:t>
      </w:r>
      <w:r w:rsidRPr="218DE707" w:rsidR="4140C97D">
        <w:rPr>
          <w:sz w:val="24"/>
          <w:szCs w:val="24"/>
        </w:rPr>
        <w:t>foresee that result by reference to all the evidence as appear proper in the circumstances.</w:t>
      </w:r>
      <w:r w:rsidRPr="218DE707" w:rsidR="797F184A">
        <w:rPr>
          <w:sz w:val="24"/>
          <w:szCs w:val="24"/>
        </w:rPr>
        <w:t xml:space="preserve"> Section 8 of the Criminal Justice Act of 1967deals with how intention or foresight mu</w:t>
      </w:r>
      <w:r w:rsidRPr="218DE707" w:rsidR="5F382147">
        <w:rPr>
          <w:sz w:val="24"/>
          <w:szCs w:val="24"/>
        </w:rPr>
        <w:t>t be proven.</w:t>
      </w:r>
      <w:r w:rsidRPr="218DE707" w:rsidR="7314A771">
        <w:rPr>
          <w:sz w:val="24"/>
          <w:szCs w:val="24"/>
        </w:rPr>
        <w:t xml:space="preserve"> Consequently, even though</w:t>
      </w:r>
      <w:r w:rsidRPr="218DE707" w:rsidR="52671A0A">
        <w:rPr>
          <w:sz w:val="24"/>
          <w:szCs w:val="24"/>
        </w:rPr>
        <w:t xml:space="preserve"> a jury may conclude as much from considering, all the evidence, a person is not </w:t>
      </w:r>
      <w:r w:rsidRPr="218DE707" w:rsidR="110BFF3C">
        <w:rPr>
          <w:sz w:val="24"/>
          <w:szCs w:val="24"/>
        </w:rPr>
        <w:t>to be presumed to have intended the natural and probable outcomes of h</w:t>
      </w:r>
      <w:r w:rsidRPr="218DE707" w:rsidR="30048AEC">
        <w:rPr>
          <w:sz w:val="24"/>
          <w:szCs w:val="24"/>
        </w:rPr>
        <w:t>is act only because they were natural and probable in case w</w:t>
      </w:r>
      <w:r w:rsidRPr="218DE707" w:rsidR="20812887">
        <w:rPr>
          <w:sz w:val="24"/>
          <w:szCs w:val="24"/>
        </w:rPr>
        <w:t xml:space="preserve">here foresight must be proven. Because </w:t>
      </w:r>
      <w:r w:rsidRPr="218DE707" w:rsidR="0E55C99F">
        <w:rPr>
          <w:sz w:val="24"/>
          <w:szCs w:val="24"/>
        </w:rPr>
        <w:t>of this, the test is arbitrary, and the jury’s tas</w:t>
      </w:r>
      <w:r w:rsidRPr="218DE707" w:rsidR="4CFAAED0">
        <w:rPr>
          <w:sz w:val="24"/>
          <w:szCs w:val="24"/>
        </w:rPr>
        <w:t xml:space="preserve">k is to </w:t>
      </w:r>
      <w:r w:rsidRPr="218DE707" w:rsidR="4CFAAED0">
        <w:rPr>
          <w:sz w:val="24"/>
          <w:szCs w:val="24"/>
        </w:rPr>
        <w:t>determine</w:t>
      </w:r>
      <w:r w:rsidRPr="218DE707" w:rsidR="4CFAAED0">
        <w:rPr>
          <w:sz w:val="24"/>
          <w:szCs w:val="24"/>
        </w:rPr>
        <w:t xml:space="preserve"> the defendant’s intent after weighing all the available evidence. </w:t>
      </w:r>
      <w:r w:rsidRPr="218DE707" w:rsidR="53614534">
        <w:rPr>
          <w:sz w:val="24"/>
          <w:szCs w:val="24"/>
        </w:rPr>
        <w:t xml:space="preserve">Here are the instances in which they were used: The </w:t>
      </w:r>
      <w:r w:rsidRPr="218DE707" w:rsidR="6AF2069A">
        <w:rPr>
          <w:sz w:val="24"/>
          <w:szCs w:val="24"/>
        </w:rPr>
        <w:t>House of Lords has examined the connection between intention and foresight</w:t>
      </w:r>
      <w:r w:rsidRPr="218DE707" w:rsidR="2996EBCC">
        <w:rPr>
          <w:sz w:val="24"/>
          <w:szCs w:val="24"/>
        </w:rPr>
        <w:t xml:space="preserve"> in the case of Hyam v. DPP (1975)</w:t>
      </w:r>
      <w:r w:rsidRPr="218DE707" w:rsidR="2FFD8230">
        <w:rPr>
          <w:sz w:val="24"/>
          <w:szCs w:val="24"/>
        </w:rPr>
        <w:t xml:space="preserve">, AC 55 R v. Moloney (1985), and 1 All </w:t>
      </w:r>
      <w:r w:rsidRPr="218DE707" w:rsidR="478E4396">
        <w:rPr>
          <w:sz w:val="24"/>
          <w:szCs w:val="24"/>
        </w:rPr>
        <w:t xml:space="preserve">ER 1025 R v. Hancock and Shankland. </w:t>
      </w:r>
      <w:r w:rsidRPr="218DE707" w:rsidR="45F30385">
        <w:rPr>
          <w:sz w:val="24"/>
          <w:szCs w:val="24"/>
        </w:rPr>
        <w:t xml:space="preserve">It is crucial to remember that result of foresight </w:t>
      </w:r>
      <w:r w:rsidRPr="218DE707" w:rsidR="18FC7B78">
        <w:rPr>
          <w:sz w:val="24"/>
          <w:szCs w:val="24"/>
        </w:rPr>
        <w:t>is</w:t>
      </w:r>
      <w:r w:rsidRPr="218DE707" w:rsidR="45F30385">
        <w:rPr>
          <w:sz w:val="24"/>
          <w:szCs w:val="24"/>
        </w:rPr>
        <w:t xml:space="preserve"> </w:t>
      </w:r>
      <w:r w:rsidRPr="218DE707" w:rsidR="0084AEB9">
        <w:rPr>
          <w:sz w:val="24"/>
          <w:szCs w:val="24"/>
        </w:rPr>
        <w:t>different from</w:t>
      </w:r>
      <w:r w:rsidRPr="218DE707" w:rsidR="45F30385">
        <w:rPr>
          <w:sz w:val="24"/>
          <w:szCs w:val="24"/>
        </w:rPr>
        <w:t xml:space="preserve"> purpose; rather,</w:t>
      </w:r>
      <w:r w:rsidRPr="218DE707" w:rsidR="21CFB36D">
        <w:rPr>
          <w:sz w:val="24"/>
          <w:szCs w:val="24"/>
        </w:rPr>
        <w:t xml:space="preserve"> they are just proof of intention. In contrast to direct intent, oblique intent, or fo</w:t>
      </w:r>
      <w:r w:rsidRPr="218DE707" w:rsidR="0AFE7F1B">
        <w:rPr>
          <w:sz w:val="24"/>
          <w:szCs w:val="24"/>
        </w:rPr>
        <w:t xml:space="preserve">resight intent, is typically the only requirement for proof in criminal law. </w:t>
      </w:r>
    </w:p>
    <w:p w:rsidR="57A57739" w:rsidP="019E77CF" w:rsidRDefault="57A57739" w14:paraId="6E32AA72" w14:textId="25E94FB3">
      <w:pPr>
        <w:pStyle w:val="Normal"/>
        <w:rPr>
          <w:rFonts w:ascii="Calibri" w:hAnsi="Calibri" w:eastAsia="Calibri" w:cs="Calibri"/>
          <w:noProof w:val="0"/>
          <w:sz w:val="24"/>
          <w:szCs w:val="24"/>
          <w:lang w:val="en-GB"/>
        </w:rPr>
      </w:pPr>
      <w:r w:rsidRPr="019E77CF" w:rsidR="49A3644C">
        <w:rPr>
          <w:sz w:val="24"/>
          <w:szCs w:val="24"/>
        </w:rPr>
        <w:t xml:space="preserve">Recklessness is to take unwarranted risks. Most of </w:t>
      </w:r>
      <w:r w:rsidRPr="019E77CF" w:rsidR="01E1B31A">
        <w:rPr>
          <w:sz w:val="24"/>
          <w:szCs w:val="24"/>
        </w:rPr>
        <w:t xml:space="preserve">the time, there is </w:t>
      </w:r>
      <w:r w:rsidRPr="019E77CF" w:rsidR="679ABC16">
        <w:rPr>
          <w:sz w:val="24"/>
          <w:szCs w:val="24"/>
        </w:rPr>
        <w:t>unmistakable</w:t>
      </w:r>
      <w:r w:rsidRPr="019E77CF" w:rsidR="01E1B31A">
        <w:rPr>
          <w:sz w:val="24"/>
          <w:szCs w:val="24"/>
        </w:rPr>
        <w:t xml:space="preserve"> subjective proof that the accused fores</w:t>
      </w:r>
      <w:r w:rsidRPr="019E77CF" w:rsidR="10276939">
        <w:rPr>
          <w:sz w:val="24"/>
          <w:szCs w:val="24"/>
        </w:rPr>
        <w:t>aw the event but did not want it.</w:t>
      </w:r>
      <w:r w:rsidRPr="019E77CF" w:rsidR="46ED2EAF">
        <w:rPr>
          <w:sz w:val="24"/>
          <w:szCs w:val="24"/>
        </w:rPr>
        <w:t xml:space="preserve"> </w:t>
      </w:r>
      <w:r w:rsidRPr="019E77CF" w:rsidR="46ED2EAF">
        <w:rPr>
          <w:sz w:val="24"/>
          <w:szCs w:val="24"/>
        </w:rPr>
        <w:t>The risk of resulting in the specified loss or harm was recklessness</w:t>
      </w:r>
      <w:r w:rsidRPr="019E77CF" w:rsidR="7F2B7D7C">
        <w:rPr>
          <w:sz w:val="24"/>
          <w:szCs w:val="24"/>
        </w:rPr>
        <w:t xml:space="preserve"> occurs, purpose is always </w:t>
      </w:r>
      <w:r w:rsidRPr="019E77CF" w:rsidR="31876808">
        <w:rPr>
          <w:sz w:val="24"/>
          <w:szCs w:val="24"/>
        </w:rPr>
        <w:t>present</w:t>
      </w:r>
      <w:r w:rsidRPr="019E77CF" w:rsidR="7F2B7D7C">
        <w:rPr>
          <w:sz w:val="24"/>
          <w:szCs w:val="24"/>
        </w:rPr>
        <w:t>.</w:t>
      </w:r>
      <w:r w:rsidRPr="019E77CF" w:rsidR="7F2B7D7C">
        <w:rPr>
          <w:sz w:val="24"/>
          <w:szCs w:val="24"/>
        </w:rPr>
        <w:t xml:space="preserve"> To be</w:t>
      </w:r>
      <w:r w:rsidRPr="019E77CF" w:rsidR="5C245961">
        <w:rPr>
          <w:sz w:val="24"/>
          <w:szCs w:val="24"/>
        </w:rPr>
        <w:t xml:space="preserve"> </w:t>
      </w:r>
      <w:r w:rsidRPr="019E77CF" w:rsidR="12A8A453">
        <w:rPr>
          <w:sz w:val="24"/>
          <w:szCs w:val="24"/>
        </w:rPr>
        <w:t>negligent</w:t>
      </w:r>
      <w:r w:rsidRPr="019E77CF" w:rsidR="5C245961">
        <w:rPr>
          <w:sz w:val="24"/>
          <w:szCs w:val="24"/>
        </w:rPr>
        <w:t xml:space="preserve"> is to behave in a way tha</w:t>
      </w:r>
      <w:r w:rsidRPr="019E77CF" w:rsidR="23896BAB">
        <w:rPr>
          <w:sz w:val="24"/>
          <w:szCs w:val="24"/>
        </w:rPr>
        <w:t>t is less than that of an average reasonable person.</w:t>
      </w:r>
    </w:p>
    <w:p w:rsidR="57A57739" w:rsidP="218DE707" w:rsidRDefault="57A57739" w14:paraId="59C4448F" w14:textId="12F3E417">
      <w:pPr>
        <w:pStyle w:val="Normal"/>
        <w:rPr>
          <w:rFonts w:ascii="Calibri" w:hAnsi="Calibri" w:eastAsia="Calibri" w:cs="Calibri"/>
          <w:noProof w:val="0"/>
          <w:sz w:val="24"/>
          <w:szCs w:val="24"/>
          <w:lang w:val="en-GB"/>
        </w:rPr>
      </w:pPr>
      <w:r w:rsidRPr="2D4681C8" w:rsidR="0A5C0940">
        <w:rPr>
          <w:sz w:val="24"/>
          <w:szCs w:val="24"/>
        </w:rPr>
        <w:t xml:space="preserve"> </w:t>
      </w:r>
      <w:r w:rsidRPr="2D4681C8" w:rsidR="25F1163C">
        <w:rPr>
          <w:sz w:val="24"/>
          <w:szCs w:val="24"/>
        </w:rPr>
        <w:t xml:space="preserve">The existence of negligence is traditionally </w:t>
      </w:r>
      <w:r w:rsidRPr="2D4681C8" w:rsidR="25F1163C">
        <w:rPr>
          <w:sz w:val="24"/>
          <w:szCs w:val="24"/>
        </w:rPr>
        <w:t>determined</w:t>
      </w:r>
      <w:r w:rsidRPr="2D4681C8" w:rsidR="25F1163C">
        <w:rPr>
          <w:sz w:val="24"/>
          <w:szCs w:val="24"/>
        </w:rPr>
        <w:t xml:space="preserve"> according to an objective test, which </w:t>
      </w:r>
      <w:r w:rsidRPr="2D4681C8" w:rsidR="60962523">
        <w:rPr>
          <w:sz w:val="24"/>
          <w:szCs w:val="24"/>
        </w:rPr>
        <w:t>asks whether the defendant’s conduct has fallen below</w:t>
      </w:r>
      <w:r w:rsidRPr="2D4681C8" w:rsidR="489C1AAC">
        <w:rPr>
          <w:sz w:val="24"/>
          <w:szCs w:val="24"/>
        </w:rPr>
        <w:t xml:space="preserve"> the </w:t>
      </w:r>
      <w:r w:rsidRPr="2D4681C8" w:rsidR="48261463">
        <w:rPr>
          <w:sz w:val="24"/>
          <w:szCs w:val="24"/>
        </w:rPr>
        <w:t>standards</w:t>
      </w:r>
      <w:r w:rsidRPr="2D4681C8" w:rsidR="489C1AAC">
        <w:rPr>
          <w:sz w:val="24"/>
          <w:szCs w:val="24"/>
        </w:rPr>
        <w:t xml:space="preserve"> of the reasonable person. There is one </w:t>
      </w:r>
      <w:r w:rsidRPr="2D4681C8" w:rsidR="6782CFF6">
        <w:rPr>
          <w:sz w:val="24"/>
          <w:szCs w:val="24"/>
        </w:rPr>
        <w:t>important</w:t>
      </w:r>
      <w:r w:rsidRPr="2D4681C8" w:rsidR="489C1AAC">
        <w:rPr>
          <w:sz w:val="24"/>
          <w:szCs w:val="24"/>
        </w:rPr>
        <w:t xml:space="preserve"> common law crime wh</w:t>
      </w:r>
      <w:r w:rsidRPr="2D4681C8" w:rsidR="2C52D9DA">
        <w:rPr>
          <w:sz w:val="24"/>
          <w:szCs w:val="24"/>
        </w:rPr>
        <w:t>ere negligence is an element of the offence: gross negligence</w:t>
      </w:r>
      <w:r w:rsidRPr="2D4681C8" w:rsidR="51B65F04">
        <w:rPr>
          <w:sz w:val="24"/>
          <w:szCs w:val="24"/>
        </w:rPr>
        <w:t xml:space="preserve"> manslaughter. The leading case on </w:t>
      </w:r>
      <w:r w:rsidRPr="2D4681C8" w:rsidR="690DF243">
        <w:rPr>
          <w:sz w:val="24"/>
          <w:szCs w:val="24"/>
        </w:rPr>
        <w:t xml:space="preserve">the meaning of gross negligence is the House of Lords judgement of R v Adomako </w:t>
      </w:r>
      <w:r w:rsidRPr="2D4681C8" w:rsidR="591F1F6B">
        <w:rPr>
          <w:sz w:val="24"/>
          <w:szCs w:val="24"/>
        </w:rPr>
        <w:t>(1994).</w:t>
      </w:r>
      <w:r w:rsidRPr="2D4681C8" w:rsidR="0CD73389">
        <w:rPr>
          <w:rFonts w:ascii="Calibri" w:hAnsi="Calibri" w:eastAsia="Calibri" w:cs="Calibri"/>
          <w:noProof w:val="0"/>
          <w:sz w:val="24"/>
          <w:szCs w:val="24"/>
          <w:lang w:val="en-GB"/>
        </w:rPr>
        <w:t xml:space="preserve"> </w:t>
      </w:r>
      <w:r w:rsidRPr="2D4681C8" w:rsidR="0CD73389">
        <w:rPr>
          <w:rFonts w:ascii="Calibri" w:hAnsi="Calibri" w:eastAsia="Calibri" w:cs="Calibri"/>
          <w:noProof w:val="0"/>
          <w:sz w:val="24"/>
          <w:szCs w:val="24"/>
          <w:lang w:val="en-GB"/>
        </w:rPr>
        <w:t xml:space="preserve">This is a case where a duty of care was breached, causing death. A jury must also assess whether this breach was </w:t>
      </w:r>
      <w:r w:rsidRPr="2D4681C8" w:rsidR="0CD73389">
        <w:rPr>
          <w:rFonts w:ascii="Calibri" w:hAnsi="Calibri" w:eastAsia="Calibri" w:cs="Calibri"/>
          <w:noProof w:val="0"/>
          <w:sz w:val="24"/>
          <w:szCs w:val="24"/>
          <w:lang w:val="en-GB"/>
        </w:rPr>
        <w:t>substantial</w:t>
      </w:r>
      <w:r w:rsidRPr="2D4681C8" w:rsidR="0CD73389">
        <w:rPr>
          <w:rFonts w:ascii="Calibri" w:hAnsi="Calibri" w:eastAsia="Calibri" w:cs="Calibri"/>
          <w:noProof w:val="0"/>
          <w:sz w:val="24"/>
          <w:szCs w:val="24"/>
          <w:lang w:val="en-GB"/>
        </w:rPr>
        <w:t xml:space="preserve"> or "gross" enough to constitute criminal activity. The case of R v Adomako clearly </w:t>
      </w:r>
      <w:r w:rsidRPr="2D4681C8" w:rsidR="0CD73389">
        <w:rPr>
          <w:rFonts w:ascii="Calibri" w:hAnsi="Calibri" w:eastAsia="Calibri" w:cs="Calibri"/>
          <w:noProof w:val="0"/>
          <w:sz w:val="24"/>
          <w:szCs w:val="24"/>
          <w:lang w:val="en-GB"/>
        </w:rPr>
        <w:t>demonstrates</w:t>
      </w:r>
      <w:r w:rsidRPr="2D4681C8" w:rsidR="0CD73389">
        <w:rPr>
          <w:rFonts w:ascii="Calibri" w:hAnsi="Calibri" w:eastAsia="Calibri" w:cs="Calibri"/>
          <w:noProof w:val="0"/>
          <w:sz w:val="24"/>
          <w:szCs w:val="24"/>
          <w:lang w:val="en-GB"/>
        </w:rPr>
        <w:t xml:space="preserve"> this concept. An anaesthesia doctor did not realise that an oxygen tubing had been unplugged during a routine operation. The patient died after losing all of oxygen for more than two minutes. During the trial, it was discovered that most anaesthetists would have noticed the detached oxygen tube within twenty seconds, removing any risk to the patient. As a result, the jury </w:t>
      </w:r>
      <w:r w:rsidRPr="2D4681C8" w:rsidR="0CD73389">
        <w:rPr>
          <w:rFonts w:ascii="Calibri" w:hAnsi="Calibri" w:eastAsia="Calibri" w:cs="Calibri"/>
          <w:noProof w:val="0"/>
          <w:sz w:val="24"/>
          <w:szCs w:val="24"/>
          <w:lang w:val="en-GB"/>
        </w:rPr>
        <w:t>determined</w:t>
      </w:r>
      <w:r w:rsidRPr="2D4681C8" w:rsidR="0CD73389">
        <w:rPr>
          <w:rFonts w:ascii="Calibri" w:hAnsi="Calibri" w:eastAsia="Calibri" w:cs="Calibri"/>
          <w:noProof w:val="0"/>
          <w:sz w:val="24"/>
          <w:szCs w:val="24"/>
          <w:lang w:val="en-GB"/>
        </w:rPr>
        <w:t xml:space="preserve"> that Adomako was highly negligent.</w:t>
      </w:r>
      <w:r w:rsidRPr="2D4681C8" w:rsidR="0D7A8791">
        <w:rPr>
          <w:rFonts w:ascii="Calibri" w:hAnsi="Calibri" w:eastAsia="Calibri" w:cs="Calibri"/>
          <w:noProof w:val="0"/>
          <w:sz w:val="24"/>
          <w:szCs w:val="24"/>
          <w:lang w:val="en-GB"/>
        </w:rPr>
        <w:t xml:space="preserve"> </w:t>
      </w:r>
      <w:r w:rsidRPr="2D4681C8" w:rsidR="6E93244D">
        <w:rPr>
          <w:rFonts w:ascii="Calibri" w:hAnsi="Calibri" w:eastAsia="Calibri" w:cs="Calibri"/>
          <w:noProof w:val="0"/>
          <w:sz w:val="24"/>
          <w:szCs w:val="24"/>
          <w:lang w:val="en-GB"/>
        </w:rPr>
        <w:t>(Revisely.com</w:t>
      </w:r>
      <w:r w:rsidRPr="2D4681C8" w:rsidR="0D7A8791">
        <w:rPr>
          <w:rFonts w:ascii="Calibri" w:hAnsi="Calibri" w:eastAsia="Calibri" w:cs="Calibri"/>
          <w:b w:val="0"/>
          <w:bCs w:val="0"/>
          <w:i w:val="0"/>
          <w:iCs w:val="0"/>
          <w:caps w:val="0"/>
          <w:smallCaps w:val="0"/>
          <w:noProof w:val="0"/>
          <w:color w:val="2C3E50"/>
          <w:sz w:val="27"/>
          <w:szCs w:val="27"/>
          <w:lang w:val="en-GB"/>
        </w:rPr>
        <w:t>.</w:t>
      </w:r>
      <w:r w:rsidRPr="2D4681C8" w:rsidR="0D7A8791">
        <w:rPr>
          <w:rFonts w:ascii="Calibri" w:hAnsi="Calibri" w:eastAsia="Calibri" w:cs="Calibri"/>
          <w:b w:val="0"/>
          <w:bCs w:val="0"/>
          <w:i w:val="0"/>
          <w:iCs w:val="0"/>
          <w:caps w:val="0"/>
          <w:smallCaps w:val="0"/>
          <w:noProof w:val="0"/>
          <w:color w:val="2C3E50"/>
          <w:sz w:val="24"/>
          <w:szCs w:val="24"/>
          <w:lang w:val="en-GB"/>
        </w:rPr>
        <w:t xml:space="preserve"> (2023). </w:t>
      </w:r>
      <w:r w:rsidRPr="2D4681C8" w:rsidR="0D7A8791">
        <w:rPr>
          <w:rFonts w:ascii="Calibri" w:hAnsi="Calibri" w:eastAsia="Calibri" w:cs="Calibri"/>
          <w:b w:val="0"/>
          <w:bCs w:val="0"/>
          <w:i w:val="1"/>
          <w:iCs w:val="1"/>
          <w:caps w:val="0"/>
          <w:smallCaps w:val="0"/>
          <w:noProof w:val="0"/>
          <w:color w:val="2C3E50"/>
          <w:sz w:val="24"/>
          <w:szCs w:val="24"/>
          <w:lang w:val="en-GB"/>
        </w:rPr>
        <w:t xml:space="preserve">A-Level AQA Law Notes - Criminal Law - Actus Reus and </w:t>
      </w:r>
      <w:r w:rsidRPr="2D4681C8" w:rsidR="0D7A8791">
        <w:rPr>
          <w:rFonts w:ascii="Calibri" w:hAnsi="Calibri" w:eastAsia="Calibri" w:cs="Calibri"/>
          <w:b w:val="0"/>
          <w:bCs w:val="0"/>
          <w:i w:val="1"/>
          <w:iCs w:val="1"/>
          <w:caps w:val="0"/>
          <w:smallCaps w:val="0"/>
          <w:noProof w:val="0"/>
          <w:color w:val="2C3E50"/>
          <w:sz w:val="24"/>
          <w:szCs w:val="24"/>
          <w:lang w:val="en-GB"/>
        </w:rPr>
        <w:t>Mens</w:t>
      </w:r>
      <w:r w:rsidRPr="2D4681C8" w:rsidR="0D7A8791">
        <w:rPr>
          <w:rFonts w:ascii="Calibri" w:hAnsi="Calibri" w:eastAsia="Calibri" w:cs="Calibri"/>
          <w:b w:val="0"/>
          <w:bCs w:val="0"/>
          <w:i w:val="1"/>
          <w:iCs w:val="1"/>
          <w:caps w:val="0"/>
          <w:smallCaps w:val="0"/>
          <w:noProof w:val="0"/>
          <w:color w:val="2C3E50"/>
          <w:sz w:val="24"/>
          <w:szCs w:val="24"/>
          <w:lang w:val="en-GB"/>
        </w:rPr>
        <w:t xml:space="preserve"> Rea - </w:t>
      </w:r>
      <w:r w:rsidRPr="2D4681C8" w:rsidR="0D7A8791">
        <w:rPr>
          <w:rFonts w:ascii="Calibri" w:hAnsi="Calibri" w:eastAsia="Calibri" w:cs="Calibri"/>
          <w:b w:val="0"/>
          <w:bCs w:val="0"/>
          <w:i w:val="1"/>
          <w:iCs w:val="1"/>
          <w:caps w:val="0"/>
          <w:smallCaps w:val="0"/>
          <w:noProof w:val="0"/>
          <w:color w:val="2C3E50"/>
          <w:sz w:val="24"/>
          <w:szCs w:val="24"/>
          <w:lang w:val="en-GB"/>
        </w:rPr>
        <w:t>Revisely</w:t>
      </w:r>
      <w:r w:rsidRPr="2D4681C8" w:rsidR="0D7A8791">
        <w:rPr>
          <w:rFonts w:ascii="Calibri" w:hAnsi="Calibri" w:eastAsia="Calibri" w:cs="Calibri"/>
          <w:b w:val="0"/>
          <w:bCs w:val="0"/>
          <w:i w:val="0"/>
          <w:iCs w:val="0"/>
          <w:caps w:val="0"/>
          <w:smallCaps w:val="0"/>
          <w:noProof w:val="0"/>
          <w:color w:val="2C3E50"/>
          <w:sz w:val="24"/>
          <w:szCs w:val="24"/>
          <w:lang w:val="en-GB"/>
        </w:rPr>
        <w:t xml:space="preserve">. [online] Available at: </w:t>
      </w:r>
      <w:hyperlink r:id="Rdadbfe1c5eda40c0">
        <w:r w:rsidRPr="2D4681C8" w:rsidR="0D7A8791">
          <w:rPr>
            <w:rStyle w:val="Hyperlink"/>
            <w:rFonts w:ascii="Calibri" w:hAnsi="Calibri" w:eastAsia="Calibri" w:cs="Calibri"/>
            <w:b w:val="0"/>
            <w:bCs w:val="0"/>
            <w:i w:val="0"/>
            <w:iCs w:val="0"/>
            <w:caps w:val="0"/>
            <w:smallCaps w:val="0"/>
            <w:noProof w:val="0"/>
            <w:sz w:val="24"/>
            <w:szCs w:val="24"/>
            <w:lang w:val="en-GB"/>
          </w:rPr>
          <w:t>https://www.revisely.com/alevel/law/aqa/notes/criminal-law/actus-reus-and-mens-rea</w:t>
        </w:r>
      </w:hyperlink>
      <w:r w:rsidRPr="2D4681C8" w:rsidR="0D7A8791">
        <w:rPr>
          <w:rFonts w:ascii="Calibri" w:hAnsi="Calibri" w:eastAsia="Calibri" w:cs="Calibri"/>
          <w:b w:val="0"/>
          <w:bCs w:val="0"/>
          <w:i w:val="0"/>
          <w:iCs w:val="0"/>
          <w:caps w:val="0"/>
          <w:smallCaps w:val="0"/>
          <w:noProof w:val="0"/>
          <w:color w:val="2C3E50"/>
          <w:sz w:val="24"/>
          <w:szCs w:val="24"/>
          <w:lang w:val="en-GB"/>
        </w:rPr>
        <w:t>.</w:t>
      </w:r>
    </w:p>
    <w:p w:rsidR="57A57739" w:rsidP="21527C24" w:rsidRDefault="57A57739" w14:paraId="39BBD19E" w14:textId="4D2FDCE2">
      <w:pPr>
        <w:pStyle w:val="Normal"/>
        <w:rPr>
          <w:sz w:val="24"/>
          <w:szCs w:val="24"/>
        </w:rPr>
      </w:pPr>
      <w:r w:rsidRPr="019E77CF" w:rsidR="7EE3A271">
        <w:rPr>
          <w:sz w:val="24"/>
          <w:szCs w:val="24"/>
        </w:rPr>
        <w:t xml:space="preserve"> </w:t>
      </w:r>
    </w:p>
    <w:p w:rsidR="218DE707" w:rsidP="218DE707" w:rsidRDefault="218DE707" w14:paraId="5F3365E2" w14:textId="57DF1E30">
      <w:pPr>
        <w:pStyle w:val="Normal"/>
        <w:rPr>
          <w:sz w:val="24"/>
          <w:szCs w:val="24"/>
        </w:rPr>
      </w:pPr>
    </w:p>
    <w:p w:rsidR="29137C8C" w:rsidP="1C6F687D" w:rsidRDefault="29137C8C" w14:paraId="075661B1" w14:textId="0C145AED">
      <w:pPr>
        <w:pStyle w:val="Normal"/>
        <w:rPr>
          <w:sz w:val="24"/>
          <w:szCs w:val="24"/>
        </w:rPr>
      </w:pPr>
      <w:r w:rsidRPr="1C6F687D" w:rsidR="29137C8C">
        <w:rPr>
          <w:sz w:val="24"/>
          <w:szCs w:val="24"/>
        </w:rPr>
        <w:t xml:space="preserve">Therefore, in conclusion, the evidence presented above clearly illustrates the concepts surrounding men’s rea </w:t>
      </w:r>
      <w:r w:rsidRPr="1C6F687D" w:rsidR="345B434C">
        <w:rPr>
          <w:sz w:val="24"/>
          <w:szCs w:val="24"/>
        </w:rPr>
        <w:t xml:space="preserve">are particularly complex. However, men’s rea still has many </w:t>
      </w:r>
      <w:r w:rsidRPr="1C6F687D" w:rsidR="0EBE4C6F">
        <w:rPr>
          <w:sz w:val="24"/>
          <w:szCs w:val="24"/>
        </w:rPr>
        <w:t>criticisms</w:t>
      </w:r>
      <w:r w:rsidRPr="1C6F687D" w:rsidR="1174820C">
        <w:rPr>
          <w:sz w:val="24"/>
          <w:szCs w:val="24"/>
        </w:rPr>
        <w:t xml:space="preserve">, which has been </w:t>
      </w:r>
      <w:r w:rsidRPr="1C6F687D" w:rsidR="23125B02">
        <w:rPr>
          <w:sz w:val="24"/>
          <w:szCs w:val="24"/>
        </w:rPr>
        <w:t>addressed</w:t>
      </w:r>
      <w:r w:rsidRPr="1C6F687D" w:rsidR="1174820C">
        <w:rPr>
          <w:sz w:val="24"/>
          <w:szCs w:val="24"/>
        </w:rPr>
        <w:t xml:space="preserve"> by the Law commission the </w:t>
      </w:r>
      <w:r w:rsidRPr="1C6F687D" w:rsidR="75B776F1">
        <w:rPr>
          <w:sz w:val="24"/>
          <w:szCs w:val="24"/>
        </w:rPr>
        <w:t>current</w:t>
      </w:r>
      <w:r w:rsidRPr="1C6F687D" w:rsidR="1174820C">
        <w:rPr>
          <w:sz w:val="24"/>
          <w:szCs w:val="24"/>
        </w:rPr>
        <w:t xml:space="preserve"> law and on</w:t>
      </w:r>
      <w:r w:rsidRPr="1C6F687D" w:rsidR="52529B16">
        <w:rPr>
          <w:sz w:val="24"/>
          <w:szCs w:val="24"/>
        </w:rPr>
        <w:t>going common law does and will have more flexibility to deal with a range of cases and doe</w:t>
      </w:r>
      <w:r w:rsidRPr="1C6F687D" w:rsidR="3DEE0855">
        <w:rPr>
          <w:sz w:val="24"/>
          <w:szCs w:val="24"/>
        </w:rPr>
        <w:t xml:space="preserve">s reflect </w:t>
      </w:r>
      <w:r w:rsidRPr="1C6F687D" w:rsidR="7C92ED86">
        <w:rPr>
          <w:sz w:val="24"/>
          <w:szCs w:val="24"/>
        </w:rPr>
        <w:t>various levels</w:t>
      </w:r>
      <w:r w:rsidRPr="1C6F687D" w:rsidR="3DEE0855">
        <w:rPr>
          <w:sz w:val="24"/>
          <w:szCs w:val="24"/>
        </w:rPr>
        <w:t xml:space="preserve"> of criminal responsibility.</w:t>
      </w:r>
      <w:r w:rsidRPr="1C6F687D" w:rsidR="2A9F2BA5">
        <w:rPr>
          <w:sz w:val="24"/>
          <w:szCs w:val="24"/>
        </w:rPr>
        <w:t xml:space="preserve"> </w:t>
      </w:r>
      <w:r w:rsidRPr="1C6F687D" w:rsidR="2A9F2BA5">
        <w:rPr>
          <w:sz w:val="24"/>
          <w:szCs w:val="24"/>
        </w:rPr>
        <w:t xml:space="preserve">The legal presumption is that a person must have </w:t>
      </w:r>
      <w:r w:rsidRPr="1C6F687D" w:rsidR="2A9F2BA5">
        <w:rPr>
          <w:sz w:val="24"/>
          <w:szCs w:val="24"/>
        </w:rPr>
        <w:t>m</w:t>
      </w:r>
      <w:r w:rsidRPr="1C6F687D" w:rsidR="2A9F2BA5">
        <w:rPr>
          <w:sz w:val="24"/>
          <w:szCs w:val="24"/>
        </w:rPr>
        <w:t>ens’s</w:t>
      </w:r>
      <w:r w:rsidRPr="1C6F687D" w:rsidR="2A9F2BA5">
        <w:rPr>
          <w:sz w:val="24"/>
          <w:szCs w:val="24"/>
        </w:rPr>
        <w:t xml:space="preserve"> </w:t>
      </w:r>
      <w:r w:rsidRPr="1C6F687D" w:rsidR="2A9F2BA5">
        <w:rPr>
          <w:sz w:val="24"/>
          <w:szCs w:val="24"/>
        </w:rPr>
        <w:t>rea to be found guilty</w:t>
      </w:r>
      <w:r w:rsidRPr="1C6F687D" w:rsidR="1873CCBD">
        <w:rPr>
          <w:sz w:val="24"/>
          <w:szCs w:val="24"/>
        </w:rPr>
        <w:t xml:space="preserve"> of a crime. The legal system still bases its decisions on men’s </w:t>
      </w:r>
      <w:r w:rsidRPr="1C6F687D" w:rsidR="6361AC94">
        <w:rPr>
          <w:sz w:val="24"/>
          <w:szCs w:val="24"/>
        </w:rPr>
        <w:t>rea motives. However, the precise meaning has evolved</w:t>
      </w:r>
      <w:r w:rsidRPr="1C6F687D" w:rsidR="69C842F8">
        <w:rPr>
          <w:sz w:val="24"/>
          <w:szCs w:val="24"/>
        </w:rPr>
        <w:t>. The definition of men’s rea in present usage is more limited. Men’s rea refer to the menta</w:t>
      </w:r>
      <w:r w:rsidRPr="1C6F687D" w:rsidR="751009B8">
        <w:rPr>
          <w:sz w:val="24"/>
          <w:szCs w:val="24"/>
        </w:rPr>
        <w:t>lity or inattention that the criminal code defines as an offence, toge</w:t>
      </w:r>
      <w:r w:rsidRPr="1C6F687D" w:rsidR="1ECC2A07">
        <w:rPr>
          <w:sz w:val="24"/>
          <w:szCs w:val="24"/>
        </w:rPr>
        <w:t xml:space="preserve">ther with the behaviour that goes along with it. </w:t>
      </w:r>
      <w:r w:rsidRPr="1C6F687D" w:rsidR="39FD2FDD">
        <w:rPr>
          <w:sz w:val="24"/>
          <w:szCs w:val="24"/>
        </w:rPr>
        <w:t>In more technical terms, the men’s rea of an offense consists of those element</w:t>
      </w:r>
      <w:r w:rsidRPr="1C6F687D" w:rsidR="723B7EAA">
        <w:rPr>
          <w:sz w:val="24"/>
          <w:szCs w:val="24"/>
        </w:rPr>
        <w:t>s of the offense definition that describe the required mental state of the defendant at the ti</w:t>
      </w:r>
      <w:r w:rsidRPr="1C6F687D" w:rsidR="30E063DC">
        <w:rPr>
          <w:sz w:val="24"/>
          <w:szCs w:val="24"/>
        </w:rPr>
        <w:t xml:space="preserve">me of the </w:t>
      </w:r>
      <w:r w:rsidRPr="1C6F687D" w:rsidR="553E520A">
        <w:rPr>
          <w:sz w:val="24"/>
          <w:szCs w:val="24"/>
        </w:rPr>
        <w:t>offense but</w:t>
      </w:r>
      <w:r w:rsidRPr="1C6F687D" w:rsidR="30E063DC">
        <w:rPr>
          <w:sz w:val="24"/>
          <w:szCs w:val="24"/>
        </w:rPr>
        <w:t xml:space="preserve"> does not include excuse </w:t>
      </w:r>
      <w:r w:rsidRPr="1C6F687D" w:rsidR="5821AD0A">
        <w:rPr>
          <w:sz w:val="24"/>
          <w:szCs w:val="24"/>
        </w:rPr>
        <w:t>defences</w:t>
      </w:r>
      <w:r w:rsidRPr="1C6F687D" w:rsidR="30E063DC">
        <w:rPr>
          <w:sz w:val="24"/>
          <w:szCs w:val="24"/>
        </w:rPr>
        <w:t xml:space="preserve"> or other doctrines outside</w:t>
      </w:r>
      <w:r w:rsidRPr="1C6F687D" w:rsidR="2AFDFF9A">
        <w:rPr>
          <w:sz w:val="24"/>
          <w:szCs w:val="24"/>
        </w:rPr>
        <w:t xml:space="preserve"> the offense definition. </w:t>
      </w:r>
      <w:r w:rsidRPr="1C6F687D" w:rsidR="791320B3">
        <w:rPr>
          <w:sz w:val="24"/>
          <w:szCs w:val="24"/>
        </w:rPr>
        <w:t>So,</w:t>
      </w:r>
      <w:r w:rsidRPr="1C6F687D" w:rsidR="2AFDFF9A">
        <w:rPr>
          <w:sz w:val="24"/>
          <w:szCs w:val="24"/>
        </w:rPr>
        <w:t xml:space="preserve"> the original meaning differs </w:t>
      </w:r>
      <w:r w:rsidRPr="1C6F687D" w:rsidR="09542A4F">
        <w:rPr>
          <w:sz w:val="24"/>
          <w:szCs w:val="24"/>
        </w:rPr>
        <w:t>to</w:t>
      </w:r>
      <w:r w:rsidRPr="1C6F687D" w:rsidR="2AFDFF9A">
        <w:rPr>
          <w:sz w:val="24"/>
          <w:szCs w:val="24"/>
        </w:rPr>
        <w:t xml:space="preserve"> the </w:t>
      </w:r>
      <w:r w:rsidRPr="1C6F687D" w:rsidR="0234DA18">
        <w:rPr>
          <w:sz w:val="24"/>
          <w:szCs w:val="24"/>
        </w:rPr>
        <w:t xml:space="preserve">one we use today. </w:t>
      </w:r>
      <w:r w:rsidRPr="1C6F687D" w:rsidR="3490C4A3">
        <w:rPr>
          <w:sz w:val="24"/>
          <w:szCs w:val="24"/>
        </w:rPr>
        <w:t xml:space="preserve">This meaning is more </w:t>
      </w:r>
      <w:r w:rsidRPr="1C6F687D" w:rsidR="3490C4A3">
        <w:rPr>
          <w:sz w:val="24"/>
          <w:szCs w:val="24"/>
        </w:rPr>
        <w:t>a</w:t>
      </w:r>
      <w:r w:rsidRPr="1C6F687D" w:rsidR="3490C4A3">
        <w:rPr>
          <w:sz w:val="24"/>
          <w:szCs w:val="24"/>
        </w:rPr>
        <w:t>ppropriate for</w:t>
      </w:r>
      <w:r w:rsidRPr="1C6F687D" w:rsidR="3490C4A3">
        <w:rPr>
          <w:sz w:val="24"/>
          <w:szCs w:val="24"/>
        </w:rPr>
        <w:t xml:space="preserve"> </w:t>
      </w:r>
      <w:r w:rsidRPr="1C6F687D" w:rsidR="3490C4A3">
        <w:rPr>
          <w:sz w:val="24"/>
          <w:szCs w:val="24"/>
        </w:rPr>
        <w:t>the world we live in.</w:t>
      </w:r>
      <w:r w:rsidRPr="1C6F687D" w:rsidR="75D2456D">
        <w:rPr>
          <w:sz w:val="24"/>
          <w:szCs w:val="24"/>
        </w:rPr>
        <w:t xml:space="preserve"> </w:t>
      </w:r>
    </w:p>
    <w:p w:rsidR="0440FADA" w:rsidP="1C6F687D" w:rsidRDefault="0440FADA" w14:paraId="7DC7E35A" w14:textId="6EE8D683">
      <w:pPr>
        <w:pStyle w:val="Normal"/>
        <w:rPr>
          <w:sz w:val="24"/>
          <w:szCs w:val="24"/>
        </w:rPr>
      </w:pPr>
    </w:p>
    <w:p w:rsidR="1C6F687D" w:rsidP="2D4681C8" w:rsidRDefault="1C6F687D" w14:paraId="038FC33A" w14:textId="30659751">
      <w:pPr>
        <w:pStyle w:val="Normal"/>
        <w:spacing w:before="0" w:beforeAutospacing="off" w:after="0" w:afterAutospacing="off"/>
        <w:rPr>
          <w:noProof w:val="0"/>
          <w:sz w:val="24"/>
          <w:szCs w:val="24"/>
          <w:lang w:val="en-GB"/>
        </w:rPr>
      </w:pPr>
      <w:r w:rsidRPr="2D4681C8" w:rsidR="58AD4857">
        <w:rPr>
          <w:sz w:val="24"/>
          <w:szCs w:val="24"/>
        </w:rPr>
        <w:t>Reference List:</w:t>
      </w:r>
    </w:p>
    <w:p w:rsidR="7C2C3807" w:rsidP="2D4681C8" w:rsidRDefault="7C2C3807" w14:paraId="06F10107" w14:textId="43D702DC">
      <w:pPr>
        <w:spacing w:before="0" w:beforeAutospacing="off" w:after="0" w:afterAutospacing="off"/>
      </w:pPr>
      <w:r w:rsidRPr="2D4681C8" w:rsidR="7C2C380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Bryant, R. (2016). </w:t>
      </w:r>
      <w:r w:rsidRPr="2D4681C8" w:rsidR="7C2C3807">
        <w:rPr>
          <w:rFonts w:ascii="Calibri" w:hAnsi="Calibri" w:eastAsia="Calibri" w:cs="Calibri"/>
          <w:b w:val="0"/>
          <w:bCs w:val="0"/>
          <w:i w:val="1"/>
          <w:iCs w:val="1"/>
          <w:caps w:val="0"/>
          <w:smallCaps w:val="0"/>
          <w:noProof w:val="0"/>
          <w:color w:val="000000" w:themeColor="text1" w:themeTint="FF" w:themeShade="FF"/>
          <w:sz w:val="27"/>
          <w:szCs w:val="27"/>
          <w:lang w:val="en-GB"/>
        </w:rPr>
        <w:t>Blackstone’s handbook for policing students 2017.</w:t>
      </w:r>
      <w:r w:rsidRPr="2D4681C8" w:rsidR="7C2C380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Oxford Univ Press.</w:t>
      </w:r>
    </w:p>
    <w:p w:rsidR="7C2C3807" w:rsidP="2D4681C8" w:rsidRDefault="7C2C3807" w14:paraId="2228BF7F" w14:textId="6007C391">
      <w:pPr>
        <w:ind w:left="-20" w:right="-20"/>
      </w:pPr>
      <w:r w:rsidRPr="2D4681C8" w:rsidR="7C2C3807">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D4681C8" w:rsidP="2D4681C8" w:rsidRDefault="2D4681C8" w14:paraId="37EBADAE" w14:textId="2179BB67">
      <w:pPr>
        <w:pStyle w:val="Normal"/>
        <w:rPr>
          <w:sz w:val="24"/>
          <w:szCs w:val="24"/>
        </w:rPr>
      </w:pPr>
    </w:p>
    <w:p w:rsidR="1C6F687D" w:rsidP="742C8951" w:rsidRDefault="1C6F687D" w14:paraId="3E9C6AB3" w14:textId="69C3D2A5">
      <w:pPr>
        <w:spacing w:before="0" w:beforeAutospacing="off" w:after="0" w:afterAutospacing="off"/>
      </w:pPr>
      <w:r w:rsidRPr="742C8951" w:rsidR="015E03A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Law Trove. (n.d.). </w:t>
      </w:r>
      <w:r w:rsidRPr="742C8951" w:rsidR="015E03A5">
        <w:rPr>
          <w:rFonts w:ascii="Calibri" w:hAnsi="Calibri" w:eastAsia="Calibri" w:cs="Calibri"/>
          <w:b w:val="0"/>
          <w:bCs w:val="0"/>
          <w:i w:val="1"/>
          <w:iCs w:val="1"/>
          <w:caps w:val="0"/>
          <w:smallCaps w:val="0"/>
          <w:noProof w:val="0"/>
          <w:color w:val="000000" w:themeColor="text1" w:themeTint="FF" w:themeShade="FF"/>
          <w:sz w:val="27"/>
          <w:szCs w:val="27"/>
          <w:lang w:val="en-GB"/>
        </w:rPr>
        <w:t>Law Trove - expand your learning, broaden your mind</w:t>
      </w:r>
      <w:r w:rsidRPr="742C8951" w:rsidR="015E03A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f13bc8c4e7b04d22">
        <w:r w:rsidRPr="742C8951" w:rsidR="015E03A5">
          <w:rPr>
            <w:rStyle w:val="Hyperlink"/>
            <w:rFonts w:ascii="Calibri" w:hAnsi="Calibri" w:eastAsia="Calibri" w:cs="Calibri"/>
            <w:b w:val="0"/>
            <w:bCs w:val="0"/>
            <w:i w:val="0"/>
            <w:iCs w:val="0"/>
            <w:caps w:val="0"/>
            <w:smallCaps w:val="0"/>
            <w:noProof w:val="0"/>
            <w:sz w:val="27"/>
            <w:szCs w:val="27"/>
            <w:lang w:val="en-GB"/>
          </w:rPr>
          <w:t>https://www.oxfordlawtrove.com</w:t>
        </w:r>
      </w:hyperlink>
      <w:r w:rsidRPr="742C8951" w:rsidR="015E03A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C6F687D" w:rsidP="742C8951" w:rsidRDefault="1C6F687D" w14:paraId="1E3D293D" w14:textId="453A7BD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C6F687D" w:rsidP="742C8951" w:rsidRDefault="1C6F687D" w14:paraId="0881EBD9" w14:textId="1CE4D5DD">
      <w:pPr>
        <w:spacing w:before="0" w:beforeAutospacing="off" w:after="0" w:afterAutospacing="off"/>
      </w:pPr>
      <w:r w:rsidRPr="742C8951" w:rsidR="0DBD3B9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ICLR. (n.d.). </w:t>
      </w:r>
      <w:r w:rsidRPr="742C8951" w:rsidR="0DBD3B93">
        <w:rPr>
          <w:rFonts w:ascii="Calibri" w:hAnsi="Calibri" w:eastAsia="Calibri" w:cs="Calibri"/>
          <w:b w:val="0"/>
          <w:bCs w:val="0"/>
          <w:i w:val="1"/>
          <w:iCs w:val="1"/>
          <w:caps w:val="0"/>
          <w:smallCaps w:val="0"/>
          <w:noProof w:val="0"/>
          <w:color w:val="000000" w:themeColor="text1" w:themeTint="FF" w:themeShade="FF"/>
          <w:sz w:val="27"/>
          <w:szCs w:val="27"/>
          <w:lang w:val="en-GB"/>
        </w:rPr>
        <w:t>ICLR Knowledge - Guides</w:t>
      </w:r>
      <w:r w:rsidRPr="742C8951" w:rsidR="0DBD3B9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d677f7f447b44c1">
        <w:r w:rsidRPr="742C8951" w:rsidR="0DBD3B93">
          <w:rPr>
            <w:rStyle w:val="Hyperlink"/>
            <w:rFonts w:ascii="Calibri" w:hAnsi="Calibri" w:eastAsia="Calibri" w:cs="Calibri"/>
            <w:b w:val="0"/>
            <w:bCs w:val="0"/>
            <w:i w:val="0"/>
            <w:iCs w:val="0"/>
            <w:caps w:val="0"/>
            <w:smallCaps w:val="0"/>
            <w:noProof w:val="0"/>
            <w:sz w:val="27"/>
            <w:szCs w:val="27"/>
            <w:lang w:val="en-GB"/>
          </w:rPr>
          <w:t>https://www.iclr.co.uk/knowledge/guides/</w:t>
        </w:r>
      </w:hyperlink>
      <w:r w:rsidRPr="742C8951" w:rsidR="0DBD3B9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C6F687D" w:rsidP="742C8951" w:rsidRDefault="1C6F687D" w14:paraId="2B590DD5" w14:textId="5F142A11">
      <w:pPr>
        <w:ind w:left="-20" w:right="-20"/>
      </w:pPr>
      <w:r w:rsidRPr="742C8951" w:rsidR="0DBD3B9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C6F687D" w:rsidP="742C8951" w:rsidRDefault="1C6F687D" w14:paraId="1274DEE5" w14:textId="37EC09B0">
      <w:pPr>
        <w:spacing w:before="0" w:beforeAutospacing="off" w:after="0" w:afterAutospacing="off"/>
      </w:pPr>
      <w:r w:rsidRPr="742C8951" w:rsidR="7376448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signon.thomsonreuters.com. (n.d.). </w:t>
      </w:r>
      <w:r w:rsidRPr="742C8951" w:rsidR="7376448F">
        <w:rPr>
          <w:rFonts w:ascii="Calibri" w:hAnsi="Calibri" w:eastAsia="Calibri" w:cs="Calibri"/>
          <w:b w:val="0"/>
          <w:bCs w:val="0"/>
          <w:i w:val="1"/>
          <w:iCs w:val="1"/>
          <w:caps w:val="0"/>
          <w:smallCaps w:val="0"/>
          <w:noProof w:val="0"/>
          <w:color w:val="000000" w:themeColor="text1" w:themeTint="FF" w:themeShade="FF"/>
          <w:sz w:val="27"/>
          <w:szCs w:val="27"/>
          <w:lang w:val="en-GB"/>
        </w:rPr>
        <w:t>Practical Law UK Signon</w:t>
      </w:r>
      <w:r w:rsidRPr="742C8951" w:rsidR="7376448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6b9731f7478b4988">
        <w:r w:rsidRPr="742C8951" w:rsidR="7376448F">
          <w:rPr>
            <w:rStyle w:val="Hyperlink"/>
            <w:rFonts w:ascii="Calibri" w:hAnsi="Calibri" w:eastAsia="Calibri" w:cs="Calibri"/>
            <w:b w:val="0"/>
            <w:bCs w:val="0"/>
            <w:i w:val="0"/>
            <w:iCs w:val="0"/>
            <w:caps w:val="0"/>
            <w:smallCaps w:val="0"/>
            <w:noProof w:val="0"/>
            <w:sz w:val="27"/>
            <w:szCs w:val="27"/>
            <w:lang w:val="en-GB"/>
          </w:rPr>
          <w:t>https://uk.practicallaw.thomsonreuters.com/w-002-9006?transitionType=Default&amp;contextData=(sc.Default)&amp;firstPage=true</w:t>
        </w:r>
      </w:hyperlink>
      <w:r w:rsidRPr="742C8951" w:rsidR="7376448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C6F687D" w:rsidP="742C8951" w:rsidRDefault="1C6F687D" w14:paraId="1E8C3D39" w14:textId="20B59FAA">
      <w:pPr>
        <w:ind w:left="-20" w:right="-20"/>
      </w:pPr>
      <w:r w:rsidRPr="742C8951" w:rsidR="7376448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C6F687D" w:rsidP="742C8951" w:rsidRDefault="1C6F687D" w14:paraId="76D76BC4" w14:textId="2C5A1FA8">
      <w:pPr>
        <w:pStyle w:val="Normal"/>
        <w:spacing w:before="0" w:beforeAutospacing="off" w:after="0" w:afterAutospacing="off"/>
        <w:rPr>
          <w:rFonts w:ascii="Calibri" w:hAnsi="Calibri" w:eastAsia="Calibri" w:cs="Calibri"/>
          <w:noProof w:val="0"/>
          <w:sz w:val="27"/>
          <w:szCs w:val="27"/>
          <w:lang w:val="en-GB"/>
        </w:rPr>
      </w:pPr>
    </w:p>
    <w:p w:rsidR="1C6F687D" w:rsidP="742C8951" w:rsidRDefault="1C6F687D" w14:paraId="61DD1CBB" w14:textId="09C906E9">
      <w:pPr>
        <w:spacing w:before="0" w:beforeAutospacing="off" w:after="0" w:afterAutospacing="off"/>
      </w:pPr>
      <w:r w:rsidRPr="742C8951" w:rsidR="5936D40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Anon, (n.d.). </w:t>
      </w:r>
      <w:r w:rsidRPr="742C8951" w:rsidR="5936D401">
        <w:rPr>
          <w:rFonts w:ascii="Calibri" w:hAnsi="Calibri" w:eastAsia="Calibri" w:cs="Calibri"/>
          <w:b w:val="0"/>
          <w:bCs w:val="0"/>
          <w:i w:val="1"/>
          <w:iCs w:val="1"/>
          <w:caps w:val="0"/>
          <w:smallCaps w:val="0"/>
          <w:noProof w:val="0"/>
          <w:color w:val="000000" w:themeColor="text1" w:themeTint="FF" w:themeShade="FF"/>
          <w:sz w:val="27"/>
          <w:szCs w:val="27"/>
          <w:lang w:val="en-GB"/>
        </w:rPr>
        <w:t>The Four Types of Mens Rea | Bruno Law Offices</w:t>
      </w:r>
      <w:r w:rsidRPr="742C8951" w:rsidR="5936D40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95525ff73e484f5b">
        <w:r w:rsidRPr="742C8951" w:rsidR="5936D401">
          <w:rPr>
            <w:rStyle w:val="Hyperlink"/>
            <w:rFonts w:ascii="Calibri" w:hAnsi="Calibri" w:eastAsia="Calibri" w:cs="Calibri"/>
            <w:b w:val="0"/>
            <w:bCs w:val="0"/>
            <w:i w:val="0"/>
            <w:iCs w:val="0"/>
            <w:caps w:val="0"/>
            <w:smallCaps w:val="0"/>
            <w:noProof w:val="0"/>
            <w:sz w:val="27"/>
            <w:szCs w:val="27"/>
            <w:lang w:val="en-GB"/>
          </w:rPr>
          <w:t>https://www.tombruno.com/articles/the-four-types-of-mens-rea/</w:t>
        </w:r>
      </w:hyperlink>
      <w:r w:rsidRPr="742C8951" w:rsidR="5936D40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C6F687D" w:rsidP="742C8951" w:rsidRDefault="1C6F687D" w14:paraId="65B3203B" w14:textId="14B7D8EE">
      <w:pPr>
        <w:ind w:left="-20" w:right="-20"/>
      </w:pPr>
      <w:r w:rsidRPr="742C8951" w:rsidR="5936D40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C6F687D" w:rsidP="742C8951" w:rsidRDefault="1C6F687D" w14:paraId="22DA3249" w14:textId="56D06C54">
      <w:pPr>
        <w:spacing w:before="0" w:beforeAutospacing="off" w:after="0" w:afterAutospacing="off"/>
      </w:pPr>
      <w:r w:rsidRPr="742C8951" w:rsidR="2145CA2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Furey and Jr (2010). </w:t>
      </w:r>
      <w:r w:rsidRPr="742C8951" w:rsidR="2145CA26">
        <w:rPr>
          <w:rFonts w:ascii="Calibri" w:hAnsi="Calibri" w:eastAsia="Calibri" w:cs="Calibri"/>
          <w:b w:val="0"/>
          <w:bCs w:val="0"/>
          <w:i w:val="1"/>
          <w:iCs w:val="1"/>
          <w:caps w:val="0"/>
          <w:smallCaps w:val="0"/>
          <w:noProof w:val="0"/>
          <w:color w:val="000000" w:themeColor="text1" w:themeTint="FF" w:themeShade="FF"/>
          <w:sz w:val="27"/>
          <w:szCs w:val="27"/>
          <w:lang w:val="en-GB"/>
        </w:rPr>
        <w:t>A Consistent Approach to Assessing Mens Rea in the Criminal Law of England and Wales</w:t>
      </w:r>
      <w:r w:rsidRPr="742C8951" w:rsidR="2145CA2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ffe4f13a2b4e4e6a">
        <w:r w:rsidRPr="742C8951" w:rsidR="2145CA26">
          <w:rPr>
            <w:rStyle w:val="Hyperlink"/>
            <w:rFonts w:ascii="Calibri" w:hAnsi="Calibri" w:eastAsia="Calibri" w:cs="Calibri"/>
            <w:b w:val="0"/>
            <w:bCs w:val="0"/>
            <w:i w:val="0"/>
            <w:iCs w:val="0"/>
            <w:caps w:val="0"/>
            <w:smallCaps w:val="0"/>
            <w:noProof w:val="0"/>
            <w:sz w:val="27"/>
            <w:szCs w:val="27"/>
            <w:lang w:val="en-GB"/>
          </w:rPr>
          <w:t>https://ore.exeter.ac.uk/repository/bitstream/handle/10036/117790/FureyJ.pdf?sequence=2</w:t>
        </w:r>
      </w:hyperlink>
      <w:r w:rsidRPr="742C8951" w:rsidR="2145CA2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C6F687D" w:rsidP="742C8951" w:rsidRDefault="1C6F687D" w14:paraId="588E277C" w14:textId="3F37CCE9">
      <w:pPr>
        <w:ind w:left="-20" w:right="-20"/>
      </w:pPr>
      <w:r w:rsidRPr="53E21578" w:rsidR="2145CA2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8C6CD97" w:rsidP="53E21578" w:rsidRDefault="28C6CD97" w14:paraId="0D670E53" w14:textId="47F660D6">
      <w:pPr>
        <w:pStyle w:val="Normal"/>
        <w:ind w:left="-20" w:right="-20"/>
        <w:rPr>
          <w:rFonts w:ascii="Calibri" w:hAnsi="Calibri" w:eastAsia="Calibri" w:cs="Calibri"/>
          <w:b w:val="0"/>
          <w:bCs w:val="0"/>
          <w:i w:val="0"/>
          <w:iCs w:val="0"/>
          <w:caps w:val="0"/>
          <w:smallCaps w:val="0"/>
          <w:noProof w:val="0"/>
          <w:color w:val="000000" w:themeColor="text1" w:themeTint="FF" w:themeShade="FF"/>
          <w:sz w:val="27"/>
          <w:szCs w:val="27"/>
          <w:lang w:val="en-GB"/>
        </w:rPr>
      </w:pPr>
      <w:r w:rsidRPr="53E21578" w:rsidR="28C6CD97">
        <w:rPr>
          <w:rFonts w:ascii="Calibri" w:hAnsi="Calibri" w:eastAsia="Calibri" w:cs="Calibri"/>
          <w:b w:val="0"/>
          <w:bCs w:val="0"/>
          <w:i w:val="0"/>
          <w:iCs w:val="0"/>
          <w:caps w:val="0"/>
          <w:smallCaps w:val="0"/>
          <w:noProof w:val="0"/>
          <w:color w:val="000000" w:themeColor="text1" w:themeTint="FF" w:themeShade="FF"/>
          <w:sz w:val="27"/>
          <w:szCs w:val="27"/>
          <w:lang w:val="en-GB"/>
        </w:rPr>
        <w:t>jamesju</w:t>
      </w:r>
      <w:r w:rsidRPr="53E21578" w:rsidR="28C6CD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(2024). </w:t>
      </w:r>
      <w:r w:rsidRPr="53E21578" w:rsidR="28C6CD97">
        <w:rPr>
          <w:rFonts w:ascii="Calibri" w:hAnsi="Calibri" w:eastAsia="Calibri" w:cs="Calibri"/>
          <w:b w:val="0"/>
          <w:bCs w:val="0"/>
          <w:i w:val="1"/>
          <w:iCs w:val="1"/>
          <w:caps w:val="0"/>
          <w:smallCaps w:val="0"/>
          <w:noProof w:val="0"/>
          <w:color w:val="000000" w:themeColor="text1" w:themeTint="FF" w:themeShade="FF"/>
          <w:sz w:val="27"/>
          <w:szCs w:val="27"/>
          <w:lang w:val="en-GB"/>
        </w:rPr>
        <w:t xml:space="preserve">What is criminal liability? Definition and resources for </w:t>
      </w:r>
      <w:r w:rsidRPr="53E21578" w:rsidR="28C6CD97">
        <w:rPr>
          <w:rFonts w:ascii="Calibri" w:hAnsi="Calibri" w:eastAsia="Calibri" w:cs="Calibri"/>
          <w:b w:val="0"/>
          <w:bCs w:val="0"/>
          <w:i w:val="1"/>
          <w:iCs w:val="1"/>
          <w:caps w:val="0"/>
          <w:smallCaps w:val="0"/>
          <w:noProof w:val="0"/>
          <w:color w:val="000000" w:themeColor="text1" w:themeTint="FF" w:themeShade="FF"/>
          <w:sz w:val="27"/>
          <w:szCs w:val="27"/>
          <w:lang w:val="en-GB"/>
        </w:rPr>
        <w:t>defense</w:t>
      </w:r>
      <w:r w:rsidRPr="53E21578" w:rsidR="28C6CD97">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attorneys</w:t>
      </w:r>
      <w:r w:rsidRPr="53E21578" w:rsidR="28C6CD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Thomson Reuters Law Blog. Available at: </w:t>
      </w:r>
      <w:hyperlink w:anchor=":~:text=9%20minute%20read-" r:id="R876b2ff4895b4d11">
        <w:r w:rsidRPr="53E21578" w:rsidR="28C6CD97">
          <w:rPr>
            <w:rStyle w:val="Hyperlink"/>
            <w:rFonts w:ascii="Calibri" w:hAnsi="Calibri" w:eastAsia="Calibri" w:cs="Calibri"/>
            <w:b w:val="0"/>
            <w:bCs w:val="0"/>
            <w:i w:val="0"/>
            <w:iCs w:val="0"/>
            <w:caps w:val="0"/>
            <w:smallCaps w:val="0"/>
            <w:noProof w:val="0"/>
            <w:sz w:val="27"/>
            <w:szCs w:val="27"/>
            <w:lang w:val="en-GB"/>
          </w:rPr>
          <w:t>https://legal.thomsonreuters.com/blog/what-is-criminal-liability/#:~:text=9%20minute%20read-</w:t>
        </w:r>
      </w:hyperlink>
      <w:r w:rsidRPr="53E21578" w:rsidR="28C6CD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10 Mar. 2024].</w:t>
      </w:r>
    </w:p>
    <w:p w:rsidR="28C6CD97" w:rsidP="53E21578" w:rsidRDefault="28C6CD97" w14:paraId="04AB5580" w14:textId="5BD5DE68">
      <w:pPr>
        <w:ind w:left="-20" w:right="-20"/>
      </w:pPr>
      <w:r w:rsidRPr="53E21578" w:rsidR="28C6CD9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A7662B4" w:rsidP="53E21578" w:rsidRDefault="4A7662B4" w14:paraId="5DE6AA52" w14:textId="44422116">
      <w:pPr>
        <w:spacing w:before="0" w:beforeAutospacing="off" w:after="0" w:afterAutospacing="off"/>
      </w:pPr>
      <w:r w:rsidRPr="53E21578" w:rsidR="4A7662B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Leeman, M. (2022). </w:t>
      </w:r>
      <w:r w:rsidRPr="53E21578" w:rsidR="4A7662B4">
        <w:rPr>
          <w:rFonts w:ascii="Calibri" w:hAnsi="Calibri" w:eastAsia="Calibri" w:cs="Calibri"/>
          <w:b w:val="0"/>
          <w:bCs w:val="0"/>
          <w:i w:val="1"/>
          <w:iCs w:val="1"/>
          <w:caps w:val="0"/>
          <w:smallCaps w:val="0"/>
          <w:noProof w:val="0"/>
          <w:color w:val="000000" w:themeColor="text1" w:themeTint="FF" w:themeShade="FF"/>
          <w:sz w:val="27"/>
          <w:szCs w:val="27"/>
          <w:lang w:val="en-GB"/>
        </w:rPr>
        <w:t>What Is Liability In Criminal Law?</w:t>
      </w:r>
      <w:r w:rsidRPr="53E21578" w:rsidR="4A7662B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Bell Lamb &amp; Joynson Solicitors. Available at: </w:t>
      </w:r>
      <w:hyperlink r:id="R2be326108bc347d5">
        <w:r w:rsidRPr="53E21578" w:rsidR="4A7662B4">
          <w:rPr>
            <w:rStyle w:val="Hyperlink"/>
            <w:rFonts w:ascii="Calibri" w:hAnsi="Calibri" w:eastAsia="Calibri" w:cs="Calibri"/>
            <w:b w:val="0"/>
            <w:bCs w:val="0"/>
            <w:i w:val="0"/>
            <w:iCs w:val="0"/>
            <w:caps w:val="0"/>
            <w:smallCaps w:val="0"/>
            <w:noProof w:val="0"/>
            <w:sz w:val="27"/>
            <w:szCs w:val="27"/>
            <w:lang w:val="en-GB"/>
          </w:rPr>
          <w:t>https://www.bljsolicitors.co.uk/blog/what-is-liability-in-criminal-law/</w:t>
        </w:r>
      </w:hyperlink>
      <w:r w:rsidRPr="53E21578" w:rsidR="4A7662B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A7662B4" w:rsidP="53E21578" w:rsidRDefault="4A7662B4" w14:paraId="36869BC2" w14:textId="2F06F157">
      <w:pPr>
        <w:ind w:left="-20" w:right="-20"/>
      </w:pPr>
      <w:r w:rsidRPr="53E21578" w:rsidR="4A7662B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74D34CB" w:rsidP="53E21578" w:rsidRDefault="574D34CB" w14:paraId="153A4F62" w14:textId="366B51F3">
      <w:pPr>
        <w:spacing w:before="0" w:beforeAutospacing="off" w:after="0" w:afterAutospacing="off"/>
      </w:pPr>
      <w:r w:rsidRPr="53E21578" w:rsidR="574D34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ICLR (2021). </w:t>
      </w:r>
      <w:r w:rsidRPr="53E21578" w:rsidR="574D34CB">
        <w:rPr>
          <w:rFonts w:ascii="Calibri" w:hAnsi="Calibri" w:eastAsia="Calibri" w:cs="Calibri"/>
          <w:b w:val="0"/>
          <w:bCs w:val="0"/>
          <w:i w:val="1"/>
          <w:iCs w:val="1"/>
          <w:caps w:val="0"/>
          <w:smallCaps w:val="0"/>
          <w:noProof w:val="0"/>
          <w:color w:val="000000" w:themeColor="text1" w:themeTint="FF" w:themeShade="FF"/>
          <w:sz w:val="27"/>
          <w:szCs w:val="27"/>
          <w:lang w:val="en-GB"/>
        </w:rPr>
        <w:t>Mens rea and actus reus</w:t>
      </w:r>
      <w:r w:rsidRPr="53E21578" w:rsidR="574D34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ICLR. Available at: </w:t>
      </w:r>
      <w:hyperlink r:id="Rbf84e5abb46c4431">
        <w:r w:rsidRPr="53E21578" w:rsidR="574D34CB">
          <w:rPr>
            <w:rStyle w:val="Hyperlink"/>
            <w:rFonts w:ascii="Calibri" w:hAnsi="Calibri" w:eastAsia="Calibri" w:cs="Calibri"/>
            <w:b w:val="0"/>
            <w:bCs w:val="0"/>
            <w:i w:val="0"/>
            <w:iCs w:val="0"/>
            <w:caps w:val="0"/>
            <w:smallCaps w:val="0"/>
            <w:noProof w:val="0"/>
            <w:sz w:val="27"/>
            <w:szCs w:val="27"/>
            <w:lang w:val="en-GB"/>
          </w:rPr>
          <w:t>https://www.iclr.co.uk/knowledge/glossary/mens-rea-and-actus-reus/</w:t>
        </w:r>
      </w:hyperlink>
      <w:r w:rsidRPr="53E21578" w:rsidR="574D34C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74D34CB" w:rsidP="53E21578" w:rsidRDefault="574D34CB" w14:paraId="571ABCC8" w14:textId="00867176">
      <w:pPr>
        <w:ind w:left="-20" w:right="-20"/>
      </w:pPr>
      <w:r w:rsidRPr="53E21578" w:rsidR="574D34C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A56ACBE" w:rsidP="53E21578" w:rsidRDefault="2A56ACBE" w14:paraId="7FA8CB0B" w14:textId="6DF20977">
      <w:pPr>
        <w:spacing w:before="0" w:beforeAutospacing="off" w:after="0" w:afterAutospacing="off"/>
      </w:pPr>
      <w:r w:rsidRPr="53E21578" w:rsidR="2A56ACB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Crime Museum (2013). </w:t>
      </w:r>
      <w:r w:rsidRPr="53E21578" w:rsidR="2A56ACBE">
        <w:rPr>
          <w:rFonts w:ascii="Calibri" w:hAnsi="Calibri" w:eastAsia="Calibri" w:cs="Calibri"/>
          <w:b w:val="0"/>
          <w:bCs w:val="0"/>
          <w:i w:val="1"/>
          <w:iCs w:val="1"/>
          <w:caps w:val="0"/>
          <w:smallCaps w:val="0"/>
          <w:noProof w:val="0"/>
          <w:color w:val="000000" w:themeColor="text1" w:themeTint="FF" w:themeShade="FF"/>
          <w:sz w:val="27"/>
          <w:szCs w:val="27"/>
          <w:lang w:val="en-GB"/>
        </w:rPr>
        <w:t>Actus Reus - Crime Museum</w:t>
      </w:r>
      <w:r w:rsidRPr="53E21578" w:rsidR="2A56ACB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Crime Museum. Available at: </w:t>
      </w:r>
      <w:hyperlink r:id="Rd08cea36aecc443c">
        <w:r w:rsidRPr="53E21578" w:rsidR="2A56ACBE">
          <w:rPr>
            <w:rStyle w:val="Hyperlink"/>
            <w:rFonts w:ascii="Calibri" w:hAnsi="Calibri" w:eastAsia="Calibri" w:cs="Calibri"/>
            <w:b w:val="0"/>
            <w:bCs w:val="0"/>
            <w:i w:val="0"/>
            <w:iCs w:val="0"/>
            <w:caps w:val="0"/>
            <w:smallCaps w:val="0"/>
            <w:noProof w:val="0"/>
            <w:sz w:val="27"/>
            <w:szCs w:val="27"/>
            <w:lang w:val="en-GB"/>
          </w:rPr>
          <w:t>https://www.crimemuseum.org/crime-library/criminal-law/actus-reus/</w:t>
        </w:r>
      </w:hyperlink>
      <w:r w:rsidRPr="53E21578" w:rsidR="2A56ACB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A56ACBE" w:rsidP="53E21578" w:rsidRDefault="2A56ACBE" w14:paraId="1C9186BA" w14:textId="01795F67">
      <w:pPr>
        <w:ind w:left="-20" w:right="-20"/>
      </w:pPr>
      <w:r w:rsidRPr="53E21578" w:rsidR="2A56ACB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3E21578" w:rsidP="53E21578" w:rsidRDefault="53E21578" w14:paraId="391727E0" w14:textId="3BB9C4A1">
      <w:pPr>
        <w:pStyle w:val="Normal"/>
        <w:ind w:left="-20" w:right="-20"/>
        <w:rPr>
          <w:rFonts w:ascii="Calibri" w:hAnsi="Calibri" w:eastAsia="Calibri" w:cs="Calibri"/>
          <w:b w:val="0"/>
          <w:bCs w:val="0"/>
          <w:i w:val="0"/>
          <w:iCs w:val="0"/>
          <w:caps w:val="0"/>
          <w:smallCaps w:val="0"/>
          <w:noProof w:val="0"/>
          <w:color w:val="000000" w:themeColor="text1" w:themeTint="FF" w:themeShade="FF"/>
          <w:sz w:val="27"/>
          <w:szCs w:val="27"/>
          <w:lang w:val="en-GB"/>
        </w:rPr>
      </w:pPr>
    </w:p>
    <w:p w:rsidR="53E21578" w:rsidP="53E21578" w:rsidRDefault="53E21578" w14:paraId="4C5C8E41" w14:textId="2446C6D7">
      <w:pPr>
        <w:pStyle w:val="Normal"/>
        <w:ind w:left="-20" w:right="-20"/>
        <w:rPr>
          <w:rFonts w:ascii="Calibri" w:hAnsi="Calibri" w:eastAsia="Calibri" w:cs="Calibri"/>
          <w:b w:val="0"/>
          <w:bCs w:val="0"/>
          <w:i w:val="0"/>
          <w:iCs w:val="0"/>
          <w:caps w:val="0"/>
          <w:smallCaps w:val="0"/>
          <w:noProof w:val="0"/>
          <w:color w:val="000000" w:themeColor="text1" w:themeTint="FF" w:themeShade="FF"/>
          <w:sz w:val="27"/>
          <w:szCs w:val="27"/>
          <w:lang w:val="en-GB"/>
        </w:rPr>
      </w:pPr>
    </w:p>
    <w:p w:rsidR="1C6F687D" w:rsidP="742C8951" w:rsidRDefault="1C6F687D" w14:paraId="79E96F13" w14:textId="0F8CC139">
      <w:pPr>
        <w:pStyle w:val="Normal"/>
        <w:spacing w:before="0" w:beforeAutospacing="off" w:after="0" w:afterAutospacing="off"/>
        <w:rPr>
          <w:rFonts w:ascii="Calibri" w:hAnsi="Calibri" w:eastAsia="Calibri" w:cs="Calibri"/>
          <w:noProof w:val="0"/>
          <w:sz w:val="27"/>
          <w:szCs w:val="27"/>
          <w:lang w:val="en-GB"/>
        </w:rPr>
      </w:pPr>
    </w:p>
    <w:p w:rsidR="1C6F687D" w:rsidP="742C8951" w:rsidRDefault="1C6F687D" w14:paraId="1B5C2BC3" w14:textId="2E1D0ED9">
      <w:pPr>
        <w:pStyle w:val="Normal"/>
        <w:spacing w:before="0" w:beforeAutospacing="off" w:after="0" w:afterAutospacing="off"/>
        <w:rPr>
          <w:rFonts w:ascii="Calibri" w:hAnsi="Calibri" w:eastAsia="Calibri" w:cs="Calibri"/>
          <w:noProof w:val="0"/>
          <w:sz w:val="27"/>
          <w:szCs w:val="27"/>
          <w:lang w:val="en-GB"/>
        </w:rPr>
      </w:pPr>
    </w:p>
    <w:p w:rsidR="1C6F687D" w:rsidP="742C8951" w:rsidRDefault="1C6F687D" w14:paraId="749D0667" w14:textId="0DFA5E97">
      <w:pPr>
        <w:ind w:left="-20" w:right="-20"/>
      </w:pPr>
      <w:r w:rsidRPr="742C8951" w:rsidR="015E03A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C6F687D" w:rsidP="742C8951" w:rsidRDefault="1C6F687D" w14:paraId="5B632DC5" w14:textId="025FD98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C6F687D" w:rsidP="742C8951" w:rsidRDefault="1C6F687D" w14:paraId="32A09C7D" w14:textId="6CE31F70">
      <w:pPr>
        <w:ind w:left="-20" w:right="-20"/>
      </w:pPr>
      <w:r w:rsidRPr="742C8951" w:rsidR="015E03A5">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C6F687D" w:rsidP="1C6F687D" w:rsidRDefault="1C6F687D" w14:paraId="2FC74055" w14:textId="50B564C7">
      <w:pPr>
        <w:pStyle w:val="Normal"/>
        <w:rPr>
          <w:sz w:val="24"/>
          <w:szCs w:val="24"/>
        </w:rPr>
      </w:pPr>
    </w:p>
    <w:p w:rsidR="1C6F687D" w:rsidP="1C6F687D" w:rsidRDefault="1C6F687D" w14:paraId="1297E420" w14:textId="5FF86030">
      <w:pPr>
        <w:pStyle w:val="Normal"/>
        <w:rPr>
          <w:sz w:val="24"/>
          <w:szCs w:val="24"/>
        </w:rPr>
      </w:pPr>
    </w:p>
    <w:p w:rsidR="21527C24" w:rsidP="21527C24" w:rsidRDefault="21527C24" w14:paraId="4A992166" w14:textId="362649D4">
      <w:pPr>
        <w:pStyle w:val="Normal"/>
        <w:rPr>
          <w:sz w:val="32"/>
          <w:szCs w:val="32"/>
        </w:rPr>
      </w:pPr>
    </w:p>
    <w:p w:rsidR="21527C24" w:rsidP="21527C24" w:rsidRDefault="21527C24" w14:paraId="22C2715A" w14:textId="3E0CD762">
      <w:pPr>
        <w:pStyle w:val="Normal"/>
        <w:rPr>
          <w:sz w:val="32"/>
          <w:szCs w:val="32"/>
        </w:rPr>
      </w:pPr>
    </w:p>
    <w:p w:rsidR="21527C24" w:rsidP="21527C24" w:rsidRDefault="21527C24" w14:paraId="02B1C3D6" w14:textId="19D8302E">
      <w:pPr>
        <w:pStyle w:val="Normal"/>
        <w:rPr>
          <w:sz w:val="32"/>
          <w:szCs w:val="32"/>
        </w:rPr>
      </w:pPr>
    </w:p>
    <w:p w:rsidR="21527C24" w:rsidP="21527C24" w:rsidRDefault="21527C24" w14:paraId="4EE02C5C" w14:textId="108AB1B5">
      <w:pPr>
        <w:pStyle w:val="Normal"/>
        <w:rPr>
          <w:sz w:val="32"/>
          <w:szCs w:val="32"/>
        </w:rPr>
      </w:pPr>
    </w:p>
    <w:p w:rsidR="21527C24" w:rsidP="21527C24" w:rsidRDefault="21527C24" w14:paraId="611A19FA" w14:textId="7142AE80">
      <w:pPr>
        <w:pStyle w:val="Normal"/>
        <w:rPr>
          <w:sz w:val="32"/>
          <w:szCs w:val="3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4C9E31"/>
    <w:rsid w:val="0018144A"/>
    <w:rsid w:val="00189565"/>
    <w:rsid w:val="0030184F"/>
    <w:rsid w:val="004778AF"/>
    <w:rsid w:val="00844E27"/>
    <w:rsid w:val="0084AEB9"/>
    <w:rsid w:val="00A86292"/>
    <w:rsid w:val="00AA2D41"/>
    <w:rsid w:val="00C23769"/>
    <w:rsid w:val="00E99F22"/>
    <w:rsid w:val="0106F34C"/>
    <w:rsid w:val="011B7E82"/>
    <w:rsid w:val="015E03A5"/>
    <w:rsid w:val="019E77CF"/>
    <w:rsid w:val="01C558CE"/>
    <w:rsid w:val="01E1B31A"/>
    <w:rsid w:val="01E5C9AA"/>
    <w:rsid w:val="0213E0B4"/>
    <w:rsid w:val="0234DA18"/>
    <w:rsid w:val="023993BB"/>
    <w:rsid w:val="02856F83"/>
    <w:rsid w:val="02940339"/>
    <w:rsid w:val="029FF364"/>
    <w:rsid w:val="02C13E01"/>
    <w:rsid w:val="033A83C4"/>
    <w:rsid w:val="034FB50C"/>
    <w:rsid w:val="036916B5"/>
    <w:rsid w:val="03E310C0"/>
    <w:rsid w:val="04386AC1"/>
    <w:rsid w:val="0440FADA"/>
    <w:rsid w:val="0447235E"/>
    <w:rsid w:val="04AC50F5"/>
    <w:rsid w:val="04CD9D54"/>
    <w:rsid w:val="04D1F44C"/>
    <w:rsid w:val="050E4A92"/>
    <w:rsid w:val="057EE121"/>
    <w:rsid w:val="05B5458E"/>
    <w:rsid w:val="060649E1"/>
    <w:rsid w:val="061973C1"/>
    <w:rsid w:val="062EA2A3"/>
    <w:rsid w:val="063721B4"/>
    <w:rsid w:val="065A5B0F"/>
    <w:rsid w:val="0666B269"/>
    <w:rsid w:val="06A1B1C1"/>
    <w:rsid w:val="06AA1AF3"/>
    <w:rsid w:val="06CE297A"/>
    <w:rsid w:val="0756978E"/>
    <w:rsid w:val="076A4E4E"/>
    <w:rsid w:val="076D297F"/>
    <w:rsid w:val="077EC420"/>
    <w:rsid w:val="07A21A42"/>
    <w:rsid w:val="07B2E8DF"/>
    <w:rsid w:val="07CEE0F0"/>
    <w:rsid w:val="08042883"/>
    <w:rsid w:val="08349A52"/>
    <w:rsid w:val="08387C9F"/>
    <w:rsid w:val="083D8222"/>
    <w:rsid w:val="084F3137"/>
    <w:rsid w:val="08B37477"/>
    <w:rsid w:val="08B681E3"/>
    <w:rsid w:val="08FA999D"/>
    <w:rsid w:val="090F34E8"/>
    <w:rsid w:val="093DEAA3"/>
    <w:rsid w:val="093F7BA9"/>
    <w:rsid w:val="093FC357"/>
    <w:rsid w:val="09542A4F"/>
    <w:rsid w:val="097FC218"/>
    <w:rsid w:val="09892177"/>
    <w:rsid w:val="09D44D00"/>
    <w:rsid w:val="09D95283"/>
    <w:rsid w:val="0A3A9DF4"/>
    <w:rsid w:val="0A436085"/>
    <w:rsid w:val="0A59C3A1"/>
    <w:rsid w:val="0A5C0940"/>
    <w:rsid w:val="0A775ACD"/>
    <w:rsid w:val="0A7AF605"/>
    <w:rsid w:val="0A8E3850"/>
    <w:rsid w:val="0AD5277D"/>
    <w:rsid w:val="0AED509E"/>
    <w:rsid w:val="0AFE7F1B"/>
    <w:rsid w:val="0B045146"/>
    <w:rsid w:val="0B1752B0"/>
    <w:rsid w:val="0B1B9279"/>
    <w:rsid w:val="0B86D1F9"/>
    <w:rsid w:val="0BF5B146"/>
    <w:rsid w:val="0C46D5AA"/>
    <w:rsid w:val="0CD73389"/>
    <w:rsid w:val="0D7A8791"/>
    <w:rsid w:val="0DBD3B93"/>
    <w:rsid w:val="0DEE05A4"/>
    <w:rsid w:val="0E13347A"/>
    <w:rsid w:val="0E2AFC3B"/>
    <w:rsid w:val="0E423399"/>
    <w:rsid w:val="0E53333B"/>
    <w:rsid w:val="0E55C99F"/>
    <w:rsid w:val="0E5CA016"/>
    <w:rsid w:val="0E6109BA"/>
    <w:rsid w:val="0E6EE5EA"/>
    <w:rsid w:val="0E96FB3A"/>
    <w:rsid w:val="0EABE6E3"/>
    <w:rsid w:val="0EBE4C6F"/>
    <w:rsid w:val="0EE5A5A2"/>
    <w:rsid w:val="0F0E0F17"/>
    <w:rsid w:val="0F25C367"/>
    <w:rsid w:val="0F6BE011"/>
    <w:rsid w:val="0FAF04DB"/>
    <w:rsid w:val="0FC6CC9C"/>
    <w:rsid w:val="0FE3C607"/>
    <w:rsid w:val="10276939"/>
    <w:rsid w:val="103FAC37"/>
    <w:rsid w:val="10A9DF78"/>
    <w:rsid w:val="10B2A209"/>
    <w:rsid w:val="110BFF3C"/>
    <w:rsid w:val="11295790"/>
    <w:rsid w:val="1174820C"/>
    <w:rsid w:val="11DB7C98"/>
    <w:rsid w:val="121D4664"/>
    <w:rsid w:val="125D6429"/>
    <w:rsid w:val="12A380D3"/>
    <w:rsid w:val="12A8A453"/>
    <w:rsid w:val="130E3303"/>
    <w:rsid w:val="1314E05C"/>
    <w:rsid w:val="137B2F46"/>
    <w:rsid w:val="138FA2D6"/>
    <w:rsid w:val="13DEC970"/>
    <w:rsid w:val="140653C8"/>
    <w:rsid w:val="142EFCAE"/>
    <w:rsid w:val="143185AB"/>
    <w:rsid w:val="144B1611"/>
    <w:rsid w:val="1459D515"/>
    <w:rsid w:val="145CA55E"/>
    <w:rsid w:val="145D4728"/>
    <w:rsid w:val="14714D14"/>
    <w:rsid w:val="1473F91C"/>
    <w:rsid w:val="14827F5D"/>
    <w:rsid w:val="149A3DBF"/>
    <w:rsid w:val="14AD6D15"/>
    <w:rsid w:val="14F3EB93"/>
    <w:rsid w:val="1516FFA7"/>
    <w:rsid w:val="159504EB"/>
    <w:rsid w:val="15C5A81E"/>
    <w:rsid w:val="160FC97D"/>
    <w:rsid w:val="161E4FBE"/>
    <w:rsid w:val="16EBF38D"/>
    <w:rsid w:val="16F274BA"/>
    <w:rsid w:val="16F70841"/>
    <w:rsid w:val="172C2CD3"/>
    <w:rsid w:val="172D860A"/>
    <w:rsid w:val="1730D54C"/>
    <w:rsid w:val="178F8D73"/>
    <w:rsid w:val="17AB99DE"/>
    <w:rsid w:val="17BA201F"/>
    <w:rsid w:val="1873CCBD"/>
    <w:rsid w:val="188043E7"/>
    <w:rsid w:val="1887C3EE"/>
    <w:rsid w:val="18A2CE5E"/>
    <w:rsid w:val="18B23A93"/>
    <w:rsid w:val="18C7FD34"/>
    <w:rsid w:val="18CCA5AD"/>
    <w:rsid w:val="18F5FC76"/>
    <w:rsid w:val="18FC7B78"/>
    <w:rsid w:val="192F54A1"/>
    <w:rsid w:val="19476A3F"/>
    <w:rsid w:val="19CF7F34"/>
    <w:rsid w:val="19EA70CA"/>
    <w:rsid w:val="19FC9A44"/>
    <w:rsid w:val="1A1020ED"/>
    <w:rsid w:val="1A259EE1"/>
    <w:rsid w:val="1A585268"/>
    <w:rsid w:val="1A68760E"/>
    <w:rsid w:val="1A91CCD7"/>
    <w:rsid w:val="1AABC89C"/>
    <w:rsid w:val="1AB71179"/>
    <w:rsid w:val="1AC91699"/>
    <w:rsid w:val="1ADF2272"/>
    <w:rsid w:val="1B275C3B"/>
    <w:rsid w:val="1B8E7ACF"/>
    <w:rsid w:val="1BBF64B0"/>
    <w:rsid w:val="1BF47FA5"/>
    <w:rsid w:val="1BFA19E0"/>
    <w:rsid w:val="1BFF9DF6"/>
    <w:rsid w:val="1C21396D"/>
    <w:rsid w:val="1C6F687D"/>
    <w:rsid w:val="1C7490C2"/>
    <w:rsid w:val="1C7F0B01"/>
    <w:rsid w:val="1D67EC11"/>
    <w:rsid w:val="1D682BD8"/>
    <w:rsid w:val="1DCA3916"/>
    <w:rsid w:val="1DDE7BDB"/>
    <w:rsid w:val="1DEF4338"/>
    <w:rsid w:val="1E1ADB62"/>
    <w:rsid w:val="1E3E8492"/>
    <w:rsid w:val="1E5E7B9D"/>
    <w:rsid w:val="1E6044E9"/>
    <w:rsid w:val="1E6D04C2"/>
    <w:rsid w:val="1E9D04E6"/>
    <w:rsid w:val="1ECC2A07"/>
    <w:rsid w:val="1EDC840B"/>
    <w:rsid w:val="1F373EB8"/>
    <w:rsid w:val="1F3BE731"/>
    <w:rsid w:val="1F4D50FA"/>
    <w:rsid w:val="1F6018DD"/>
    <w:rsid w:val="1F8B1399"/>
    <w:rsid w:val="1FDD2174"/>
    <w:rsid w:val="1FFA4BFE"/>
    <w:rsid w:val="207F6271"/>
    <w:rsid w:val="20812887"/>
    <w:rsid w:val="20AD006B"/>
    <w:rsid w:val="20D7B792"/>
    <w:rsid w:val="20E9215B"/>
    <w:rsid w:val="21125F00"/>
    <w:rsid w:val="212652FD"/>
    <w:rsid w:val="2126E3FA"/>
    <w:rsid w:val="2145CA26"/>
    <w:rsid w:val="21527C24"/>
    <w:rsid w:val="218DE707"/>
    <w:rsid w:val="218DF29F"/>
    <w:rsid w:val="2197E5AB"/>
    <w:rsid w:val="21CFB36D"/>
    <w:rsid w:val="221424CD"/>
    <w:rsid w:val="22610A5F"/>
    <w:rsid w:val="2263C129"/>
    <w:rsid w:val="226F4971"/>
    <w:rsid w:val="22BDD06A"/>
    <w:rsid w:val="22D4287E"/>
    <w:rsid w:val="23125B02"/>
    <w:rsid w:val="23246A9A"/>
    <w:rsid w:val="2386529E"/>
    <w:rsid w:val="23896BAB"/>
    <w:rsid w:val="238AE527"/>
    <w:rsid w:val="23A3E2DC"/>
    <w:rsid w:val="23AFF52E"/>
    <w:rsid w:val="23C6D061"/>
    <w:rsid w:val="23D763FD"/>
    <w:rsid w:val="23F68997"/>
    <w:rsid w:val="23FCDAC0"/>
    <w:rsid w:val="2420C21D"/>
    <w:rsid w:val="2425FA6D"/>
    <w:rsid w:val="24A7117E"/>
    <w:rsid w:val="24CF866D"/>
    <w:rsid w:val="2526B588"/>
    <w:rsid w:val="253447A1"/>
    <w:rsid w:val="2560F9B4"/>
    <w:rsid w:val="2573345E"/>
    <w:rsid w:val="2598AB21"/>
    <w:rsid w:val="25F0B87F"/>
    <w:rsid w:val="25F1163C"/>
    <w:rsid w:val="25FA551D"/>
    <w:rsid w:val="260BC940"/>
    <w:rsid w:val="265C0B5C"/>
    <w:rsid w:val="26DC300A"/>
    <w:rsid w:val="26E9C05D"/>
    <w:rsid w:val="2737324C"/>
    <w:rsid w:val="275CFE1F"/>
    <w:rsid w:val="2796257E"/>
    <w:rsid w:val="27A799A1"/>
    <w:rsid w:val="28A30CE6"/>
    <w:rsid w:val="28A5D53E"/>
    <w:rsid w:val="28C0A7F4"/>
    <w:rsid w:val="28C6CD97"/>
    <w:rsid w:val="28D302AD"/>
    <w:rsid w:val="28DBE32E"/>
    <w:rsid w:val="28DD780A"/>
    <w:rsid w:val="29137C8C"/>
    <w:rsid w:val="2931F5DF"/>
    <w:rsid w:val="293263E5"/>
    <w:rsid w:val="2949F9E4"/>
    <w:rsid w:val="2961B4C0"/>
    <w:rsid w:val="2996EBCC"/>
    <w:rsid w:val="29ED0910"/>
    <w:rsid w:val="2A2DA13D"/>
    <w:rsid w:val="2A41A59F"/>
    <w:rsid w:val="2A56ACBE"/>
    <w:rsid w:val="2A6ED30E"/>
    <w:rsid w:val="2A9F2BA5"/>
    <w:rsid w:val="2AA37A5C"/>
    <w:rsid w:val="2AE5CA45"/>
    <w:rsid w:val="2AFDFF9A"/>
    <w:rsid w:val="2B1E2DDB"/>
    <w:rsid w:val="2BB1DEAD"/>
    <w:rsid w:val="2BBBC29C"/>
    <w:rsid w:val="2C0AA36F"/>
    <w:rsid w:val="2C52D9DA"/>
    <w:rsid w:val="2C5A25C0"/>
    <w:rsid w:val="2C5E5CA1"/>
    <w:rsid w:val="2C6A04A7"/>
    <w:rsid w:val="2C743946"/>
    <w:rsid w:val="2CB22DA2"/>
    <w:rsid w:val="2CB4E70A"/>
    <w:rsid w:val="2D4681C8"/>
    <w:rsid w:val="2DA673D0"/>
    <w:rsid w:val="2DA8AE1D"/>
    <w:rsid w:val="2E16DB25"/>
    <w:rsid w:val="2E4DFE03"/>
    <w:rsid w:val="2E50B76B"/>
    <w:rsid w:val="2EF3635E"/>
    <w:rsid w:val="2F31DE65"/>
    <w:rsid w:val="2F424431"/>
    <w:rsid w:val="2F510349"/>
    <w:rsid w:val="2F6202EB"/>
    <w:rsid w:val="2FAABE00"/>
    <w:rsid w:val="2FE9CE64"/>
    <w:rsid w:val="2FFD8230"/>
    <w:rsid w:val="30048AEC"/>
    <w:rsid w:val="30185D4E"/>
    <w:rsid w:val="304C9E31"/>
    <w:rsid w:val="304F6340"/>
    <w:rsid w:val="308F33BF"/>
    <w:rsid w:val="309D73C1"/>
    <w:rsid w:val="30BDD48B"/>
    <w:rsid w:val="30BEA501"/>
    <w:rsid w:val="30DE1492"/>
    <w:rsid w:val="30E063DC"/>
    <w:rsid w:val="30FDD34C"/>
    <w:rsid w:val="3108BB86"/>
    <w:rsid w:val="313D75CA"/>
    <w:rsid w:val="314E7BE7"/>
    <w:rsid w:val="31876808"/>
    <w:rsid w:val="31E60D88"/>
    <w:rsid w:val="31E77DAA"/>
    <w:rsid w:val="3217115D"/>
    <w:rsid w:val="32394422"/>
    <w:rsid w:val="3268A4DE"/>
    <w:rsid w:val="32697F27"/>
    <w:rsid w:val="3279E4F3"/>
    <w:rsid w:val="328CF0CA"/>
    <w:rsid w:val="32D8D825"/>
    <w:rsid w:val="32EA4C48"/>
    <w:rsid w:val="32EE7AB3"/>
    <w:rsid w:val="3321DD68"/>
    <w:rsid w:val="335631BA"/>
    <w:rsid w:val="33834E0B"/>
    <w:rsid w:val="338D7BD0"/>
    <w:rsid w:val="33A07EB6"/>
    <w:rsid w:val="33B2DBC9"/>
    <w:rsid w:val="33C26DC3"/>
    <w:rsid w:val="33D51483"/>
    <w:rsid w:val="3435740E"/>
    <w:rsid w:val="3441B435"/>
    <w:rsid w:val="345B1765"/>
    <w:rsid w:val="345B434C"/>
    <w:rsid w:val="3470CD3A"/>
    <w:rsid w:val="3474A886"/>
    <w:rsid w:val="3475168C"/>
    <w:rsid w:val="3490C4A3"/>
    <w:rsid w:val="34A0B38E"/>
    <w:rsid w:val="3506C17D"/>
    <w:rsid w:val="354435DE"/>
    <w:rsid w:val="3544A3B6"/>
    <w:rsid w:val="3546335E"/>
    <w:rsid w:val="35B0D3D3"/>
    <w:rsid w:val="35B4F240"/>
    <w:rsid w:val="35B8D314"/>
    <w:rsid w:val="360BBE56"/>
    <w:rsid w:val="361078E7"/>
    <w:rsid w:val="36590FE8"/>
    <w:rsid w:val="367AAE83"/>
    <w:rsid w:val="36A11F77"/>
    <w:rsid w:val="370CB545"/>
    <w:rsid w:val="372D1F6E"/>
    <w:rsid w:val="37429039"/>
    <w:rsid w:val="37C1EBD6"/>
    <w:rsid w:val="37DF3616"/>
    <w:rsid w:val="37EB056D"/>
    <w:rsid w:val="382D8AE7"/>
    <w:rsid w:val="382E8372"/>
    <w:rsid w:val="3856BF2E"/>
    <w:rsid w:val="388652E1"/>
    <w:rsid w:val="38A3B79A"/>
    <w:rsid w:val="38D59B2D"/>
    <w:rsid w:val="39466A91"/>
    <w:rsid w:val="39598DCC"/>
    <w:rsid w:val="395D7019"/>
    <w:rsid w:val="396C8795"/>
    <w:rsid w:val="39C95B48"/>
    <w:rsid w:val="39CA53D3"/>
    <w:rsid w:val="39CC839E"/>
    <w:rsid w:val="39D8C039"/>
    <w:rsid w:val="39FD2FDD"/>
    <w:rsid w:val="3A23964C"/>
    <w:rsid w:val="3A241877"/>
    <w:rsid w:val="3A55E284"/>
    <w:rsid w:val="3AA13B0A"/>
    <w:rsid w:val="3AC67EC7"/>
    <w:rsid w:val="3AE45810"/>
    <w:rsid w:val="3AF55E2D"/>
    <w:rsid w:val="3AF9407A"/>
    <w:rsid w:val="3AFA3601"/>
    <w:rsid w:val="3BAB3A1A"/>
    <w:rsid w:val="3BF43FF7"/>
    <w:rsid w:val="3C49E552"/>
    <w:rsid w:val="3C53812D"/>
    <w:rsid w:val="3C54BDCB"/>
    <w:rsid w:val="3C72FDBB"/>
    <w:rsid w:val="3C802871"/>
    <w:rsid w:val="3C912E8E"/>
    <w:rsid w:val="3C9510DB"/>
    <w:rsid w:val="3C955CF9"/>
    <w:rsid w:val="3CA42857"/>
    <w:rsid w:val="3D1060FB"/>
    <w:rsid w:val="3D7728BD"/>
    <w:rsid w:val="3D891FEC"/>
    <w:rsid w:val="3D9068B6"/>
    <w:rsid w:val="3DE5B5B3"/>
    <w:rsid w:val="3DEA7B10"/>
    <w:rsid w:val="3DEE0855"/>
    <w:rsid w:val="3E30E13C"/>
    <w:rsid w:val="3E312D5A"/>
    <w:rsid w:val="3E3FF8B8"/>
    <w:rsid w:val="3E4795D4"/>
    <w:rsid w:val="3E6BF267"/>
    <w:rsid w:val="3E71D81B"/>
    <w:rsid w:val="3F0311B7"/>
    <w:rsid w:val="3F4A924D"/>
    <w:rsid w:val="3F818614"/>
    <w:rsid w:val="3F854A69"/>
    <w:rsid w:val="3FBFB6B9"/>
    <w:rsid w:val="3FCCB19D"/>
    <w:rsid w:val="3FFD4A1B"/>
    <w:rsid w:val="4007DFB4"/>
    <w:rsid w:val="411D5675"/>
    <w:rsid w:val="412DFC1A"/>
    <w:rsid w:val="4140C97D"/>
    <w:rsid w:val="4160CC65"/>
    <w:rsid w:val="41649FB1"/>
    <w:rsid w:val="4168CE1C"/>
    <w:rsid w:val="4177997A"/>
    <w:rsid w:val="41E1DEC9"/>
    <w:rsid w:val="42769950"/>
    <w:rsid w:val="42DD2A26"/>
    <w:rsid w:val="42E1B6D0"/>
    <w:rsid w:val="42EF69F5"/>
    <w:rsid w:val="43007012"/>
    <w:rsid w:val="4376CA7B"/>
    <w:rsid w:val="437DAF2A"/>
    <w:rsid w:val="43D0F30E"/>
    <w:rsid w:val="43D4392A"/>
    <w:rsid w:val="43E66A41"/>
    <w:rsid w:val="445E6646"/>
    <w:rsid w:val="445F16EE"/>
    <w:rsid w:val="448B3A56"/>
    <w:rsid w:val="44959E92"/>
    <w:rsid w:val="44A022C0"/>
    <w:rsid w:val="45129ADC"/>
    <w:rsid w:val="45389386"/>
    <w:rsid w:val="454BFFF8"/>
    <w:rsid w:val="456CC36F"/>
    <w:rsid w:val="45894A12"/>
    <w:rsid w:val="459B7FE3"/>
    <w:rsid w:val="459C15A8"/>
    <w:rsid w:val="45F30385"/>
    <w:rsid w:val="466FFEEB"/>
    <w:rsid w:val="46AD34B7"/>
    <w:rsid w:val="46AE6B3D"/>
    <w:rsid w:val="46ED2EAF"/>
    <w:rsid w:val="47375044"/>
    <w:rsid w:val="4776560A"/>
    <w:rsid w:val="478E4396"/>
    <w:rsid w:val="47BAC47B"/>
    <w:rsid w:val="480BCF4C"/>
    <w:rsid w:val="4810E707"/>
    <w:rsid w:val="48261463"/>
    <w:rsid w:val="483AD60A"/>
    <w:rsid w:val="484A3B9E"/>
    <w:rsid w:val="48703448"/>
    <w:rsid w:val="489C1AAC"/>
    <w:rsid w:val="48C0EAD4"/>
    <w:rsid w:val="48D08D58"/>
    <w:rsid w:val="48E3DB54"/>
    <w:rsid w:val="48ED6F43"/>
    <w:rsid w:val="491C3FFE"/>
    <w:rsid w:val="492E7C6D"/>
    <w:rsid w:val="495A2B39"/>
    <w:rsid w:val="499EA3BF"/>
    <w:rsid w:val="49A3644C"/>
    <w:rsid w:val="49AEC1FA"/>
    <w:rsid w:val="4A517D8A"/>
    <w:rsid w:val="4A7662B4"/>
    <w:rsid w:val="4AAF4480"/>
    <w:rsid w:val="4AAFFDF4"/>
    <w:rsid w:val="4ACF13AE"/>
    <w:rsid w:val="4B179DE8"/>
    <w:rsid w:val="4B7F7769"/>
    <w:rsid w:val="4B833CF9"/>
    <w:rsid w:val="4B913429"/>
    <w:rsid w:val="4B953C4E"/>
    <w:rsid w:val="4BB01740"/>
    <w:rsid w:val="4BD51670"/>
    <w:rsid w:val="4BDC04F3"/>
    <w:rsid w:val="4C39A2D9"/>
    <w:rsid w:val="4CC239A7"/>
    <w:rsid w:val="4CEA28D0"/>
    <w:rsid w:val="4CFAAED0"/>
    <w:rsid w:val="4D05EEEB"/>
    <w:rsid w:val="4D562E36"/>
    <w:rsid w:val="4D760871"/>
    <w:rsid w:val="4D81ECEE"/>
    <w:rsid w:val="4E011F5B"/>
    <w:rsid w:val="4E3A0A22"/>
    <w:rsid w:val="4E6D815B"/>
    <w:rsid w:val="4E73F6F5"/>
    <w:rsid w:val="4EA321E4"/>
    <w:rsid w:val="4EB7182B"/>
    <w:rsid w:val="4ED7C3C6"/>
    <w:rsid w:val="4F044ED5"/>
    <w:rsid w:val="4F0CB732"/>
    <w:rsid w:val="4F11D8D2"/>
    <w:rsid w:val="4F5CB0C7"/>
    <w:rsid w:val="4F640E36"/>
    <w:rsid w:val="4F75ECF1"/>
    <w:rsid w:val="4F836F17"/>
    <w:rsid w:val="4FB5FAB4"/>
    <w:rsid w:val="4FBC2488"/>
    <w:rsid w:val="4FEB0F0B"/>
    <w:rsid w:val="5052E88C"/>
    <w:rsid w:val="5056AE1C"/>
    <w:rsid w:val="50A88793"/>
    <w:rsid w:val="50AF7616"/>
    <w:rsid w:val="50B98DB0"/>
    <w:rsid w:val="512A4502"/>
    <w:rsid w:val="51A9B5A4"/>
    <w:rsid w:val="51AB97B7"/>
    <w:rsid w:val="51B65F04"/>
    <w:rsid w:val="51BD99F3"/>
    <w:rsid w:val="51C4C014"/>
    <w:rsid w:val="5246F383"/>
    <w:rsid w:val="52529B16"/>
    <w:rsid w:val="52651935"/>
    <w:rsid w:val="52671A0A"/>
    <w:rsid w:val="5340F27E"/>
    <w:rsid w:val="53476818"/>
    <w:rsid w:val="53525246"/>
    <w:rsid w:val="53614534"/>
    <w:rsid w:val="539DB3CF"/>
    <w:rsid w:val="53A9E536"/>
    <w:rsid w:val="53E21578"/>
    <w:rsid w:val="542D5B80"/>
    <w:rsid w:val="543021EA"/>
    <w:rsid w:val="54380F70"/>
    <w:rsid w:val="5456E03A"/>
    <w:rsid w:val="547060DF"/>
    <w:rsid w:val="5495BAA3"/>
    <w:rsid w:val="54A94BA6"/>
    <w:rsid w:val="54AF47A7"/>
    <w:rsid w:val="54BE802E"/>
    <w:rsid w:val="54CCE341"/>
    <w:rsid w:val="54DE1FE7"/>
    <w:rsid w:val="54E15666"/>
    <w:rsid w:val="54E27792"/>
    <w:rsid w:val="54E33879"/>
    <w:rsid w:val="553E520A"/>
    <w:rsid w:val="554CF577"/>
    <w:rsid w:val="55CBF24B"/>
    <w:rsid w:val="55F2B09B"/>
    <w:rsid w:val="560887E3"/>
    <w:rsid w:val="5672E376"/>
    <w:rsid w:val="56789340"/>
    <w:rsid w:val="567EFF7B"/>
    <w:rsid w:val="57188EA7"/>
    <w:rsid w:val="57249009"/>
    <w:rsid w:val="57450660"/>
    <w:rsid w:val="574D34CB"/>
    <w:rsid w:val="576A9900"/>
    <w:rsid w:val="576FB032"/>
    <w:rsid w:val="578E80FC"/>
    <w:rsid w:val="57A57739"/>
    <w:rsid w:val="57C77490"/>
    <w:rsid w:val="57CA7BB3"/>
    <w:rsid w:val="57E6E869"/>
    <w:rsid w:val="5804EC4E"/>
    <w:rsid w:val="581463A1"/>
    <w:rsid w:val="581ACFDC"/>
    <w:rsid w:val="581AD93B"/>
    <w:rsid w:val="5821AD0A"/>
    <w:rsid w:val="58988EB6"/>
    <w:rsid w:val="58AD4857"/>
    <w:rsid w:val="58AF5985"/>
    <w:rsid w:val="58B8CF1E"/>
    <w:rsid w:val="591F1F6B"/>
    <w:rsid w:val="592D5EC9"/>
    <w:rsid w:val="5936D401"/>
    <w:rsid w:val="5943D202"/>
    <w:rsid w:val="59B6A03D"/>
    <w:rsid w:val="59B6A99C"/>
    <w:rsid w:val="59CC416C"/>
    <w:rsid w:val="5A3BFA94"/>
    <w:rsid w:val="5A58989B"/>
    <w:rsid w:val="5A64395D"/>
    <w:rsid w:val="5A7CA722"/>
    <w:rsid w:val="5B051536"/>
    <w:rsid w:val="5B2D41C8"/>
    <w:rsid w:val="5B4C0463"/>
    <w:rsid w:val="5B87C080"/>
    <w:rsid w:val="5BC5E65A"/>
    <w:rsid w:val="5BCBD108"/>
    <w:rsid w:val="5BD7CAF5"/>
    <w:rsid w:val="5BF468FC"/>
    <w:rsid w:val="5C245961"/>
    <w:rsid w:val="5C432155"/>
    <w:rsid w:val="5C4FFC57"/>
    <w:rsid w:val="5C939FCB"/>
    <w:rsid w:val="5C9C5900"/>
    <w:rsid w:val="5CDEC873"/>
    <w:rsid w:val="5CE949F6"/>
    <w:rsid w:val="5D010E94"/>
    <w:rsid w:val="5D1C08C7"/>
    <w:rsid w:val="5D208B22"/>
    <w:rsid w:val="5D657D20"/>
    <w:rsid w:val="5D8E8A1B"/>
    <w:rsid w:val="5D8EF821"/>
    <w:rsid w:val="5E00CFEC"/>
    <w:rsid w:val="5E390001"/>
    <w:rsid w:val="5E3DF61D"/>
    <w:rsid w:val="5E5E1773"/>
    <w:rsid w:val="5E64E28A"/>
    <w:rsid w:val="5E8206A5"/>
    <w:rsid w:val="5E83A525"/>
    <w:rsid w:val="5E8838AC"/>
    <w:rsid w:val="5E8A1ABF"/>
    <w:rsid w:val="5EB19EC6"/>
    <w:rsid w:val="5ECA1021"/>
    <w:rsid w:val="5ED74D2D"/>
    <w:rsid w:val="5EFD871C"/>
    <w:rsid w:val="5F0F6BB7"/>
    <w:rsid w:val="5F2553E4"/>
    <w:rsid w:val="5F382147"/>
    <w:rsid w:val="5F3FFD0A"/>
    <w:rsid w:val="5F72F17D"/>
    <w:rsid w:val="5F7AC217"/>
    <w:rsid w:val="5F9ED13B"/>
    <w:rsid w:val="5FBB010C"/>
    <w:rsid w:val="5FD88659"/>
    <w:rsid w:val="5FE2BCF7"/>
    <w:rsid w:val="5FF81FB4"/>
    <w:rsid w:val="5FF9E7D4"/>
    <w:rsid w:val="6020EAB8"/>
    <w:rsid w:val="6025EB20"/>
    <w:rsid w:val="6027630C"/>
    <w:rsid w:val="606DF11A"/>
    <w:rsid w:val="60742D77"/>
    <w:rsid w:val="60962523"/>
    <w:rsid w:val="6099577D"/>
    <w:rsid w:val="60B7A525"/>
    <w:rsid w:val="60CC94E4"/>
    <w:rsid w:val="613AA19C"/>
    <w:rsid w:val="6195B835"/>
    <w:rsid w:val="61C1BB81"/>
    <w:rsid w:val="61C3336D"/>
    <w:rsid w:val="61C9A907"/>
    <w:rsid w:val="6201127D"/>
    <w:rsid w:val="623527DE"/>
    <w:rsid w:val="62470C79"/>
    <w:rsid w:val="6258EA58"/>
    <w:rsid w:val="628CF65C"/>
    <w:rsid w:val="62B262D9"/>
    <w:rsid w:val="62CADF9E"/>
    <w:rsid w:val="630C7124"/>
    <w:rsid w:val="63169EE9"/>
    <w:rsid w:val="633853AD"/>
    <w:rsid w:val="635D8BE2"/>
    <w:rsid w:val="6361AC94"/>
    <w:rsid w:val="63777BA4"/>
    <w:rsid w:val="646B9472"/>
    <w:rsid w:val="648A2180"/>
    <w:rsid w:val="64A84185"/>
    <w:rsid w:val="64C48F69"/>
    <w:rsid w:val="64CD58F7"/>
    <w:rsid w:val="64D0B1FB"/>
    <w:rsid w:val="64D4240E"/>
    <w:rsid w:val="64D60855"/>
    <w:rsid w:val="650CA455"/>
    <w:rsid w:val="657F2DAE"/>
    <w:rsid w:val="65B87C00"/>
    <w:rsid w:val="65D214C6"/>
    <w:rsid w:val="65EA039B"/>
    <w:rsid w:val="660BE1D1"/>
    <w:rsid w:val="661DB974"/>
    <w:rsid w:val="662A4290"/>
    <w:rsid w:val="66371319"/>
    <w:rsid w:val="66692958"/>
    <w:rsid w:val="666E6FFF"/>
    <w:rsid w:val="6696A490"/>
    <w:rsid w:val="66CC0FEA"/>
    <w:rsid w:val="66FC9758"/>
    <w:rsid w:val="674B0EEF"/>
    <w:rsid w:val="676DE527"/>
    <w:rsid w:val="677AC506"/>
    <w:rsid w:val="677FC21B"/>
    <w:rsid w:val="6782CFF6"/>
    <w:rsid w:val="6785D3FC"/>
    <w:rsid w:val="6792089C"/>
    <w:rsid w:val="679ABC16"/>
    <w:rsid w:val="6848D554"/>
    <w:rsid w:val="68F5AAAE"/>
    <w:rsid w:val="690DF243"/>
    <w:rsid w:val="69A63187"/>
    <w:rsid w:val="69C842F8"/>
    <w:rsid w:val="69CE4552"/>
    <w:rsid w:val="69F50E3A"/>
    <w:rsid w:val="6A03B0AC"/>
    <w:rsid w:val="6A1B0FBD"/>
    <w:rsid w:val="6A614DB0"/>
    <w:rsid w:val="6A7A0CBD"/>
    <w:rsid w:val="6A9AB872"/>
    <w:rsid w:val="6AF2069A"/>
    <w:rsid w:val="6B0341D2"/>
    <w:rsid w:val="6B256F9E"/>
    <w:rsid w:val="6B3FF37F"/>
    <w:rsid w:val="6B42155C"/>
    <w:rsid w:val="6B436592"/>
    <w:rsid w:val="6B689DC7"/>
    <w:rsid w:val="6B695DB0"/>
    <w:rsid w:val="6B7D6EA3"/>
    <w:rsid w:val="6B9F810D"/>
    <w:rsid w:val="6C094B8A"/>
    <w:rsid w:val="6C41564A"/>
    <w:rsid w:val="6C77A906"/>
    <w:rsid w:val="6CC13FFF"/>
    <w:rsid w:val="6CDF35F3"/>
    <w:rsid w:val="6CE72379"/>
    <w:rsid w:val="6D3C7AB3"/>
    <w:rsid w:val="6D6EE648"/>
    <w:rsid w:val="6DB37C52"/>
    <w:rsid w:val="6DC91BD1"/>
    <w:rsid w:val="6E16F3B6"/>
    <w:rsid w:val="6E404A7F"/>
    <w:rsid w:val="6E737B8C"/>
    <w:rsid w:val="6E7B0654"/>
    <w:rsid w:val="6E93244D"/>
    <w:rsid w:val="6EA1B675"/>
    <w:rsid w:val="6EA3D619"/>
    <w:rsid w:val="6EB2CE2B"/>
    <w:rsid w:val="6ED721CF"/>
    <w:rsid w:val="6F25A6D1"/>
    <w:rsid w:val="6F2EAC7D"/>
    <w:rsid w:val="6F40EC4C"/>
    <w:rsid w:val="6F78F70C"/>
    <w:rsid w:val="6F97D465"/>
    <w:rsid w:val="6FB2C417"/>
    <w:rsid w:val="6FD124D6"/>
    <w:rsid w:val="6FDF1038"/>
    <w:rsid w:val="70305CF6"/>
    <w:rsid w:val="70591A3A"/>
    <w:rsid w:val="7063AFDD"/>
    <w:rsid w:val="710042C0"/>
    <w:rsid w:val="7100EBC1"/>
    <w:rsid w:val="7109F9F6"/>
    <w:rsid w:val="71553F41"/>
    <w:rsid w:val="7177EB41"/>
    <w:rsid w:val="71AF3503"/>
    <w:rsid w:val="71D980D3"/>
    <w:rsid w:val="71ED023A"/>
    <w:rsid w:val="71FB16EB"/>
    <w:rsid w:val="71FF6352"/>
    <w:rsid w:val="720EC291"/>
    <w:rsid w:val="723B7EAA"/>
    <w:rsid w:val="72651DC9"/>
    <w:rsid w:val="72A5CA57"/>
    <w:rsid w:val="72DA9E0F"/>
    <w:rsid w:val="72E1A36D"/>
    <w:rsid w:val="72F10FA2"/>
    <w:rsid w:val="7314A771"/>
    <w:rsid w:val="73755134"/>
    <w:rsid w:val="7376448F"/>
    <w:rsid w:val="73889FA4"/>
    <w:rsid w:val="73B6785D"/>
    <w:rsid w:val="73D44C8B"/>
    <w:rsid w:val="742C8951"/>
    <w:rsid w:val="74D561A2"/>
    <w:rsid w:val="751009B8"/>
    <w:rsid w:val="757A70A8"/>
    <w:rsid w:val="7584C5A4"/>
    <w:rsid w:val="759CBE8B"/>
    <w:rsid w:val="75B776F1"/>
    <w:rsid w:val="75D2456D"/>
    <w:rsid w:val="75E83890"/>
    <w:rsid w:val="763E7305"/>
    <w:rsid w:val="76713203"/>
    <w:rsid w:val="7682A626"/>
    <w:rsid w:val="768A93AC"/>
    <w:rsid w:val="771B00F0"/>
    <w:rsid w:val="77209605"/>
    <w:rsid w:val="77480597"/>
    <w:rsid w:val="7766D924"/>
    <w:rsid w:val="779DA966"/>
    <w:rsid w:val="77E63F84"/>
    <w:rsid w:val="782BCA55"/>
    <w:rsid w:val="782EF700"/>
    <w:rsid w:val="7861AD4F"/>
    <w:rsid w:val="789D2873"/>
    <w:rsid w:val="791320B3"/>
    <w:rsid w:val="7927C6D8"/>
    <w:rsid w:val="7946203B"/>
    <w:rsid w:val="79773737"/>
    <w:rsid w:val="797F184A"/>
    <w:rsid w:val="79D10F90"/>
    <w:rsid w:val="79E4C48E"/>
    <w:rsid w:val="79EADEB6"/>
    <w:rsid w:val="7A52A1B2"/>
    <w:rsid w:val="7B23BDD3"/>
    <w:rsid w:val="7B561749"/>
    <w:rsid w:val="7B6CDFF1"/>
    <w:rsid w:val="7B7EB11A"/>
    <w:rsid w:val="7B915133"/>
    <w:rsid w:val="7BD01154"/>
    <w:rsid w:val="7BE698EC"/>
    <w:rsid w:val="7C162DFE"/>
    <w:rsid w:val="7C2C3807"/>
    <w:rsid w:val="7C30B1DF"/>
    <w:rsid w:val="7C340E66"/>
    <w:rsid w:val="7C354DE7"/>
    <w:rsid w:val="7C5550CF"/>
    <w:rsid w:val="7C92ED86"/>
    <w:rsid w:val="7CE07387"/>
    <w:rsid w:val="7CF1E7AA"/>
    <w:rsid w:val="7D0654E8"/>
    <w:rsid w:val="7D08B052"/>
    <w:rsid w:val="7D7774D2"/>
    <w:rsid w:val="7D8FD789"/>
    <w:rsid w:val="7DCE1889"/>
    <w:rsid w:val="7DFD1A0E"/>
    <w:rsid w:val="7E0F1C4A"/>
    <w:rsid w:val="7E3D0F70"/>
    <w:rsid w:val="7E7C43E8"/>
    <w:rsid w:val="7E8DB80B"/>
    <w:rsid w:val="7E9447ED"/>
    <w:rsid w:val="7E95C003"/>
    <w:rsid w:val="7E9917A4"/>
    <w:rsid w:val="7ECB331F"/>
    <w:rsid w:val="7EE3A271"/>
    <w:rsid w:val="7F2B7D7C"/>
    <w:rsid w:val="7FD8DF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C9E31"/>
  <w15:chartTrackingRefBased/>
  <w15:docId w15:val="{DA41AD3B-51D6-4AFB-802E-8961B06591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1527C2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1527C24"/>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21527C24"/>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21527C24"/>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21527C24"/>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21527C24"/>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21527C24"/>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21527C24"/>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21527C24"/>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21527C24"/>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21527C24"/>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21527C24"/>
    <w:rPr>
      <w:rFonts w:eastAsia="" w:eastAsiaTheme="minorEastAsia"/>
      <w:color w:val="5A5A5A"/>
    </w:rPr>
  </w:style>
  <w:style w:type="paragraph" w:styleId="Quote">
    <w:uiPriority w:val="29"/>
    <w:name w:val="Quote"/>
    <w:basedOn w:val="Normal"/>
    <w:next w:val="Normal"/>
    <w:link w:val="QuoteChar"/>
    <w:qFormat/>
    <w:rsid w:val="21527C2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1527C24"/>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1527C24"/>
    <w:pPr>
      <w:spacing/>
      <w:ind w:left="720"/>
      <w:contextualSpacing/>
    </w:pPr>
  </w:style>
  <w:style w:type="paragraph" w:styleId="TOC1">
    <w:uiPriority w:val="39"/>
    <w:name w:val="toc 1"/>
    <w:basedOn w:val="Normal"/>
    <w:next w:val="Normal"/>
    <w:unhideWhenUsed/>
    <w:rsid w:val="21527C24"/>
    <w:pPr>
      <w:spacing w:after="100"/>
    </w:pPr>
  </w:style>
  <w:style w:type="paragraph" w:styleId="TOC2">
    <w:uiPriority w:val="39"/>
    <w:name w:val="toc 2"/>
    <w:basedOn w:val="Normal"/>
    <w:next w:val="Normal"/>
    <w:unhideWhenUsed/>
    <w:rsid w:val="21527C24"/>
    <w:pPr>
      <w:spacing w:after="100"/>
      <w:ind w:left="220"/>
    </w:pPr>
  </w:style>
  <w:style w:type="paragraph" w:styleId="TOC3">
    <w:uiPriority w:val="39"/>
    <w:name w:val="toc 3"/>
    <w:basedOn w:val="Normal"/>
    <w:next w:val="Normal"/>
    <w:unhideWhenUsed/>
    <w:rsid w:val="21527C24"/>
    <w:pPr>
      <w:spacing w:after="100"/>
      <w:ind w:left="440"/>
    </w:pPr>
  </w:style>
  <w:style w:type="paragraph" w:styleId="TOC4">
    <w:uiPriority w:val="39"/>
    <w:name w:val="toc 4"/>
    <w:basedOn w:val="Normal"/>
    <w:next w:val="Normal"/>
    <w:unhideWhenUsed/>
    <w:rsid w:val="21527C24"/>
    <w:pPr>
      <w:spacing w:after="100"/>
      <w:ind w:left="660"/>
    </w:pPr>
  </w:style>
  <w:style w:type="paragraph" w:styleId="TOC5">
    <w:uiPriority w:val="39"/>
    <w:name w:val="toc 5"/>
    <w:basedOn w:val="Normal"/>
    <w:next w:val="Normal"/>
    <w:unhideWhenUsed/>
    <w:rsid w:val="21527C24"/>
    <w:pPr>
      <w:spacing w:after="100"/>
      <w:ind w:left="880"/>
    </w:pPr>
  </w:style>
  <w:style w:type="paragraph" w:styleId="TOC6">
    <w:uiPriority w:val="39"/>
    <w:name w:val="toc 6"/>
    <w:basedOn w:val="Normal"/>
    <w:next w:val="Normal"/>
    <w:unhideWhenUsed/>
    <w:rsid w:val="21527C24"/>
    <w:pPr>
      <w:spacing w:after="100"/>
      <w:ind w:left="1100"/>
    </w:pPr>
  </w:style>
  <w:style w:type="paragraph" w:styleId="TOC7">
    <w:uiPriority w:val="39"/>
    <w:name w:val="toc 7"/>
    <w:basedOn w:val="Normal"/>
    <w:next w:val="Normal"/>
    <w:unhideWhenUsed/>
    <w:rsid w:val="21527C24"/>
    <w:pPr>
      <w:spacing w:after="100"/>
      <w:ind w:left="1320"/>
    </w:pPr>
  </w:style>
  <w:style w:type="paragraph" w:styleId="TOC8">
    <w:uiPriority w:val="39"/>
    <w:name w:val="toc 8"/>
    <w:basedOn w:val="Normal"/>
    <w:next w:val="Normal"/>
    <w:unhideWhenUsed/>
    <w:rsid w:val="21527C24"/>
    <w:pPr>
      <w:spacing w:after="100"/>
      <w:ind w:left="1540"/>
    </w:pPr>
  </w:style>
  <w:style w:type="paragraph" w:styleId="TOC9">
    <w:uiPriority w:val="39"/>
    <w:name w:val="toc 9"/>
    <w:basedOn w:val="Normal"/>
    <w:next w:val="Normal"/>
    <w:unhideWhenUsed/>
    <w:rsid w:val="21527C24"/>
    <w:pPr>
      <w:spacing w:after="100"/>
      <w:ind w:left="1760"/>
    </w:pPr>
  </w:style>
  <w:style w:type="paragraph" w:styleId="EndnoteText">
    <w:uiPriority w:val="99"/>
    <w:name w:val="endnote text"/>
    <w:basedOn w:val="Normal"/>
    <w:semiHidden/>
    <w:unhideWhenUsed/>
    <w:link w:val="EndnoteTextChar"/>
    <w:rsid w:val="21527C24"/>
    <w:rPr>
      <w:sz w:val="20"/>
      <w:szCs w:val="20"/>
    </w:rPr>
    <w:pPr>
      <w:spacing w:after="0" w:line="240" w:lineRule="auto"/>
    </w:pPr>
  </w:style>
  <w:style w:type="paragraph" w:styleId="Footer">
    <w:uiPriority w:val="99"/>
    <w:name w:val="footer"/>
    <w:basedOn w:val="Normal"/>
    <w:unhideWhenUsed/>
    <w:link w:val="FooterChar"/>
    <w:rsid w:val="21527C24"/>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1527C24"/>
    <w:rPr>
      <w:sz w:val="20"/>
      <w:szCs w:val="20"/>
    </w:rPr>
    <w:pPr>
      <w:spacing w:after="0" w:line="240" w:lineRule="auto"/>
    </w:pPr>
  </w:style>
  <w:style w:type="paragraph" w:styleId="Header">
    <w:uiPriority w:val="99"/>
    <w:name w:val="header"/>
    <w:basedOn w:val="Normal"/>
    <w:unhideWhenUsed/>
    <w:link w:val="HeaderChar"/>
    <w:rsid w:val="21527C24"/>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oxfordlawtrove.com" TargetMode="External" Id="Rf13bc8c4e7b04d22" /><Relationship Type="http://schemas.openxmlformats.org/officeDocument/2006/relationships/hyperlink" Target="https://www.iclr.co.uk/knowledge/guides/" TargetMode="External" Id="R5d677f7f447b44c1" /><Relationship Type="http://schemas.openxmlformats.org/officeDocument/2006/relationships/hyperlink" Target="https://uk.practicallaw.thomsonreuters.com/w-002-9006?transitionType=Default&amp;contextData=(sc.Default)&amp;firstPage=true" TargetMode="External" Id="R6b9731f7478b4988" /><Relationship Type="http://schemas.openxmlformats.org/officeDocument/2006/relationships/hyperlink" Target="https://www.tombruno.com/articles/the-four-types-of-mens-rea/" TargetMode="External" Id="R95525ff73e484f5b" /><Relationship Type="http://schemas.openxmlformats.org/officeDocument/2006/relationships/hyperlink" Target="https://ore.exeter.ac.uk/repository/bitstream/handle/10036/117790/FureyJ.pdf?sequence=2" TargetMode="External" Id="Rffe4f13a2b4e4e6a" /><Relationship Type="http://schemas.openxmlformats.org/officeDocument/2006/relationships/hyperlink" Target="https://legal.thomsonreuters.com/blog/what-is-criminal-liability/" TargetMode="External" Id="R876b2ff4895b4d11" /><Relationship Type="http://schemas.openxmlformats.org/officeDocument/2006/relationships/hyperlink" Target="https://www.bljsolicitors.co.uk/blog/what-is-liability-in-criminal-law/" TargetMode="External" Id="R2be326108bc347d5" /><Relationship Type="http://schemas.openxmlformats.org/officeDocument/2006/relationships/hyperlink" Target="https://www.iclr.co.uk/knowledge/glossary/mens-rea-and-actus-reus/" TargetMode="External" Id="Rbf84e5abb46c4431" /><Relationship Type="http://schemas.openxmlformats.org/officeDocument/2006/relationships/hyperlink" Target="https://www.crimemuseum.org/crime-library/criminal-law/actus-reus/" TargetMode="External" Id="Rd08cea36aecc443c" /><Relationship Type="http://schemas.openxmlformats.org/officeDocument/2006/relationships/hyperlink" Target="https://legal-dictionary.thefreedictionary.com/mens+rea" TargetMode="External" Id="R346bb4d84a7a412a" /><Relationship Type="http://schemas.openxmlformats.org/officeDocument/2006/relationships/hyperlink" Target="https://www.revisely.com/alevel/law/aqa/notes/criminal-law/actus-reus-and-mens-rea" TargetMode="External" Id="Rdadbfe1c5eda40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2024-03-02T15:10:24.5293649Z</dcterms:created>
  <dcterms:modified xsi:type="dcterms:W3CDTF">2024-03-15T18:38:52.1558063Z</dcterms:modified>
  <dc:creator>Silvia Conkova (2312826)</dc:creator>
  <lastModifiedBy>Silvia Conkova (2312826)</lastModifiedBy>
</coreProperties>
</file>