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6F1F0D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26CB0">
              <w:rPr>
                <w:rFonts w:ascii="Times New Roman" w:hAnsi="Times New Roman" w:cs="Times New Roman"/>
                <w:b/>
                <w:color w:val="auto"/>
                <w:sz w:val="48"/>
              </w:rPr>
              <w:t>Sophie Jane Challenger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1E3700A" w:rsidR="009C337F" w:rsidRPr="00226CB0" w:rsidRDefault="009C337F" w:rsidP="005D3F07">
            <w:pPr>
              <w:overflowPunct/>
              <w:autoSpaceDE/>
              <w:autoSpaceDN/>
              <w:adjustRightInd/>
              <w:ind w:right="-957"/>
              <w:textAlignment w:val="auto"/>
              <w:rPr>
                <w:rFonts w:ascii="Times New Roman" w:hAnsi="Times New Roman" w:cs="Times New Roman"/>
                <w:b/>
                <w:color w:val="auto"/>
                <w:sz w:val="36"/>
                <w:szCs w:val="14"/>
              </w:rPr>
            </w:pPr>
            <w:r>
              <w:rPr>
                <w:rFonts w:ascii="Times New Roman" w:hAnsi="Times New Roman" w:cs="Times New Roman"/>
                <w:b/>
                <w:color w:val="auto"/>
                <w:sz w:val="48"/>
              </w:rPr>
              <w:t>Email address:</w:t>
            </w:r>
            <w:r w:rsidR="00226CB0">
              <w:rPr>
                <w:rFonts w:ascii="Times New Roman" w:hAnsi="Times New Roman" w:cs="Times New Roman"/>
                <w:b/>
                <w:color w:val="auto"/>
                <w:sz w:val="36"/>
                <w:szCs w:val="14"/>
              </w:rPr>
              <w:t>sophiechallenger1991@hotmail.com 0900112@student.uwtsd.ac.uk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6325B01" w:rsidR="00F927A1" w:rsidRPr="00226CB0" w:rsidRDefault="0085230E" w:rsidP="005D3F07">
            <w:pPr>
              <w:overflowPunct/>
              <w:autoSpaceDE/>
              <w:autoSpaceDN/>
              <w:adjustRightInd/>
              <w:ind w:right="-957"/>
              <w:textAlignment w:val="auto"/>
              <w:rPr>
                <w:rFonts w:ascii="Times New Roman" w:hAnsi="Times New Roman" w:cs="Times New Roman"/>
                <w:b/>
                <w:color w:val="auto"/>
                <w:sz w:val="40"/>
                <w:szCs w:val="16"/>
              </w:rPr>
            </w:pPr>
            <w:r w:rsidRPr="00226CB0">
              <w:rPr>
                <w:rFonts w:ascii="Times New Roman" w:hAnsi="Times New Roman" w:cs="Times New Roman"/>
                <w:b/>
                <w:color w:val="auto"/>
                <w:sz w:val="40"/>
                <w:szCs w:val="16"/>
              </w:rPr>
              <w:t>Learner’s University Registration</w:t>
            </w:r>
            <w:r w:rsidR="00F927A1" w:rsidRPr="00226CB0">
              <w:rPr>
                <w:rFonts w:ascii="Times New Roman" w:hAnsi="Times New Roman" w:cs="Times New Roman"/>
                <w:b/>
                <w:color w:val="auto"/>
                <w:sz w:val="40"/>
                <w:szCs w:val="16"/>
              </w:rPr>
              <w:t xml:space="preserve"> Number:</w:t>
            </w:r>
            <w:r w:rsidR="00226CB0">
              <w:rPr>
                <w:rFonts w:ascii="Times New Roman" w:hAnsi="Times New Roman" w:cs="Times New Roman"/>
                <w:b/>
                <w:color w:val="auto"/>
                <w:sz w:val="40"/>
                <w:szCs w:val="16"/>
              </w:rPr>
              <w:t xml:space="preserve"> 0900112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4E2AE3">
            <w:pPr>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4E2AE3">
            <w:pPr>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Pr="00BC270C" w:rsidRDefault="006108C9" w:rsidP="004E2AE3">
            <w:pPr>
              <w:rPr>
                <w:sz w:val="24"/>
                <w:szCs w:val="24"/>
              </w:rPr>
            </w:pPr>
          </w:p>
          <w:p w14:paraId="1EDA1BF8" w14:textId="0129A405" w:rsidR="00FE2E0B" w:rsidRDefault="00FE2E0B" w:rsidP="006546E3">
            <w:pPr>
              <w:spacing w:line="480" w:lineRule="auto"/>
              <w:rPr>
                <w:sz w:val="24"/>
                <w:szCs w:val="24"/>
              </w:rPr>
            </w:pPr>
            <w:r w:rsidRPr="00672552">
              <w:rPr>
                <w:sz w:val="24"/>
                <w:szCs w:val="24"/>
              </w:rPr>
              <w:t xml:space="preserve">Safeguarding practice for adults refers to protecting adults’ rights to ensure they live in safety, free from harm, abuse or neglect (Social Care Institute for Excellence, 2026). In Wales the duty to protect adults is underpinned by the Social Services and Well-being (Wales) Act </w:t>
            </w:r>
            <w:r w:rsidR="006546E3">
              <w:rPr>
                <w:sz w:val="24"/>
                <w:szCs w:val="24"/>
              </w:rPr>
              <w:t xml:space="preserve">(SSWWA) </w:t>
            </w:r>
            <w:r w:rsidRPr="00672552">
              <w:rPr>
                <w:sz w:val="24"/>
                <w:szCs w:val="24"/>
              </w:rPr>
              <w:t>2014. Part 7 of the SSWWA 2014 places a duty on local authorities and partner organisations to report adults at risk and respond when concerns arise. The Act emphasises a person-centred approach, ensuring that individuals are involved in decisions about their care, and that their dignity, independence, and voice are respected (Welsh Government</w:t>
            </w:r>
            <w:r w:rsidR="006546E3">
              <w:rPr>
                <w:sz w:val="24"/>
                <w:szCs w:val="24"/>
              </w:rPr>
              <w:t xml:space="preserve"> (WG)</w:t>
            </w:r>
            <w:r w:rsidRPr="00672552">
              <w:rPr>
                <w:sz w:val="24"/>
                <w:szCs w:val="24"/>
              </w:rPr>
              <w:t>, 2014).</w:t>
            </w:r>
          </w:p>
          <w:p w14:paraId="306FCE97" w14:textId="77777777" w:rsidR="00FE2E0B" w:rsidRPr="00672552" w:rsidRDefault="00FE2E0B" w:rsidP="006546E3">
            <w:pPr>
              <w:spacing w:line="480" w:lineRule="auto"/>
              <w:rPr>
                <w:sz w:val="24"/>
                <w:szCs w:val="24"/>
              </w:rPr>
            </w:pPr>
          </w:p>
          <w:p w14:paraId="4C5533FF" w14:textId="1E09D5E2" w:rsidR="00FE2E0B" w:rsidRDefault="00FE2E0B" w:rsidP="006546E3">
            <w:pPr>
              <w:spacing w:line="480" w:lineRule="auto"/>
              <w:rPr>
                <w:sz w:val="24"/>
                <w:szCs w:val="24"/>
              </w:rPr>
            </w:pPr>
            <w:r w:rsidRPr="00672552">
              <w:rPr>
                <w:sz w:val="24"/>
                <w:szCs w:val="24"/>
              </w:rPr>
              <w:t xml:space="preserve">The Wales Safeguarding Procedures (2019) promote safeguarding through national procedures and guidance for practitioners on how to recognise, report, and respond to safeguarding concerns. Multi-agency working between organisations </w:t>
            </w:r>
            <w:r>
              <w:rPr>
                <w:sz w:val="24"/>
                <w:szCs w:val="24"/>
              </w:rPr>
              <w:t>including</w:t>
            </w:r>
            <w:r w:rsidRPr="00672552">
              <w:rPr>
                <w:sz w:val="24"/>
                <w:szCs w:val="24"/>
              </w:rPr>
              <w:t xml:space="preserve"> health services, police and local authorities is emphasised (Social Care Wales</w:t>
            </w:r>
            <w:r w:rsidR="006546E3">
              <w:rPr>
                <w:sz w:val="24"/>
                <w:szCs w:val="24"/>
              </w:rPr>
              <w:t xml:space="preserve"> (SCW)</w:t>
            </w:r>
            <w:r w:rsidRPr="00672552">
              <w:rPr>
                <w:sz w:val="24"/>
                <w:szCs w:val="24"/>
              </w:rPr>
              <w:t xml:space="preserve">, 2019). The Working Together to Safeguard People (2022) guidance complement these procedures by </w:t>
            </w:r>
            <w:r w:rsidRPr="00672552">
              <w:rPr>
                <w:sz w:val="24"/>
                <w:szCs w:val="24"/>
              </w:rPr>
              <w:lastRenderedPageBreak/>
              <w:t>providing statutory guidance on safeguarding duties under the SSWWA 2014 including responsibilities for reporting, enquiry and information sharing. Together, these documents help social workers fulfil their safeguarding duties, protect adults at risk and promote wellbeing and rights (S</w:t>
            </w:r>
            <w:r w:rsidR="006546E3">
              <w:rPr>
                <w:sz w:val="24"/>
                <w:szCs w:val="24"/>
              </w:rPr>
              <w:t>CW</w:t>
            </w:r>
            <w:r w:rsidRPr="00672552">
              <w:rPr>
                <w:sz w:val="24"/>
                <w:szCs w:val="24"/>
              </w:rPr>
              <w:t>, 2026).</w:t>
            </w:r>
          </w:p>
          <w:p w14:paraId="7BB89FDD" w14:textId="77777777" w:rsidR="00FE2E0B" w:rsidRPr="00672552" w:rsidRDefault="00FE2E0B" w:rsidP="006546E3">
            <w:pPr>
              <w:spacing w:line="480" w:lineRule="auto"/>
              <w:rPr>
                <w:sz w:val="24"/>
                <w:szCs w:val="24"/>
              </w:rPr>
            </w:pPr>
          </w:p>
          <w:p w14:paraId="74D9E681" w14:textId="36ACDD6B" w:rsidR="00FE2E0B" w:rsidRDefault="00FE2E0B" w:rsidP="006546E3">
            <w:pPr>
              <w:spacing w:line="480" w:lineRule="auto"/>
              <w:rPr>
                <w:sz w:val="24"/>
                <w:szCs w:val="24"/>
              </w:rPr>
            </w:pPr>
            <w:r w:rsidRPr="00672552">
              <w:rPr>
                <w:sz w:val="24"/>
                <w:szCs w:val="24"/>
              </w:rPr>
              <w:t>Newer updates such as the Code of Safeguarding Practice (2022) build on existing guidance by setting out clear expectations for safeguarding arrangements across organisations. It applies to individuals, groups and organisations that provide activities or services, ensuring they take reasonable steps to protect people from abuse, neglect, or harm (W</w:t>
            </w:r>
            <w:r w:rsidR="006546E3">
              <w:rPr>
                <w:sz w:val="24"/>
                <w:szCs w:val="24"/>
              </w:rPr>
              <w:t>G</w:t>
            </w:r>
            <w:r w:rsidRPr="00672552">
              <w:rPr>
                <w:sz w:val="24"/>
                <w:szCs w:val="24"/>
              </w:rPr>
              <w:t>, 2022). The Code emphasises that safeguarding is everyone's responsibility and requires organisations to have policies, training, safe recruitment and reporting procedures (W</w:t>
            </w:r>
            <w:r w:rsidR="002E4035">
              <w:rPr>
                <w:sz w:val="24"/>
                <w:szCs w:val="24"/>
              </w:rPr>
              <w:t>G</w:t>
            </w:r>
            <w:r w:rsidRPr="00672552">
              <w:rPr>
                <w:sz w:val="24"/>
                <w:szCs w:val="24"/>
              </w:rPr>
              <w:t>, 2022).</w:t>
            </w:r>
          </w:p>
          <w:p w14:paraId="666CE191" w14:textId="77777777" w:rsidR="00FE2E0B" w:rsidRPr="00672552" w:rsidRDefault="00FE2E0B" w:rsidP="006546E3">
            <w:pPr>
              <w:spacing w:line="480" w:lineRule="auto"/>
              <w:rPr>
                <w:sz w:val="24"/>
                <w:szCs w:val="24"/>
              </w:rPr>
            </w:pPr>
          </w:p>
          <w:p w14:paraId="7A165781" w14:textId="2F97ABAA" w:rsidR="00FE2E0B" w:rsidRDefault="00FE2E0B" w:rsidP="006546E3">
            <w:pPr>
              <w:spacing w:line="480" w:lineRule="auto"/>
              <w:rPr>
                <w:sz w:val="24"/>
                <w:szCs w:val="24"/>
              </w:rPr>
            </w:pPr>
            <w:r w:rsidRPr="00672552">
              <w:rPr>
                <w:sz w:val="24"/>
                <w:szCs w:val="24"/>
              </w:rPr>
              <w:t>In Wales, the SSWWA (2014) saw the introduction of Regional Safeguarding Boards. Operating locally, these multi-agency boards develop safeguarding procedures, monitor effectiveness, promote partnership working and commission training. Safeguarding boards also undertake Adult Practice Reviews to review practice and lessons learnt. These reviews often take place where an adult has died or is thought to have suffered harm, abuse or neglect (W</w:t>
            </w:r>
            <w:r w:rsidR="002E4035">
              <w:rPr>
                <w:sz w:val="24"/>
                <w:szCs w:val="24"/>
              </w:rPr>
              <w:t>G</w:t>
            </w:r>
            <w:r w:rsidRPr="00672552">
              <w:rPr>
                <w:sz w:val="24"/>
                <w:szCs w:val="24"/>
              </w:rPr>
              <w:t>, 2015).</w:t>
            </w:r>
          </w:p>
          <w:p w14:paraId="4627FC47" w14:textId="77777777" w:rsidR="00FE2E0B" w:rsidRPr="00672552" w:rsidRDefault="00FE2E0B" w:rsidP="006546E3">
            <w:pPr>
              <w:spacing w:line="480" w:lineRule="auto"/>
              <w:rPr>
                <w:sz w:val="24"/>
                <w:szCs w:val="24"/>
              </w:rPr>
            </w:pPr>
          </w:p>
          <w:p w14:paraId="070618EC" w14:textId="77777777" w:rsidR="00FE2E0B" w:rsidRDefault="00FE2E0B" w:rsidP="006546E3">
            <w:pPr>
              <w:spacing w:line="480" w:lineRule="auto"/>
              <w:rPr>
                <w:sz w:val="24"/>
                <w:szCs w:val="24"/>
              </w:rPr>
            </w:pPr>
            <w:r w:rsidRPr="00672552">
              <w:rPr>
                <w:sz w:val="24"/>
                <w:szCs w:val="24"/>
              </w:rPr>
              <w:t xml:space="preserve">The Human Rights Act 1998 is fundamental in adult safeguarding, ensuring individuals’ rights, such as the right to life, dignity, and freedom from degrading treatment, are upheld in safeguarding practice (UK Government, 1998). The Equality Act 2010 further supports </w:t>
            </w:r>
            <w:r w:rsidRPr="00672552">
              <w:rPr>
                <w:sz w:val="24"/>
                <w:szCs w:val="24"/>
              </w:rPr>
              <w:lastRenderedPageBreak/>
              <w:t>safeguarding by protecting individuals from discrimination and promoting equal access to services and support (Great Britain, 2010).</w:t>
            </w:r>
          </w:p>
          <w:p w14:paraId="0FF6C325" w14:textId="77777777" w:rsidR="00FE2E0B" w:rsidRPr="00672552" w:rsidRDefault="00FE2E0B" w:rsidP="006546E3">
            <w:pPr>
              <w:spacing w:line="480" w:lineRule="auto"/>
              <w:rPr>
                <w:sz w:val="24"/>
                <w:szCs w:val="24"/>
              </w:rPr>
            </w:pPr>
          </w:p>
          <w:p w14:paraId="08A918C5" w14:textId="77777777" w:rsidR="00FE2E0B" w:rsidRDefault="00FE2E0B" w:rsidP="006546E3">
            <w:pPr>
              <w:spacing w:line="480" w:lineRule="auto"/>
              <w:rPr>
                <w:sz w:val="24"/>
                <w:szCs w:val="24"/>
              </w:rPr>
            </w:pPr>
            <w:r w:rsidRPr="00672552">
              <w:rPr>
                <w:sz w:val="24"/>
                <w:szCs w:val="24"/>
              </w:rPr>
              <w:t>The Mental Capacity Act (MCA) 2005 provides a framework for supporting adults who lack capacity to make decisions, ensuring actions taken on their behalf are in their best interests.</w:t>
            </w:r>
            <w:r>
              <w:rPr>
                <w:sz w:val="24"/>
                <w:szCs w:val="24"/>
              </w:rPr>
              <w:t xml:space="preserve"> </w:t>
            </w:r>
            <w:r w:rsidRPr="00672552">
              <w:rPr>
                <w:sz w:val="24"/>
                <w:szCs w:val="24"/>
              </w:rPr>
              <w:t>Although primarily associated with adults, the MCA also applies to 16</w:t>
            </w:r>
            <w:r>
              <w:rPr>
                <w:sz w:val="24"/>
                <w:szCs w:val="24"/>
              </w:rPr>
              <w:t>- and 17-year-olds</w:t>
            </w:r>
            <w:r w:rsidRPr="00672552">
              <w:rPr>
                <w:sz w:val="24"/>
                <w:szCs w:val="24"/>
              </w:rPr>
              <w:t xml:space="preserve"> who may lack capacity to make decisions.</w:t>
            </w:r>
            <w:r>
              <w:rPr>
                <w:sz w:val="24"/>
                <w:szCs w:val="24"/>
              </w:rPr>
              <w:t xml:space="preserve"> </w:t>
            </w:r>
            <w:r w:rsidRPr="00672552">
              <w:rPr>
                <w:sz w:val="24"/>
                <w:szCs w:val="24"/>
              </w:rPr>
              <w:t>The Deprivation of Liberty Safeguards (DoLS), introduced under the MCA 2005, protect individuals lacking capacity who are deprived of their liberty in hospitals or care homes. DoLS ensure that any deprivation of liberty is necessary, proportionate and authorised through a lawful process (UK Government, 2005).</w:t>
            </w:r>
          </w:p>
          <w:p w14:paraId="5A27E521" w14:textId="77777777" w:rsidR="00FE2E0B" w:rsidRPr="00672552" w:rsidRDefault="00FE2E0B" w:rsidP="006546E3">
            <w:pPr>
              <w:spacing w:line="480" w:lineRule="auto"/>
              <w:rPr>
                <w:sz w:val="24"/>
                <w:szCs w:val="24"/>
              </w:rPr>
            </w:pPr>
          </w:p>
          <w:p w14:paraId="478DF93B" w14:textId="08C7F657" w:rsidR="00FE2E0B" w:rsidRPr="00672552" w:rsidRDefault="00FE2E0B" w:rsidP="006546E3">
            <w:pPr>
              <w:spacing w:line="480" w:lineRule="auto"/>
              <w:rPr>
                <w:sz w:val="24"/>
                <w:szCs w:val="24"/>
              </w:rPr>
            </w:pPr>
            <w:r w:rsidRPr="00672552">
              <w:rPr>
                <w:sz w:val="24"/>
                <w:szCs w:val="24"/>
              </w:rPr>
              <w:t>The Safeguarding Vulnerable Groups Act 2006 plays a role in preventing unsuitable individuals from working with vulnerable adults through vetting and barring systems (UK Government, 2006). The Regulation and Inspection of Social Care (Wales) Act (2016) also ensures organisations are meeting required standards and being properly managed (W</w:t>
            </w:r>
            <w:r w:rsidR="002E4035">
              <w:rPr>
                <w:sz w:val="24"/>
                <w:szCs w:val="24"/>
              </w:rPr>
              <w:t>G</w:t>
            </w:r>
            <w:r w:rsidRPr="00672552">
              <w:rPr>
                <w:sz w:val="24"/>
                <w:szCs w:val="24"/>
              </w:rPr>
              <w:t>, 2016); together these Acts assist in ensuring an appropriate workforce and properly managed services, both key to effective safeguarding.</w:t>
            </w:r>
          </w:p>
          <w:p w14:paraId="6AF9D08F" w14:textId="77777777" w:rsidR="00595CC2" w:rsidRDefault="00595CC2" w:rsidP="006546E3">
            <w:pPr>
              <w:spacing w:line="480" w:lineRule="auto"/>
              <w:rPr>
                <w:sz w:val="24"/>
                <w:szCs w:val="24"/>
              </w:rPr>
            </w:pPr>
          </w:p>
          <w:p w14:paraId="4D803863" w14:textId="285A3794" w:rsidR="00B448D4" w:rsidRDefault="00B448D4" w:rsidP="004E2AE3">
            <w:pPr>
              <w:rPr>
                <w:sz w:val="24"/>
                <w:szCs w:val="24"/>
              </w:rPr>
            </w:pPr>
            <w:r>
              <w:rPr>
                <w:sz w:val="24"/>
                <w:szCs w:val="24"/>
              </w:rPr>
              <w:t>Words: 5</w:t>
            </w:r>
            <w:r w:rsidR="002E4035">
              <w:rPr>
                <w:sz w:val="24"/>
                <w:szCs w:val="24"/>
              </w:rPr>
              <w:t>46</w:t>
            </w:r>
          </w:p>
          <w:p w14:paraId="59720FF1" w14:textId="77777777" w:rsidR="00B448D4" w:rsidRDefault="00B448D4" w:rsidP="004E2AE3">
            <w:pPr>
              <w:rPr>
                <w:sz w:val="24"/>
                <w:szCs w:val="24"/>
              </w:rPr>
            </w:pPr>
          </w:p>
          <w:p w14:paraId="03BD6D93" w14:textId="56AD433A" w:rsidR="007A628F" w:rsidRPr="008B28E7" w:rsidRDefault="007A628F" w:rsidP="00257396">
            <w:pPr>
              <w:rPr>
                <w:b/>
                <w:sz w:val="24"/>
                <w:szCs w:val="24"/>
              </w:rPr>
            </w:pPr>
          </w:p>
        </w:tc>
      </w:tr>
    </w:tbl>
    <w:p w14:paraId="37E9CF73" w14:textId="77777777" w:rsidR="00AA666E" w:rsidRPr="008B28E7" w:rsidRDefault="00AA666E" w:rsidP="004E2AE3">
      <w:pPr>
        <w:rPr>
          <w:sz w:val="24"/>
          <w:szCs w:val="24"/>
        </w:rPr>
      </w:pPr>
    </w:p>
    <w:p w14:paraId="1FC83FC7" w14:textId="76794EEF" w:rsidR="00AA666E" w:rsidRPr="008B28E7" w:rsidRDefault="00AA666E" w:rsidP="004E2AE3">
      <w:pPr>
        <w:rPr>
          <w:sz w:val="24"/>
          <w:szCs w:val="24"/>
        </w:rPr>
      </w:pPr>
    </w:p>
    <w:p w14:paraId="60437654" w14:textId="0F9E54BA" w:rsidR="00AA666E" w:rsidRDefault="00AA666E" w:rsidP="004E2AE3">
      <w:pPr>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3320BB3D" w:rsidR="00FC0334" w:rsidRPr="00EB695F" w:rsidRDefault="00FC0334" w:rsidP="004E2AE3">
            <w:pPr>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4E2AE3">
            <w:pPr>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78D2F84" w14:textId="77777777" w:rsidR="00FC0334" w:rsidRDefault="00FC0334" w:rsidP="004E2AE3">
            <w:pPr>
              <w:rPr>
                <w:sz w:val="24"/>
                <w:szCs w:val="24"/>
              </w:rPr>
            </w:pPr>
          </w:p>
          <w:p w14:paraId="4556E421" w14:textId="59FF391D" w:rsidR="005111EA" w:rsidRPr="008625D2" w:rsidRDefault="00542266" w:rsidP="008625D2">
            <w:pPr>
              <w:spacing w:line="480" w:lineRule="auto"/>
              <w:jc w:val="both"/>
              <w:rPr>
                <w:sz w:val="24"/>
                <w:szCs w:val="24"/>
              </w:rPr>
            </w:pPr>
            <w:r w:rsidRPr="008625D2">
              <w:rPr>
                <w:sz w:val="24"/>
                <w:szCs w:val="24"/>
              </w:rPr>
              <w:lastRenderedPageBreak/>
              <w:t>A key similarity between adult and children’s safeguarding is that both aim to protect individuals from harm, abuse, and neglect, ensuring their safety and wellbeing remains a priority</w:t>
            </w:r>
            <w:r w:rsidR="00C3075E" w:rsidRPr="008625D2">
              <w:rPr>
                <w:sz w:val="24"/>
                <w:szCs w:val="24"/>
              </w:rPr>
              <w:t xml:space="preserve"> (Cocker </w:t>
            </w:r>
            <w:r w:rsidR="00C3075E" w:rsidRPr="008625D2">
              <w:rPr>
                <w:i/>
                <w:iCs/>
                <w:sz w:val="24"/>
                <w:szCs w:val="24"/>
              </w:rPr>
              <w:t>et al.</w:t>
            </w:r>
            <w:r w:rsidR="00C3075E" w:rsidRPr="008625D2">
              <w:rPr>
                <w:sz w:val="24"/>
                <w:szCs w:val="24"/>
              </w:rPr>
              <w:t>, 2021).</w:t>
            </w:r>
            <w:r w:rsidR="003907C6" w:rsidRPr="008625D2">
              <w:rPr>
                <w:sz w:val="24"/>
                <w:szCs w:val="24"/>
              </w:rPr>
              <w:t xml:space="preserve"> Despite this</w:t>
            </w:r>
            <w:r w:rsidR="005111EA" w:rsidRPr="008625D2">
              <w:rPr>
                <w:sz w:val="24"/>
                <w:szCs w:val="24"/>
              </w:rPr>
              <w:t xml:space="preserve"> similarity there are many legal and practice differences. </w:t>
            </w:r>
          </w:p>
          <w:p w14:paraId="4A57C269" w14:textId="77777777" w:rsidR="005111EA" w:rsidRPr="008625D2" w:rsidRDefault="005111EA" w:rsidP="008625D2">
            <w:pPr>
              <w:spacing w:line="480" w:lineRule="auto"/>
              <w:jc w:val="both"/>
              <w:rPr>
                <w:sz w:val="24"/>
                <w:szCs w:val="24"/>
              </w:rPr>
            </w:pPr>
          </w:p>
          <w:p w14:paraId="1A1ED037" w14:textId="14E9FF0D" w:rsidR="00A46A7D" w:rsidRPr="008625D2" w:rsidRDefault="00CD1457" w:rsidP="008625D2">
            <w:pPr>
              <w:spacing w:line="480" w:lineRule="auto"/>
              <w:jc w:val="both"/>
              <w:rPr>
                <w:sz w:val="24"/>
                <w:szCs w:val="24"/>
              </w:rPr>
            </w:pPr>
            <w:r w:rsidRPr="008625D2">
              <w:rPr>
                <w:sz w:val="24"/>
                <w:szCs w:val="24"/>
              </w:rPr>
              <w:t>Safeguarding practice varies for children and adults</w:t>
            </w:r>
            <w:r w:rsidR="004A5677" w:rsidRPr="008625D2">
              <w:rPr>
                <w:sz w:val="24"/>
                <w:szCs w:val="24"/>
              </w:rPr>
              <w:t>. C</w:t>
            </w:r>
            <w:r w:rsidRPr="008625D2">
              <w:rPr>
                <w:sz w:val="24"/>
                <w:szCs w:val="24"/>
              </w:rPr>
              <w:t>hildren defined as individuals under the age of 18 and adults as those aged 18</w:t>
            </w:r>
            <w:r w:rsidR="004A5677" w:rsidRPr="008625D2">
              <w:rPr>
                <w:sz w:val="24"/>
                <w:szCs w:val="24"/>
              </w:rPr>
              <w:t xml:space="preserve"> </w:t>
            </w:r>
            <w:r w:rsidRPr="008625D2">
              <w:rPr>
                <w:sz w:val="24"/>
                <w:szCs w:val="24"/>
              </w:rPr>
              <w:t xml:space="preserve">and over. </w:t>
            </w:r>
            <w:r w:rsidR="00A46A7D" w:rsidRPr="008625D2">
              <w:rPr>
                <w:sz w:val="24"/>
                <w:szCs w:val="24"/>
              </w:rPr>
              <w:t>This is because the law recognises children and adults as having different levels of legal autonomy and decision-making rights. Under the Children Act 1989</w:t>
            </w:r>
            <w:r w:rsidR="00C3075E" w:rsidRPr="008625D2">
              <w:rPr>
                <w:sz w:val="24"/>
                <w:szCs w:val="24"/>
              </w:rPr>
              <w:t xml:space="preserve"> and Part 7 of</w:t>
            </w:r>
            <w:r w:rsidR="00A46A7D" w:rsidRPr="008625D2">
              <w:rPr>
                <w:sz w:val="24"/>
                <w:szCs w:val="24"/>
              </w:rPr>
              <w:t xml:space="preserve"> the Social Services and Well-being (Wales) Act </w:t>
            </w:r>
            <w:r w:rsidR="002E4035" w:rsidRPr="008625D2">
              <w:rPr>
                <w:sz w:val="24"/>
                <w:szCs w:val="24"/>
              </w:rPr>
              <w:t xml:space="preserve">(SSWWA) </w:t>
            </w:r>
            <w:r w:rsidR="00A46A7D" w:rsidRPr="008625D2">
              <w:rPr>
                <w:sz w:val="24"/>
                <w:szCs w:val="24"/>
              </w:rPr>
              <w:t>2014, children are regarded as requiring protection due to their age and developmental needs, with safeguarding interventions prioritising their welfare and best interests (Welsh Government, 2014</w:t>
            </w:r>
            <w:r w:rsidR="00C3075E" w:rsidRPr="008625D2">
              <w:rPr>
                <w:sz w:val="24"/>
                <w:szCs w:val="24"/>
              </w:rPr>
              <w:t xml:space="preserve">, </w:t>
            </w:r>
            <w:r w:rsidRPr="008625D2">
              <w:rPr>
                <w:sz w:val="24"/>
                <w:szCs w:val="24"/>
              </w:rPr>
              <w:t xml:space="preserve">UK </w:t>
            </w:r>
            <w:r w:rsidR="004E2AE3" w:rsidRPr="008625D2">
              <w:rPr>
                <w:sz w:val="24"/>
                <w:szCs w:val="24"/>
              </w:rPr>
              <w:t>Government</w:t>
            </w:r>
            <w:r w:rsidR="00C3075E" w:rsidRPr="008625D2">
              <w:rPr>
                <w:sz w:val="24"/>
                <w:szCs w:val="24"/>
              </w:rPr>
              <w:t>, 1989</w:t>
            </w:r>
            <w:r w:rsidR="00A46A7D" w:rsidRPr="008625D2">
              <w:rPr>
                <w:sz w:val="24"/>
                <w:szCs w:val="24"/>
              </w:rPr>
              <w:t xml:space="preserve">). </w:t>
            </w:r>
          </w:p>
          <w:p w14:paraId="30F31663" w14:textId="77777777" w:rsidR="008B5002" w:rsidRPr="008625D2" w:rsidRDefault="008B5002" w:rsidP="008625D2">
            <w:pPr>
              <w:spacing w:line="480" w:lineRule="auto"/>
              <w:jc w:val="both"/>
              <w:rPr>
                <w:sz w:val="24"/>
                <w:szCs w:val="24"/>
              </w:rPr>
            </w:pPr>
          </w:p>
          <w:p w14:paraId="03454D26" w14:textId="681307F5" w:rsidR="00A65CF0" w:rsidRPr="008625D2" w:rsidRDefault="00A65CF0" w:rsidP="008625D2">
            <w:pPr>
              <w:spacing w:line="480" w:lineRule="auto"/>
              <w:jc w:val="both"/>
              <w:rPr>
                <w:sz w:val="24"/>
                <w:szCs w:val="24"/>
              </w:rPr>
            </w:pPr>
            <w:r w:rsidRPr="008625D2">
              <w:rPr>
                <w:sz w:val="24"/>
                <w:szCs w:val="24"/>
              </w:rPr>
              <w:t xml:space="preserve">Nevertheless, </w:t>
            </w:r>
            <w:r w:rsidR="00DA4470" w:rsidRPr="008625D2">
              <w:rPr>
                <w:sz w:val="24"/>
                <w:szCs w:val="24"/>
              </w:rPr>
              <w:t>following the</w:t>
            </w:r>
            <w:r w:rsidRPr="008625D2">
              <w:rPr>
                <w:sz w:val="24"/>
                <w:szCs w:val="24"/>
              </w:rPr>
              <w:t xml:space="preserve"> case of </w:t>
            </w:r>
            <w:r w:rsidRPr="008625D2">
              <w:rPr>
                <w:i/>
                <w:iCs/>
                <w:sz w:val="24"/>
                <w:szCs w:val="24"/>
              </w:rPr>
              <w:t>Gillick v West Norfolk and Wisbech Area Health Authority</w:t>
            </w:r>
            <w:r w:rsidRPr="008625D2">
              <w:rPr>
                <w:sz w:val="24"/>
                <w:szCs w:val="24"/>
              </w:rPr>
              <w:t xml:space="preserve"> (1985)</w:t>
            </w:r>
            <w:r w:rsidR="008B5002" w:rsidRPr="008625D2">
              <w:rPr>
                <w:sz w:val="24"/>
                <w:szCs w:val="24"/>
              </w:rPr>
              <w:t xml:space="preserve"> the law does identify that some children may </w:t>
            </w:r>
            <w:r w:rsidRPr="008625D2">
              <w:rPr>
                <w:sz w:val="24"/>
                <w:szCs w:val="24"/>
              </w:rPr>
              <w:t xml:space="preserve">be able to make their own decisions. Gillick competence refers to a child's ability to understand and make decisions about matters that concern them without parental consent. It recognises that </w:t>
            </w:r>
            <w:r w:rsidR="00247110" w:rsidRPr="008625D2">
              <w:rPr>
                <w:sz w:val="24"/>
                <w:szCs w:val="24"/>
              </w:rPr>
              <w:t>children</w:t>
            </w:r>
            <w:r w:rsidRPr="008625D2">
              <w:rPr>
                <w:sz w:val="24"/>
                <w:szCs w:val="24"/>
              </w:rPr>
              <w:t xml:space="preserve"> under 16</w:t>
            </w:r>
            <w:r w:rsidR="00247110" w:rsidRPr="008625D2">
              <w:rPr>
                <w:sz w:val="24"/>
                <w:szCs w:val="24"/>
              </w:rPr>
              <w:t>,</w:t>
            </w:r>
            <w:r w:rsidRPr="008625D2">
              <w:rPr>
                <w:sz w:val="24"/>
                <w:szCs w:val="24"/>
              </w:rPr>
              <w:t xml:space="preserve"> may have the maturity to make an informed decision. In safeguarding practice, assessing Gillick competence helps professionals determine the extent to which a child can participate in decisions about their care while ensuring their welfare remains the paramount consideration</w:t>
            </w:r>
            <w:r w:rsidR="004E2AE3" w:rsidRPr="008625D2">
              <w:rPr>
                <w:sz w:val="24"/>
                <w:szCs w:val="24"/>
              </w:rPr>
              <w:t xml:space="preserve"> (Bart, </w:t>
            </w:r>
            <w:r w:rsidR="004E2AE3" w:rsidRPr="008625D2">
              <w:rPr>
                <w:i/>
                <w:iCs/>
                <w:sz w:val="24"/>
                <w:szCs w:val="24"/>
              </w:rPr>
              <w:t>et al.,</w:t>
            </w:r>
            <w:r w:rsidR="004E2AE3" w:rsidRPr="008625D2">
              <w:rPr>
                <w:sz w:val="24"/>
                <w:szCs w:val="24"/>
              </w:rPr>
              <w:t xml:space="preserve"> 2024)</w:t>
            </w:r>
            <w:r w:rsidRPr="008625D2">
              <w:rPr>
                <w:sz w:val="24"/>
                <w:szCs w:val="24"/>
              </w:rPr>
              <w:t>.</w:t>
            </w:r>
          </w:p>
          <w:p w14:paraId="00FEC322" w14:textId="6435871C" w:rsidR="00A46A7D" w:rsidRPr="008625D2" w:rsidRDefault="008B5002" w:rsidP="008625D2">
            <w:pPr>
              <w:spacing w:line="480" w:lineRule="auto"/>
              <w:jc w:val="both"/>
              <w:rPr>
                <w:sz w:val="24"/>
                <w:szCs w:val="24"/>
              </w:rPr>
            </w:pPr>
            <w:r w:rsidRPr="008625D2">
              <w:rPr>
                <w:sz w:val="24"/>
                <w:szCs w:val="24"/>
              </w:rPr>
              <w:t xml:space="preserve"> </w:t>
            </w:r>
          </w:p>
          <w:p w14:paraId="59123E71" w14:textId="5B00BDDB" w:rsidR="00A46A7D" w:rsidRPr="008625D2" w:rsidRDefault="00A65CF0" w:rsidP="008625D2">
            <w:pPr>
              <w:spacing w:line="480" w:lineRule="auto"/>
              <w:jc w:val="both"/>
              <w:rPr>
                <w:sz w:val="24"/>
                <w:szCs w:val="24"/>
              </w:rPr>
            </w:pPr>
            <w:r w:rsidRPr="008625D2">
              <w:rPr>
                <w:sz w:val="24"/>
                <w:szCs w:val="24"/>
              </w:rPr>
              <w:lastRenderedPageBreak/>
              <w:t>A</w:t>
            </w:r>
            <w:r w:rsidR="00A46A7D" w:rsidRPr="008625D2">
              <w:rPr>
                <w:sz w:val="24"/>
                <w:szCs w:val="24"/>
              </w:rPr>
              <w:t>dult safeguarding is underpinned by the SSWWA 2014 and the Mental Capacity Act 2005, which presume that adults have the right to make their own decisions unless they are assessed as lacking capacity. Consequently, adult safeguarding seeks to balance protection from abuse and neglect with respect for an individual's autonomy, choice and self-determination (SSWWA, 2014</w:t>
            </w:r>
            <w:r w:rsidR="004E2AE3" w:rsidRPr="008625D2">
              <w:rPr>
                <w:sz w:val="24"/>
                <w:szCs w:val="24"/>
              </w:rPr>
              <w:t>; UK Government, 2005</w:t>
            </w:r>
            <w:r w:rsidR="00A46A7D" w:rsidRPr="008625D2">
              <w:rPr>
                <w:sz w:val="24"/>
                <w:szCs w:val="24"/>
              </w:rPr>
              <w:t>).</w:t>
            </w:r>
          </w:p>
          <w:p w14:paraId="65574BF4" w14:textId="77777777" w:rsidR="005111EA" w:rsidRPr="008625D2" w:rsidRDefault="005111EA" w:rsidP="008625D2">
            <w:pPr>
              <w:spacing w:line="480" w:lineRule="auto"/>
              <w:jc w:val="both"/>
              <w:rPr>
                <w:sz w:val="24"/>
                <w:szCs w:val="24"/>
              </w:rPr>
            </w:pPr>
          </w:p>
          <w:p w14:paraId="653F01DA" w14:textId="44BFC099" w:rsidR="004E2AE3" w:rsidRPr="008625D2" w:rsidRDefault="008B5002" w:rsidP="008625D2">
            <w:pPr>
              <w:spacing w:line="480" w:lineRule="auto"/>
              <w:jc w:val="both"/>
              <w:rPr>
                <w:sz w:val="24"/>
                <w:szCs w:val="24"/>
              </w:rPr>
            </w:pPr>
            <w:r w:rsidRPr="008625D2">
              <w:rPr>
                <w:sz w:val="24"/>
                <w:szCs w:val="24"/>
              </w:rPr>
              <w:t xml:space="preserve">Consent is a key difference between adult and child safeguarding. Adults with capacity have the right to make their own decisions and may choose whether to engage with safeguarding interventions. In contrast, safeguarding action can be taken for children without their consent where there are concerns about their welfare or risk of harm. Therefore, adult safeguarding emphasises choice and empowerment, while child safeguarding prioritises </w:t>
            </w:r>
            <w:r w:rsidR="004E2AE3" w:rsidRPr="008625D2">
              <w:rPr>
                <w:sz w:val="24"/>
                <w:szCs w:val="24"/>
              </w:rPr>
              <w:t xml:space="preserve">protection </w:t>
            </w:r>
            <w:r w:rsidR="004E2AE3" w:rsidRPr="008625D2">
              <w:rPr>
                <w:color w:val="auto"/>
                <w:sz w:val="24"/>
                <w:szCs w:val="24"/>
              </w:rPr>
              <w:t>(</w:t>
            </w:r>
            <w:r w:rsidR="004E2AE3" w:rsidRPr="008625D2">
              <w:rPr>
                <w:sz w:val="24"/>
                <w:szCs w:val="24"/>
              </w:rPr>
              <w:t>Johnson and Boland, 2019).</w:t>
            </w:r>
          </w:p>
          <w:p w14:paraId="54A1AB71" w14:textId="3D36E315" w:rsidR="008B5002" w:rsidRPr="008625D2" w:rsidRDefault="008B5002" w:rsidP="008625D2">
            <w:pPr>
              <w:spacing w:line="480" w:lineRule="auto"/>
              <w:jc w:val="both"/>
              <w:rPr>
                <w:sz w:val="24"/>
                <w:szCs w:val="24"/>
              </w:rPr>
            </w:pPr>
          </w:p>
          <w:p w14:paraId="4D1C99A1" w14:textId="5C5149C3" w:rsidR="00346057" w:rsidRPr="008625D2" w:rsidRDefault="00346057" w:rsidP="008625D2">
            <w:pPr>
              <w:spacing w:line="480" w:lineRule="auto"/>
              <w:jc w:val="both"/>
              <w:rPr>
                <w:sz w:val="24"/>
                <w:szCs w:val="24"/>
              </w:rPr>
            </w:pPr>
            <w:r w:rsidRPr="008625D2">
              <w:rPr>
                <w:sz w:val="24"/>
                <w:szCs w:val="24"/>
              </w:rPr>
              <w:t xml:space="preserve">Another key difference between adult and child safeguarding is the approach to risk. In adult safeguarding, adults with capacity have the right to make choices that involve risk, and practitioners aim to support individuals to manage risk while respecting their autonomy (Stevens </w:t>
            </w:r>
            <w:r w:rsidRPr="008625D2">
              <w:rPr>
                <w:i/>
                <w:iCs/>
                <w:sz w:val="24"/>
                <w:szCs w:val="24"/>
              </w:rPr>
              <w:t>et al.,</w:t>
            </w:r>
            <w:r w:rsidRPr="008625D2">
              <w:rPr>
                <w:sz w:val="24"/>
                <w:szCs w:val="24"/>
              </w:rPr>
              <w:t xml:space="preserve"> 2017). In contrast, child safeguarding is more risk-averse, as professionals have a duty to protect children from harm and promote their welfare, even where this may override the wishes of the child or their family (Dixon, 2023).</w:t>
            </w:r>
          </w:p>
          <w:p w14:paraId="460D4E25" w14:textId="77777777" w:rsidR="00A65CF0" w:rsidRDefault="00A65CF0" w:rsidP="004E2AE3">
            <w:pPr>
              <w:rPr>
                <w:sz w:val="24"/>
                <w:szCs w:val="24"/>
              </w:rPr>
            </w:pPr>
          </w:p>
          <w:p w14:paraId="1740A76F" w14:textId="2B9244F0" w:rsidR="005111EA" w:rsidRDefault="00346057" w:rsidP="004E2AE3">
            <w:pPr>
              <w:rPr>
                <w:sz w:val="24"/>
                <w:szCs w:val="24"/>
              </w:rPr>
            </w:pPr>
            <w:r>
              <w:rPr>
                <w:sz w:val="24"/>
                <w:szCs w:val="24"/>
              </w:rPr>
              <w:t>Word: 4</w:t>
            </w:r>
            <w:r w:rsidR="008625D2">
              <w:rPr>
                <w:sz w:val="24"/>
                <w:szCs w:val="24"/>
              </w:rPr>
              <w:t>38</w:t>
            </w:r>
          </w:p>
          <w:p w14:paraId="08760B3D" w14:textId="0971AAE4" w:rsidR="00FC0334" w:rsidRPr="004E2AE3" w:rsidRDefault="00FC0334" w:rsidP="004E2AE3">
            <w:pPr>
              <w:rPr>
                <w:sz w:val="24"/>
                <w:szCs w:val="24"/>
              </w:rPr>
            </w:pPr>
          </w:p>
        </w:tc>
      </w:tr>
    </w:tbl>
    <w:p w14:paraId="76FCF233" w14:textId="77777777" w:rsidR="00FC0334" w:rsidRDefault="00FC0334" w:rsidP="004E2AE3">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67BA8" w14:textId="77777777" w:rsidR="00CC42C5" w:rsidRDefault="00CC42C5">
      <w:r>
        <w:separator/>
      </w:r>
    </w:p>
  </w:endnote>
  <w:endnote w:type="continuationSeparator" w:id="0">
    <w:p w14:paraId="17324245" w14:textId="77777777" w:rsidR="00CC42C5" w:rsidRDefault="00CC4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39CDAD" w14:textId="77777777" w:rsidR="00CC42C5" w:rsidRDefault="00CC42C5">
      <w:r>
        <w:separator/>
      </w:r>
    </w:p>
  </w:footnote>
  <w:footnote w:type="continuationSeparator" w:id="0">
    <w:p w14:paraId="57731393" w14:textId="77777777" w:rsidR="00CC42C5" w:rsidRDefault="00CC42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F4B72"/>
    <w:multiLevelType w:val="multilevel"/>
    <w:tmpl w:val="0EDED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22FF5"/>
    <w:multiLevelType w:val="multilevel"/>
    <w:tmpl w:val="ECAAD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EE4432"/>
    <w:multiLevelType w:val="multilevel"/>
    <w:tmpl w:val="E0C2F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DE5F7F"/>
    <w:multiLevelType w:val="multilevel"/>
    <w:tmpl w:val="9E324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3A4F0A"/>
    <w:multiLevelType w:val="multilevel"/>
    <w:tmpl w:val="E710F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4D45B8"/>
    <w:multiLevelType w:val="multilevel"/>
    <w:tmpl w:val="DE748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296EC4"/>
    <w:multiLevelType w:val="multilevel"/>
    <w:tmpl w:val="4D38BB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6A3A24"/>
    <w:multiLevelType w:val="hybridMultilevel"/>
    <w:tmpl w:val="5CC0A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5F55EF"/>
    <w:multiLevelType w:val="hybridMultilevel"/>
    <w:tmpl w:val="F0CC8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819D9"/>
    <w:multiLevelType w:val="multilevel"/>
    <w:tmpl w:val="8DA80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7A0F05"/>
    <w:multiLevelType w:val="multilevel"/>
    <w:tmpl w:val="A92C6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9B0264"/>
    <w:multiLevelType w:val="multilevel"/>
    <w:tmpl w:val="BC5A5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280ABB"/>
    <w:multiLevelType w:val="multilevel"/>
    <w:tmpl w:val="8E82B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0B6DB8"/>
    <w:multiLevelType w:val="multilevel"/>
    <w:tmpl w:val="17AC6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4632538">
    <w:abstractNumId w:val="2"/>
  </w:num>
  <w:num w:numId="2" w16cid:durableId="588660676">
    <w:abstractNumId w:val="0"/>
  </w:num>
  <w:num w:numId="3" w16cid:durableId="1697807923">
    <w:abstractNumId w:val="1"/>
  </w:num>
  <w:num w:numId="4" w16cid:durableId="218594633">
    <w:abstractNumId w:val="9"/>
  </w:num>
  <w:num w:numId="5" w16cid:durableId="1311251041">
    <w:abstractNumId w:val="4"/>
  </w:num>
  <w:num w:numId="6" w16cid:durableId="600533039">
    <w:abstractNumId w:val="6"/>
  </w:num>
  <w:num w:numId="7" w16cid:durableId="660744093">
    <w:abstractNumId w:val="10"/>
  </w:num>
  <w:num w:numId="8" w16cid:durableId="1883012942">
    <w:abstractNumId w:val="11"/>
  </w:num>
  <w:num w:numId="9" w16cid:durableId="1625385153">
    <w:abstractNumId w:val="13"/>
  </w:num>
  <w:num w:numId="10" w16cid:durableId="1465926154">
    <w:abstractNumId w:val="3"/>
  </w:num>
  <w:num w:numId="11" w16cid:durableId="636690906">
    <w:abstractNumId w:val="5"/>
  </w:num>
  <w:num w:numId="12" w16cid:durableId="360935174">
    <w:abstractNumId w:val="12"/>
  </w:num>
  <w:num w:numId="13" w16cid:durableId="237521572">
    <w:abstractNumId w:val="7"/>
  </w:num>
  <w:num w:numId="14" w16cid:durableId="283509411">
    <w:abstractNumId w:val="8"/>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C3A"/>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2E56"/>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0CD0"/>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D3794"/>
    <w:rsid w:val="001D71FF"/>
    <w:rsid w:val="001E2EB6"/>
    <w:rsid w:val="001F0AFC"/>
    <w:rsid w:val="001F4552"/>
    <w:rsid w:val="002019EB"/>
    <w:rsid w:val="00204B58"/>
    <w:rsid w:val="00205051"/>
    <w:rsid w:val="00211F65"/>
    <w:rsid w:val="00214047"/>
    <w:rsid w:val="00216563"/>
    <w:rsid w:val="0021792F"/>
    <w:rsid w:val="00220D06"/>
    <w:rsid w:val="002246A0"/>
    <w:rsid w:val="00226CB0"/>
    <w:rsid w:val="00230439"/>
    <w:rsid w:val="00232A09"/>
    <w:rsid w:val="00235176"/>
    <w:rsid w:val="00236061"/>
    <w:rsid w:val="0024100E"/>
    <w:rsid w:val="00241C1B"/>
    <w:rsid w:val="0024288B"/>
    <w:rsid w:val="00243DB0"/>
    <w:rsid w:val="00247110"/>
    <w:rsid w:val="00247265"/>
    <w:rsid w:val="00254CD4"/>
    <w:rsid w:val="00257396"/>
    <w:rsid w:val="00260663"/>
    <w:rsid w:val="002657E9"/>
    <w:rsid w:val="0026665E"/>
    <w:rsid w:val="0027147E"/>
    <w:rsid w:val="002761F4"/>
    <w:rsid w:val="002775E1"/>
    <w:rsid w:val="00277979"/>
    <w:rsid w:val="002817C1"/>
    <w:rsid w:val="00291ADD"/>
    <w:rsid w:val="002920DF"/>
    <w:rsid w:val="00292F3D"/>
    <w:rsid w:val="00295CA1"/>
    <w:rsid w:val="002A0E51"/>
    <w:rsid w:val="002A1A44"/>
    <w:rsid w:val="002A291A"/>
    <w:rsid w:val="002A2C54"/>
    <w:rsid w:val="002A4E2E"/>
    <w:rsid w:val="002A5604"/>
    <w:rsid w:val="002B09AB"/>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035"/>
    <w:rsid w:val="002E4E3A"/>
    <w:rsid w:val="002E6D17"/>
    <w:rsid w:val="002E7017"/>
    <w:rsid w:val="002E7F2C"/>
    <w:rsid w:val="002F1FC7"/>
    <w:rsid w:val="002F2185"/>
    <w:rsid w:val="002F4F6E"/>
    <w:rsid w:val="003015C3"/>
    <w:rsid w:val="003068E0"/>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6057"/>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07C6"/>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0DB"/>
    <w:rsid w:val="003D1885"/>
    <w:rsid w:val="003D1BC0"/>
    <w:rsid w:val="003D20F1"/>
    <w:rsid w:val="003D4710"/>
    <w:rsid w:val="003E16D7"/>
    <w:rsid w:val="003E197E"/>
    <w:rsid w:val="003E4523"/>
    <w:rsid w:val="003E4529"/>
    <w:rsid w:val="003E4B70"/>
    <w:rsid w:val="003E54CF"/>
    <w:rsid w:val="003E5FBA"/>
    <w:rsid w:val="003E644B"/>
    <w:rsid w:val="003F1233"/>
    <w:rsid w:val="003F67A4"/>
    <w:rsid w:val="00400786"/>
    <w:rsid w:val="00401FDA"/>
    <w:rsid w:val="004046F0"/>
    <w:rsid w:val="0040668F"/>
    <w:rsid w:val="00411EF7"/>
    <w:rsid w:val="00412677"/>
    <w:rsid w:val="00425160"/>
    <w:rsid w:val="00430DE3"/>
    <w:rsid w:val="00432684"/>
    <w:rsid w:val="004348AE"/>
    <w:rsid w:val="004376C0"/>
    <w:rsid w:val="00440AE4"/>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460B"/>
    <w:rsid w:val="004A5677"/>
    <w:rsid w:val="004A5A64"/>
    <w:rsid w:val="004B5553"/>
    <w:rsid w:val="004B600B"/>
    <w:rsid w:val="004B6822"/>
    <w:rsid w:val="004B69F6"/>
    <w:rsid w:val="004C2D3A"/>
    <w:rsid w:val="004C371F"/>
    <w:rsid w:val="004D03C4"/>
    <w:rsid w:val="004D0BF1"/>
    <w:rsid w:val="004D0F4E"/>
    <w:rsid w:val="004D3278"/>
    <w:rsid w:val="004D35A4"/>
    <w:rsid w:val="004D445F"/>
    <w:rsid w:val="004E087B"/>
    <w:rsid w:val="004E2AE3"/>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6548"/>
    <w:rsid w:val="005111EA"/>
    <w:rsid w:val="005113D4"/>
    <w:rsid w:val="0051287D"/>
    <w:rsid w:val="00513C7D"/>
    <w:rsid w:val="00521123"/>
    <w:rsid w:val="00521221"/>
    <w:rsid w:val="0052250B"/>
    <w:rsid w:val="005305C6"/>
    <w:rsid w:val="00540EEC"/>
    <w:rsid w:val="005414F4"/>
    <w:rsid w:val="00542266"/>
    <w:rsid w:val="0054486A"/>
    <w:rsid w:val="00546187"/>
    <w:rsid w:val="00547B11"/>
    <w:rsid w:val="0055793E"/>
    <w:rsid w:val="00557D77"/>
    <w:rsid w:val="00562EAA"/>
    <w:rsid w:val="00563B58"/>
    <w:rsid w:val="005640C4"/>
    <w:rsid w:val="0056684C"/>
    <w:rsid w:val="00574A0C"/>
    <w:rsid w:val="0057780F"/>
    <w:rsid w:val="00581E0A"/>
    <w:rsid w:val="00586831"/>
    <w:rsid w:val="00586D89"/>
    <w:rsid w:val="005877C8"/>
    <w:rsid w:val="00587923"/>
    <w:rsid w:val="00594F9F"/>
    <w:rsid w:val="00595CC2"/>
    <w:rsid w:val="0059660C"/>
    <w:rsid w:val="005A1B4C"/>
    <w:rsid w:val="005A545C"/>
    <w:rsid w:val="005B1D95"/>
    <w:rsid w:val="005B271A"/>
    <w:rsid w:val="005B3A2D"/>
    <w:rsid w:val="005C1567"/>
    <w:rsid w:val="005C28D3"/>
    <w:rsid w:val="005C6CE5"/>
    <w:rsid w:val="005D3F07"/>
    <w:rsid w:val="005D4A1E"/>
    <w:rsid w:val="005D4F72"/>
    <w:rsid w:val="005E13EA"/>
    <w:rsid w:val="005E17F1"/>
    <w:rsid w:val="005E5D01"/>
    <w:rsid w:val="005F64AA"/>
    <w:rsid w:val="005F7851"/>
    <w:rsid w:val="00606E27"/>
    <w:rsid w:val="006108C9"/>
    <w:rsid w:val="00614DF7"/>
    <w:rsid w:val="006179BB"/>
    <w:rsid w:val="0062158D"/>
    <w:rsid w:val="006223FD"/>
    <w:rsid w:val="006326D1"/>
    <w:rsid w:val="00632E0A"/>
    <w:rsid w:val="00633165"/>
    <w:rsid w:val="006447DE"/>
    <w:rsid w:val="00644889"/>
    <w:rsid w:val="00650288"/>
    <w:rsid w:val="0065276E"/>
    <w:rsid w:val="00654329"/>
    <w:rsid w:val="006546E3"/>
    <w:rsid w:val="00654CEC"/>
    <w:rsid w:val="00655507"/>
    <w:rsid w:val="006579FD"/>
    <w:rsid w:val="006635E3"/>
    <w:rsid w:val="006669F3"/>
    <w:rsid w:val="006712A7"/>
    <w:rsid w:val="00672CED"/>
    <w:rsid w:val="00672D78"/>
    <w:rsid w:val="00674FC2"/>
    <w:rsid w:val="00676E35"/>
    <w:rsid w:val="00677E42"/>
    <w:rsid w:val="00682334"/>
    <w:rsid w:val="006827E9"/>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3CAA"/>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3B8E"/>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25D2"/>
    <w:rsid w:val="00865B58"/>
    <w:rsid w:val="00866B50"/>
    <w:rsid w:val="00867A63"/>
    <w:rsid w:val="008708F1"/>
    <w:rsid w:val="00871960"/>
    <w:rsid w:val="0087369F"/>
    <w:rsid w:val="00880539"/>
    <w:rsid w:val="0088116D"/>
    <w:rsid w:val="00884003"/>
    <w:rsid w:val="008859E8"/>
    <w:rsid w:val="0088737B"/>
    <w:rsid w:val="00891078"/>
    <w:rsid w:val="00892716"/>
    <w:rsid w:val="00893067"/>
    <w:rsid w:val="008933DE"/>
    <w:rsid w:val="00895FCE"/>
    <w:rsid w:val="00897F3E"/>
    <w:rsid w:val="008A21B4"/>
    <w:rsid w:val="008B07DE"/>
    <w:rsid w:val="008B1309"/>
    <w:rsid w:val="008B28E7"/>
    <w:rsid w:val="008B5002"/>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1E60"/>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5EB7"/>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6A7D"/>
    <w:rsid w:val="00A47621"/>
    <w:rsid w:val="00A479CD"/>
    <w:rsid w:val="00A50CFC"/>
    <w:rsid w:val="00A54D67"/>
    <w:rsid w:val="00A55A3F"/>
    <w:rsid w:val="00A5656A"/>
    <w:rsid w:val="00A60103"/>
    <w:rsid w:val="00A625D5"/>
    <w:rsid w:val="00A652F6"/>
    <w:rsid w:val="00A65861"/>
    <w:rsid w:val="00A65CF0"/>
    <w:rsid w:val="00A732EA"/>
    <w:rsid w:val="00A7489E"/>
    <w:rsid w:val="00A8015F"/>
    <w:rsid w:val="00A85039"/>
    <w:rsid w:val="00A906AA"/>
    <w:rsid w:val="00A94C5E"/>
    <w:rsid w:val="00AA252C"/>
    <w:rsid w:val="00AA666E"/>
    <w:rsid w:val="00AA7960"/>
    <w:rsid w:val="00AB4901"/>
    <w:rsid w:val="00AB4E4C"/>
    <w:rsid w:val="00AB5518"/>
    <w:rsid w:val="00AC3A0E"/>
    <w:rsid w:val="00AC4A04"/>
    <w:rsid w:val="00AC5679"/>
    <w:rsid w:val="00AD336F"/>
    <w:rsid w:val="00AD5414"/>
    <w:rsid w:val="00AE134C"/>
    <w:rsid w:val="00AE1868"/>
    <w:rsid w:val="00AE2564"/>
    <w:rsid w:val="00AE301F"/>
    <w:rsid w:val="00AE3302"/>
    <w:rsid w:val="00AE5BA6"/>
    <w:rsid w:val="00AE6231"/>
    <w:rsid w:val="00AE7077"/>
    <w:rsid w:val="00AF61C2"/>
    <w:rsid w:val="00AF6CC6"/>
    <w:rsid w:val="00B0296A"/>
    <w:rsid w:val="00B07D95"/>
    <w:rsid w:val="00B07E79"/>
    <w:rsid w:val="00B12295"/>
    <w:rsid w:val="00B13678"/>
    <w:rsid w:val="00B137BE"/>
    <w:rsid w:val="00B15998"/>
    <w:rsid w:val="00B15AD7"/>
    <w:rsid w:val="00B17FA0"/>
    <w:rsid w:val="00B2292C"/>
    <w:rsid w:val="00B22C3C"/>
    <w:rsid w:val="00B24344"/>
    <w:rsid w:val="00B26769"/>
    <w:rsid w:val="00B2754B"/>
    <w:rsid w:val="00B31C91"/>
    <w:rsid w:val="00B3747F"/>
    <w:rsid w:val="00B42E76"/>
    <w:rsid w:val="00B43194"/>
    <w:rsid w:val="00B436BF"/>
    <w:rsid w:val="00B448D4"/>
    <w:rsid w:val="00B47734"/>
    <w:rsid w:val="00B50FBA"/>
    <w:rsid w:val="00B558EB"/>
    <w:rsid w:val="00B577D3"/>
    <w:rsid w:val="00B60466"/>
    <w:rsid w:val="00B6548F"/>
    <w:rsid w:val="00B71A32"/>
    <w:rsid w:val="00B71F36"/>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270C"/>
    <w:rsid w:val="00BC460B"/>
    <w:rsid w:val="00BC4ED3"/>
    <w:rsid w:val="00BC5725"/>
    <w:rsid w:val="00BD30B1"/>
    <w:rsid w:val="00BE0F7B"/>
    <w:rsid w:val="00BE10C2"/>
    <w:rsid w:val="00BF0D6C"/>
    <w:rsid w:val="00BF54A8"/>
    <w:rsid w:val="00C01D14"/>
    <w:rsid w:val="00C01D97"/>
    <w:rsid w:val="00C025B4"/>
    <w:rsid w:val="00C029EC"/>
    <w:rsid w:val="00C161FD"/>
    <w:rsid w:val="00C17C9F"/>
    <w:rsid w:val="00C23F17"/>
    <w:rsid w:val="00C246F2"/>
    <w:rsid w:val="00C26D0D"/>
    <w:rsid w:val="00C27C95"/>
    <w:rsid w:val="00C300D2"/>
    <w:rsid w:val="00C3075E"/>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6432"/>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42C5"/>
    <w:rsid w:val="00CC7226"/>
    <w:rsid w:val="00CD0735"/>
    <w:rsid w:val="00CD1457"/>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5F1"/>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2546"/>
    <w:rsid w:val="00DA4470"/>
    <w:rsid w:val="00DA5682"/>
    <w:rsid w:val="00DA5860"/>
    <w:rsid w:val="00DA5C0C"/>
    <w:rsid w:val="00DB2767"/>
    <w:rsid w:val="00DC1B10"/>
    <w:rsid w:val="00DC2924"/>
    <w:rsid w:val="00DC4729"/>
    <w:rsid w:val="00DD31C5"/>
    <w:rsid w:val="00DD5020"/>
    <w:rsid w:val="00DD63BE"/>
    <w:rsid w:val="00DE4296"/>
    <w:rsid w:val="00DF2469"/>
    <w:rsid w:val="00DF6B25"/>
    <w:rsid w:val="00DF7899"/>
    <w:rsid w:val="00E0524C"/>
    <w:rsid w:val="00E12920"/>
    <w:rsid w:val="00E15751"/>
    <w:rsid w:val="00E17160"/>
    <w:rsid w:val="00E17D41"/>
    <w:rsid w:val="00E231D1"/>
    <w:rsid w:val="00E26A87"/>
    <w:rsid w:val="00E3288D"/>
    <w:rsid w:val="00E35112"/>
    <w:rsid w:val="00E35BEC"/>
    <w:rsid w:val="00E3705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2BE8"/>
    <w:rsid w:val="00EC3A85"/>
    <w:rsid w:val="00EC4B89"/>
    <w:rsid w:val="00EC59A5"/>
    <w:rsid w:val="00EC6E15"/>
    <w:rsid w:val="00ED1B30"/>
    <w:rsid w:val="00ED5D03"/>
    <w:rsid w:val="00EE01ED"/>
    <w:rsid w:val="00EE1AC1"/>
    <w:rsid w:val="00EE39D6"/>
    <w:rsid w:val="00EE52AD"/>
    <w:rsid w:val="00EE5BC3"/>
    <w:rsid w:val="00EE6FAB"/>
    <w:rsid w:val="00EF2263"/>
    <w:rsid w:val="00EF328C"/>
    <w:rsid w:val="00EF68BB"/>
    <w:rsid w:val="00F01F92"/>
    <w:rsid w:val="00F030D4"/>
    <w:rsid w:val="00F04053"/>
    <w:rsid w:val="00F06573"/>
    <w:rsid w:val="00F10A08"/>
    <w:rsid w:val="00F15354"/>
    <w:rsid w:val="00F22AC5"/>
    <w:rsid w:val="00F24DA3"/>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4FC3"/>
    <w:rsid w:val="00FB5FA6"/>
    <w:rsid w:val="00FC0334"/>
    <w:rsid w:val="00FC1310"/>
    <w:rsid w:val="00FC1EA1"/>
    <w:rsid w:val="00FC2FF3"/>
    <w:rsid w:val="00FC3263"/>
    <w:rsid w:val="00FC51F9"/>
    <w:rsid w:val="00FC5B40"/>
    <w:rsid w:val="00FC5FF8"/>
    <w:rsid w:val="00FD271B"/>
    <w:rsid w:val="00FD3D7C"/>
    <w:rsid w:val="00FD4F8F"/>
    <w:rsid w:val="00FE0C16"/>
    <w:rsid w:val="00FE14B1"/>
    <w:rsid w:val="00FE2E0B"/>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EC2BE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1F0AFC"/>
    <w:rPr>
      <w:color w:val="605E5C"/>
      <w:shd w:val="clear" w:color="auto" w:fill="E1DFDD"/>
    </w:rPr>
  </w:style>
  <w:style w:type="character" w:styleId="FollowedHyperlink">
    <w:name w:val="FollowedHyperlink"/>
    <w:basedOn w:val="DefaultParagraphFont"/>
    <w:uiPriority w:val="99"/>
    <w:semiHidden/>
    <w:unhideWhenUsed/>
    <w:rsid w:val="001F0AFC"/>
    <w:rPr>
      <w:color w:val="954F72" w:themeColor="followedHyperlink"/>
      <w:u w:val="single"/>
    </w:rPr>
  </w:style>
  <w:style w:type="character" w:customStyle="1" w:styleId="Heading3Char">
    <w:name w:val="Heading 3 Char"/>
    <w:basedOn w:val="DefaultParagraphFont"/>
    <w:link w:val="Heading3"/>
    <w:uiPriority w:val="9"/>
    <w:semiHidden/>
    <w:rsid w:val="00EC2BE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E64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6</Pages>
  <Words>1196</Words>
  <Characters>6818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Sophie Challenger</cp:lastModifiedBy>
  <cp:revision>6</cp:revision>
  <cp:lastPrinted>2020-02-11T19:20:00Z</cp:lastPrinted>
  <dcterms:created xsi:type="dcterms:W3CDTF">2026-07-14T13:51:00Z</dcterms:created>
  <dcterms:modified xsi:type="dcterms:W3CDTF">2026-08-19T13:20:00Z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