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olor w:val="5B9BD5" w:themeColor="accent1"/>
          <w:sz w:val="24"/>
          <w:szCs w:val="20"/>
          <w:lang w:eastAsia="zh-CN"/>
        </w:rPr>
        <w:id w:val="-1711419305"/>
        <w:docPartObj>
          <w:docPartGallery w:val="Cover Pages"/>
          <w:docPartUnique/>
        </w:docPartObj>
      </w:sdtPr>
      <w:sdtEndPr>
        <w:rPr>
          <w:b/>
          <w:bCs/>
          <w:color w:val="auto"/>
          <w:lang w:val="en-GB"/>
        </w:rPr>
      </w:sdtEndPr>
      <w:sdtContent>
        <w:p w14:paraId="24D50AF4" w14:textId="5CBCAB27" w:rsidR="007852D4" w:rsidRDefault="007852D4">
          <w:pPr>
            <w:pStyle w:val="NoSpacing"/>
            <w:spacing w:before="1540" w:after="240"/>
            <w:jc w:val="center"/>
            <w:rPr>
              <w:color w:val="5B9BD5" w:themeColor="accent1"/>
            </w:rPr>
          </w:pPr>
          <w:r>
            <w:rPr>
              <w:noProof/>
              <w:color w:val="5B9BD5" w:themeColor="accent1"/>
            </w:rPr>
            <w:drawing>
              <wp:inline distT="0" distB="0" distL="0" distR="0" wp14:anchorId="2DA63DBA" wp14:editId="5D9AE27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b/>
              <w:bCs/>
              <w:sz w:val="36"/>
              <w:szCs w:val="36"/>
              <w:lang w:eastAsia="zh-CN"/>
            </w:rPr>
            <w:alias w:val="Title"/>
            <w:tag w:val=""/>
            <w:id w:val="1735040861"/>
            <w:placeholder>
              <w:docPart w:val="33F153BF293048B1A1EFB71BA5AAFB31"/>
            </w:placeholder>
            <w:dataBinding w:prefixMappings="xmlns:ns0='http://purl.org/dc/elements/1.1/' xmlns:ns1='http://schemas.openxmlformats.org/package/2006/metadata/core-properties' " w:xpath="/ns1:coreProperties[1]/ns0:title[1]" w:storeItemID="{6C3C8BC8-F283-45AE-878A-BAB7291924A1}"/>
            <w:text/>
          </w:sdtPr>
          <w:sdtContent>
            <w:p w14:paraId="1C11ED50" w14:textId="2B77CDED" w:rsidR="007852D4" w:rsidRPr="007852D4" w:rsidRDefault="007852D4" w:rsidP="007852D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5B9BD5" w:themeColor="accent1"/>
                  <w:sz w:val="36"/>
                  <w:szCs w:val="36"/>
                </w:rPr>
              </w:pPr>
              <w:r w:rsidRPr="007852D4">
                <w:rPr>
                  <w:rFonts w:ascii="Times New Roman" w:hAnsi="Times New Roman"/>
                  <w:b/>
                  <w:bCs/>
                  <w:sz w:val="36"/>
                  <w:szCs w:val="36"/>
                  <w:lang w:eastAsia="zh-CN"/>
                </w:rPr>
                <w:t>A Report Detailing An Innovative Solution To An Operational Problem</w:t>
              </w:r>
            </w:p>
          </w:sdtContent>
        </w:sdt>
        <w:sdt>
          <w:sdtPr>
            <w:rPr>
              <w:rFonts w:ascii="Times New Roman" w:hAnsi="Times New Roman" w:cs="Times New Roman"/>
              <w:b/>
              <w:bCs/>
              <w:sz w:val="32"/>
              <w:szCs w:val="32"/>
            </w:rPr>
            <w:alias w:val="Subtitle"/>
            <w:tag w:val=""/>
            <w:id w:val="328029620"/>
            <w:placeholder>
              <w:docPart w:val="9150024D35C44F799C4C33A7E4CD236E"/>
            </w:placeholder>
            <w:dataBinding w:prefixMappings="xmlns:ns0='http://purl.org/dc/elements/1.1/' xmlns:ns1='http://schemas.openxmlformats.org/package/2006/metadata/core-properties' " w:xpath="/ns1:coreProperties[1]/ns0:subject[1]" w:storeItemID="{6C3C8BC8-F283-45AE-878A-BAB7291924A1}"/>
            <w:text/>
          </w:sdtPr>
          <w:sdtContent>
            <w:p w14:paraId="76C9D227" w14:textId="76DB1CF3" w:rsidR="007852D4" w:rsidRPr="007852D4" w:rsidRDefault="007852D4">
              <w:pPr>
                <w:pStyle w:val="NoSpacing"/>
                <w:jc w:val="center"/>
                <w:rPr>
                  <w:rFonts w:ascii="Times New Roman" w:hAnsi="Times New Roman" w:cs="Times New Roman"/>
                  <w:b/>
                  <w:bCs/>
                  <w:color w:val="5B9BD5" w:themeColor="accent1"/>
                  <w:sz w:val="32"/>
                  <w:szCs w:val="32"/>
                </w:rPr>
              </w:pPr>
              <w:r w:rsidRPr="007852D4">
                <w:rPr>
                  <w:rFonts w:ascii="Times New Roman" w:hAnsi="Times New Roman" w:cs="Times New Roman"/>
                  <w:b/>
                  <w:bCs/>
                  <w:sz w:val="32"/>
                  <w:szCs w:val="32"/>
                </w:rPr>
                <w:t>Creativity And Innovation</w:t>
              </w:r>
            </w:p>
          </w:sdtContent>
        </w:sdt>
        <w:p w14:paraId="379015EF" w14:textId="77777777" w:rsidR="007852D4" w:rsidRDefault="007852D4">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9EF87B1" wp14:editId="387CC1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2T00:00:00Z">
                                    <w:dateFormat w:val="MMMM d, yyyy"/>
                                    <w:lid w:val="en-US"/>
                                    <w:storeMappedDataAs w:val="dateTime"/>
                                    <w:calendar w:val="gregorian"/>
                                  </w:date>
                                </w:sdtPr>
                                <w:sdtContent>
                                  <w:p w14:paraId="398218A7" w14:textId="020AA3FC" w:rsidR="007852D4" w:rsidRDefault="007852D4">
                                    <w:pPr>
                                      <w:pStyle w:val="NoSpacing"/>
                                      <w:spacing w:after="40"/>
                                      <w:jc w:val="center"/>
                                      <w:rPr>
                                        <w:caps/>
                                        <w:color w:val="5B9BD5" w:themeColor="accent1"/>
                                        <w:sz w:val="28"/>
                                        <w:szCs w:val="28"/>
                                      </w:rPr>
                                    </w:pPr>
                                    <w:r>
                                      <w:rPr>
                                        <w:caps/>
                                        <w:color w:val="5B9BD5" w:themeColor="accent1"/>
                                        <w:sz w:val="28"/>
                                        <w:szCs w:val="28"/>
                                      </w:rPr>
                                      <w:t>March 22, 2024</w:t>
                                    </w:r>
                                  </w:p>
                                </w:sdtContent>
                              </w:sdt>
                              <w:p w14:paraId="4EF8888C" w14:textId="6DB10951" w:rsidR="007852D4"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52D4">
                                      <w:rPr>
                                        <w:caps/>
                                        <w:color w:val="5B9BD5" w:themeColor="accent1"/>
                                      </w:rPr>
                                      <w:t>Halima Begum Rumi</w:t>
                                    </w:r>
                                  </w:sdtContent>
                                </w:sdt>
                              </w:p>
                              <w:p w14:paraId="2F9B4072" w14:textId="2F27F088" w:rsidR="007852D4"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852D4">
                                      <w:rPr>
                                        <w:color w:val="5B9BD5" w:themeColor="accent1"/>
                                      </w:rPr>
                                      <w:t>2212097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EF87B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2T00:00:00Z">
                              <w:dateFormat w:val="MMMM d, yyyy"/>
                              <w:lid w:val="en-US"/>
                              <w:storeMappedDataAs w:val="dateTime"/>
                              <w:calendar w:val="gregorian"/>
                            </w:date>
                          </w:sdtPr>
                          <w:sdtContent>
                            <w:p w14:paraId="398218A7" w14:textId="020AA3FC" w:rsidR="007852D4" w:rsidRDefault="007852D4">
                              <w:pPr>
                                <w:pStyle w:val="NoSpacing"/>
                                <w:spacing w:after="40"/>
                                <w:jc w:val="center"/>
                                <w:rPr>
                                  <w:caps/>
                                  <w:color w:val="5B9BD5" w:themeColor="accent1"/>
                                  <w:sz w:val="28"/>
                                  <w:szCs w:val="28"/>
                                </w:rPr>
                              </w:pPr>
                              <w:r>
                                <w:rPr>
                                  <w:caps/>
                                  <w:color w:val="5B9BD5" w:themeColor="accent1"/>
                                  <w:sz w:val="28"/>
                                  <w:szCs w:val="28"/>
                                </w:rPr>
                                <w:t>March 22, 2024</w:t>
                              </w:r>
                            </w:p>
                          </w:sdtContent>
                        </w:sdt>
                        <w:p w14:paraId="4EF8888C" w14:textId="6DB10951" w:rsidR="007852D4"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52D4">
                                <w:rPr>
                                  <w:caps/>
                                  <w:color w:val="5B9BD5" w:themeColor="accent1"/>
                                </w:rPr>
                                <w:t>Halima Begum Rumi</w:t>
                              </w:r>
                            </w:sdtContent>
                          </w:sdt>
                        </w:p>
                        <w:p w14:paraId="2F9B4072" w14:textId="2F27F088" w:rsidR="007852D4"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852D4">
                                <w:rPr>
                                  <w:color w:val="5B9BD5" w:themeColor="accent1"/>
                                </w:rPr>
                                <w:t>2212097</w:t>
                              </w:r>
                            </w:sdtContent>
                          </w:sdt>
                        </w:p>
                      </w:txbxContent>
                    </v:textbox>
                    <w10:wrap anchorx="margin" anchory="page"/>
                  </v:shape>
                </w:pict>
              </mc:Fallback>
            </mc:AlternateContent>
          </w:r>
          <w:r>
            <w:rPr>
              <w:noProof/>
              <w:color w:val="5B9BD5" w:themeColor="accent1"/>
            </w:rPr>
            <w:drawing>
              <wp:inline distT="0" distB="0" distL="0" distR="0" wp14:anchorId="36ECFFDB" wp14:editId="3D203CC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8A7844" w14:textId="759E71DA" w:rsidR="007852D4" w:rsidRDefault="007852D4">
          <w:pPr>
            <w:spacing w:line="240" w:lineRule="auto"/>
            <w:rPr>
              <w:b/>
              <w:bCs/>
              <w:lang w:val="en-GB"/>
            </w:rPr>
          </w:pPr>
          <w:r>
            <w:rPr>
              <w:b/>
              <w:bCs/>
              <w:lang w:val="en-GB"/>
            </w:rPr>
            <w:br w:type="page"/>
          </w:r>
        </w:p>
      </w:sdtContent>
    </w:sdt>
    <w:p w14:paraId="0ECD1B5B" w14:textId="58F2D2B6" w:rsidR="00617FF0" w:rsidRDefault="00617FF0" w:rsidP="007852D4">
      <w:pPr>
        <w:spacing w:line="240" w:lineRule="auto"/>
        <w:rPr>
          <w:rFonts w:cs="Times New Roman"/>
          <w:b/>
          <w:bCs/>
          <w:szCs w:val="24"/>
        </w:rPr>
      </w:pPr>
      <w:r>
        <w:rPr>
          <w:rFonts w:cs="Times New Roman"/>
          <w:b/>
          <w:bCs/>
          <w:szCs w:val="24"/>
        </w:rPr>
        <w:lastRenderedPageBreak/>
        <w:t>Executive Summary</w:t>
      </w:r>
    </w:p>
    <w:p w14:paraId="43D54D60" w14:textId="77777777" w:rsidR="007852D4" w:rsidRPr="007852D4" w:rsidRDefault="007852D4" w:rsidP="007852D4">
      <w:pPr>
        <w:spacing w:line="240" w:lineRule="auto"/>
        <w:rPr>
          <w:b/>
          <w:bCs/>
          <w:lang w:val="en-GB"/>
        </w:rPr>
      </w:pPr>
    </w:p>
    <w:p w14:paraId="27E4C7AE" w14:textId="12A96FA1" w:rsidR="00617FF0" w:rsidRPr="00617FF0" w:rsidRDefault="00617FF0" w:rsidP="00617FF0">
      <w:pPr>
        <w:jc w:val="both"/>
        <w:rPr>
          <w:rFonts w:cs="Times New Roman"/>
          <w:szCs w:val="24"/>
          <w:lang w:val="en-GB"/>
        </w:rPr>
      </w:pPr>
      <w:r>
        <w:rPr>
          <w:rFonts w:cs="Times New Roman"/>
          <w:szCs w:val="24"/>
        </w:rPr>
        <w:t>This report critically analyses the importance of creativity and innovation in solutions in order to solve an operational problem as a care assistant within ProCare Nursing, a healthcare supplier organisation. Further, the report describes the innovation of biosensors and health tracking devices in healthcare sector, which I identified while working as a care assistant in ProCare Nursing</w:t>
      </w:r>
      <w:r w:rsidR="007852D4">
        <w:rPr>
          <w:rFonts w:cs="Times New Roman"/>
          <w:szCs w:val="24"/>
        </w:rPr>
        <w:t xml:space="preserve"> Agency</w:t>
      </w:r>
      <w:r>
        <w:rPr>
          <w:rFonts w:cs="Times New Roman"/>
          <w:szCs w:val="24"/>
        </w:rPr>
        <w:t xml:space="preserve">. Thereafter, the report elaborates the process of creativity through which I went in order to find out the creative solution to the organisational problem of healthcare assistance to older people. Further, the report critically evaluates the effectiveness of the creative solution using the method of Force Field analysis, assessing the driver and restraining factors of the identified creative solution. Subsequently, the report describes the </w:t>
      </w:r>
      <w:r w:rsidRPr="001767C3">
        <w:rPr>
          <w:rFonts w:cs="Times New Roman"/>
          <w:szCs w:val="24"/>
        </w:rPr>
        <w:t xml:space="preserve">organisational climate and leadership style necessary to implement </w:t>
      </w:r>
      <w:r>
        <w:rPr>
          <w:rFonts w:cs="Times New Roman"/>
          <w:szCs w:val="24"/>
        </w:rPr>
        <w:t>the</w:t>
      </w:r>
      <w:r w:rsidRPr="001767C3">
        <w:rPr>
          <w:rFonts w:cs="Times New Roman"/>
          <w:szCs w:val="24"/>
        </w:rPr>
        <w:t xml:space="preserve"> idea and foster creativity and innovation in </w:t>
      </w:r>
      <w:r>
        <w:rPr>
          <w:rFonts w:cs="Times New Roman"/>
          <w:szCs w:val="24"/>
        </w:rPr>
        <w:t>ProCare Nursing</w:t>
      </w:r>
      <w:r w:rsidRPr="001767C3">
        <w:rPr>
          <w:rFonts w:cs="Times New Roman"/>
          <w:szCs w:val="24"/>
        </w:rPr>
        <w:t xml:space="preserve"> organisation</w:t>
      </w:r>
      <w:r>
        <w:rPr>
          <w:rFonts w:cs="Times New Roman"/>
          <w:szCs w:val="24"/>
        </w:rPr>
        <w:t>.</w:t>
      </w:r>
      <w:r>
        <w:rPr>
          <w:b/>
          <w:bCs/>
          <w:lang w:val="en-GB"/>
        </w:rPr>
        <w:br w:type="page"/>
      </w:r>
    </w:p>
    <w:sdt>
      <w:sdtPr>
        <w:rPr>
          <w:rFonts w:ascii="Times New Roman" w:eastAsiaTheme="minorEastAsia" w:hAnsi="Times New Roman" w:cstheme="minorBidi"/>
          <w:color w:val="auto"/>
          <w:sz w:val="24"/>
          <w:szCs w:val="20"/>
          <w:lang w:eastAsia="zh-CN"/>
        </w:rPr>
        <w:id w:val="1663496538"/>
        <w:docPartObj>
          <w:docPartGallery w:val="Table of Contents"/>
          <w:docPartUnique/>
        </w:docPartObj>
      </w:sdtPr>
      <w:sdtEndPr>
        <w:rPr>
          <w:b/>
          <w:bCs/>
          <w:noProof/>
        </w:rPr>
      </w:sdtEndPr>
      <w:sdtContent>
        <w:p w14:paraId="16ED5C48" w14:textId="4F362C46" w:rsidR="00F10CDB" w:rsidRPr="00F10CDB" w:rsidRDefault="00F10CDB" w:rsidP="00F10CDB">
          <w:pPr>
            <w:pStyle w:val="TOCHeading"/>
            <w:spacing w:line="480" w:lineRule="auto"/>
            <w:jc w:val="center"/>
            <w:rPr>
              <w:rFonts w:ascii="Times New Roman" w:hAnsi="Times New Roman" w:cs="Times New Roman"/>
              <w:b/>
              <w:bCs/>
              <w:color w:val="auto"/>
              <w:sz w:val="24"/>
              <w:szCs w:val="24"/>
            </w:rPr>
          </w:pPr>
          <w:r w:rsidRPr="00F10CDB">
            <w:rPr>
              <w:rFonts w:ascii="Times New Roman" w:hAnsi="Times New Roman" w:cs="Times New Roman"/>
              <w:b/>
              <w:bCs/>
              <w:color w:val="auto"/>
              <w:sz w:val="24"/>
              <w:szCs w:val="24"/>
            </w:rPr>
            <w:t>Table of Contents</w:t>
          </w:r>
        </w:p>
        <w:p w14:paraId="4DAE23CE" w14:textId="291FE641" w:rsidR="00F10CDB" w:rsidRPr="00F10CDB" w:rsidRDefault="00F10CDB" w:rsidP="00F10CDB">
          <w:pPr>
            <w:pStyle w:val="TOC1"/>
            <w:tabs>
              <w:tab w:val="right" w:leader="dot" w:pos="8296"/>
            </w:tabs>
            <w:rPr>
              <w:rFonts w:asciiTheme="minorHAnsi" w:hAnsiTheme="minorHAnsi"/>
              <w:noProof/>
              <w:kern w:val="2"/>
              <w:sz w:val="22"/>
              <w:lang w:eastAsia="en-US" w:bidi="hi-IN"/>
              <w14:ligatures w14:val="standardContextual"/>
            </w:rPr>
          </w:pPr>
          <w:r w:rsidRPr="00F10CDB">
            <w:fldChar w:fldCharType="begin"/>
          </w:r>
          <w:r w:rsidRPr="00F10CDB">
            <w:instrText xml:space="preserve"> TOC \o "1-3" \h \z \u </w:instrText>
          </w:r>
          <w:r w:rsidRPr="00F10CDB">
            <w:fldChar w:fldCharType="separate"/>
          </w:r>
          <w:hyperlink w:anchor="_Toc161423864" w:history="1">
            <w:r w:rsidRPr="00F10CDB">
              <w:rPr>
                <w:rStyle w:val="Hyperlink"/>
                <w:noProof/>
                <w:color w:val="auto"/>
              </w:rPr>
              <w:t>Introduction</w:t>
            </w:r>
            <w:r w:rsidRPr="00F10CDB">
              <w:rPr>
                <w:noProof/>
                <w:webHidden/>
              </w:rPr>
              <w:tab/>
            </w:r>
            <w:r w:rsidRPr="00F10CDB">
              <w:rPr>
                <w:noProof/>
                <w:webHidden/>
              </w:rPr>
              <w:fldChar w:fldCharType="begin"/>
            </w:r>
            <w:r w:rsidRPr="00F10CDB">
              <w:rPr>
                <w:noProof/>
                <w:webHidden/>
              </w:rPr>
              <w:instrText xml:space="preserve"> PAGEREF _Toc161423864 \h </w:instrText>
            </w:r>
            <w:r w:rsidRPr="00F10CDB">
              <w:rPr>
                <w:noProof/>
                <w:webHidden/>
              </w:rPr>
            </w:r>
            <w:r w:rsidRPr="00F10CDB">
              <w:rPr>
                <w:noProof/>
                <w:webHidden/>
              </w:rPr>
              <w:fldChar w:fldCharType="separate"/>
            </w:r>
            <w:r w:rsidRPr="00F10CDB">
              <w:rPr>
                <w:noProof/>
                <w:webHidden/>
              </w:rPr>
              <w:t>4</w:t>
            </w:r>
            <w:r w:rsidRPr="00F10CDB">
              <w:rPr>
                <w:noProof/>
                <w:webHidden/>
              </w:rPr>
              <w:fldChar w:fldCharType="end"/>
            </w:r>
          </w:hyperlink>
        </w:p>
        <w:p w14:paraId="2CA081E2" w14:textId="4FFF6004"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5" w:history="1">
            <w:r w:rsidR="00F10CDB" w:rsidRPr="00F10CDB">
              <w:rPr>
                <w:rStyle w:val="Hyperlink"/>
                <w:noProof/>
                <w:color w:val="auto"/>
                <w:lang w:val="en-GB"/>
              </w:rPr>
              <w:t>Innovation in the Healthcare Sector</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_Toc161423865 \h </w:instrText>
            </w:r>
            <w:r w:rsidR="00F10CDB" w:rsidRPr="00F10CDB">
              <w:rPr>
                <w:noProof/>
                <w:webHidden/>
              </w:rPr>
            </w:r>
            <w:r w:rsidR="00F10CDB" w:rsidRPr="00F10CDB">
              <w:rPr>
                <w:noProof/>
                <w:webHidden/>
              </w:rPr>
              <w:fldChar w:fldCharType="separate"/>
            </w:r>
            <w:r w:rsidR="00F10CDB" w:rsidRPr="00F10CDB">
              <w:rPr>
                <w:noProof/>
                <w:webHidden/>
              </w:rPr>
              <w:t>5</w:t>
            </w:r>
            <w:r w:rsidR="00F10CDB" w:rsidRPr="00F10CDB">
              <w:rPr>
                <w:noProof/>
                <w:webHidden/>
              </w:rPr>
              <w:fldChar w:fldCharType="end"/>
            </w:r>
          </w:hyperlink>
        </w:p>
        <w:p w14:paraId="24A39218" w14:textId="7AEA381C"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6" w:history="1">
            <w:r w:rsidR="00F10CDB" w:rsidRPr="00F10CDB">
              <w:rPr>
                <w:rStyle w:val="Hyperlink"/>
                <w:noProof/>
                <w:color w:val="auto"/>
                <w:lang w:val="en-GB"/>
              </w:rPr>
              <w:t>Creativity Process</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_Toc161423866 \h </w:instrText>
            </w:r>
            <w:r w:rsidR="00F10CDB" w:rsidRPr="00F10CDB">
              <w:rPr>
                <w:noProof/>
                <w:webHidden/>
              </w:rPr>
            </w:r>
            <w:r w:rsidR="00F10CDB" w:rsidRPr="00F10CDB">
              <w:rPr>
                <w:noProof/>
                <w:webHidden/>
              </w:rPr>
              <w:fldChar w:fldCharType="separate"/>
            </w:r>
            <w:r w:rsidR="00F10CDB" w:rsidRPr="00F10CDB">
              <w:rPr>
                <w:noProof/>
                <w:webHidden/>
              </w:rPr>
              <w:t>8</w:t>
            </w:r>
            <w:r w:rsidR="00F10CDB" w:rsidRPr="00F10CDB">
              <w:rPr>
                <w:noProof/>
                <w:webHidden/>
              </w:rPr>
              <w:fldChar w:fldCharType="end"/>
            </w:r>
          </w:hyperlink>
        </w:p>
        <w:p w14:paraId="32287823" w14:textId="5E82A4A7"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7" w:history="1">
            <w:r w:rsidR="00F10CDB" w:rsidRPr="00F10CDB">
              <w:rPr>
                <w:rStyle w:val="Hyperlink"/>
                <w:noProof/>
                <w:color w:val="auto"/>
                <w:lang w:val="en-GB"/>
              </w:rPr>
              <w:t>Critical Evaluation of the Effectiveness of the Solution</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_Toc161423867 \h </w:instrText>
            </w:r>
            <w:r w:rsidR="00F10CDB" w:rsidRPr="00F10CDB">
              <w:rPr>
                <w:noProof/>
                <w:webHidden/>
              </w:rPr>
            </w:r>
            <w:r w:rsidR="00F10CDB" w:rsidRPr="00F10CDB">
              <w:rPr>
                <w:noProof/>
                <w:webHidden/>
              </w:rPr>
              <w:fldChar w:fldCharType="separate"/>
            </w:r>
            <w:r w:rsidR="00F10CDB" w:rsidRPr="00F10CDB">
              <w:rPr>
                <w:noProof/>
                <w:webHidden/>
              </w:rPr>
              <w:t>10</w:t>
            </w:r>
            <w:r w:rsidR="00F10CDB" w:rsidRPr="00F10CDB">
              <w:rPr>
                <w:noProof/>
                <w:webHidden/>
              </w:rPr>
              <w:fldChar w:fldCharType="end"/>
            </w:r>
          </w:hyperlink>
        </w:p>
        <w:p w14:paraId="5595B340" w14:textId="2AA7D94D"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8" w:history="1">
            <w:r w:rsidR="00F10CDB" w:rsidRPr="00F10CDB">
              <w:rPr>
                <w:rStyle w:val="Hyperlink"/>
                <w:noProof/>
                <w:color w:val="auto"/>
                <w:lang w:val="en-GB"/>
              </w:rPr>
              <w:t>Critical Evaluation of Organisational Climate and Leadership Style</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_Toc161423868 \h </w:instrText>
            </w:r>
            <w:r w:rsidR="00F10CDB" w:rsidRPr="00F10CDB">
              <w:rPr>
                <w:noProof/>
                <w:webHidden/>
              </w:rPr>
            </w:r>
            <w:r w:rsidR="00F10CDB" w:rsidRPr="00F10CDB">
              <w:rPr>
                <w:noProof/>
                <w:webHidden/>
              </w:rPr>
              <w:fldChar w:fldCharType="separate"/>
            </w:r>
            <w:r w:rsidR="00F10CDB" w:rsidRPr="00F10CDB">
              <w:rPr>
                <w:noProof/>
                <w:webHidden/>
              </w:rPr>
              <w:t>12</w:t>
            </w:r>
            <w:r w:rsidR="00F10CDB" w:rsidRPr="00F10CDB">
              <w:rPr>
                <w:noProof/>
                <w:webHidden/>
              </w:rPr>
              <w:fldChar w:fldCharType="end"/>
            </w:r>
          </w:hyperlink>
        </w:p>
        <w:p w14:paraId="6B0A849A" w14:textId="30E37CDB"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9" w:history="1">
            <w:r w:rsidR="00F10CDB" w:rsidRPr="00F10CDB">
              <w:rPr>
                <w:rStyle w:val="Hyperlink"/>
                <w:noProof/>
                <w:color w:val="auto"/>
                <w:lang w:val="en-GB"/>
              </w:rPr>
              <w:t>Conclusion</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_Toc161423869 \h </w:instrText>
            </w:r>
            <w:r w:rsidR="00F10CDB" w:rsidRPr="00F10CDB">
              <w:rPr>
                <w:noProof/>
                <w:webHidden/>
              </w:rPr>
            </w:r>
            <w:r w:rsidR="00F10CDB" w:rsidRPr="00F10CDB">
              <w:rPr>
                <w:noProof/>
                <w:webHidden/>
              </w:rPr>
              <w:fldChar w:fldCharType="separate"/>
            </w:r>
            <w:r w:rsidR="00F10CDB" w:rsidRPr="00F10CDB">
              <w:rPr>
                <w:noProof/>
                <w:webHidden/>
              </w:rPr>
              <w:t>15</w:t>
            </w:r>
            <w:r w:rsidR="00F10CDB" w:rsidRPr="00F10CDB">
              <w:rPr>
                <w:noProof/>
                <w:webHidden/>
              </w:rPr>
              <w:fldChar w:fldCharType="end"/>
            </w:r>
          </w:hyperlink>
        </w:p>
        <w:p w14:paraId="0D8DE66F" w14:textId="0AF35C47"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70" w:history="1">
            <w:r w:rsidR="00F10CDB" w:rsidRPr="00F10CDB">
              <w:rPr>
                <w:rStyle w:val="Hyperlink"/>
                <w:noProof/>
                <w:color w:val="auto"/>
                <w:lang w:val="en-GB"/>
              </w:rPr>
              <w:t>References</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_Toc161423870 \h </w:instrText>
            </w:r>
            <w:r w:rsidR="00F10CDB" w:rsidRPr="00F10CDB">
              <w:rPr>
                <w:noProof/>
                <w:webHidden/>
              </w:rPr>
            </w:r>
            <w:r w:rsidR="00F10CDB" w:rsidRPr="00F10CDB">
              <w:rPr>
                <w:noProof/>
                <w:webHidden/>
              </w:rPr>
              <w:fldChar w:fldCharType="separate"/>
            </w:r>
            <w:r w:rsidR="00F10CDB" w:rsidRPr="00F10CDB">
              <w:rPr>
                <w:noProof/>
                <w:webHidden/>
              </w:rPr>
              <w:t>17</w:t>
            </w:r>
            <w:r w:rsidR="00F10CDB" w:rsidRPr="00F10CDB">
              <w:rPr>
                <w:noProof/>
                <w:webHidden/>
              </w:rPr>
              <w:fldChar w:fldCharType="end"/>
            </w:r>
          </w:hyperlink>
        </w:p>
        <w:p w14:paraId="2AF9E117" w14:textId="3527CB23" w:rsidR="00F10CDB" w:rsidRDefault="00F10CDB" w:rsidP="00F10CDB">
          <w:r w:rsidRPr="00F10CDB">
            <w:rPr>
              <w:b/>
              <w:bCs/>
              <w:noProof/>
            </w:rPr>
            <w:fldChar w:fldCharType="end"/>
          </w:r>
        </w:p>
      </w:sdtContent>
    </w:sdt>
    <w:p w14:paraId="4E7C6788" w14:textId="77777777" w:rsidR="00F10CDB" w:rsidRDefault="00F10CDB" w:rsidP="00F10CDB">
      <w:pPr>
        <w:pStyle w:val="NormalIndent"/>
        <w:ind w:firstLine="480"/>
      </w:pPr>
    </w:p>
    <w:p w14:paraId="38E9EACC" w14:textId="77777777" w:rsidR="00F10CDB" w:rsidRDefault="00F10CDB">
      <w:pPr>
        <w:spacing w:line="240" w:lineRule="auto"/>
        <w:rPr>
          <w:b/>
        </w:rPr>
      </w:pPr>
      <w:r>
        <w:br w:type="page"/>
      </w:r>
    </w:p>
    <w:p w14:paraId="139A2B98" w14:textId="159CBC21" w:rsidR="000C26A9" w:rsidRPr="0055360A" w:rsidRDefault="00C959D2" w:rsidP="00617FF0">
      <w:pPr>
        <w:pStyle w:val="Heading1"/>
        <w:rPr>
          <w:lang w:val="en-GB"/>
        </w:rPr>
      </w:pPr>
      <w:bookmarkStart w:id="0" w:name="_Toc161423864"/>
      <w:r w:rsidRPr="00617FF0">
        <w:lastRenderedPageBreak/>
        <w:t>Introduction</w:t>
      </w:r>
      <w:bookmarkEnd w:id="0"/>
    </w:p>
    <w:p w14:paraId="1C872A68" w14:textId="77777777" w:rsidR="000C26A9" w:rsidRPr="0055360A" w:rsidRDefault="00C959D2">
      <w:pPr>
        <w:jc w:val="both"/>
        <w:rPr>
          <w:lang w:val="en-GB"/>
        </w:rPr>
      </w:pPr>
      <w:r w:rsidRPr="0055360A">
        <w:rPr>
          <w:lang w:val="en-GB"/>
        </w:rPr>
        <w:tab/>
        <w:t>ProCare Nursing is a 20-year-old prestigious healthcare and social assistance organisation. It has won health and social care awards in Cardiff, Wales. Since its founding in 1997, ProCare Nursing has provided high-quality caretakers and fully licenced nurses to a range of clients, including eldercare centres, individual families, charitable organisations, and municipal governments (ProCare Nursing, 2024). Moreover, by enabling patients to try to do tasks on their own within their capacities rather than relying on caretakers to perform everything for them, ProCare Nursing fosters independence. Additionally, by helping patients acquire the broadest range of recreational and vocational possibilities, engaging them in any spiritual celebrations they want, and enabling them to live the way of life of their choice, ProCare Nursing encourages the participation of the patients. I used to work as a Care Assistant in the ProCare Nursing agency. My duties and obligations as a typical care assistant were extensive in ProCare Nursing. My primary responsibilities included attending to the patient's urgent needs, including bathing, clothing, and sustaining personal cleanliness, in addition to assisting them with routine activities such as keeping track of expenses.</w:t>
      </w:r>
    </w:p>
    <w:p w14:paraId="08729680" w14:textId="77777777" w:rsidR="000C26A9" w:rsidRPr="0055360A" w:rsidRDefault="00C959D2">
      <w:pPr>
        <w:ind w:firstLine="720"/>
        <w:jc w:val="both"/>
        <w:rPr>
          <w:lang w:val="en-GB"/>
        </w:rPr>
      </w:pPr>
      <w:r w:rsidRPr="0055360A">
        <w:rPr>
          <w:lang w:val="en-GB"/>
        </w:rPr>
        <w:t xml:space="preserve">Moreover, getting to know patients on a personal level and offering companionship and emotional assistance were my additional responsibilities as the care assistant; all of which enhanced patient's comfort and satisfaction. Additionally, as a care assistant, my emphasis was on improving and elevating the lives of those I serve. I have experienced that a care assistant's duties are never the same every day because each patient is different and has separate needs and requirements (Freund </w:t>
      </w:r>
      <w:r w:rsidRPr="0055360A">
        <w:rPr>
          <w:i/>
          <w:iCs/>
          <w:lang w:val="en-GB"/>
        </w:rPr>
        <w:t>et al</w:t>
      </w:r>
      <w:r w:rsidRPr="0055360A">
        <w:rPr>
          <w:lang w:val="en-GB"/>
        </w:rPr>
        <w:t xml:space="preserve">., 2024). Furthermore, the job of a care assistant requires an element of creativity and innovation as well. Unique thought and understanding are often at the core of creativity as they unlock possibilities and are essential to the process of coming up with ideas. On the </w:t>
      </w:r>
      <w:r w:rsidRPr="0055360A">
        <w:rPr>
          <w:lang w:val="en-GB"/>
        </w:rPr>
        <w:lastRenderedPageBreak/>
        <w:t>other side, innovation is what transforms the original concept an individual has into a solution that can be implemented (Peek, 2024).</w:t>
      </w:r>
    </w:p>
    <w:p w14:paraId="2F046140" w14:textId="77777777" w:rsidR="000C26A9" w:rsidRPr="0055360A" w:rsidRDefault="00C959D2">
      <w:pPr>
        <w:ind w:firstLine="720"/>
        <w:jc w:val="both"/>
        <w:rPr>
          <w:lang w:val="en-GB"/>
        </w:rPr>
      </w:pPr>
      <w:r w:rsidRPr="0055360A">
        <w:rPr>
          <w:lang w:val="en-GB"/>
        </w:rPr>
        <w:t xml:space="preserve">Creativity and innovations in the field of care assistant are categorised as social developments since they aim to solve cultural problems. According to the World Health Organisation (WHO), health innovation increases the cost, profitability, long-term viability, and effectiveness, and decreases the dependability of patients on the care assistant (WHO, 2024). Moreover, by offering superior and additional possibilities for treatment, facilitating accessibility to medical services, and enhancing coordinated care, healthcare innovations can enhance results for patients. By making it simpler for individuals to maintain healthy lives and by offering new resources for the early detection and prevention of illness, innovation may also benefit the well-being of the public (Patterson and </w:t>
      </w:r>
      <w:proofErr w:type="spellStart"/>
      <w:r w:rsidRPr="0055360A">
        <w:rPr>
          <w:lang w:val="en-GB"/>
        </w:rPr>
        <w:t>Zibarras</w:t>
      </w:r>
      <w:proofErr w:type="spellEnd"/>
      <w:r w:rsidRPr="0055360A">
        <w:rPr>
          <w:lang w:val="en-GB"/>
        </w:rPr>
        <w:t>, 2017). Subsequently by increasing the effectiveness of medical care and offering new, more affordable treatment alternatives, innovation in medical technology and creative practices of care assistants can contribute to a reduction in healthcare expenditures of the patients. In essence, the goal of these innovations is to maximise the human ability to satisfy the medical requirements of the patients. Therefore, improvements to the healthcare system as a whole and expandable alternative should be offered via innovations in healthcare (Barlow, 2016). It will ultimately enhance patient’s access to medical facilities which also includes care assistants.</w:t>
      </w:r>
    </w:p>
    <w:p w14:paraId="5613A94B" w14:textId="77777777" w:rsidR="000C26A9" w:rsidRPr="0055360A" w:rsidRDefault="00C959D2" w:rsidP="00617FF0">
      <w:pPr>
        <w:pStyle w:val="Heading1"/>
        <w:rPr>
          <w:lang w:val="en-GB"/>
        </w:rPr>
      </w:pPr>
      <w:bookmarkStart w:id="1" w:name="_Toc161423865"/>
      <w:r w:rsidRPr="0055360A">
        <w:rPr>
          <w:lang w:val="en-GB"/>
        </w:rPr>
        <w:t>Innovation in the Healthcare Sector</w:t>
      </w:r>
      <w:bookmarkEnd w:id="1"/>
    </w:p>
    <w:p w14:paraId="4B52824E" w14:textId="77777777" w:rsidR="000C26A9" w:rsidRPr="0055360A" w:rsidRDefault="00C959D2">
      <w:pPr>
        <w:jc w:val="both"/>
        <w:rPr>
          <w:lang w:val="en-GB"/>
        </w:rPr>
      </w:pPr>
      <w:r w:rsidRPr="0055360A">
        <w:rPr>
          <w:lang w:val="en-GB"/>
        </w:rPr>
        <w:tab/>
        <w:t xml:space="preserve">The most significant innovation which I have identified while working as a care assistant in ProCare Nursing is the use of biosensors and trackers in the healthcare industry. A biosensor is an analytical tool that detects variations in physiological processes and transforms those alterations into an electrical signal (Turner, 2013). In </w:t>
      </w:r>
      <w:r w:rsidRPr="0055360A">
        <w:rPr>
          <w:lang w:val="en-GB"/>
        </w:rPr>
        <w:lastRenderedPageBreak/>
        <w:t xml:space="preserve">my understanding, the use of biosensors and trackers is a radical innovation and falls into the "Product" category of the 4P innovation model. The Product, Process, Position and Paradigm are the 4 P's in a model of innovation (Hong, Cheong and Rizal, 2016). Biosensors' high degree of use, scaling, and effective production provide enormous control in the field of healthcare diagnosis. They bridge the divide between self-care and medical professionals by facilitating continuous tracking of health for older people through smart wearable technologies (Paul </w:t>
      </w:r>
      <w:r w:rsidRPr="0055360A">
        <w:rPr>
          <w:i/>
          <w:iCs/>
          <w:lang w:val="en-GB"/>
        </w:rPr>
        <w:t>et al</w:t>
      </w:r>
      <w:r w:rsidRPr="0055360A">
        <w:rPr>
          <w:lang w:val="en-GB"/>
        </w:rPr>
        <w:t>., 2024). In my experience by sharing physiological information, this communication lessens disruptions and hospitalisations, providing opportunities for consumers and businesses in the areas of health, fitness, and sports.</w:t>
      </w:r>
    </w:p>
    <w:p w14:paraId="375DBEEE" w14:textId="77777777" w:rsidR="000C26A9" w:rsidRPr="0055360A" w:rsidRDefault="00C959D2">
      <w:pPr>
        <w:jc w:val="both"/>
        <w:rPr>
          <w:lang w:val="en-GB"/>
        </w:rPr>
      </w:pPr>
      <w:r w:rsidRPr="0055360A">
        <w:rPr>
          <w:lang w:val="en-GB"/>
        </w:rPr>
        <w:tab/>
        <w:t xml:space="preserve">The healthcare, medicine, and clinical services industries are the main sectors where biosensors are finding their greatest uses in production (Kim </w:t>
      </w:r>
      <w:r w:rsidRPr="0055360A">
        <w:rPr>
          <w:i/>
          <w:iCs/>
          <w:lang w:val="en-GB"/>
        </w:rPr>
        <w:t>et al</w:t>
      </w:r>
      <w:r w:rsidRPr="0055360A">
        <w:rPr>
          <w:lang w:val="en-GB"/>
        </w:rPr>
        <w:t xml:space="preserve">., 2023). Biosensor applications are ideally suited for major characteristics or widely classified fields such as clinical mycology, identifying diseases, and contrasting images during MRIs, heart diagnostics, retinal prostheses and tracking health conditions. These extensive powers further elevate healthcare to an entirely different level by providing superior social services. Further, during my tenure in ProCare Nursing, the world experienced the extremely contagious COVID-19 pandemic, which had been brought on by the coronavirus. In addition, several other infectious illnesses, including SARS, Hendra, Nipah, and avian influenza, have attracted a lot of attention lately (Castillo-León </w:t>
      </w:r>
      <w:r w:rsidRPr="0055360A">
        <w:rPr>
          <w:i/>
          <w:iCs/>
          <w:lang w:val="en-GB"/>
        </w:rPr>
        <w:t>et al</w:t>
      </w:r>
      <w:r w:rsidRPr="0055360A">
        <w:rPr>
          <w:lang w:val="en-GB"/>
        </w:rPr>
        <w:t xml:space="preserve">., 2021). As a result, I was able to identify the enormous potential and capacity of biosensors and trackers to detect the onset of any infection. The biosensor's capacity to diagnose cardiac conditions is another important feature that made me realise its potential benefits. Over 17 million people worldwide lose their lives to cardiovascular illnesses each year, making them the leading cause of mortality globally (Rab and </w:t>
      </w:r>
      <w:r w:rsidRPr="0055360A">
        <w:rPr>
          <w:lang w:val="en-GB"/>
        </w:rPr>
        <w:lastRenderedPageBreak/>
        <w:t xml:space="preserve">Suman, 2021). A key factor in the advancement in heart disease diagnosis is the use of biosensors with biomarkers. For the accurate identification of cardiac disorders, a highly sensitive and selective biosensor that makes use of practical interface biochemistry and </w:t>
      </w:r>
      <w:proofErr w:type="spellStart"/>
      <w:r w:rsidRPr="0055360A">
        <w:rPr>
          <w:lang w:val="en-GB"/>
        </w:rPr>
        <w:t>nonmaterials</w:t>
      </w:r>
      <w:proofErr w:type="spellEnd"/>
      <w:r w:rsidRPr="0055360A">
        <w:rPr>
          <w:lang w:val="en-GB"/>
        </w:rPr>
        <w:t xml:space="preserve"> must be designed and developed (Karakuş and Asadpour, 2021).</w:t>
      </w:r>
    </w:p>
    <w:p w14:paraId="22728D13" w14:textId="77777777" w:rsidR="000C26A9" w:rsidRPr="0055360A" w:rsidRDefault="00C959D2">
      <w:pPr>
        <w:jc w:val="both"/>
        <w:rPr>
          <w:lang w:val="en-GB"/>
        </w:rPr>
      </w:pPr>
      <w:r w:rsidRPr="0055360A">
        <w:rPr>
          <w:lang w:val="en-GB"/>
        </w:rPr>
        <w:tab/>
        <w:t>Moreover, in my experience as a care assistant, because wearable biosensors are small and portable in size, they can be easily integrated into gadgets that are worn like exercise bracelets, smartwatches, and wristbands. Their small size makes them pleasant to wear for patients even for long durations, which improves patient acceptance and reliability of data gathering among healthcare professionals (Higson, 2012). Usually made of biocompatible compounds, these biosensor devices are designed to minimise negative responses when in touch with the outer layer of the body. Long-term use requires this functionality, particularly in healthcare settings where ongoing monitoring is necessary. Furthermore, modern biosensors worn on the wrist are capable of measuring several physiological indicators at once, such as body temperature, blood pressure, oxygen saturation, heart rate, electrocardiogram (ECG), and more (Altintas, 2017). A real-time detailed picture of a person's health is available because of this extensive data-collecting capacity.</w:t>
      </w:r>
    </w:p>
    <w:p w14:paraId="1F9AD8DD" w14:textId="77777777" w:rsidR="000C26A9" w:rsidRPr="0055360A" w:rsidRDefault="00C959D2">
      <w:pPr>
        <w:jc w:val="both"/>
        <w:rPr>
          <w:lang w:val="en-GB"/>
        </w:rPr>
      </w:pPr>
      <w:r w:rsidRPr="0055360A">
        <w:rPr>
          <w:lang w:val="en-GB"/>
        </w:rPr>
        <w:tab/>
        <w:t xml:space="preserve">Furthermore, in my experience as a care assistant, most senior citizens reside alone at home. I have observed that ageing also means less endurance and strength, diminished mobility, and reduced cognitive awareness. Age-related declines in several bodily functions contribute to the development of vulnerability, which in turn causes a higher probability of accidents, gradual impairment, a requirement for care assistance, and an increased risk of mortality (Saner, 2018). Clinical frailty scales, speed of walking (gait speed), limited physical activity, and unintentional weight loss are the </w:t>
      </w:r>
      <w:r w:rsidRPr="0055360A">
        <w:rPr>
          <w:lang w:val="en-GB"/>
        </w:rPr>
        <w:lastRenderedPageBreak/>
        <w:t xml:space="preserve">key factors used in the diagnosis of frailty. Biosensors and trackers are capable of measuring all these characteristics, which can be potentially used to track markers of frailty and health state (Olmedo-Aguirre </w:t>
      </w:r>
      <w:r w:rsidRPr="0055360A">
        <w:rPr>
          <w:i/>
          <w:iCs/>
          <w:lang w:val="en-GB"/>
        </w:rPr>
        <w:t>et al</w:t>
      </w:r>
      <w:r w:rsidRPr="0055360A">
        <w:rPr>
          <w:lang w:val="en-GB"/>
        </w:rPr>
        <w:t>., 2022). Information on emergencies and preventative measures is obtained through the monitoring of these characteristics.</w:t>
      </w:r>
    </w:p>
    <w:p w14:paraId="127E4A4A" w14:textId="77777777" w:rsidR="000C26A9" w:rsidRPr="0055360A" w:rsidRDefault="00C959D2" w:rsidP="00617FF0">
      <w:pPr>
        <w:pStyle w:val="Heading1"/>
        <w:rPr>
          <w:lang w:val="en-GB"/>
        </w:rPr>
      </w:pPr>
      <w:bookmarkStart w:id="2" w:name="_Toc161423866"/>
      <w:r w:rsidRPr="0055360A">
        <w:rPr>
          <w:lang w:val="en-GB"/>
        </w:rPr>
        <w:t>Creativity Process</w:t>
      </w:r>
      <w:bookmarkEnd w:id="2"/>
    </w:p>
    <w:p w14:paraId="11F4AE9C" w14:textId="77777777" w:rsidR="000C26A9" w:rsidRPr="0055360A" w:rsidRDefault="00C959D2">
      <w:pPr>
        <w:jc w:val="both"/>
        <w:rPr>
          <w:lang w:val="en-GB"/>
        </w:rPr>
      </w:pPr>
      <w:r w:rsidRPr="0055360A">
        <w:rPr>
          <w:lang w:val="en-GB"/>
        </w:rPr>
        <w:t xml:space="preserve">    The four phases of the process of creativity are preparation, incubation, illumination and verification.</w:t>
      </w:r>
    </w:p>
    <w:p w14:paraId="72DB5336" w14:textId="77777777" w:rsidR="000C26A9" w:rsidRPr="0055360A" w:rsidRDefault="00C959D2">
      <w:pPr>
        <w:jc w:val="both"/>
        <w:rPr>
          <w:b/>
          <w:bCs/>
          <w:lang w:val="en-GB"/>
        </w:rPr>
      </w:pPr>
      <w:r w:rsidRPr="0055360A">
        <w:rPr>
          <w:b/>
          <w:bCs/>
          <w:lang w:val="en-GB"/>
        </w:rPr>
        <w:t>Preparation</w:t>
      </w:r>
    </w:p>
    <w:p w14:paraId="631435D4" w14:textId="77777777" w:rsidR="000C26A9" w:rsidRPr="0055360A" w:rsidRDefault="00C959D2">
      <w:pPr>
        <w:jc w:val="both"/>
        <w:rPr>
          <w:lang w:val="en-GB"/>
        </w:rPr>
      </w:pPr>
      <w:r w:rsidRPr="0055360A">
        <w:rPr>
          <w:lang w:val="en-GB"/>
        </w:rPr>
        <w:t xml:space="preserve">    Working as a care assistant at ProCare Nursing, I have observed the medical suffering and major forms of social discrimination against elderly people. Increasingly, regard for the person is becoming more prevalent than regard for age alone. I have noticed that the physical state, restricted psycho-motor skills, and disengagement from social interactions operate as obstacles for older people in conveying their health sufferings to their care assistants. Moreover, the older population is becoming more and more marginalised (Cheng </w:t>
      </w:r>
      <w:r w:rsidRPr="0055360A">
        <w:rPr>
          <w:i/>
          <w:iCs/>
          <w:lang w:val="en-GB"/>
        </w:rPr>
        <w:t>et al</w:t>
      </w:r>
      <w:r w:rsidRPr="0055360A">
        <w:rPr>
          <w:lang w:val="en-GB"/>
        </w:rPr>
        <w:t>., 2020). It starts with a retreat from societal responsibilities and a reduction in the range of people one may interact with. It is made worse by a lack of accessibility to a variety of organisations, products, and healthcare services, which leads to a rise in inactivity, disinterest, and isolation until social interaction is nearly entirely avoided. As, a result older people cannot even take care of their health, and neither can explain to anyone the health issues they are facing (</w:t>
      </w:r>
      <w:proofErr w:type="spellStart"/>
      <w:r w:rsidRPr="0055360A">
        <w:rPr>
          <w:lang w:val="en-GB"/>
        </w:rPr>
        <w:t>Adibelli</w:t>
      </w:r>
      <w:proofErr w:type="spellEnd"/>
      <w:r w:rsidRPr="0055360A">
        <w:rPr>
          <w:lang w:val="en-GB"/>
        </w:rPr>
        <w:t xml:space="preserve"> and Kılıç, 2013). From this experience, I was able to identify the problem which indeed required a creative solution.</w:t>
      </w:r>
    </w:p>
    <w:p w14:paraId="1961DF8F" w14:textId="77777777" w:rsidR="000C26A9" w:rsidRPr="0055360A" w:rsidRDefault="00C959D2">
      <w:pPr>
        <w:jc w:val="both"/>
        <w:rPr>
          <w:lang w:val="en-GB"/>
        </w:rPr>
      </w:pPr>
      <w:r w:rsidRPr="0055360A">
        <w:rPr>
          <w:b/>
          <w:bCs/>
          <w:lang w:val="en-GB"/>
        </w:rPr>
        <w:t>Incubation</w:t>
      </w:r>
    </w:p>
    <w:p w14:paraId="5ACA26BF" w14:textId="77777777" w:rsidR="000C26A9" w:rsidRPr="0055360A" w:rsidRDefault="00C959D2">
      <w:pPr>
        <w:jc w:val="both"/>
        <w:rPr>
          <w:lang w:val="en-GB"/>
        </w:rPr>
      </w:pPr>
      <w:r w:rsidRPr="0055360A">
        <w:rPr>
          <w:lang w:val="en-GB"/>
        </w:rPr>
        <w:t xml:space="preserve">    After observing the suffering of elderly patients, to look for a creative solution for this problem while brainstorming, I went into the phase of incubation. It has been </w:t>
      </w:r>
      <w:r w:rsidRPr="0055360A">
        <w:rPr>
          <w:lang w:val="en-GB"/>
        </w:rPr>
        <w:lastRenderedPageBreak/>
        <w:t>widely believed that creative issue solving, which calls for innovative approaches, has a unique function for subconscious procedures (unconscious work), which might result in sudden and instinctive solutions when an issue is put away for incubation durations. Moreover, taking on an issue head-on may frequently result in cognitive exhaustion. The process of incubation gives the mind a chance to recover and revitalise itself to be more creative (Gilhooly, 2017). Furthermore, incubation frequently produces unanticipated discoveries and answers. Associative thinking is the ability of the unconscious mind to create relationships between seemingly unrelated concepts. As per studies people enable these associated mechanisms to happen by allowing the mind to be free from focused thought, which frequently results in original and creative answers (Weisberg, 2020).</w:t>
      </w:r>
    </w:p>
    <w:p w14:paraId="183D5743" w14:textId="77777777" w:rsidR="000C26A9" w:rsidRPr="0055360A" w:rsidRDefault="00C959D2">
      <w:pPr>
        <w:jc w:val="both"/>
        <w:rPr>
          <w:lang w:val="en-GB"/>
        </w:rPr>
      </w:pPr>
      <w:r w:rsidRPr="0055360A">
        <w:rPr>
          <w:b/>
          <w:bCs/>
          <w:lang w:val="en-GB"/>
        </w:rPr>
        <w:t>Illumination</w:t>
      </w:r>
    </w:p>
    <w:p w14:paraId="04497212" w14:textId="77777777" w:rsidR="000C26A9" w:rsidRPr="0055360A" w:rsidRDefault="00C959D2">
      <w:pPr>
        <w:jc w:val="both"/>
        <w:rPr>
          <w:lang w:val="en-GB"/>
        </w:rPr>
      </w:pPr>
      <w:r w:rsidRPr="0055360A">
        <w:rPr>
          <w:lang w:val="en-GB"/>
        </w:rPr>
        <w:t xml:space="preserve">    After the phase of incubation, I utilised De Bono's Green Thinking hat to come up with a creative solution for the problem I had identified. The green hat represents imaginative consideration and the generation of fresh notions, thoughts, and solutions (</w:t>
      </w:r>
      <w:proofErr w:type="spellStart"/>
      <w:r w:rsidRPr="0055360A">
        <w:rPr>
          <w:lang w:val="en-GB"/>
        </w:rPr>
        <w:t>Kivunja</w:t>
      </w:r>
      <w:proofErr w:type="spellEnd"/>
      <w:r w:rsidRPr="0055360A">
        <w:rPr>
          <w:lang w:val="en-GB"/>
        </w:rPr>
        <w:t>, 2015). Particularly when working to find a solution for complicated issues like monitoring the health of older people, the illumination stage becomes a journey rather than a goal. It is an experience that lasts for a considerable time (Sadler-Smith, 2015). Although the creative process may appear chaotic at first, I have discovered that there is a pattern inside the turmoil and an order to the state of chaos. It is the stage where I actively used digital technologies to record, arrange, and develop my creative thoughts. Subsequently, I found the solution to my problem in technology only. I realised that the use of biosensors and trackers on older patients can certainly help in the continuous monitoring of their health, even if they are alone and nobody is there to assist them.</w:t>
      </w:r>
    </w:p>
    <w:p w14:paraId="10A9D005" w14:textId="77777777" w:rsidR="000C26A9" w:rsidRPr="0055360A" w:rsidRDefault="00C959D2">
      <w:pPr>
        <w:jc w:val="both"/>
        <w:rPr>
          <w:lang w:val="en-GB"/>
        </w:rPr>
      </w:pPr>
      <w:r w:rsidRPr="0055360A">
        <w:rPr>
          <w:b/>
          <w:bCs/>
          <w:lang w:val="en-GB"/>
        </w:rPr>
        <w:lastRenderedPageBreak/>
        <w:t>Verification</w:t>
      </w:r>
    </w:p>
    <w:p w14:paraId="5D9DFB20" w14:textId="77777777" w:rsidR="000C26A9" w:rsidRPr="0055360A" w:rsidRDefault="00C959D2">
      <w:pPr>
        <w:jc w:val="both"/>
        <w:rPr>
          <w:lang w:val="en-GB"/>
        </w:rPr>
      </w:pPr>
      <w:r w:rsidRPr="0055360A">
        <w:rPr>
          <w:lang w:val="en-GB"/>
        </w:rPr>
        <w:t xml:space="preserve">    In my experience as a care assistant, I can verify that the real-time and continuous health tracking feature of biosensors and health trackers is one of its main advantages for older citizens. Vital indications including blood pressure, heart rate, and sleep patterns may be monitored by these gadgets, giving important information about general health. The elderly can make wiser decisions to preserve their well-being by learning more about how their bodies react to various activities, without the assistance of anyone (Li </w:t>
      </w:r>
      <w:r w:rsidRPr="0055360A">
        <w:rPr>
          <w:i/>
          <w:iCs/>
          <w:lang w:val="en-GB"/>
        </w:rPr>
        <w:t>et al</w:t>
      </w:r>
      <w:r w:rsidRPr="0055360A">
        <w:rPr>
          <w:lang w:val="en-GB"/>
        </w:rPr>
        <w:t>., 2020). Additionally, the use of biosensors and health trackers can help identify any health problems early on, allowing for swift action and preventative treatment. Moreover, it can be difficult to manage medicines, particularly for elders who may be taking many prescriptions. With its ability to transmit periodic messages to take drugs and guarantee obedience to recommended schedules, this creative solution of biosensors and trackers can be a useful instrument in managing medications of the older people.</w:t>
      </w:r>
    </w:p>
    <w:p w14:paraId="10B7D405" w14:textId="77777777" w:rsidR="000C26A9" w:rsidRPr="0055360A" w:rsidRDefault="00C959D2">
      <w:pPr>
        <w:jc w:val="both"/>
        <w:rPr>
          <w:lang w:val="en-GB"/>
        </w:rPr>
      </w:pPr>
      <w:r w:rsidRPr="0055360A">
        <w:rPr>
          <w:lang w:val="en-GB"/>
        </w:rPr>
        <w:t xml:space="preserve">    Moreover, I have realised that accepting the change in perspective is the first step in the verification process of finding a creative solution. The change from creative brainstorming to critical analysis is an essential part of this process (</w:t>
      </w:r>
      <w:proofErr w:type="spellStart"/>
      <w:r w:rsidRPr="0055360A">
        <w:rPr>
          <w:lang w:val="en-GB"/>
        </w:rPr>
        <w:t>Wagenmakers</w:t>
      </w:r>
      <w:proofErr w:type="spellEnd"/>
      <w:r w:rsidRPr="0055360A">
        <w:rPr>
          <w:lang w:val="en-GB"/>
        </w:rPr>
        <w:t xml:space="preserve">, </w:t>
      </w:r>
      <w:proofErr w:type="spellStart"/>
      <w:r w:rsidRPr="0055360A">
        <w:rPr>
          <w:lang w:val="en-GB"/>
        </w:rPr>
        <w:t>Dutilh</w:t>
      </w:r>
      <w:proofErr w:type="spellEnd"/>
      <w:r w:rsidRPr="0055360A">
        <w:rPr>
          <w:lang w:val="en-GB"/>
        </w:rPr>
        <w:t xml:space="preserve"> and </w:t>
      </w:r>
      <w:proofErr w:type="spellStart"/>
      <w:r w:rsidRPr="0055360A">
        <w:rPr>
          <w:lang w:val="en-GB"/>
        </w:rPr>
        <w:t>Sarafoglou</w:t>
      </w:r>
      <w:proofErr w:type="spellEnd"/>
      <w:r w:rsidRPr="0055360A">
        <w:rPr>
          <w:lang w:val="en-GB"/>
        </w:rPr>
        <w:t>, 2018). Therefore, people must be proactive in maintaining a neutral viewpoint by taking into account other viewpoints and accepting constructive criticism. Provide an atmosphere that welcomes criticism and rewards for being patient and persistent.</w:t>
      </w:r>
    </w:p>
    <w:p w14:paraId="774D6BAD" w14:textId="2B72018B" w:rsidR="000C26A9" w:rsidRPr="00810715" w:rsidRDefault="00C959D2" w:rsidP="00F10CDB">
      <w:pPr>
        <w:pStyle w:val="Heading1"/>
        <w:rPr>
          <w:lang w:val="en-GB"/>
        </w:rPr>
      </w:pPr>
      <w:bookmarkStart w:id="3" w:name="_Toc161423867"/>
      <w:r w:rsidRPr="00810715">
        <w:rPr>
          <w:lang w:val="en-GB"/>
        </w:rPr>
        <w:t>Critical Evaluation</w:t>
      </w:r>
      <w:r w:rsidR="00617FF0">
        <w:rPr>
          <w:lang w:val="en-GB"/>
        </w:rPr>
        <w:t xml:space="preserve"> of the Effectiveness of the Solution</w:t>
      </w:r>
      <w:bookmarkEnd w:id="3"/>
    </w:p>
    <w:p w14:paraId="7028BDF6" w14:textId="6B568AD6" w:rsidR="000C26A9" w:rsidRPr="00810715" w:rsidRDefault="00C959D2">
      <w:pPr>
        <w:jc w:val="both"/>
        <w:rPr>
          <w:lang w:val="en-GB"/>
        </w:rPr>
      </w:pPr>
      <w:r w:rsidRPr="00810715">
        <w:rPr>
          <w:lang w:val="en-GB"/>
        </w:rPr>
        <w:tab/>
        <w:t xml:space="preserve">Due to the potential to offer practical health-related information, biosensors and health trackers have drawn a lot of focus, especially after the wide usage of </w:t>
      </w:r>
      <w:proofErr w:type="spellStart"/>
      <w:r w:rsidRPr="00810715">
        <w:rPr>
          <w:lang w:val="en-GB"/>
        </w:rPr>
        <w:t>cellphones</w:t>
      </w:r>
      <w:proofErr w:type="spellEnd"/>
      <w:r w:rsidRPr="00810715">
        <w:rPr>
          <w:lang w:val="en-GB"/>
        </w:rPr>
        <w:t xml:space="preserve"> along with additional digital devices. Initially, this field relied on sensor technology to </w:t>
      </w:r>
      <w:r w:rsidRPr="00810715">
        <w:rPr>
          <w:lang w:val="en-GB"/>
        </w:rPr>
        <w:lastRenderedPageBreak/>
        <w:t xml:space="preserve">track motion and critical indicators like blood pressure, heart rates, step counts, and energy burn. In the past few years, biosensors and health trackers have become mainstream </w:t>
      </w:r>
      <w:r w:rsidR="0055360A" w:rsidRPr="00810715">
        <w:rPr>
          <w:lang w:val="en-GB"/>
        </w:rPr>
        <w:t xml:space="preserve">equipment </w:t>
      </w:r>
      <w:r w:rsidRPr="00810715">
        <w:rPr>
          <w:lang w:val="en-GB"/>
        </w:rPr>
        <w:t>and have seen a significant transformation as researchers have shifted their attention from monitoring physical activity to addressing significant issues associated with medical uses, such as the health monitoring of older people</w:t>
      </w:r>
      <w:r w:rsidR="00810715">
        <w:rPr>
          <w:lang w:val="en-GB"/>
        </w:rPr>
        <w:t xml:space="preserve"> (</w:t>
      </w:r>
      <w:r w:rsidR="00810715" w:rsidRPr="00810715">
        <w:rPr>
          <w:lang w:val="en-GB"/>
        </w:rPr>
        <w:t>Sharma</w:t>
      </w:r>
      <w:r w:rsidR="00810715">
        <w:rPr>
          <w:lang w:val="en-GB"/>
        </w:rPr>
        <w:t xml:space="preserve"> </w:t>
      </w:r>
      <w:r w:rsidR="00810715" w:rsidRPr="00810715">
        <w:rPr>
          <w:i/>
          <w:iCs/>
          <w:lang w:val="en-GB"/>
        </w:rPr>
        <w:t>et al</w:t>
      </w:r>
      <w:r w:rsidR="00810715">
        <w:rPr>
          <w:lang w:val="en-GB"/>
        </w:rPr>
        <w:t>., 2021)</w:t>
      </w:r>
      <w:r w:rsidRPr="00810715">
        <w:rPr>
          <w:lang w:val="en-GB"/>
        </w:rPr>
        <w:t>. The exponential growth in the number of recently published studies demonstrating the positive aspects of various biosensors and health trackers indicates the boundless value of wearable biosensors. However, even though a number of these systems are presently undergoing clinical review, there has not been a successful transition to the commercial business market. However, considerable efforts are being made at the moment to bring simpler biosensors to market. These goods still need to go through the required regulatory authori</w:t>
      </w:r>
      <w:r w:rsidR="0055360A" w:rsidRPr="00810715">
        <w:rPr>
          <w:lang w:val="en-GB"/>
        </w:rPr>
        <w:t>s</w:t>
      </w:r>
      <w:r w:rsidRPr="00810715">
        <w:rPr>
          <w:lang w:val="en-GB"/>
        </w:rPr>
        <w:t>ation process, substantial validation tests, and eventual marketing routes</w:t>
      </w:r>
      <w:r w:rsidR="00810715">
        <w:rPr>
          <w:lang w:val="en-GB"/>
        </w:rPr>
        <w:t xml:space="preserve"> (</w:t>
      </w:r>
      <w:r w:rsidR="00810715" w:rsidRPr="00810715">
        <w:rPr>
          <w:lang w:val="en-GB"/>
        </w:rPr>
        <w:t>Sharma</w:t>
      </w:r>
      <w:r w:rsidR="00810715">
        <w:rPr>
          <w:lang w:val="en-GB"/>
        </w:rPr>
        <w:t xml:space="preserve"> </w:t>
      </w:r>
      <w:r w:rsidR="00810715" w:rsidRPr="00810715">
        <w:rPr>
          <w:i/>
          <w:iCs/>
          <w:lang w:val="en-GB"/>
        </w:rPr>
        <w:t>et al</w:t>
      </w:r>
      <w:r w:rsidR="00810715">
        <w:rPr>
          <w:lang w:val="en-GB"/>
        </w:rPr>
        <w:t>., 2021)</w:t>
      </w:r>
      <w:r w:rsidRPr="00810715">
        <w:rPr>
          <w:lang w:val="en-GB"/>
        </w:rPr>
        <w:t>. The commercial enterprise concentrates primarily on heart and blood sugar monitoring equipment, motivated by the potential of the massive market of health-conscious individuals.</w:t>
      </w:r>
    </w:p>
    <w:p w14:paraId="660C78C8" w14:textId="77777777" w:rsidR="000C26A9" w:rsidRPr="00810715" w:rsidRDefault="00C959D2" w:rsidP="00810715">
      <w:pPr>
        <w:ind w:firstLine="720"/>
        <w:jc w:val="both"/>
        <w:rPr>
          <w:rFonts w:cs="Times New Roman"/>
          <w:szCs w:val="24"/>
          <w:lang w:val="en-GB"/>
        </w:rPr>
      </w:pPr>
      <w:r w:rsidRPr="00810715">
        <w:rPr>
          <w:lang w:val="en-GB"/>
        </w:rPr>
        <w:t xml:space="preserve">To critically evaluate the innovative and creative solution of using biosensors and health trackers, it is important to conduct the </w:t>
      </w:r>
      <w:r w:rsidRPr="00810715">
        <w:rPr>
          <w:rFonts w:cs="Times New Roman"/>
          <w:szCs w:val="24"/>
          <w:lang w:val="en-GB"/>
        </w:rPr>
        <w:t>Force Field analysis, which evaluates both its driving and restraining forces.</w:t>
      </w:r>
    </w:p>
    <w:p w14:paraId="07827896" w14:textId="77777777" w:rsidR="000C26A9" w:rsidRPr="00810715" w:rsidRDefault="00C959D2">
      <w:pPr>
        <w:jc w:val="both"/>
        <w:rPr>
          <w:rFonts w:cs="Times New Roman"/>
          <w:szCs w:val="24"/>
          <w:lang w:val="en-GB"/>
        </w:rPr>
      </w:pPr>
      <w:r w:rsidRPr="00810715">
        <w:rPr>
          <w:rFonts w:cs="Times New Roman"/>
          <w:b/>
          <w:bCs/>
          <w:szCs w:val="24"/>
          <w:lang w:val="en-GB"/>
        </w:rPr>
        <w:t>Driving Forces</w:t>
      </w:r>
    </w:p>
    <w:p w14:paraId="3358C37F" w14:textId="77777777" w:rsidR="000C26A9" w:rsidRPr="00810715" w:rsidRDefault="00C959D2">
      <w:pPr>
        <w:numPr>
          <w:ilvl w:val="0"/>
          <w:numId w:val="11"/>
        </w:numPr>
        <w:jc w:val="both"/>
        <w:rPr>
          <w:rFonts w:cs="Times New Roman"/>
          <w:szCs w:val="24"/>
          <w:lang w:val="en-GB"/>
        </w:rPr>
      </w:pPr>
      <w:r w:rsidRPr="00810715">
        <w:rPr>
          <w:szCs w:val="24"/>
          <w:lang w:val="en-GB"/>
        </w:rPr>
        <w:t>Biosensors and health trackers offer constant medical indicators and important indicator tracking. The study of this real-time data collection offers insightful information about each person's health state. Ongoing health-related monitoring can assist people in adhering to their medical treatments and, if necessary, making proactive modifications.</w:t>
      </w:r>
    </w:p>
    <w:p w14:paraId="6F50B108" w14:textId="77777777" w:rsidR="000C26A9" w:rsidRPr="00810715" w:rsidRDefault="00C959D2">
      <w:pPr>
        <w:numPr>
          <w:ilvl w:val="0"/>
          <w:numId w:val="11"/>
        </w:numPr>
        <w:jc w:val="both"/>
        <w:rPr>
          <w:rFonts w:cs="Times New Roman"/>
          <w:szCs w:val="24"/>
          <w:lang w:val="en-GB"/>
        </w:rPr>
      </w:pPr>
      <w:r w:rsidRPr="00810715">
        <w:rPr>
          <w:szCs w:val="24"/>
          <w:lang w:val="en-GB"/>
        </w:rPr>
        <w:lastRenderedPageBreak/>
        <w:t>Modern-age biosensors and health trackers are incredibly handy and portable for daily usage. Additionally, they are lightweight and portable, making it simple for people to check their fitness and health. The wearable biosensors gather biometric information so people can arrive at educated choices regarding their diet, exercise routine, sleep patterns, and general well-being.</w:t>
      </w:r>
    </w:p>
    <w:p w14:paraId="05A46E34" w14:textId="77777777" w:rsidR="000C26A9" w:rsidRPr="00810715" w:rsidRDefault="00C959D2">
      <w:pPr>
        <w:numPr>
          <w:ilvl w:val="0"/>
          <w:numId w:val="11"/>
        </w:numPr>
        <w:jc w:val="both"/>
        <w:rPr>
          <w:rFonts w:cs="Times New Roman"/>
          <w:szCs w:val="24"/>
          <w:lang w:val="en-GB"/>
        </w:rPr>
      </w:pPr>
      <w:r w:rsidRPr="00810715">
        <w:rPr>
          <w:szCs w:val="24"/>
          <w:lang w:val="en-GB"/>
        </w:rPr>
        <w:t>With the use of these biosensors, medical practitioners and care assistants can record the condition of patients from a distance. As a result, they can evaluate the individual's health and take appropriate action. Patients benefit from early health issue discovery and fewer stays in hospitals as a result.</w:t>
      </w:r>
    </w:p>
    <w:p w14:paraId="102482C1" w14:textId="77777777" w:rsidR="000C26A9" w:rsidRPr="00810715" w:rsidRDefault="00C959D2">
      <w:pPr>
        <w:jc w:val="both"/>
        <w:rPr>
          <w:rFonts w:cs="Times New Roman"/>
          <w:szCs w:val="24"/>
          <w:lang w:val="en-GB"/>
        </w:rPr>
      </w:pPr>
      <w:r w:rsidRPr="00810715">
        <w:rPr>
          <w:rFonts w:cs="Times New Roman"/>
          <w:b/>
          <w:bCs/>
          <w:szCs w:val="24"/>
          <w:lang w:val="en-GB"/>
        </w:rPr>
        <w:t>Restraining Forces</w:t>
      </w:r>
    </w:p>
    <w:p w14:paraId="63B8F2FD" w14:textId="77777777" w:rsidR="000C26A9" w:rsidRPr="00810715" w:rsidRDefault="00C959D2">
      <w:pPr>
        <w:numPr>
          <w:ilvl w:val="0"/>
          <w:numId w:val="11"/>
        </w:numPr>
        <w:jc w:val="both"/>
        <w:rPr>
          <w:rFonts w:cs="Times New Roman"/>
          <w:szCs w:val="24"/>
          <w:lang w:val="en-GB"/>
        </w:rPr>
      </w:pPr>
      <w:r w:rsidRPr="00810715">
        <w:rPr>
          <w:szCs w:val="24"/>
          <w:lang w:val="en-GB"/>
        </w:rPr>
        <w:t>The validity and accuracy of the data gathered by biosensors vary between various company devices. Therefore, there is still ambiguity regarding the reliability of information given by these devices. Further, the biosensors that offer more functionality and precise measurements are relatively more costly.</w:t>
      </w:r>
    </w:p>
    <w:p w14:paraId="494EBBB0" w14:textId="77777777" w:rsidR="000C26A9" w:rsidRPr="00810715" w:rsidRDefault="00C959D2">
      <w:pPr>
        <w:numPr>
          <w:ilvl w:val="0"/>
          <w:numId w:val="11"/>
        </w:numPr>
        <w:jc w:val="both"/>
        <w:rPr>
          <w:rFonts w:cs="Times New Roman"/>
          <w:szCs w:val="24"/>
          <w:lang w:val="en-GB"/>
        </w:rPr>
      </w:pPr>
      <w:r w:rsidRPr="00810715">
        <w:rPr>
          <w:szCs w:val="24"/>
          <w:lang w:val="en-GB"/>
        </w:rPr>
        <w:t>To preserve the anonymity and privacy of the individual, health data must be handled, stored, and sent securely over the internet, as this data can be easily misused. Alongside, it might be difficult for certain users to wear the biosensors consistently. It might be difficult to engage patience and encourage adherence to them consistently for a long duration.</w:t>
      </w:r>
    </w:p>
    <w:p w14:paraId="02D2C510" w14:textId="77777777" w:rsidR="000C26A9" w:rsidRPr="00810715" w:rsidRDefault="00C959D2">
      <w:pPr>
        <w:numPr>
          <w:ilvl w:val="0"/>
          <w:numId w:val="11"/>
        </w:numPr>
        <w:jc w:val="both"/>
        <w:rPr>
          <w:lang w:val="en-GB"/>
        </w:rPr>
      </w:pPr>
      <w:r w:rsidRPr="00810715">
        <w:rPr>
          <w:szCs w:val="24"/>
          <w:lang w:val="en-GB"/>
        </w:rPr>
        <w:t>An enormous quantity of data is generated by the many advanced biosensors. Analysing and deriving practical recommendations for various patients from the data obtained necessitates expertise.</w:t>
      </w:r>
    </w:p>
    <w:p w14:paraId="7B180BFA" w14:textId="22544FE8" w:rsidR="00810715" w:rsidRDefault="00F10CDB" w:rsidP="00F10CDB">
      <w:pPr>
        <w:pStyle w:val="Heading1"/>
        <w:rPr>
          <w:lang w:val="en-GB"/>
        </w:rPr>
      </w:pPr>
      <w:bookmarkStart w:id="4" w:name="_Toc161423868"/>
      <w:r>
        <w:rPr>
          <w:lang w:val="en-GB"/>
        </w:rPr>
        <w:t xml:space="preserve">Critical Evaluation of </w:t>
      </w:r>
      <w:r w:rsidR="00810715">
        <w:rPr>
          <w:lang w:val="en-GB"/>
        </w:rPr>
        <w:t>Organisational Climate</w:t>
      </w:r>
      <w:r>
        <w:rPr>
          <w:lang w:val="en-GB"/>
        </w:rPr>
        <w:t xml:space="preserve"> and Leadership Style</w:t>
      </w:r>
      <w:bookmarkEnd w:id="4"/>
    </w:p>
    <w:p w14:paraId="12431F10" w14:textId="77777777" w:rsidR="00810715" w:rsidRPr="00557483" w:rsidRDefault="00810715" w:rsidP="00810715">
      <w:pPr>
        <w:jc w:val="both"/>
        <w:rPr>
          <w:rFonts w:cs="Times New Roman"/>
          <w:szCs w:val="24"/>
          <w:lang w:val="en-GB"/>
        </w:rPr>
      </w:pPr>
      <w:r w:rsidRPr="00557483">
        <w:rPr>
          <w:rFonts w:cs="Times New Roman"/>
          <w:szCs w:val="24"/>
          <w:lang w:val="en-GB"/>
        </w:rPr>
        <w:t>In the current organisational settings, the development of a good organi</w:t>
      </w:r>
      <w:r>
        <w:rPr>
          <w:rFonts w:cs="Times New Roman"/>
          <w:szCs w:val="24"/>
          <w:lang w:val="en-GB"/>
        </w:rPr>
        <w:t>satio</w:t>
      </w:r>
      <w:r w:rsidRPr="00557483">
        <w:rPr>
          <w:rFonts w:cs="Times New Roman"/>
          <w:szCs w:val="24"/>
          <w:lang w:val="en-GB"/>
        </w:rPr>
        <w:t xml:space="preserve">nal climate is a major requisite for any individual working. Organisational climate is defined as the </w:t>
      </w:r>
      <w:r w:rsidRPr="00557483">
        <w:rPr>
          <w:rFonts w:cs="Times New Roman"/>
          <w:szCs w:val="24"/>
          <w:lang w:val="en-GB"/>
        </w:rPr>
        <w:lastRenderedPageBreak/>
        <w:t>working environment and overall culture of the workplace where the individual is working (</w:t>
      </w:r>
      <w:r w:rsidRPr="00557483">
        <w:rPr>
          <w:szCs w:val="24"/>
          <w:lang w:val="en-GB"/>
        </w:rPr>
        <w:t>Grobler and Rensburg, 2019)</w:t>
      </w:r>
      <w:r w:rsidRPr="00557483">
        <w:rPr>
          <w:rFonts w:cs="Times New Roman"/>
          <w:szCs w:val="24"/>
          <w:lang w:val="en-GB"/>
        </w:rPr>
        <w:t>. The development of a positive and supportive organi</w:t>
      </w:r>
      <w:r>
        <w:rPr>
          <w:rFonts w:cs="Times New Roman"/>
          <w:szCs w:val="24"/>
          <w:lang w:val="en-GB"/>
        </w:rPr>
        <w:t>satio</w:t>
      </w:r>
      <w:r w:rsidRPr="00557483">
        <w:rPr>
          <w:rFonts w:cs="Times New Roman"/>
          <w:szCs w:val="24"/>
          <w:lang w:val="en-GB"/>
        </w:rPr>
        <w:t>nal climate is vital for any individual to work in that environment with motivation and enthusiasm. In the development of an organi</w:t>
      </w:r>
      <w:r>
        <w:rPr>
          <w:rFonts w:cs="Times New Roman"/>
          <w:szCs w:val="24"/>
          <w:lang w:val="en-GB"/>
        </w:rPr>
        <w:t>satio</w:t>
      </w:r>
      <w:r w:rsidRPr="00557483">
        <w:rPr>
          <w:rFonts w:cs="Times New Roman"/>
          <w:szCs w:val="24"/>
          <w:lang w:val="en-GB"/>
        </w:rPr>
        <w:t>nal climate, leadership plays a very important role. Leadership style in any organi</w:t>
      </w:r>
      <w:r>
        <w:rPr>
          <w:rFonts w:cs="Times New Roman"/>
          <w:szCs w:val="24"/>
          <w:lang w:val="en-GB"/>
        </w:rPr>
        <w:t>satio</w:t>
      </w:r>
      <w:r w:rsidRPr="00557483">
        <w:rPr>
          <w:rFonts w:cs="Times New Roman"/>
          <w:szCs w:val="24"/>
          <w:lang w:val="en-GB"/>
        </w:rPr>
        <w:t>n determine</w:t>
      </w:r>
      <w:r>
        <w:rPr>
          <w:rFonts w:cs="Times New Roman"/>
          <w:szCs w:val="24"/>
          <w:lang w:val="en-GB"/>
        </w:rPr>
        <w:t>s</w:t>
      </w:r>
      <w:r w:rsidRPr="00557483">
        <w:rPr>
          <w:rFonts w:cs="Times New Roman"/>
          <w:szCs w:val="24"/>
          <w:lang w:val="en-GB"/>
        </w:rPr>
        <w:t xml:space="preserve"> the development of a supportive work environment. The use of different leadership styles like transformational, transactional and democratic determines the innovation climate in the organi</w:t>
      </w:r>
      <w:r>
        <w:rPr>
          <w:rFonts w:cs="Times New Roman"/>
          <w:szCs w:val="24"/>
          <w:lang w:val="en-GB"/>
        </w:rPr>
        <w:t>s</w:t>
      </w:r>
      <w:r w:rsidRPr="00557483">
        <w:rPr>
          <w:rFonts w:cs="Times New Roman"/>
          <w:szCs w:val="24"/>
          <w:lang w:val="en-GB"/>
        </w:rPr>
        <w:t>ations (Bako, 2018). Other than leadership, team dynamics, job design and policies are also drivers of the innovation climate in organi</w:t>
      </w:r>
      <w:r>
        <w:rPr>
          <w:rFonts w:cs="Times New Roman"/>
          <w:szCs w:val="24"/>
          <w:lang w:val="en-GB"/>
        </w:rPr>
        <w:t>satio</w:t>
      </w:r>
      <w:r w:rsidRPr="00557483">
        <w:rPr>
          <w:rFonts w:cs="Times New Roman"/>
          <w:szCs w:val="24"/>
          <w:lang w:val="en-GB"/>
        </w:rPr>
        <w:t>ns. The other factors include workspace settings.</w:t>
      </w:r>
    </w:p>
    <w:p w14:paraId="340B5373" w14:textId="77777777" w:rsidR="00810715" w:rsidRPr="00557483" w:rsidRDefault="00810715" w:rsidP="00810715">
      <w:pPr>
        <w:jc w:val="both"/>
        <w:rPr>
          <w:rFonts w:cs="Times New Roman"/>
          <w:szCs w:val="24"/>
          <w:lang w:val="en-GB"/>
        </w:rPr>
      </w:pPr>
      <w:r w:rsidRPr="00557483">
        <w:rPr>
          <w:rFonts w:cs="Times New Roman"/>
          <w:szCs w:val="24"/>
          <w:lang w:val="en-GB"/>
        </w:rPr>
        <w:t>In Pro</w:t>
      </w:r>
      <w:r>
        <w:rPr>
          <w:rFonts w:cs="Times New Roman"/>
          <w:szCs w:val="24"/>
          <w:lang w:val="en-GB"/>
        </w:rPr>
        <w:t>C</w:t>
      </w:r>
      <w:r w:rsidRPr="00557483">
        <w:rPr>
          <w:rFonts w:cs="Times New Roman"/>
          <w:szCs w:val="24"/>
          <w:lang w:val="en-GB"/>
        </w:rPr>
        <w:t>are Nursing, it is examined that they follow a very supportive organi</w:t>
      </w:r>
      <w:r>
        <w:rPr>
          <w:rFonts w:cs="Times New Roman"/>
          <w:szCs w:val="24"/>
          <w:lang w:val="en-GB"/>
        </w:rPr>
        <w:t>satio</w:t>
      </w:r>
      <w:r w:rsidRPr="00557483">
        <w:rPr>
          <w:rFonts w:cs="Times New Roman"/>
          <w:szCs w:val="24"/>
          <w:lang w:val="en-GB"/>
        </w:rPr>
        <w:t>nal climate to foster better working of the employees by encouraging the supporting employees to give them a proper learning environment so that they can deliver the expected quality of nursing care services to the patients according to the set standards (</w:t>
      </w:r>
      <w:r w:rsidRPr="00557483">
        <w:rPr>
          <w:szCs w:val="24"/>
          <w:lang w:val="en-GB"/>
        </w:rPr>
        <w:t>Schneider and Barbera, 2015</w:t>
      </w:r>
      <w:r w:rsidRPr="00557483">
        <w:rPr>
          <w:rFonts w:cs="Times New Roman"/>
          <w:szCs w:val="24"/>
          <w:lang w:val="en-GB"/>
        </w:rPr>
        <w:t>). It develops a trusted working environment for the employees and boosts their morale so that they can provide the best-required services to the clients in the healthcare provisions.</w:t>
      </w:r>
    </w:p>
    <w:p w14:paraId="318D23D1" w14:textId="77777777" w:rsidR="00810715" w:rsidRPr="00557483" w:rsidRDefault="00810715" w:rsidP="00810715">
      <w:pPr>
        <w:jc w:val="both"/>
        <w:rPr>
          <w:rFonts w:cs="Times New Roman"/>
          <w:szCs w:val="24"/>
          <w:lang w:val="en-GB"/>
        </w:rPr>
      </w:pPr>
      <w:r w:rsidRPr="00557483">
        <w:rPr>
          <w:rFonts w:cs="Times New Roman"/>
          <w:szCs w:val="24"/>
          <w:lang w:val="en-GB"/>
        </w:rPr>
        <w:t xml:space="preserve">Regarding the creativity and innovation identified in the </w:t>
      </w:r>
      <w:proofErr w:type="spellStart"/>
      <w:r w:rsidRPr="00557483">
        <w:rPr>
          <w:rFonts w:cs="Times New Roman"/>
          <w:szCs w:val="24"/>
          <w:lang w:val="en-GB"/>
        </w:rPr>
        <w:t>Procare</w:t>
      </w:r>
      <w:proofErr w:type="spellEnd"/>
      <w:r w:rsidRPr="00557483">
        <w:rPr>
          <w:rFonts w:cs="Times New Roman"/>
          <w:szCs w:val="24"/>
          <w:lang w:val="en-GB"/>
        </w:rPr>
        <w:t xml:space="preserve"> Nursing setting, it has been examined that the use of biosensors and trackers, it is examined that </w:t>
      </w:r>
      <w:proofErr w:type="spellStart"/>
      <w:r w:rsidRPr="00557483">
        <w:rPr>
          <w:rFonts w:cs="Times New Roman"/>
          <w:szCs w:val="24"/>
          <w:lang w:val="en-GB"/>
        </w:rPr>
        <w:t>Procare</w:t>
      </w:r>
      <w:proofErr w:type="spellEnd"/>
      <w:r w:rsidRPr="00557483">
        <w:rPr>
          <w:rFonts w:cs="Times New Roman"/>
          <w:szCs w:val="24"/>
          <w:lang w:val="en-GB"/>
        </w:rPr>
        <w:t xml:space="preserve"> Nursing has expert staff members who know the use of such innovative technology in a better way and even can direct the clients also to use this technology to keep the proper record of the patient health data with the use of the sensors. These sensors enable the individuals to keep a record of the patients. </w:t>
      </w:r>
    </w:p>
    <w:p w14:paraId="0EA3D5E1" w14:textId="77777777" w:rsidR="00810715" w:rsidRPr="00557483" w:rsidRDefault="00810715" w:rsidP="00810715">
      <w:pPr>
        <w:jc w:val="both"/>
        <w:rPr>
          <w:rFonts w:cs="Times New Roman"/>
          <w:szCs w:val="24"/>
          <w:lang w:val="en-GB"/>
        </w:rPr>
      </w:pPr>
      <w:r w:rsidRPr="00557483">
        <w:rPr>
          <w:rFonts w:cs="Times New Roman"/>
          <w:szCs w:val="24"/>
          <w:lang w:val="en-GB"/>
        </w:rPr>
        <w:t xml:space="preserve">To use this innovative process, the employees in ProCare Nursing need proper training about the use of such health trackers so that they can even provide training to the clients </w:t>
      </w:r>
      <w:r w:rsidRPr="00557483">
        <w:rPr>
          <w:rFonts w:cs="Times New Roman"/>
          <w:szCs w:val="24"/>
          <w:lang w:val="en-GB"/>
        </w:rPr>
        <w:lastRenderedPageBreak/>
        <w:t>also about the use of this technology-based tracker. However, in such a process the organi</w:t>
      </w:r>
      <w:r>
        <w:rPr>
          <w:rFonts w:cs="Times New Roman"/>
          <w:szCs w:val="24"/>
          <w:lang w:val="en-GB"/>
        </w:rPr>
        <w:t>satio</w:t>
      </w:r>
      <w:r w:rsidRPr="00557483">
        <w:rPr>
          <w:rFonts w:cs="Times New Roman"/>
          <w:szCs w:val="24"/>
          <w:lang w:val="en-GB"/>
        </w:rPr>
        <w:t>n will need to develop a proper learning-based organi</w:t>
      </w:r>
      <w:r>
        <w:rPr>
          <w:rFonts w:cs="Times New Roman"/>
          <w:szCs w:val="24"/>
          <w:lang w:val="en-GB"/>
        </w:rPr>
        <w:t>satio</w:t>
      </w:r>
      <w:r w:rsidRPr="00557483">
        <w:rPr>
          <w:rFonts w:cs="Times New Roman"/>
          <w:szCs w:val="24"/>
          <w:lang w:val="en-GB"/>
        </w:rPr>
        <w:t>nal climate (</w:t>
      </w:r>
      <w:proofErr w:type="spellStart"/>
      <w:r w:rsidRPr="00557483">
        <w:rPr>
          <w:szCs w:val="24"/>
          <w:lang w:val="en-GB"/>
        </w:rPr>
        <w:t>Ovesni</w:t>
      </w:r>
      <w:proofErr w:type="spellEnd"/>
      <w:r w:rsidRPr="00557483">
        <w:rPr>
          <w:szCs w:val="24"/>
          <w:lang w:val="en-GB"/>
        </w:rPr>
        <w:t>, 2020</w:t>
      </w:r>
      <w:r w:rsidRPr="00557483">
        <w:rPr>
          <w:rFonts w:cs="Times New Roman"/>
          <w:szCs w:val="24"/>
          <w:lang w:val="en-GB"/>
        </w:rPr>
        <w:t>). To implement this idea, the current organi</w:t>
      </w:r>
      <w:r>
        <w:rPr>
          <w:rFonts w:cs="Times New Roman"/>
          <w:szCs w:val="24"/>
          <w:lang w:val="en-GB"/>
        </w:rPr>
        <w:t>satio</w:t>
      </w:r>
      <w:r w:rsidRPr="00557483">
        <w:rPr>
          <w:rFonts w:cs="Times New Roman"/>
          <w:szCs w:val="24"/>
          <w:lang w:val="en-GB"/>
        </w:rPr>
        <w:t>nal climate of ProCare Nursing is already very supportive. The organi</w:t>
      </w:r>
      <w:r>
        <w:rPr>
          <w:rFonts w:cs="Times New Roman"/>
          <w:szCs w:val="24"/>
          <w:lang w:val="en-GB"/>
        </w:rPr>
        <w:t>satio</w:t>
      </w:r>
      <w:r w:rsidRPr="00557483">
        <w:rPr>
          <w:rFonts w:cs="Times New Roman"/>
          <w:szCs w:val="24"/>
          <w:lang w:val="en-GB"/>
        </w:rPr>
        <w:t>n in its working climate already promotes the overall independence of the employees so that they can utili</w:t>
      </w:r>
      <w:r>
        <w:rPr>
          <w:rFonts w:cs="Times New Roman"/>
          <w:szCs w:val="24"/>
          <w:lang w:val="en-GB"/>
        </w:rPr>
        <w:t>s</w:t>
      </w:r>
      <w:r w:rsidRPr="00557483">
        <w:rPr>
          <w:rFonts w:cs="Times New Roman"/>
          <w:szCs w:val="24"/>
          <w:lang w:val="en-GB"/>
        </w:rPr>
        <w:t>e their capabilities at their best. Furthermore, it also promotes individual choice where they have control of their lives and in the working environment where they are working, the promotion of skills development and activity-based learning is also given in the organi</w:t>
      </w:r>
      <w:r>
        <w:rPr>
          <w:rFonts w:cs="Times New Roman"/>
          <w:szCs w:val="24"/>
          <w:lang w:val="en-GB"/>
        </w:rPr>
        <w:t>satio</w:t>
      </w:r>
      <w:r w:rsidRPr="00557483">
        <w:rPr>
          <w:rFonts w:cs="Times New Roman"/>
          <w:szCs w:val="24"/>
          <w:lang w:val="en-GB"/>
        </w:rPr>
        <w:t>n that is supportive of the implementation of such innovation (</w:t>
      </w:r>
      <w:proofErr w:type="spellStart"/>
      <w:r w:rsidRPr="00557483">
        <w:rPr>
          <w:szCs w:val="24"/>
          <w:lang w:val="en-GB"/>
        </w:rPr>
        <w:t>Sethibe</w:t>
      </w:r>
      <w:proofErr w:type="spellEnd"/>
      <w:r w:rsidRPr="00557483">
        <w:rPr>
          <w:szCs w:val="24"/>
          <w:lang w:val="en-GB"/>
        </w:rPr>
        <w:t>, 2018</w:t>
      </w:r>
      <w:r w:rsidRPr="00557483">
        <w:rPr>
          <w:rFonts w:cs="Times New Roman"/>
          <w:szCs w:val="24"/>
          <w:lang w:val="en-GB"/>
        </w:rPr>
        <w:t>). However, there might be made some more improvement in the current organi</w:t>
      </w:r>
      <w:r>
        <w:rPr>
          <w:rFonts w:cs="Times New Roman"/>
          <w:szCs w:val="24"/>
          <w:lang w:val="en-GB"/>
        </w:rPr>
        <w:t>satio</w:t>
      </w:r>
      <w:r w:rsidRPr="00557483">
        <w:rPr>
          <w:rFonts w:cs="Times New Roman"/>
          <w:szCs w:val="24"/>
          <w:lang w:val="en-GB"/>
        </w:rPr>
        <w:t>nal climate such as there must be developed a system so that new technology acceptance becomes a favourable practice in the organi</w:t>
      </w:r>
      <w:r>
        <w:rPr>
          <w:rFonts w:cs="Times New Roman"/>
          <w:szCs w:val="24"/>
          <w:lang w:val="en-GB"/>
        </w:rPr>
        <w:t>satio</w:t>
      </w:r>
      <w:r w:rsidRPr="00557483">
        <w:rPr>
          <w:rFonts w:cs="Times New Roman"/>
          <w:szCs w:val="24"/>
          <w:lang w:val="en-GB"/>
        </w:rPr>
        <w:t>n. In this relation, the Technology Acceptance Model (TAM) can be applied which affirms that any new technology is adopted by individuals based on mainly two core factors and these factors are perceived ease of use and perceived usefulness of the technology (</w:t>
      </w:r>
      <w:r w:rsidRPr="00557483">
        <w:rPr>
          <w:szCs w:val="24"/>
          <w:lang w:val="en-GB"/>
        </w:rPr>
        <w:t>Opoku and Francis, 2019</w:t>
      </w:r>
      <w:r w:rsidRPr="00557483">
        <w:rPr>
          <w:rFonts w:cs="Times New Roman"/>
          <w:szCs w:val="24"/>
          <w:lang w:val="en-GB"/>
        </w:rPr>
        <w:t>). With such consideration, it has been examined that ProCare Nursing must develop such a work environment so that the employees understand the usefulness of the bio-sensor-based technology of health trackers. The use of this technology should also be made easy in the organisation so that the employees feel convenient and comfortable to adopt it easily.</w:t>
      </w:r>
    </w:p>
    <w:p w14:paraId="3E50E11F" w14:textId="77777777" w:rsidR="00810715" w:rsidRDefault="00810715" w:rsidP="00810715">
      <w:pPr>
        <w:jc w:val="both"/>
        <w:rPr>
          <w:rFonts w:cs="Times New Roman"/>
          <w:szCs w:val="24"/>
          <w:lang w:val="en-GB"/>
        </w:rPr>
      </w:pPr>
      <w:r w:rsidRPr="00557483">
        <w:rPr>
          <w:rFonts w:cs="Times New Roman"/>
          <w:szCs w:val="24"/>
          <w:lang w:val="en-GB"/>
        </w:rPr>
        <w:t>In the same context, the effective and supportive leadership style should also be followed in ProCare Nursing. The most appropriate leadership style for the same purpose will be the participative leadership style. The participative leadership style is the one where the immediate leader in the organi</w:t>
      </w:r>
      <w:r>
        <w:rPr>
          <w:rFonts w:cs="Times New Roman"/>
          <w:szCs w:val="24"/>
          <w:lang w:val="en-GB"/>
        </w:rPr>
        <w:t>satio</w:t>
      </w:r>
      <w:r w:rsidRPr="00557483">
        <w:rPr>
          <w:rFonts w:cs="Times New Roman"/>
          <w:szCs w:val="24"/>
          <w:lang w:val="en-GB"/>
        </w:rPr>
        <w:t xml:space="preserve">n renders a transparent leadership approach and favours the inclusion of all the employees in the decision-making process </w:t>
      </w:r>
      <w:r w:rsidRPr="00557483">
        <w:rPr>
          <w:rFonts w:cs="Times New Roman"/>
          <w:szCs w:val="24"/>
          <w:lang w:val="en-GB"/>
        </w:rPr>
        <w:lastRenderedPageBreak/>
        <w:t>by giving their ideas good value to be included in the decision-making process (</w:t>
      </w:r>
      <w:r w:rsidRPr="00557483">
        <w:rPr>
          <w:szCs w:val="24"/>
          <w:lang w:val="en-GB"/>
        </w:rPr>
        <w:t>Wang and Hou, 2022</w:t>
      </w:r>
      <w:r w:rsidRPr="00557483">
        <w:rPr>
          <w:rFonts w:cs="Times New Roman"/>
          <w:szCs w:val="24"/>
          <w:lang w:val="en-GB"/>
        </w:rPr>
        <w:t>). The inclusion of participative leadership will prove helpful to know the views of the employees about the use of the new technology of biosensor health tracking system and henceforth to know the things they wish to have its better use. Furthermore, this leadership will also make the employees feel valued and in such a process they will be able to accept the innovation favourably.</w:t>
      </w:r>
    </w:p>
    <w:p w14:paraId="32701E31" w14:textId="1A5A6E12" w:rsidR="00810715" w:rsidRDefault="00810715" w:rsidP="00F10CDB">
      <w:pPr>
        <w:pStyle w:val="Heading1"/>
        <w:rPr>
          <w:lang w:val="en-GB"/>
        </w:rPr>
      </w:pPr>
      <w:bookmarkStart w:id="5" w:name="_Toc161423869"/>
      <w:r>
        <w:rPr>
          <w:lang w:val="en-GB"/>
        </w:rPr>
        <w:t>Conclusion</w:t>
      </w:r>
      <w:bookmarkEnd w:id="5"/>
    </w:p>
    <w:p w14:paraId="75FE9090" w14:textId="77777777" w:rsidR="00810715" w:rsidRDefault="00810715" w:rsidP="00810715">
      <w:pPr>
        <w:jc w:val="both"/>
        <w:rPr>
          <w:lang w:val="en-GB"/>
        </w:rPr>
      </w:pPr>
      <w:r>
        <w:tab/>
        <w:t xml:space="preserve">My tenure as a care assistant at ProCare Nursing has been enriching and provided me with the opportunity to learn and grow both personally and professionally. The usage of biosensors and trackers in the healthcare profession is the most fascinating innovation that I have come across in my role as a care assistant at ProCare Nursing. </w:t>
      </w:r>
      <w:r>
        <w:rPr>
          <w:lang w:val="en-GB"/>
        </w:rPr>
        <w:t xml:space="preserve"> In my understanding, the use of biosensors and trackers is a radical innovation and falls into the "Product" category of the 4P innovation model.</w:t>
      </w:r>
      <w:r>
        <w:t xml:space="preserve"> </w:t>
      </w:r>
      <w:r>
        <w:rPr>
          <w:lang w:val="en-GB"/>
        </w:rPr>
        <w:t>Biosensor applications are ideally suited for major characteristics or widely classified fields such as clinical mycology, identifying diseases, and contrasting images during MRIs, heart diagnostics, retinal prostheses and tracking health conditions</w:t>
      </w:r>
      <w:r>
        <w:t xml:space="preserve">. Furthermore, the medical suffering faced by older people was the most significant problem I observed as a care assistant. To find a creative solution to this problem, I went through four phases of the process of creativity namely: </w:t>
      </w:r>
      <w:r>
        <w:rPr>
          <w:lang w:val="en-GB"/>
        </w:rPr>
        <w:t>preparation, incubation, illumination and verification.</w:t>
      </w:r>
      <w:r>
        <w:t xml:space="preserve"> During this process, </w:t>
      </w:r>
      <w:r>
        <w:rPr>
          <w:lang w:val="en-GB"/>
        </w:rPr>
        <w:t xml:space="preserve">I utilised De Bono's Green Thinking hat to come up with a creative solution for the problem I had identified. The green hat represents imaginative consideration and the generation of fresh notions, thoughts, and solutions </w:t>
      </w:r>
    </w:p>
    <w:p w14:paraId="4072A671" w14:textId="47C0041A" w:rsidR="00810715" w:rsidRPr="00810715" w:rsidRDefault="00810715" w:rsidP="00810715">
      <w:pPr>
        <w:jc w:val="both"/>
      </w:pPr>
      <w:r>
        <w:t xml:space="preserve">Furthermore, in ProCare Nursing, I found that they follow a very supportive organisational climate to foster better working of the employees by encouraging the supporting employees to give them a proper learning environment so that they can </w:t>
      </w:r>
      <w:r>
        <w:lastRenderedPageBreak/>
        <w:t>deliver the expected quality of nursing care services to the patients according to the set standards. Additionally, ProCare Nursing also promotes individual choice where they have control of their lives and in the working environment where they are working, the promotion of skills development and activity-based learning is also given in the organisation that is supportive of the implementation of innovations such as use of biosensors and use of health trackers.</w:t>
      </w:r>
    </w:p>
    <w:p w14:paraId="6C83185D" w14:textId="77777777" w:rsidR="00810715" w:rsidRPr="00810715" w:rsidRDefault="00810715">
      <w:pPr>
        <w:numPr>
          <w:ilvl w:val="0"/>
          <w:numId w:val="11"/>
        </w:numPr>
        <w:jc w:val="both"/>
        <w:rPr>
          <w:lang w:val="en-GB"/>
        </w:rPr>
        <w:sectPr w:rsidR="00810715" w:rsidRPr="00810715" w:rsidSect="00C72CD0">
          <w:footerReference w:type="default" r:id="rId11"/>
          <w:pgSz w:w="11906" w:h="16838"/>
          <w:pgMar w:top="1440" w:right="1800" w:bottom="1440" w:left="1800" w:header="720" w:footer="720" w:gutter="0"/>
          <w:pgNumType w:start="0"/>
          <w:cols w:space="720"/>
          <w:titlePg/>
          <w:docGrid w:linePitch="360"/>
        </w:sectPr>
      </w:pPr>
    </w:p>
    <w:p w14:paraId="7C4AA849" w14:textId="77777777" w:rsidR="000C26A9" w:rsidRPr="0055360A" w:rsidRDefault="00C959D2" w:rsidP="00F10CDB">
      <w:pPr>
        <w:pStyle w:val="Heading1"/>
        <w:rPr>
          <w:lang w:val="en-GB"/>
        </w:rPr>
      </w:pPr>
      <w:bookmarkStart w:id="6" w:name="_Toc161423870"/>
      <w:r w:rsidRPr="0055360A">
        <w:rPr>
          <w:lang w:val="en-GB"/>
        </w:rPr>
        <w:lastRenderedPageBreak/>
        <w:t>References</w:t>
      </w:r>
      <w:bookmarkEnd w:id="6"/>
    </w:p>
    <w:p w14:paraId="3A5305C4" w14:textId="77777777" w:rsidR="00810715" w:rsidRPr="0055360A" w:rsidRDefault="00810715" w:rsidP="00810715">
      <w:pPr>
        <w:ind w:left="480" w:hangingChars="200" w:hanging="480"/>
        <w:rPr>
          <w:lang w:val="en-GB"/>
        </w:rPr>
      </w:pPr>
      <w:proofErr w:type="spellStart"/>
      <w:r w:rsidRPr="0055360A">
        <w:rPr>
          <w:lang w:val="en-GB"/>
        </w:rPr>
        <w:t>Adibelli</w:t>
      </w:r>
      <w:proofErr w:type="spellEnd"/>
      <w:r w:rsidRPr="0055360A">
        <w:rPr>
          <w:lang w:val="en-GB"/>
        </w:rPr>
        <w:t>, D. and Kılıç, D. 2013. Difficulties experienced by nurses in older patient care and their attitudes toward the older patients.</w:t>
      </w:r>
      <w:r w:rsidRPr="0055360A">
        <w:rPr>
          <w:i/>
          <w:iCs/>
          <w:lang w:val="en-GB"/>
        </w:rPr>
        <w:t xml:space="preserve"> Nurse education today</w:t>
      </w:r>
      <w:r w:rsidRPr="0055360A">
        <w:rPr>
          <w:lang w:val="en-GB"/>
        </w:rPr>
        <w:t xml:space="preserve"> 33(9), pp. 1074-1078.</w:t>
      </w:r>
    </w:p>
    <w:p w14:paraId="1E10FD62" w14:textId="77777777" w:rsidR="00810715" w:rsidRPr="0055360A" w:rsidRDefault="00810715" w:rsidP="00810715">
      <w:pPr>
        <w:ind w:left="480" w:hangingChars="200" w:hanging="480"/>
        <w:rPr>
          <w:lang w:val="en-GB"/>
        </w:rPr>
      </w:pPr>
      <w:r w:rsidRPr="0055360A">
        <w:rPr>
          <w:lang w:val="en-GB"/>
        </w:rPr>
        <w:t xml:space="preserve">Altintas, Z. 2017. </w:t>
      </w:r>
      <w:r w:rsidRPr="0055360A">
        <w:rPr>
          <w:i/>
          <w:iCs/>
          <w:lang w:val="en-GB"/>
        </w:rPr>
        <w:t>Biosensors and Nanotechnology: Applications in Health Care Diagnostics</w:t>
      </w:r>
      <w:r w:rsidRPr="0055360A">
        <w:rPr>
          <w:lang w:val="en-GB"/>
        </w:rPr>
        <w:t>. United Kingdom: Wiley.</w:t>
      </w:r>
    </w:p>
    <w:p w14:paraId="0CD54F87" w14:textId="77777777" w:rsidR="00810715" w:rsidRPr="00557483" w:rsidRDefault="00810715" w:rsidP="00810715">
      <w:pPr>
        <w:ind w:left="480" w:hangingChars="200" w:hanging="480"/>
        <w:rPr>
          <w:rFonts w:cs="Times New Roman"/>
          <w:szCs w:val="24"/>
          <w:lang w:val="en-GB"/>
        </w:rPr>
      </w:pPr>
      <w:r w:rsidRPr="00557483">
        <w:rPr>
          <w:rFonts w:cs="Times New Roman"/>
          <w:szCs w:val="24"/>
          <w:lang w:val="en-GB"/>
        </w:rPr>
        <w:t xml:space="preserve">Bako, M. 2018. Different leadership style choices, different generations. </w:t>
      </w:r>
      <w:proofErr w:type="spellStart"/>
      <w:r w:rsidRPr="00557483">
        <w:rPr>
          <w:rFonts w:cs="Times New Roman"/>
          <w:i/>
          <w:iCs/>
          <w:szCs w:val="24"/>
          <w:lang w:val="en-GB"/>
        </w:rPr>
        <w:t>Prizren</w:t>
      </w:r>
      <w:proofErr w:type="spellEnd"/>
      <w:r w:rsidRPr="00557483">
        <w:rPr>
          <w:rFonts w:cs="Times New Roman"/>
          <w:i/>
          <w:iCs/>
          <w:szCs w:val="24"/>
          <w:lang w:val="en-GB"/>
        </w:rPr>
        <w:t xml:space="preserve"> Social Science Journal</w:t>
      </w:r>
      <w:r w:rsidRPr="00557483">
        <w:rPr>
          <w:rFonts w:cs="Times New Roman"/>
          <w:szCs w:val="24"/>
          <w:lang w:val="en-GB"/>
        </w:rPr>
        <w:t xml:space="preserve"> 2(2), pp. 127-143.</w:t>
      </w:r>
    </w:p>
    <w:p w14:paraId="6E58A6FC" w14:textId="77777777" w:rsidR="00810715" w:rsidRPr="0055360A" w:rsidRDefault="00810715" w:rsidP="00810715">
      <w:pPr>
        <w:ind w:left="480" w:hangingChars="200" w:hanging="480"/>
        <w:rPr>
          <w:lang w:val="en-GB"/>
        </w:rPr>
      </w:pPr>
      <w:r w:rsidRPr="0055360A">
        <w:rPr>
          <w:lang w:val="en-GB"/>
        </w:rPr>
        <w:t>Barlow, J. 2016. </w:t>
      </w:r>
      <w:r w:rsidRPr="0055360A">
        <w:rPr>
          <w:i/>
          <w:iCs/>
          <w:lang w:val="en-GB"/>
        </w:rPr>
        <w:t>Managing Innovation in Healthcare</w:t>
      </w:r>
      <w:r w:rsidRPr="0055360A">
        <w:rPr>
          <w:lang w:val="en-GB"/>
        </w:rPr>
        <w:t>. Singapore: World Scientific Publishing Company.</w:t>
      </w:r>
    </w:p>
    <w:p w14:paraId="5A0B138C" w14:textId="77777777" w:rsidR="00810715" w:rsidRPr="0055360A" w:rsidRDefault="00810715" w:rsidP="00810715">
      <w:pPr>
        <w:ind w:left="480" w:hangingChars="200" w:hanging="480"/>
        <w:rPr>
          <w:lang w:val="en-GB"/>
        </w:rPr>
      </w:pPr>
      <w:r w:rsidRPr="007852D4">
        <w:rPr>
          <w:lang w:val="it-IT"/>
        </w:rPr>
        <w:t xml:space="preserve">Castillo-León, J., </w:t>
      </w:r>
      <w:proofErr w:type="spellStart"/>
      <w:r w:rsidRPr="007852D4">
        <w:rPr>
          <w:lang w:val="it-IT"/>
        </w:rPr>
        <w:t>Trebbien</w:t>
      </w:r>
      <w:proofErr w:type="spellEnd"/>
      <w:r w:rsidRPr="007852D4">
        <w:rPr>
          <w:lang w:val="it-IT"/>
        </w:rPr>
        <w:t xml:space="preserve">, R., Castillo, J.J. and Svendsen, W.E. 2021. </w:t>
      </w:r>
      <w:r w:rsidRPr="0055360A">
        <w:rPr>
          <w:lang w:val="en-GB"/>
        </w:rPr>
        <w:t xml:space="preserve">Commercially available rapid diagnostic tests for the detection of high priority pathogens: status and challenges. </w:t>
      </w:r>
      <w:r w:rsidRPr="0055360A">
        <w:rPr>
          <w:i/>
          <w:iCs/>
          <w:lang w:val="en-GB"/>
        </w:rPr>
        <w:t>Analyst</w:t>
      </w:r>
      <w:r w:rsidRPr="0055360A">
        <w:rPr>
          <w:lang w:val="en-GB"/>
        </w:rPr>
        <w:t xml:space="preserve"> 146(12), pp. 3750-3776.</w:t>
      </w:r>
    </w:p>
    <w:p w14:paraId="75F9C164" w14:textId="77777777" w:rsidR="00810715" w:rsidRPr="0055360A" w:rsidRDefault="00810715" w:rsidP="00810715">
      <w:pPr>
        <w:ind w:left="480" w:hangingChars="200" w:hanging="480"/>
        <w:rPr>
          <w:lang w:val="en-GB"/>
        </w:rPr>
      </w:pPr>
      <w:r w:rsidRPr="0055360A">
        <w:rPr>
          <w:lang w:val="en-GB"/>
        </w:rPr>
        <w:t xml:space="preserve">Cheng, J.M., Batten, G.P., Cornwell, T. and Yao, N. 2020. A qualitative study of health‐care experiences and challenges faced by ageing homebound adults. </w:t>
      </w:r>
      <w:r w:rsidRPr="0055360A">
        <w:rPr>
          <w:i/>
          <w:iCs/>
          <w:lang w:val="en-GB"/>
        </w:rPr>
        <w:t>Health Expectations</w:t>
      </w:r>
      <w:r w:rsidRPr="0055360A">
        <w:rPr>
          <w:lang w:val="en-GB"/>
        </w:rPr>
        <w:t xml:space="preserve"> 23(4), pp. 934-942.</w:t>
      </w:r>
    </w:p>
    <w:p w14:paraId="097D09E0" w14:textId="77777777" w:rsidR="00810715" w:rsidRPr="0055360A" w:rsidRDefault="00810715" w:rsidP="00810715">
      <w:pPr>
        <w:ind w:left="480" w:hangingChars="200" w:hanging="480"/>
        <w:rPr>
          <w:lang w:val="en-GB"/>
        </w:rPr>
      </w:pPr>
      <w:r w:rsidRPr="0055360A">
        <w:rPr>
          <w:lang w:val="en-GB"/>
        </w:rPr>
        <w:t xml:space="preserve">Freund, T., Everett, C., Griffiths, P., Hudon, C., </w:t>
      </w:r>
      <w:proofErr w:type="spellStart"/>
      <w:r w:rsidRPr="0055360A">
        <w:rPr>
          <w:lang w:val="en-GB"/>
        </w:rPr>
        <w:t>Naccarella</w:t>
      </w:r>
      <w:proofErr w:type="spellEnd"/>
      <w:r w:rsidRPr="0055360A">
        <w:rPr>
          <w:lang w:val="en-GB"/>
        </w:rPr>
        <w:t xml:space="preserve">, L. and Laurant, M. 2015. Skill mix, roles and remuneration in the primary care workforce: who are the healthcare professionals in the primary care teams across the world?. </w:t>
      </w:r>
      <w:r w:rsidRPr="0055360A">
        <w:rPr>
          <w:i/>
          <w:iCs/>
          <w:lang w:val="en-GB"/>
        </w:rPr>
        <w:t>International Journal of Nursing Studies</w:t>
      </w:r>
      <w:r w:rsidRPr="0055360A">
        <w:rPr>
          <w:lang w:val="en-GB"/>
        </w:rPr>
        <w:t xml:space="preserve"> 52(3), pp. 727-743.</w:t>
      </w:r>
    </w:p>
    <w:p w14:paraId="1CF08342" w14:textId="77777777" w:rsidR="00810715" w:rsidRPr="0055360A" w:rsidRDefault="00810715" w:rsidP="00810715">
      <w:pPr>
        <w:ind w:left="480" w:hangingChars="200" w:hanging="480"/>
        <w:rPr>
          <w:lang w:val="en-GB"/>
        </w:rPr>
      </w:pPr>
      <w:r w:rsidRPr="0055360A">
        <w:rPr>
          <w:lang w:val="en-GB"/>
        </w:rPr>
        <w:t>Gilhooly, K.J. 2017. Incubation, problem solving and creativity. In International Handbook of Thinking and Reasoning, Routledge, pp. 204-217.</w:t>
      </w:r>
    </w:p>
    <w:p w14:paraId="51E84D3F" w14:textId="77777777" w:rsidR="00810715" w:rsidRPr="00557483" w:rsidRDefault="00810715" w:rsidP="00810715">
      <w:pPr>
        <w:ind w:left="480" w:hangingChars="200" w:hanging="480"/>
        <w:rPr>
          <w:rFonts w:cs="Times New Roman"/>
          <w:szCs w:val="24"/>
          <w:lang w:val="en-GB"/>
        </w:rPr>
      </w:pPr>
      <w:r w:rsidRPr="00557483">
        <w:rPr>
          <w:rFonts w:cs="Times New Roman"/>
          <w:szCs w:val="24"/>
          <w:lang w:val="en-GB"/>
        </w:rPr>
        <w:t xml:space="preserve">Grobler, A. and Rensburg, M.J.V. 2019. Organisational climate, person–organisation fit and turn over intention: a generational perspective within a South African </w:t>
      </w:r>
      <w:r w:rsidRPr="00557483">
        <w:rPr>
          <w:rFonts w:cs="Times New Roman"/>
          <w:szCs w:val="24"/>
          <w:lang w:val="en-GB"/>
        </w:rPr>
        <w:lastRenderedPageBreak/>
        <w:t xml:space="preserve">Higher Education Institution. </w:t>
      </w:r>
      <w:r w:rsidRPr="00557483">
        <w:rPr>
          <w:rFonts w:cs="Times New Roman"/>
          <w:i/>
          <w:iCs/>
          <w:szCs w:val="24"/>
          <w:lang w:val="en-GB"/>
        </w:rPr>
        <w:t>Studies in Higher Education</w:t>
      </w:r>
      <w:r w:rsidRPr="00557483">
        <w:rPr>
          <w:rFonts w:cs="Times New Roman"/>
          <w:szCs w:val="24"/>
          <w:lang w:val="en-GB"/>
        </w:rPr>
        <w:t xml:space="preserve"> 44(11), pp. 2053-2065.</w:t>
      </w:r>
    </w:p>
    <w:p w14:paraId="57E854A9" w14:textId="77777777" w:rsidR="00810715" w:rsidRPr="0055360A" w:rsidRDefault="00810715" w:rsidP="00810715">
      <w:pPr>
        <w:ind w:left="480" w:hangingChars="200" w:hanging="480"/>
        <w:rPr>
          <w:lang w:val="en-GB"/>
        </w:rPr>
      </w:pPr>
      <w:r w:rsidRPr="0055360A">
        <w:rPr>
          <w:lang w:val="en-GB"/>
        </w:rPr>
        <w:t xml:space="preserve">Higson, S. 2012. </w:t>
      </w:r>
      <w:r w:rsidRPr="0055360A">
        <w:rPr>
          <w:i/>
          <w:iCs/>
          <w:lang w:val="en-GB"/>
        </w:rPr>
        <w:t>Biosensors for Medical Applications.</w:t>
      </w:r>
      <w:r w:rsidRPr="0055360A">
        <w:rPr>
          <w:lang w:val="en-GB"/>
        </w:rPr>
        <w:t> United Kingdom: Elsevier Science.</w:t>
      </w:r>
    </w:p>
    <w:p w14:paraId="0704AB05" w14:textId="77777777" w:rsidR="00810715" w:rsidRPr="0055360A" w:rsidRDefault="00810715" w:rsidP="00810715">
      <w:pPr>
        <w:ind w:left="480" w:hangingChars="200" w:hanging="480"/>
        <w:rPr>
          <w:lang w:val="en-GB"/>
        </w:rPr>
      </w:pPr>
      <w:r w:rsidRPr="0055360A">
        <w:rPr>
          <w:lang w:val="en-GB"/>
        </w:rPr>
        <w:t xml:space="preserve">Hong, T.L., Cheong, C.B. and Rizal, H.S. 2016. Service innovation in Malaysian banking industry towards sustainable competitive advantage through environmental and socially practices. </w:t>
      </w:r>
      <w:r w:rsidRPr="0055360A">
        <w:rPr>
          <w:i/>
          <w:iCs/>
          <w:lang w:val="en-GB"/>
        </w:rPr>
        <w:t xml:space="preserve">Procedia-Social and </w:t>
      </w:r>
      <w:proofErr w:type="spellStart"/>
      <w:r w:rsidRPr="0055360A">
        <w:rPr>
          <w:i/>
          <w:iCs/>
          <w:lang w:val="en-GB"/>
        </w:rPr>
        <w:t>Behavioral</w:t>
      </w:r>
      <w:proofErr w:type="spellEnd"/>
      <w:r w:rsidRPr="0055360A">
        <w:rPr>
          <w:i/>
          <w:iCs/>
          <w:lang w:val="en-GB"/>
        </w:rPr>
        <w:t xml:space="preserve"> Sciences</w:t>
      </w:r>
      <w:r w:rsidRPr="0055360A">
        <w:rPr>
          <w:lang w:val="en-GB"/>
        </w:rPr>
        <w:t xml:space="preserve"> 224, pp. 52-59.</w:t>
      </w:r>
    </w:p>
    <w:p w14:paraId="59218734" w14:textId="77777777" w:rsidR="00810715" w:rsidRPr="0055360A" w:rsidRDefault="00810715" w:rsidP="00810715">
      <w:pPr>
        <w:ind w:left="480" w:hangingChars="200" w:hanging="480"/>
        <w:rPr>
          <w:lang w:val="en-GB"/>
        </w:rPr>
      </w:pPr>
      <w:r w:rsidRPr="0055360A">
        <w:rPr>
          <w:lang w:val="en-GB"/>
        </w:rPr>
        <w:t xml:space="preserve">Karakuş, S. and Asadpour, V. 2022. </w:t>
      </w:r>
      <w:proofErr w:type="spellStart"/>
      <w:r w:rsidRPr="0055360A">
        <w:rPr>
          <w:i/>
          <w:iCs/>
          <w:lang w:val="en-GB"/>
        </w:rPr>
        <w:t>Biosignal</w:t>
      </w:r>
      <w:proofErr w:type="spellEnd"/>
      <w:r w:rsidRPr="0055360A">
        <w:rPr>
          <w:i/>
          <w:iCs/>
          <w:lang w:val="en-GB"/>
        </w:rPr>
        <w:t xml:space="preserve"> Processing</w:t>
      </w:r>
      <w:r w:rsidRPr="0055360A">
        <w:rPr>
          <w:lang w:val="en-GB"/>
        </w:rPr>
        <w:t>. United Kingdom: </w:t>
      </w:r>
      <w:proofErr w:type="spellStart"/>
      <w:r w:rsidRPr="0055360A">
        <w:rPr>
          <w:lang w:val="en-GB"/>
        </w:rPr>
        <w:t>IntechOpen</w:t>
      </w:r>
      <w:proofErr w:type="spellEnd"/>
      <w:r w:rsidRPr="0055360A">
        <w:rPr>
          <w:lang w:val="en-GB"/>
        </w:rPr>
        <w:t>.</w:t>
      </w:r>
    </w:p>
    <w:p w14:paraId="764CAC0E" w14:textId="77777777" w:rsidR="00810715" w:rsidRPr="0055360A" w:rsidRDefault="00810715" w:rsidP="00810715">
      <w:pPr>
        <w:ind w:left="480" w:hangingChars="200" w:hanging="480"/>
        <w:rPr>
          <w:lang w:val="en-GB"/>
        </w:rPr>
      </w:pPr>
      <w:r w:rsidRPr="0055360A">
        <w:rPr>
          <w:lang w:val="en-GB"/>
        </w:rPr>
        <w:t xml:space="preserve">Kim, E.R., Joe, C., Mitchell, R.J. and Gu, M.B. 2023. Biosensors for healthcare: Current and future perspectives. </w:t>
      </w:r>
      <w:r w:rsidRPr="0055360A">
        <w:rPr>
          <w:i/>
          <w:iCs/>
          <w:lang w:val="en-GB"/>
        </w:rPr>
        <w:t>Trends in Biotechnology</w:t>
      </w:r>
      <w:r w:rsidRPr="0055360A">
        <w:rPr>
          <w:lang w:val="en-GB"/>
        </w:rPr>
        <w:t xml:space="preserve"> 41(3), pp. 374-395.</w:t>
      </w:r>
    </w:p>
    <w:p w14:paraId="767190F0" w14:textId="77777777" w:rsidR="00810715" w:rsidRPr="0055360A" w:rsidRDefault="00810715" w:rsidP="00810715">
      <w:pPr>
        <w:ind w:left="480" w:hangingChars="200" w:hanging="480"/>
        <w:rPr>
          <w:lang w:val="en-GB"/>
        </w:rPr>
      </w:pPr>
      <w:proofErr w:type="spellStart"/>
      <w:r w:rsidRPr="0055360A">
        <w:rPr>
          <w:lang w:val="en-GB"/>
        </w:rPr>
        <w:t>Kivunja</w:t>
      </w:r>
      <w:proofErr w:type="spellEnd"/>
      <w:r w:rsidRPr="0055360A">
        <w:rPr>
          <w:lang w:val="en-GB"/>
        </w:rPr>
        <w:t xml:space="preserve">, C. 2015. Using De Bono’s six thinking hats model to teach critical thinking and problem solving skills essential for success in the 21st century economy. </w:t>
      </w:r>
      <w:r w:rsidRPr="0055360A">
        <w:rPr>
          <w:i/>
          <w:iCs/>
          <w:lang w:val="en-GB"/>
        </w:rPr>
        <w:t>Creative Education</w:t>
      </w:r>
      <w:r w:rsidRPr="0055360A">
        <w:rPr>
          <w:lang w:val="en-GB"/>
        </w:rPr>
        <w:t xml:space="preserve"> 6(3), pp. 380-391.</w:t>
      </w:r>
    </w:p>
    <w:p w14:paraId="7DD25121" w14:textId="77777777" w:rsidR="00810715" w:rsidRPr="0055360A" w:rsidRDefault="00810715" w:rsidP="00810715">
      <w:pPr>
        <w:ind w:left="480" w:hangingChars="200" w:hanging="480"/>
        <w:rPr>
          <w:lang w:val="en-GB"/>
        </w:rPr>
      </w:pPr>
      <w:r w:rsidRPr="0055360A">
        <w:rPr>
          <w:lang w:val="en-GB"/>
        </w:rPr>
        <w:t xml:space="preserve">Li, L., Peng, W., Kononova, A., Bowen, M. and Cotten, S.R. 2020. Factors associated with older adults' long-term use of wearable activity trackers. </w:t>
      </w:r>
      <w:r w:rsidRPr="0055360A">
        <w:rPr>
          <w:i/>
          <w:iCs/>
          <w:lang w:val="en-GB"/>
        </w:rPr>
        <w:t>Telemedicine and e-Health</w:t>
      </w:r>
      <w:r w:rsidRPr="0055360A">
        <w:rPr>
          <w:lang w:val="en-GB"/>
        </w:rPr>
        <w:t xml:space="preserve"> 26(6), pp. 769-775.</w:t>
      </w:r>
    </w:p>
    <w:p w14:paraId="087F4844" w14:textId="77777777" w:rsidR="00810715" w:rsidRPr="0055360A" w:rsidRDefault="00810715" w:rsidP="00810715">
      <w:pPr>
        <w:ind w:left="480" w:hangingChars="200" w:hanging="480"/>
        <w:rPr>
          <w:lang w:val="en-GB"/>
        </w:rPr>
      </w:pPr>
      <w:r w:rsidRPr="0055360A">
        <w:rPr>
          <w:lang w:val="en-GB"/>
        </w:rPr>
        <w:t>Olmedo-Aguirre, J.O., Reyes-Campos, J., Alor-Hernández, G., Machorro-</w:t>
      </w:r>
      <w:proofErr w:type="spellStart"/>
      <w:r w:rsidRPr="0055360A">
        <w:rPr>
          <w:lang w:val="en-GB"/>
        </w:rPr>
        <w:t>Cano</w:t>
      </w:r>
      <w:proofErr w:type="spellEnd"/>
      <w:r w:rsidRPr="0055360A">
        <w:rPr>
          <w:lang w:val="en-GB"/>
        </w:rPr>
        <w:t xml:space="preserve">, I., Rodríguez-Mazahua, L. and Sánchez-Cervantes, J.L. 2022. Remote healthcare for elderly people using wearables: A review. </w:t>
      </w:r>
      <w:r w:rsidRPr="0055360A">
        <w:rPr>
          <w:i/>
          <w:iCs/>
          <w:lang w:val="en-GB"/>
        </w:rPr>
        <w:t>Biosensors</w:t>
      </w:r>
      <w:r w:rsidRPr="0055360A">
        <w:rPr>
          <w:lang w:val="en-GB"/>
        </w:rPr>
        <w:t xml:space="preserve"> 12(2), p. 73.</w:t>
      </w:r>
    </w:p>
    <w:p w14:paraId="16041420" w14:textId="77777777" w:rsidR="00810715" w:rsidRPr="00557483" w:rsidRDefault="00810715" w:rsidP="00810715">
      <w:pPr>
        <w:ind w:left="480" w:hangingChars="200" w:hanging="480"/>
        <w:rPr>
          <w:rFonts w:cs="Times New Roman"/>
          <w:szCs w:val="24"/>
          <w:lang w:val="en-GB"/>
        </w:rPr>
      </w:pPr>
      <w:r w:rsidRPr="00557483">
        <w:rPr>
          <w:rFonts w:cs="Times New Roman"/>
          <w:szCs w:val="24"/>
          <w:lang w:val="en-GB"/>
        </w:rPr>
        <w:t xml:space="preserve">Opoku, M.O. and Francis, E.K. 2019. Relevance of the technology acceptance model (TAM) in information management research: A review of selected empirical evidence. </w:t>
      </w:r>
      <w:r w:rsidRPr="00557483">
        <w:rPr>
          <w:rFonts w:cs="Times New Roman"/>
          <w:i/>
          <w:iCs/>
          <w:szCs w:val="24"/>
          <w:lang w:val="en-GB"/>
        </w:rPr>
        <w:t>Research journal of business and management</w:t>
      </w:r>
      <w:r w:rsidRPr="00557483">
        <w:rPr>
          <w:rFonts w:cs="Times New Roman"/>
          <w:szCs w:val="24"/>
          <w:lang w:val="en-GB"/>
        </w:rPr>
        <w:t xml:space="preserve"> 7(1), pp. 34-44.</w:t>
      </w:r>
    </w:p>
    <w:p w14:paraId="3584C4AD" w14:textId="77777777" w:rsidR="00810715" w:rsidRPr="00557483" w:rsidRDefault="00810715" w:rsidP="00810715">
      <w:pPr>
        <w:ind w:left="480" w:hangingChars="200" w:hanging="480"/>
        <w:rPr>
          <w:rFonts w:cs="Times New Roman"/>
          <w:szCs w:val="24"/>
          <w:lang w:val="en-GB"/>
        </w:rPr>
      </w:pPr>
      <w:proofErr w:type="spellStart"/>
      <w:r w:rsidRPr="00557483">
        <w:rPr>
          <w:rFonts w:cs="Times New Roman"/>
          <w:szCs w:val="24"/>
          <w:lang w:val="en-GB"/>
        </w:rPr>
        <w:lastRenderedPageBreak/>
        <w:t>Ovesni</w:t>
      </w:r>
      <w:proofErr w:type="spellEnd"/>
      <w:r w:rsidRPr="00557483">
        <w:rPr>
          <w:rFonts w:cs="Times New Roman"/>
          <w:szCs w:val="24"/>
          <w:lang w:val="en-GB"/>
        </w:rPr>
        <w:t xml:space="preserve">, K. 2020. Organisational Climate and the Work-related Learning of Employees. </w:t>
      </w:r>
      <w:r w:rsidRPr="00557483">
        <w:rPr>
          <w:rFonts w:cs="Times New Roman"/>
          <w:i/>
          <w:iCs/>
          <w:szCs w:val="24"/>
          <w:lang w:val="en-GB"/>
        </w:rPr>
        <w:t xml:space="preserve">AS: </w:t>
      </w:r>
      <w:proofErr w:type="spellStart"/>
      <w:r w:rsidRPr="00557483">
        <w:rPr>
          <w:rFonts w:cs="Times New Roman"/>
          <w:i/>
          <w:iCs/>
          <w:szCs w:val="24"/>
          <w:lang w:val="en-GB"/>
        </w:rPr>
        <w:t>Andragoška</w:t>
      </w:r>
      <w:proofErr w:type="spellEnd"/>
      <w:r w:rsidRPr="00557483">
        <w:rPr>
          <w:rFonts w:cs="Times New Roman"/>
          <w:i/>
          <w:iCs/>
          <w:szCs w:val="24"/>
          <w:lang w:val="en-GB"/>
        </w:rPr>
        <w:t xml:space="preserve"> </w:t>
      </w:r>
      <w:proofErr w:type="spellStart"/>
      <w:r w:rsidRPr="00557483">
        <w:rPr>
          <w:rFonts w:cs="Times New Roman"/>
          <w:i/>
          <w:iCs/>
          <w:szCs w:val="24"/>
          <w:lang w:val="en-GB"/>
        </w:rPr>
        <w:t>Spoznanja</w:t>
      </w:r>
      <w:proofErr w:type="spellEnd"/>
      <w:r w:rsidRPr="00557483">
        <w:rPr>
          <w:rFonts w:cs="Times New Roman"/>
          <w:szCs w:val="24"/>
          <w:lang w:val="en-GB"/>
        </w:rPr>
        <w:t xml:space="preserve"> 26(3).</w:t>
      </w:r>
    </w:p>
    <w:p w14:paraId="4179EB67" w14:textId="77777777" w:rsidR="00810715" w:rsidRPr="0055360A" w:rsidRDefault="00810715" w:rsidP="00810715">
      <w:pPr>
        <w:ind w:left="480" w:hangingChars="200" w:hanging="480"/>
        <w:rPr>
          <w:lang w:val="en-GB"/>
        </w:rPr>
      </w:pPr>
      <w:r w:rsidRPr="0055360A">
        <w:rPr>
          <w:lang w:val="en-GB"/>
        </w:rPr>
        <w:t xml:space="preserve">Patterson, F. and </w:t>
      </w:r>
      <w:proofErr w:type="spellStart"/>
      <w:r w:rsidRPr="0055360A">
        <w:rPr>
          <w:lang w:val="en-GB"/>
        </w:rPr>
        <w:t>Zibarras</w:t>
      </w:r>
      <w:proofErr w:type="spellEnd"/>
      <w:r w:rsidRPr="0055360A">
        <w:rPr>
          <w:lang w:val="en-GB"/>
        </w:rPr>
        <w:t xml:space="preserve">, L.D. 2017. Selecting for creativity and innovation potential: implications for practice in healthcare education. </w:t>
      </w:r>
      <w:r w:rsidRPr="0055360A">
        <w:rPr>
          <w:i/>
          <w:iCs/>
          <w:lang w:val="en-GB"/>
        </w:rPr>
        <w:t>Advances in Health Sciences Education</w:t>
      </w:r>
      <w:r w:rsidRPr="0055360A">
        <w:rPr>
          <w:lang w:val="en-GB"/>
        </w:rPr>
        <w:t xml:space="preserve"> 22, pp. 417-428.</w:t>
      </w:r>
    </w:p>
    <w:p w14:paraId="7D489DFD" w14:textId="77777777" w:rsidR="00810715" w:rsidRPr="0055360A" w:rsidRDefault="00810715" w:rsidP="00810715">
      <w:pPr>
        <w:ind w:left="480" w:hangingChars="200" w:hanging="480"/>
        <w:rPr>
          <w:lang w:val="en-GB"/>
        </w:rPr>
      </w:pPr>
      <w:r w:rsidRPr="0055360A">
        <w:rPr>
          <w:lang w:val="en-GB"/>
        </w:rPr>
        <w:t xml:space="preserve">Paul, S., Bhatia, D., </w:t>
      </w:r>
      <w:proofErr w:type="spellStart"/>
      <w:r w:rsidRPr="0055360A">
        <w:rPr>
          <w:lang w:val="en-GB"/>
        </w:rPr>
        <w:t>Acharjee</w:t>
      </w:r>
      <w:proofErr w:type="spellEnd"/>
      <w:r w:rsidRPr="0055360A">
        <w:rPr>
          <w:lang w:val="en-GB"/>
        </w:rPr>
        <w:t xml:space="preserve">, T. and </w:t>
      </w:r>
      <w:proofErr w:type="spellStart"/>
      <w:r w:rsidRPr="0055360A">
        <w:rPr>
          <w:lang w:val="en-GB"/>
        </w:rPr>
        <w:t>Ramachairy</w:t>
      </w:r>
      <w:proofErr w:type="spellEnd"/>
      <w:r w:rsidRPr="0055360A">
        <w:rPr>
          <w:lang w:val="en-GB"/>
        </w:rPr>
        <w:t>, S.S. 2024. Biosensors and their widespread impact on human health.</w:t>
      </w:r>
      <w:r w:rsidRPr="0055360A">
        <w:rPr>
          <w:i/>
          <w:iCs/>
          <w:lang w:val="en-GB"/>
        </w:rPr>
        <w:t xml:space="preserve"> Sensors International</w:t>
      </w:r>
      <w:r w:rsidRPr="0055360A">
        <w:rPr>
          <w:lang w:val="en-GB"/>
        </w:rPr>
        <w:t xml:space="preserve"> 5, p.100257.</w:t>
      </w:r>
    </w:p>
    <w:p w14:paraId="65E1EF5D" w14:textId="7C97F224" w:rsidR="00810715" w:rsidRPr="0055360A" w:rsidRDefault="00810715" w:rsidP="00810715">
      <w:pPr>
        <w:ind w:left="480" w:hangingChars="200" w:hanging="480"/>
        <w:rPr>
          <w:lang w:val="en-GB"/>
        </w:rPr>
      </w:pPr>
      <w:r w:rsidRPr="0055360A">
        <w:rPr>
          <w:lang w:val="en-GB"/>
        </w:rPr>
        <w:t xml:space="preserve">Peek, S. 2024. Creativity Is Not Innovation. [Online]. Available at: </w:t>
      </w:r>
      <w:hyperlink r:id="rId12" w:history="1">
        <w:r w:rsidRPr="0055360A">
          <w:rPr>
            <w:rStyle w:val="Hyperlink"/>
            <w:lang w:val="en-GB"/>
          </w:rPr>
          <w:t>https://www.businessnewsdaily.com/6848-creativity-vs-innovation.html</w:t>
        </w:r>
      </w:hyperlink>
      <w:r w:rsidRPr="0055360A">
        <w:rPr>
          <w:lang w:val="en-GB"/>
        </w:rPr>
        <w:t xml:space="preserve"> [Accessed on: 1</w:t>
      </w:r>
      <w:r w:rsidR="007852D4">
        <w:rPr>
          <w:lang w:val="en-GB"/>
        </w:rPr>
        <w:t>0</w:t>
      </w:r>
      <w:r w:rsidRPr="0055360A">
        <w:rPr>
          <w:lang w:val="en-GB"/>
        </w:rPr>
        <w:t xml:space="preserve"> March 2024].</w:t>
      </w:r>
    </w:p>
    <w:p w14:paraId="27A8B7C0" w14:textId="3C143F62" w:rsidR="00810715" w:rsidRPr="0055360A" w:rsidRDefault="00810715" w:rsidP="00810715">
      <w:pPr>
        <w:ind w:left="480" w:hangingChars="200" w:hanging="480"/>
        <w:rPr>
          <w:lang w:val="en-GB"/>
        </w:rPr>
      </w:pPr>
      <w:r w:rsidRPr="0055360A">
        <w:rPr>
          <w:lang w:val="en-GB"/>
        </w:rPr>
        <w:t xml:space="preserve">ProCare Nursing. 2024. About Us. [Online]. Available at: </w:t>
      </w:r>
      <w:hyperlink r:id="rId13" w:history="1">
        <w:r w:rsidRPr="0055360A">
          <w:rPr>
            <w:rStyle w:val="Hyperlink"/>
            <w:lang w:val="en-GB"/>
          </w:rPr>
          <w:t>https://www.procarenursing.co.uk/registered-nurses/</w:t>
        </w:r>
      </w:hyperlink>
      <w:r w:rsidRPr="0055360A">
        <w:rPr>
          <w:lang w:val="en-GB"/>
        </w:rPr>
        <w:t xml:space="preserve"> [Accessed on: 1</w:t>
      </w:r>
      <w:r w:rsidR="007852D4">
        <w:rPr>
          <w:lang w:val="en-GB"/>
        </w:rPr>
        <w:t>0</w:t>
      </w:r>
      <w:r w:rsidRPr="0055360A">
        <w:rPr>
          <w:lang w:val="en-GB"/>
        </w:rPr>
        <w:t xml:space="preserve"> March 2024].</w:t>
      </w:r>
    </w:p>
    <w:p w14:paraId="0E9E08FC" w14:textId="77777777" w:rsidR="00810715" w:rsidRPr="0055360A" w:rsidRDefault="00810715" w:rsidP="00810715">
      <w:pPr>
        <w:ind w:left="480" w:hangingChars="200" w:hanging="480"/>
        <w:rPr>
          <w:lang w:val="en-GB"/>
        </w:rPr>
      </w:pPr>
      <w:r w:rsidRPr="0055360A">
        <w:rPr>
          <w:lang w:val="en-GB"/>
        </w:rPr>
        <w:t xml:space="preserve">Rab, S. and Suman, R. 2021. Biosensors applications in the medical field: A brief review. </w:t>
      </w:r>
      <w:r w:rsidRPr="0055360A">
        <w:rPr>
          <w:i/>
          <w:iCs/>
          <w:lang w:val="en-GB"/>
        </w:rPr>
        <w:t>Sensors International</w:t>
      </w:r>
      <w:r w:rsidRPr="0055360A">
        <w:rPr>
          <w:lang w:val="en-GB"/>
        </w:rPr>
        <w:t xml:space="preserve"> 2, p. 100100.</w:t>
      </w:r>
    </w:p>
    <w:p w14:paraId="5FCB62EB" w14:textId="77777777" w:rsidR="00810715" w:rsidRPr="0055360A" w:rsidRDefault="00810715" w:rsidP="00810715">
      <w:pPr>
        <w:ind w:left="480" w:hangingChars="200" w:hanging="480"/>
        <w:rPr>
          <w:lang w:val="en-GB"/>
        </w:rPr>
      </w:pPr>
      <w:r w:rsidRPr="0055360A">
        <w:rPr>
          <w:lang w:val="en-GB"/>
        </w:rPr>
        <w:t xml:space="preserve">Sadler-Smith, E. 2015. Wallas’ four-stage model of the creative process: More than meets the eye?. </w:t>
      </w:r>
      <w:r w:rsidRPr="0055360A">
        <w:rPr>
          <w:i/>
          <w:iCs/>
          <w:lang w:val="en-GB"/>
        </w:rPr>
        <w:t>Creativity research journal</w:t>
      </w:r>
      <w:r w:rsidRPr="0055360A">
        <w:rPr>
          <w:lang w:val="en-GB"/>
        </w:rPr>
        <w:t xml:space="preserve"> 27(4), pp. 342-352.</w:t>
      </w:r>
    </w:p>
    <w:p w14:paraId="189EB421" w14:textId="77777777" w:rsidR="00810715" w:rsidRPr="0055360A" w:rsidRDefault="00810715" w:rsidP="00810715">
      <w:pPr>
        <w:ind w:left="480" w:hangingChars="200" w:hanging="480"/>
        <w:rPr>
          <w:lang w:val="en-GB"/>
        </w:rPr>
      </w:pPr>
      <w:r w:rsidRPr="0055360A">
        <w:rPr>
          <w:lang w:val="en-GB"/>
        </w:rPr>
        <w:t xml:space="preserve">Saner, H. 2018. Wearable Sensors for Assisted Living in Elderly People. [Online]. Available at: </w:t>
      </w:r>
      <w:hyperlink r:id="rId14" w:history="1">
        <w:r w:rsidRPr="0055360A">
          <w:rPr>
            <w:rStyle w:val="Hyperlink"/>
            <w:lang w:val="en-GB"/>
          </w:rPr>
          <w:t>https://www.frontiersin.org/articles/10.3389/fict.2018.00001/full</w:t>
        </w:r>
      </w:hyperlink>
      <w:r w:rsidRPr="0055360A">
        <w:rPr>
          <w:lang w:val="en-GB"/>
        </w:rPr>
        <w:t xml:space="preserve"> [Accessed on: 15 March 2024].</w:t>
      </w:r>
    </w:p>
    <w:p w14:paraId="1B7118E7" w14:textId="77777777" w:rsidR="00810715" w:rsidRPr="00557483" w:rsidRDefault="00810715" w:rsidP="00810715">
      <w:pPr>
        <w:ind w:left="480" w:hangingChars="200" w:hanging="480"/>
        <w:rPr>
          <w:rFonts w:cs="Times New Roman"/>
          <w:szCs w:val="24"/>
          <w:lang w:val="en-GB"/>
        </w:rPr>
      </w:pPr>
      <w:r w:rsidRPr="00557483">
        <w:rPr>
          <w:rFonts w:cs="Times New Roman"/>
          <w:szCs w:val="24"/>
          <w:lang w:val="en-GB"/>
        </w:rPr>
        <w:t>Schneider, B. and Barbera, K.M. 2014.</w:t>
      </w:r>
      <w:r w:rsidRPr="00557483">
        <w:rPr>
          <w:rFonts w:cs="Times New Roman"/>
          <w:i/>
          <w:iCs/>
          <w:szCs w:val="24"/>
          <w:lang w:val="en-GB"/>
        </w:rPr>
        <w:t xml:space="preserve"> The Oxford Handbook of Organizational Climate and Culture</w:t>
      </w:r>
      <w:r w:rsidRPr="00557483">
        <w:rPr>
          <w:rFonts w:cs="Times New Roman"/>
          <w:szCs w:val="24"/>
          <w:lang w:val="en-GB"/>
        </w:rPr>
        <w:t>. United Kingdom: Oxford University Press.</w:t>
      </w:r>
    </w:p>
    <w:p w14:paraId="5CD51142" w14:textId="77777777" w:rsidR="00810715" w:rsidRPr="00557483" w:rsidRDefault="00810715" w:rsidP="00810715">
      <w:pPr>
        <w:ind w:left="480" w:hangingChars="200" w:hanging="480"/>
        <w:rPr>
          <w:rFonts w:cs="Times New Roman"/>
          <w:szCs w:val="24"/>
          <w:lang w:val="en-GB"/>
        </w:rPr>
      </w:pPr>
      <w:proofErr w:type="spellStart"/>
      <w:r w:rsidRPr="00557483">
        <w:rPr>
          <w:rFonts w:cs="Times New Roman"/>
          <w:szCs w:val="24"/>
          <w:lang w:val="en-GB"/>
        </w:rPr>
        <w:t>Sethibe</w:t>
      </w:r>
      <w:proofErr w:type="spellEnd"/>
      <w:r w:rsidRPr="00557483">
        <w:rPr>
          <w:rFonts w:cs="Times New Roman"/>
          <w:szCs w:val="24"/>
          <w:lang w:val="en-GB"/>
        </w:rPr>
        <w:t xml:space="preserve">, T.G. 2018. Towards a comprehensive model on the relationship between leadership styles, organisational climate, innovation and organisational </w:t>
      </w:r>
      <w:r w:rsidRPr="00557483">
        <w:rPr>
          <w:rFonts w:cs="Times New Roman"/>
          <w:szCs w:val="24"/>
          <w:lang w:val="en-GB"/>
        </w:rPr>
        <w:lastRenderedPageBreak/>
        <w:t xml:space="preserve">performance. </w:t>
      </w:r>
      <w:r w:rsidRPr="00557483">
        <w:rPr>
          <w:rFonts w:cs="Times New Roman"/>
          <w:i/>
          <w:iCs/>
          <w:szCs w:val="24"/>
          <w:lang w:val="en-GB"/>
        </w:rPr>
        <w:t>International Journal of Innovation Management</w:t>
      </w:r>
      <w:r w:rsidRPr="00557483">
        <w:rPr>
          <w:rFonts w:cs="Times New Roman"/>
          <w:szCs w:val="24"/>
          <w:lang w:val="en-GB"/>
        </w:rPr>
        <w:t xml:space="preserve"> 22(02), p. 1850021.</w:t>
      </w:r>
    </w:p>
    <w:p w14:paraId="75040BC8" w14:textId="77777777" w:rsidR="00810715" w:rsidRDefault="00810715" w:rsidP="00810715">
      <w:pPr>
        <w:ind w:left="480" w:hangingChars="200" w:hanging="480"/>
        <w:rPr>
          <w:lang w:val="en-GB"/>
        </w:rPr>
      </w:pPr>
      <w:r w:rsidRPr="00810715">
        <w:rPr>
          <w:lang w:val="en-GB"/>
        </w:rPr>
        <w:t xml:space="preserve">Sharma, A., Badea, M., Tiwari, S. and Marty, J.L. 2021. Wearable biosensors: an alternative and practical approach in healthcare and disease monitoring. </w:t>
      </w:r>
      <w:r w:rsidRPr="00810715">
        <w:rPr>
          <w:i/>
          <w:iCs/>
          <w:lang w:val="en-GB"/>
        </w:rPr>
        <w:t>Molecules</w:t>
      </w:r>
      <w:r w:rsidRPr="00810715">
        <w:rPr>
          <w:lang w:val="en-GB"/>
        </w:rPr>
        <w:t xml:space="preserve"> 26(3), p.</w:t>
      </w:r>
      <w:r>
        <w:rPr>
          <w:lang w:val="en-GB"/>
        </w:rPr>
        <w:t xml:space="preserve"> </w:t>
      </w:r>
      <w:r w:rsidRPr="00810715">
        <w:rPr>
          <w:lang w:val="en-GB"/>
        </w:rPr>
        <w:t>748.</w:t>
      </w:r>
    </w:p>
    <w:p w14:paraId="3744ECB2" w14:textId="77777777" w:rsidR="00810715" w:rsidRPr="0055360A" w:rsidRDefault="00810715" w:rsidP="00810715">
      <w:pPr>
        <w:ind w:left="480" w:hangingChars="200" w:hanging="480"/>
        <w:rPr>
          <w:lang w:val="en-GB"/>
        </w:rPr>
      </w:pPr>
      <w:r w:rsidRPr="0055360A">
        <w:rPr>
          <w:lang w:val="en-GB"/>
        </w:rPr>
        <w:t xml:space="preserve">Turner, A.P. 2013. Biosensors: sense and sensibility. </w:t>
      </w:r>
      <w:r w:rsidRPr="0055360A">
        <w:rPr>
          <w:i/>
          <w:iCs/>
          <w:lang w:val="en-GB"/>
        </w:rPr>
        <w:t>Chemical Society Reviews</w:t>
      </w:r>
      <w:r w:rsidRPr="0055360A">
        <w:rPr>
          <w:lang w:val="en-GB"/>
        </w:rPr>
        <w:t xml:space="preserve"> 42(8), pp. 3184-3196.</w:t>
      </w:r>
    </w:p>
    <w:p w14:paraId="6A393803" w14:textId="77777777" w:rsidR="00810715" w:rsidRPr="0055360A" w:rsidRDefault="00810715" w:rsidP="00810715">
      <w:pPr>
        <w:ind w:left="480" w:hangingChars="200" w:hanging="480"/>
        <w:rPr>
          <w:lang w:val="en-GB"/>
        </w:rPr>
      </w:pPr>
      <w:proofErr w:type="spellStart"/>
      <w:r w:rsidRPr="0055360A">
        <w:rPr>
          <w:lang w:val="en-GB"/>
        </w:rPr>
        <w:t>Wagenmakers</w:t>
      </w:r>
      <w:proofErr w:type="spellEnd"/>
      <w:r w:rsidRPr="0055360A">
        <w:rPr>
          <w:lang w:val="en-GB"/>
        </w:rPr>
        <w:t xml:space="preserve">, E.J., </w:t>
      </w:r>
      <w:proofErr w:type="spellStart"/>
      <w:r w:rsidRPr="0055360A">
        <w:rPr>
          <w:lang w:val="en-GB"/>
        </w:rPr>
        <w:t>Dutilh</w:t>
      </w:r>
      <w:proofErr w:type="spellEnd"/>
      <w:r w:rsidRPr="0055360A">
        <w:rPr>
          <w:lang w:val="en-GB"/>
        </w:rPr>
        <w:t xml:space="preserve">, G. and </w:t>
      </w:r>
      <w:proofErr w:type="spellStart"/>
      <w:r w:rsidRPr="0055360A">
        <w:rPr>
          <w:lang w:val="en-GB"/>
        </w:rPr>
        <w:t>Sarafoglou</w:t>
      </w:r>
      <w:proofErr w:type="spellEnd"/>
      <w:r w:rsidRPr="0055360A">
        <w:rPr>
          <w:lang w:val="en-GB"/>
        </w:rPr>
        <w:t>, A. 2018. The creativity-verification cycle in psychological science: New methods to combat old idols.</w:t>
      </w:r>
      <w:r w:rsidRPr="0055360A">
        <w:rPr>
          <w:i/>
          <w:iCs/>
          <w:lang w:val="en-GB"/>
        </w:rPr>
        <w:t xml:space="preserve"> Perspectives on Psychological Science</w:t>
      </w:r>
      <w:r w:rsidRPr="0055360A">
        <w:rPr>
          <w:lang w:val="en-GB"/>
        </w:rPr>
        <w:t xml:space="preserve"> 13(4), pp. 418-427.</w:t>
      </w:r>
    </w:p>
    <w:p w14:paraId="3026B2A4" w14:textId="77777777" w:rsidR="00810715" w:rsidRPr="00810715" w:rsidRDefault="00810715" w:rsidP="00810715">
      <w:pPr>
        <w:ind w:left="480" w:hangingChars="200" w:hanging="480"/>
        <w:rPr>
          <w:rFonts w:cs="Times New Roman"/>
          <w:szCs w:val="24"/>
          <w:lang w:val="en-GB"/>
        </w:rPr>
      </w:pPr>
      <w:r w:rsidRPr="00557483">
        <w:rPr>
          <w:rFonts w:cs="Times New Roman"/>
          <w:szCs w:val="24"/>
          <w:lang w:val="en-GB"/>
        </w:rPr>
        <w:t xml:space="preserve">Wang, Q. and Hou, H. 2022. Participative leadership: a literature review and prospects for future research. </w:t>
      </w:r>
      <w:r w:rsidRPr="00557483">
        <w:rPr>
          <w:rFonts w:cs="Times New Roman"/>
          <w:i/>
          <w:iCs/>
          <w:szCs w:val="24"/>
          <w:lang w:val="en-GB"/>
        </w:rPr>
        <w:t>Frontiers in Psychology</w:t>
      </w:r>
      <w:r w:rsidRPr="00557483">
        <w:rPr>
          <w:rFonts w:cs="Times New Roman"/>
          <w:szCs w:val="24"/>
          <w:lang w:val="en-GB"/>
        </w:rPr>
        <w:t xml:space="preserve"> 13, p. 924357.</w:t>
      </w:r>
    </w:p>
    <w:p w14:paraId="57A01877" w14:textId="77777777" w:rsidR="00810715" w:rsidRDefault="00810715" w:rsidP="00810715">
      <w:pPr>
        <w:ind w:left="480" w:hangingChars="200" w:hanging="480"/>
        <w:rPr>
          <w:lang w:val="en-GB"/>
        </w:rPr>
      </w:pPr>
      <w:r w:rsidRPr="0055360A">
        <w:rPr>
          <w:lang w:val="en-GB"/>
        </w:rPr>
        <w:t>Weisberg, R.W. 2020. </w:t>
      </w:r>
      <w:r w:rsidRPr="0055360A">
        <w:rPr>
          <w:i/>
          <w:iCs/>
          <w:lang w:val="en-GB"/>
        </w:rPr>
        <w:t>Rethinking Creativity: Inside-the-Box Thinking as the Basis for Innovation</w:t>
      </w:r>
      <w:r w:rsidRPr="0055360A">
        <w:rPr>
          <w:lang w:val="en-GB"/>
        </w:rPr>
        <w:t>. United Kingdom: Cambridge University Press.</w:t>
      </w:r>
    </w:p>
    <w:p w14:paraId="33D773BC" w14:textId="477D0186" w:rsidR="00810715" w:rsidRPr="0055360A" w:rsidRDefault="00810715" w:rsidP="00810715">
      <w:pPr>
        <w:ind w:left="480" w:hangingChars="200" w:hanging="480"/>
        <w:rPr>
          <w:lang w:val="en-GB"/>
        </w:rPr>
      </w:pPr>
      <w:r w:rsidRPr="0055360A">
        <w:rPr>
          <w:lang w:val="en-GB"/>
        </w:rPr>
        <w:t xml:space="preserve">WHO. 2024. Accelerating impact of innovations for health. [Online]. Available at: </w:t>
      </w:r>
      <w:hyperlink r:id="rId15" w:history="1">
        <w:r w:rsidRPr="0055360A">
          <w:rPr>
            <w:rStyle w:val="Hyperlink"/>
            <w:lang w:val="en-GB"/>
          </w:rPr>
          <w:t>https://www.who.int/activities/accelerating-impact-for-innovations-for-health</w:t>
        </w:r>
      </w:hyperlink>
      <w:r w:rsidRPr="0055360A">
        <w:rPr>
          <w:lang w:val="en-GB"/>
        </w:rPr>
        <w:t xml:space="preserve"> [Accessed on: </w:t>
      </w:r>
      <w:r w:rsidR="001C7478">
        <w:rPr>
          <w:lang w:val="en-GB"/>
        </w:rPr>
        <w:t>16</w:t>
      </w:r>
      <w:r w:rsidRPr="0055360A">
        <w:rPr>
          <w:lang w:val="en-GB"/>
        </w:rPr>
        <w:t xml:space="preserve"> March 2024].</w:t>
      </w:r>
    </w:p>
    <w:p w14:paraId="4A52900D" w14:textId="77777777" w:rsidR="000C26A9" w:rsidRPr="0055360A" w:rsidRDefault="000C26A9">
      <w:pPr>
        <w:ind w:left="480" w:hangingChars="200" w:hanging="480"/>
        <w:rPr>
          <w:lang w:val="en-GB"/>
        </w:rPr>
      </w:pPr>
    </w:p>
    <w:sectPr w:rsidR="000C26A9" w:rsidRPr="0055360A">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E7ACB" w14:textId="77777777" w:rsidR="00C72CD0" w:rsidRDefault="00C72CD0" w:rsidP="00F10CDB">
      <w:pPr>
        <w:spacing w:line="240" w:lineRule="auto"/>
      </w:pPr>
      <w:r>
        <w:separator/>
      </w:r>
    </w:p>
  </w:endnote>
  <w:endnote w:type="continuationSeparator" w:id="0">
    <w:p w14:paraId="75C70E63" w14:textId="77777777" w:rsidR="00C72CD0" w:rsidRDefault="00C72CD0" w:rsidP="00F10C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9030434"/>
      <w:docPartObj>
        <w:docPartGallery w:val="Page Numbers (Bottom of Page)"/>
        <w:docPartUnique/>
      </w:docPartObj>
    </w:sdtPr>
    <w:sdtEndPr>
      <w:rPr>
        <w:noProof/>
      </w:rPr>
    </w:sdtEndPr>
    <w:sdtContent>
      <w:p w14:paraId="0BEDE072" w14:textId="6F913902" w:rsidR="00F10CDB" w:rsidRDefault="00F10C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DE7D57" w14:textId="77777777" w:rsidR="00F10CDB" w:rsidRDefault="00F10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48354" w14:textId="77777777" w:rsidR="00C72CD0" w:rsidRDefault="00C72CD0" w:rsidP="00F10CDB">
      <w:pPr>
        <w:spacing w:line="240" w:lineRule="auto"/>
      </w:pPr>
      <w:r>
        <w:separator/>
      </w:r>
    </w:p>
  </w:footnote>
  <w:footnote w:type="continuationSeparator" w:id="0">
    <w:p w14:paraId="7FB8637B" w14:textId="77777777" w:rsidR="00C72CD0" w:rsidRDefault="00C72CD0" w:rsidP="00F10C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15:restartNumberingAfterBreak="0">
    <w:nsid w:val="4FA1E800"/>
    <w:multiLevelType w:val="singleLevel"/>
    <w:tmpl w:val="4FA1E800"/>
    <w:lvl w:ilvl="0">
      <w:start w:val="1"/>
      <w:numFmt w:val="bullet"/>
      <w:lvlText w:val=""/>
      <w:lvlJc w:val="left"/>
      <w:pPr>
        <w:tabs>
          <w:tab w:val="left" w:pos="420"/>
        </w:tabs>
        <w:ind w:left="420" w:hanging="420"/>
      </w:pPr>
      <w:rPr>
        <w:rFonts w:ascii="Wingdings" w:hAnsi="Wingdings" w:hint="default"/>
      </w:rPr>
    </w:lvl>
  </w:abstractNum>
  <w:num w:numId="1" w16cid:durableId="747309638">
    <w:abstractNumId w:val="9"/>
  </w:num>
  <w:num w:numId="2" w16cid:durableId="222452693">
    <w:abstractNumId w:val="7"/>
  </w:num>
  <w:num w:numId="3" w16cid:durableId="267542891">
    <w:abstractNumId w:val="6"/>
  </w:num>
  <w:num w:numId="4" w16cid:durableId="1907909930">
    <w:abstractNumId w:val="5"/>
  </w:num>
  <w:num w:numId="5" w16cid:durableId="2094862182">
    <w:abstractNumId w:val="4"/>
  </w:num>
  <w:num w:numId="6" w16cid:durableId="342392597">
    <w:abstractNumId w:val="8"/>
  </w:num>
  <w:num w:numId="7" w16cid:durableId="504442372">
    <w:abstractNumId w:val="3"/>
  </w:num>
  <w:num w:numId="8" w16cid:durableId="1813669024">
    <w:abstractNumId w:val="2"/>
  </w:num>
  <w:num w:numId="9" w16cid:durableId="1879971056">
    <w:abstractNumId w:val="1"/>
  </w:num>
  <w:num w:numId="10" w16cid:durableId="689839306">
    <w:abstractNumId w:val="0"/>
  </w:num>
  <w:num w:numId="11" w16cid:durableId="11562657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D516E6F"/>
    <w:rsid w:val="000371F8"/>
    <w:rsid w:val="00050A31"/>
    <w:rsid w:val="000716D2"/>
    <w:rsid w:val="00071AAB"/>
    <w:rsid w:val="000A5DC2"/>
    <w:rsid w:val="000B76C4"/>
    <w:rsid w:val="000C26A9"/>
    <w:rsid w:val="000C3F06"/>
    <w:rsid w:val="000C5610"/>
    <w:rsid w:val="000D780E"/>
    <w:rsid w:val="000E29FE"/>
    <w:rsid w:val="000E5BFC"/>
    <w:rsid w:val="000E6552"/>
    <w:rsid w:val="000F3A4F"/>
    <w:rsid w:val="000F59AC"/>
    <w:rsid w:val="001364FE"/>
    <w:rsid w:val="001368DD"/>
    <w:rsid w:val="00147DB3"/>
    <w:rsid w:val="001518A5"/>
    <w:rsid w:val="00154AB9"/>
    <w:rsid w:val="00170095"/>
    <w:rsid w:val="00170E4F"/>
    <w:rsid w:val="001743F4"/>
    <w:rsid w:val="00187C33"/>
    <w:rsid w:val="001936B7"/>
    <w:rsid w:val="00196AB1"/>
    <w:rsid w:val="001C7478"/>
    <w:rsid w:val="001F51BA"/>
    <w:rsid w:val="001F5D6B"/>
    <w:rsid w:val="00201333"/>
    <w:rsid w:val="00210FA7"/>
    <w:rsid w:val="00216417"/>
    <w:rsid w:val="0026631D"/>
    <w:rsid w:val="002C2F53"/>
    <w:rsid w:val="0033518C"/>
    <w:rsid w:val="003437C2"/>
    <w:rsid w:val="00377186"/>
    <w:rsid w:val="003A1C03"/>
    <w:rsid w:val="003E5333"/>
    <w:rsid w:val="00414627"/>
    <w:rsid w:val="00425D63"/>
    <w:rsid w:val="004643D8"/>
    <w:rsid w:val="004657C6"/>
    <w:rsid w:val="00497C24"/>
    <w:rsid w:val="004C7BA5"/>
    <w:rsid w:val="004E7628"/>
    <w:rsid w:val="004F48F2"/>
    <w:rsid w:val="005149B1"/>
    <w:rsid w:val="0055360A"/>
    <w:rsid w:val="00562637"/>
    <w:rsid w:val="005647F2"/>
    <w:rsid w:val="005662D1"/>
    <w:rsid w:val="00573A09"/>
    <w:rsid w:val="005962BC"/>
    <w:rsid w:val="005A4526"/>
    <w:rsid w:val="005C1B16"/>
    <w:rsid w:val="005E53D0"/>
    <w:rsid w:val="006002EB"/>
    <w:rsid w:val="006045D1"/>
    <w:rsid w:val="006128EF"/>
    <w:rsid w:val="00617FF0"/>
    <w:rsid w:val="006264B4"/>
    <w:rsid w:val="00643033"/>
    <w:rsid w:val="00644CC3"/>
    <w:rsid w:val="00661468"/>
    <w:rsid w:val="006649F0"/>
    <w:rsid w:val="00665323"/>
    <w:rsid w:val="0067245D"/>
    <w:rsid w:val="0068470E"/>
    <w:rsid w:val="00695DCD"/>
    <w:rsid w:val="006A05CC"/>
    <w:rsid w:val="006A35A7"/>
    <w:rsid w:val="007152D7"/>
    <w:rsid w:val="00746C14"/>
    <w:rsid w:val="0075688B"/>
    <w:rsid w:val="00782BA8"/>
    <w:rsid w:val="007852D4"/>
    <w:rsid w:val="007A4881"/>
    <w:rsid w:val="007C1A28"/>
    <w:rsid w:val="007C2C59"/>
    <w:rsid w:val="00801F23"/>
    <w:rsid w:val="00810715"/>
    <w:rsid w:val="00824529"/>
    <w:rsid w:val="00827AB2"/>
    <w:rsid w:val="00837632"/>
    <w:rsid w:val="0085640F"/>
    <w:rsid w:val="008567AA"/>
    <w:rsid w:val="00892712"/>
    <w:rsid w:val="008A680A"/>
    <w:rsid w:val="008B0BB0"/>
    <w:rsid w:val="008B4B09"/>
    <w:rsid w:val="008E346F"/>
    <w:rsid w:val="008E3920"/>
    <w:rsid w:val="008E6C4B"/>
    <w:rsid w:val="008F18C0"/>
    <w:rsid w:val="008F51F4"/>
    <w:rsid w:val="009018DD"/>
    <w:rsid w:val="0090467A"/>
    <w:rsid w:val="00907648"/>
    <w:rsid w:val="00930FDE"/>
    <w:rsid w:val="009461FC"/>
    <w:rsid w:val="00984C93"/>
    <w:rsid w:val="00987CE1"/>
    <w:rsid w:val="0099405C"/>
    <w:rsid w:val="009B0AE0"/>
    <w:rsid w:val="009C600F"/>
    <w:rsid w:val="009D3723"/>
    <w:rsid w:val="009E04F2"/>
    <w:rsid w:val="00A03B7B"/>
    <w:rsid w:val="00A200C9"/>
    <w:rsid w:val="00A23150"/>
    <w:rsid w:val="00A250D5"/>
    <w:rsid w:val="00A32F56"/>
    <w:rsid w:val="00A36028"/>
    <w:rsid w:val="00A91424"/>
    <w:rsid w:val="00AA2C77"/>
    <w:rsid w:val="00AA7659"/>
    <w:rsid w:val="00AC3FB9"/>
    <w:rsid w:val="00AC702A"/>
    <w:rsid w:val="00AD226F"/>
    <w:rsid w:val="00AF76F9"/>
    <w:rsid w:val="00B0017D"/>
    <w:rsid w:val="00B13A52"/>
    <w:rsid w:val="00B24CF4"/>
    <w:rsid w:val="00B26993"/>
    <w:rsid w:val="00B4570C"/>
    <w:rsid w:val="00B5208C"/>
    <w:rsid w:val="00B74876"/>
    <w:rsid w:val="00BB7C2B"/>
    <w:rsid w:val="00BC1664"/>
    <w:rsid w:val="00BC2546"/>
    <w:rsid w:val="00C05085"/>
    <w:rsid w:val="00C1593D"/>
    <w:rsid w:val="00C56C7E"/>
    <w:rsid w:val="00C72CD0"/>
    <w:rsid w:val="00C74B9E"/>
    <w:rsid w:val="00C776A4"/>
    <w:rsid w:val="00C959D2"/>
    <w:rsid w:val="00CA2C6C"/>
    <w:rsid w:val="00CC0600"/>
    <w:rsid w:val="00CC78AC"/>
    <w:rsid w:val="00CF7953"/>
    <w:rsid w:val="00D07232"/>
    <w:rsid w:val="00D10245"/>
    <w:rsid w:val="00D21BDD"/>
    <w:rsid w:val="00D37DBD"/>
    <w:rsid w:val="00D40B6D"/>
    <w:rsid w:val="00D65F07"/>
    <w:rsid w:val="00D662C7"/>
    <w:rsid w:val="00D92BB7"/>
    <w:rsid w:val="00D93858"/>
    <w:rsid w:val="00DC76D2"/>
    <w:rsid w:val="00DD30ED"/>
    <w:rsid w:val="00E50E08"/>
    <w:rsid w:val="00E64C21"/>
    <w:rsid w:val="00EC24C6"/>
    <w:rsid w:val="00EC5C01"/>
    <w:rsid w:val="00EF2933"/>
    <w:rsid w:val="00F05146"/>
    <w:rsid w:val="00F10CDB"/>
    <w:rsid w:val="00F1115D"/>
    <w:rsid w:val="00F33FCC"/>
    <w:rsid w:val="00F3513C"/>
    <w:rsid w:val="00F465C5"/>
    <w:rsid w:val="00F5180D"/>
    <w:rsid w:val="00F51B21"/>
    <w:rsid w:val="00F51D87"/>
    <w:rsid w:val="00F801C5"/>
    <w:rsid w:val="00F8455C"/>
    <w:rsid w:val="00F9662B"/>
    <w:rsid w:val="0D161D84"/>
    <w:rsid w:val="116C7D6E"/>
    <w:rsid w:val="12535F60"/>
    <w:rsid w:val="1C965BD6"/>
    <w:rsid w:val="20F22097"/>
    <w:rsid w:val="22A131F9"/>
    <w:rsid w:val="22DB3605"/>
    <w:rsid w:val="22FC03AF"/>
    <w:rsid w:val="232D2840"/>
    <w:rsid w:val="237F064A"/>
    <w:rsid w:val="23DA7D58"/>
    <w:rsid w:val="24455045"/>
    <w:rsid w:val="24B473C2"/>
    <w:rsid w:val="253D5128"/>
    <w:rsid w:val="25CF0381"/>
    <w:rsid w:val="2AF65386"/>
    <w:rsid w:val="2FE2381D"/>
    <w:rsid w:val="32E15DDA"/>
    <w:rsid w:val="34B318BB"/>
    <w:rsid w:val="34F847A2"/>
    <w:rsid w:val="362D5E70"/>
    <w:rsid w:val="3D516E6F"/>
    <w:rsid w:val="4E6F167A"/>
    <w:rsid w:val="50420907"/>
    <w:rsid w:val="50E237ED"/>
    <w:rsid w:val="52FA00DC"/>
    <w:rsid w:val="58EC680D"/>
    <w:rsid w:val="5D2176A5"/>
    <w:rsid w:val="5F392547"/>
    <w:rsid w:val="61755FF6"/>
    <w:rsid w:val="63AC104A"/>
    <w:rsid w:val="64FB04B9"/>
    <w:rsid w:val="73A50FC7"/>
    <w:rsid w:val="791407B4"/>
    <w:rsid w:val="79306D83"/>
    <w:rsid w:val="79E639BC"/>
    <w:rsid w:val="7C0E56B2"/>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390D6F"/>
  <w15:docId w15:val="{C4122F35-C60F-454D-B151-60E6F9911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1"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toc 1" w:uiPriority="39"/>
    <w:lsdException w:name="footer" w:uiPriority="99"/>
    <w:lsdException w:name="caption" w:semiHidden="1" w:unhideWhenUsed="1"/>
    <w:lsdException w:name="Default Paragraph Font" w:semiHidden="1" w:uiPriority="1" w:unhideWhenUsed="1"/>
    <w:lsdException w:name="Hyperlink" w:uiPriority="99"/>
    <w:lsdException w:name="Plain Text" w:qFormat="0"/>
    <w:lsdException w:name="HTML Top of Form" w:semiHidden="1" w:uiPriority="99" w:unhideWhenUsed="1" w:qFormat="0"/>
    <w:lsdException w:name="HTML Bottom of Form" w:semiHidden="1" w:uiPriority="99" w:unhideWhenUsed="1" w:qFormat="0"/>
    <w:lsdException w:name="Normal Table" w:semiHidden="1" w:uiPriority="99" w:unhideWhenUsed="1"/>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qFormat="0"/>
    <w:lsdException w:name="Table Classic 3" w:semiHidden="1" w:unhideWhenUsed="1" w:qFormat="0"/>
    <w:lsdException w:name="Table Classic 4" w:semiHidden="1" w:unhideWhenUsed="1"/>
    <w:lsdException w:name="Table Colorful 1" w:semiHidden="1" w:unhideWhenUsed="1" w:qFormat="0"/>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qFormat="0"/>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qFormat="0"/>
    <w:lsdException w:name="List Paragraph" w:semiHidden="1" w:uiPriority="99" w:unhideWhenUsed="1" w:qFormat="0"/>
    <w:lsdException w:name="Quote" w:semiHidden="1" w:uiPriority="99" w:unhideWhenUsed="1" w:qFormat="0"/>
    <w:lsdException w:name="Intense Quote" w:semiHidden="1" w:uiPriority="99" w:unhideWhenUsed="1" w:qFormat="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spacing w:line="480" w:lineRule="auto"/>
    </w:pPr>
    <w:rPr>
      <w:rFonts w:eastAsiaTheme="minorEastAsia" w:cstheme="minorBidi"/>
      <w:sz w:val="24"/>
      <w:lang w:eastAsia="zh-CN"/>
    </w:rPr>
  </w:style>
  <w:style w:type="paragraph" w:styleId="Heading1">
    <w:name w:val="heading 1"/>
    <w:basedOn w:val="Normal"/>
    <w:next w:val="Normal"/>
    <w:qFormat/>
    <w:rsid w:val="00617FF0"/>
    <w:pPr>
      <w:outlineLvl w:val="0"/>
    </w:pPr>
    <w:rPr>
      <w:b/>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Cs w:val="24"/>
    </w:rPr>
  </w:style>
  <w:style w:type="paragraph" w:styleId="Heading7">
    <w:name w:val="heading 7"/>
    <w:basedOn w:val="Normal"/>
    <w:next w:val="Normal"/>
    <w:semiHidden/>
    <w:unhideWhenUsed/>
    <w:qFormat/>
    <w:pPr>
      <w:keepNext/>
      <w:keepLines/>
      <w:spacing w:before="240" w:after="64" w:line="320" w:lineRule="auto"/>
      <w:outlineLvl w:val="6"/>
    </w:pPr>
    <w:rPr>
      <w:b/>
      <w:bCs/>
      <w:szCs w:val="24"/>
    </w:rPr>
  </w:style>
  <w:style w:type="paragraph" w:styleId="Heading8">
    <w:name w:val="heading 8"/>
    <w:basedOn w:val="Normal"/>
    <w:next w:val="Normal"/>
    <w:semiHidden/>
    <w:unhideWhenUsed/>
    <w:qFormat/>
    <w:pPr>
      <w:keepNext/>
      <w:keepLines/>
      <w:spacing w:before="240" w:after="64" w:line="320" w:lineRule="auto"/>
      <w:outlineLvl w:val="7"/>
    </w:pPr>
    <w:rPr>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link w:val="FooterChar"/>
    <w:uiPriority w:val="99"/>
    <w:qFormat/>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uiPriority w:val="99"/>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spacing w:line="480" w:lineRule="auto"/>
    </w:pPr>
    <w:rPr>
      <w:rFonts w:ascii="Courier New" w:eastAsiaTheme="minorEastAsia" w:hAnsi="Courier New" w:cs="Courier New"/>
      <w:kern w:val="2"/>
      <w:sz w:val="24"/>
      <w:szCs w:val="24"/>
      <w:lang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Cs w:val="24"/>
    </w:rPr>
  </w:style>
  <w:style w:type="paragraph" w:styleId="NormalWeb">
    <w:name w:val="Normal (Web)"/>
    <w:basedOn w:val="Normal"/>
    <w:qFormat/>
    <w:rPr>
      <w:szCs w:val="24"/>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Cs w:val="24"/>
    </w:rPr>
  </w:style>
  <w:style w:type="paragraph" w:styleId="TOC1">
    <w:name w:val="toc 1"/>
    <w:basedOn w:val="Normal"/>
    <w:next w:val="Normal"/>
    <w:uiPriority w:val="39"/>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qFormat/>
    <w:rPr>
      <w:color w:val="000000"/>
    </w:rPr>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qFormat/>
    <w:rPr>
      <w:color w:val="000000"/>
    </w:rPr>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FooterChar">
    <w:name w:val="Footer Char"/>
    <w:basedOn w:val="DefaultParagraphFont"/>
    <w:link w:val="Footer"/>
    <w:uiPriority w:val="99"/>
    <w:rsid w:val="00F10CDB"/>
    <w:rPr>
      <w:rFonts w:eastAsiaTheme="minorEastAsia" w:cstheme="minorBidi"/>
      <w:sz w:val="18"/>
      <w:szCs w:val="18"/>
      <w:lang w:eastAsia="zh-CN"/>
    </w:rPr>
  </w:style>
  <w:style w:type="paragraph" w:styleId="TOCHeading">
    <w:name w:val="TOC Heading"/>
    <w:basedOn w:val="Heading1"/>
    <w:next w:val="Normal"/>
    <w:uiPriority w:val="39"/>
    <w:unhideWhenUsed/>
    <w:qFormat/>
    <w:rsid w:val="00F10CDB"/>
    <w:pPr>
      <w:keepNext/>
      <w:keepLines/>
      <w:spacing w:before="240" w:line="259" w:lineRule="auto"/>
      <w:outlineLvl w:val="9"/>
    </w:pPr>
    <w:rPr>
      <w:rFonts w:asciiTheme="majorHAnsi" w:eastAsiaTheme="majorEastAsia" w:hAnsiTheme="majorHAnsi" w:cstheme="majorBidi"/>
      <w:b w:val="0"/>
      <w:color w:val="2E74B5" w:themeColor="accent1" w:themeShade="BF"/>
      <w:sz w:val="32"/>
      <w:szCs w:val="32"/>
      <w:lang w:eastAsia="en-US"/>
    </w:rPr>
  </w:style>
  <w:style w:type="paragraph" w:styleId="NoSpacing">
    <w:name w:val="No Spacing"/>
    <w:link w:val="NoSpacingChar"/>
    <w:uiPriority w:val="1"/>
    <w:qFormat/>
    <w:rsid w:val="007852D4"/>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7852D4"/>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carenursing.co.uk/registered-nurse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usinessnewsdaily.com/6848-creativity-vs-innovation.html"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who.int/activities/accelerating-impact-for-innovations-for-health"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rontiersin.org/articles/10.3389/fict.2018.00001/ful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3F153BF293048B1A1EFB71BA5AAFB31"/>
        <w:category>
          <w:name w:val="General"/>
          <w:gallery w:val="placeholder"/>
        </w:category>
        <w:types>
          <w:type w:val="bbPlcHdr"/>
        </w:types>
        <w:behaviors>
          <w:behavior w:val="content"/>
        </w:behaviors>
        <w:guid w:val="{96BAE3B0-FEDE-4BCD-8D6F-AE6C25BB5D31}"/>
      </w:docPartPr>
      <w:docPartBody>
        <w:p w:rsidR="007F202E" w:rsidRDefault="00AF6809" w:rsidP="00AF6809">
          <w:pPr>
            <w:pStyle w:val="33F153BF293048B1A1EFB71BA5AAFB31"/>
          </w:pPr>
          <w:r>
            <w:rPr>
              <w:rFonts w:asciiTheme="majorHAnsi" w:eastAsiaTheme="majorEastAsia" w:hAnsiTheme="majorHAnsi" w:cstheme="majorBidi"/>
              <w:caps/>
              <w:color w:val="156082" w:themeColor="accent1"/>
              <w:sz w:val="80"/>
              <w:szCs w:val="80"/>
            </w:rPr>
            <w:t>[Document title]</w:t>
          </w:r>
        </w:p>
      </w:docPartBody>
    </w:docPart>
    <w:docPart>
      <w:docPartPr>
        <w:name w:val="9150024D35C44F799C4C33A7E4CD236E"/>
        <w:category>
          <w:name w:val="General"/>
          <w:gallery w:val="placeholder"/>
        </w:category>
        <w:types>
          <w:type w:val="bbPlcHdr"/>
        </w:types>
        <w:behaviors>
          <w:behavior w:val="content"/>
        </w:behaviors>
        <w:guid w:val="{F0568A23-144F-46BC-AB43-1291662CABBA}"/>
      </w:docPartPr>
      <w:docPartBody>
        <w:p w:rsidR="007F202E" w:rsidRDefault="00AF6809" w:rsidP="00AF6809">
          <w:pPr>
            <w:pStyle w:val="9150024D35C44F799C4C33A7E4CD236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809"/>
    <w:rsid w:val="006A4C60"/>
    <w:rsid w:val="007F202E"/>
    <w:rsid w:val="00AF6809"/>
    <w:rsid w:val="00D8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F153BF293048B1A1EFB71BA5AAFB31">
    <w:name w:val="33F153BF293048B1A1EFB71BA5AAFB31"/>
    <w:rsid w:val="00AF6809"/>
  </w:style>
  <w:style w:type="paragraph" w:customStyle="1" w:styleId="9150024D35C44F799C4C33A7E4CD236E">
    <w:name w:val="9150024D35C44F799C4C33A7E4CD236E"/>
    <w:rsid w:val="00AF68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
  <CompanyAddress>2212097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D221D7-CC97-40CA-9287-E3B13DCA4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4725</Words>
  <Characters>26939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Halima Begum Rumi</Company>
  <LinksUpToDate>false</LinksUpToDate>
  <CharactersWithSpaces>31601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Detailing An Innovative Solution To An Operational Problem</dc:title>
  <dc:subject>Creativity And Innovation</dc:subject>
  <dc:creator>Halima Rumi</dc:creator>
  <cp:lastModifiedBy>Halima Rumi</cp:lastModifiedBy>
  <cp:revision>3</cp:revision>
  <dcterms:created xsi:type="dcterms:W3CDTF">2024-03-19T21:06:00Z</dcterms:created>
  <dcterms:modified xsi:type="dcterms:W3CDTF">2024-03-21T21:16:00Z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2A42BD2579CA431D871925797FED828E_13</vt:lpwstr>
  </property>
  <property fmtid="{D5CDD505-2E9C-101B-9397-08002B2CF9AE}" pid="3" name="KSOProductBuildVer">
    <vt:lpwstr>1033-12.2.0.13489</vt:lpwstr>
  </property>
</Properties>
</file>