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rFonts w:ascii="Calibri" w:cs="Calibri" w:eastAsia="Calibri" w:hAnsi="Calibri"/>
          <w:b/>
          <w:bCs/>
          <w:sz w:val="32"/>
          <w:szCs w:val="32"/>
        </w:rPr>
        <w:t xml:space="preserve">RCI Hospitality Holdings, Inc. (NASDAQ: RICK)</w:t>
      </w:r>
    </w:p>
    <w:p>
      <w:pPr>
        <w:spacing w:after="100"/>
      </w:pPr>
      <w:r>
        <w:rPr>
          <w:rFonts w:ascii="Calibri" w:cs="Calibri" w:eastAsia="Calibri" w:hAnsi="Calibri"/>
          <w:b/>
          <w:bCs/>
          <w:color w:val="1F4E78"/>
          <w:sz w:val="26"/>
          <w:szCs w:val="26"/>
        </w:rPr>
        <w:t xml:space="preserve">Cash Conversion Cycle (CCC) Analysis — FY2019, FY2020, FY2022, FY2023, FY2024</w:t>
      </w:r>
    </w:p>
    <w:p>
      <w:pPr>
        <w:spacing w:after="300"/>
      </w:pPr>
      <w:r>
        <w:rPr>
          <w:rFonts w:ascii="Calibri" w:cs="Calibri" w:eastAsia="Calibri" w:hAnsi="Calibri"/>
          <w:i/>
          <w:iCs/>
          <w:color w:val="555555"/>
          <w:sz w:val="18"/>
          <w:szCs w:val="18"/>
        </w:rPr>
        <w:t xml:space="preserve">Fiscal years ended September 30 | $ in thousands unless noted | Source: RCI Hospitality Holdings 10-K filings (SEC EDGAR) for FY2019, FY2020, FY2022, FY2023 and FY2024</w:t>
      </w:r>
    </w:p>
    <w:p>
      <w:pPr>
        <w:pStyle w:val="Heading1"/>
        <w:spacing w:after="150" w:before="300"/>
      </w:pPr>
      <w:r>
        <w:t xml:space="preserve">1. Scope and Methodology</w:t>
      </w:r>
    </w:p>
    <w:p>
      <w:pPr>
        <w:spacing w:after="160"/>
      </w:pPr>
      <w:r>
        <w:rPr>
          <w:rFonts w:ascii="Calibri" w:cs="Calibri" w:eastAsia="Calibri" w:hAnsi="Calibri"/>
          <w:sz w:val="22"/>
          <w:szCs w:val="22"/>
        </w:rPr>
        <w:t xml:space="preserve">This report calculates the Cash Conversion Cycle (CCC) for RCI Hospitality Holdings for five fiscal years: FY2019, FY2020, FY2022, FY2023 and FY2024, using the formula:</w:t>
      </w:r>
    </w:p>
    <w:p>
      <w:pPr>
        <w:spacing w:after="200"/>
      </w:pPr>
      <w:r>
        <w:rPr>
          <w:rFonts w:ascii="Calibri" w:cs="Calibri" w:eastAsia="Calibri" w:hAnsi="Calibri"/>
          <w:b/>
          <w:bCs/>
          <w:sz w:val="22"/>
          <w:szCs w:val="22"/>
        </w:rPr>
        <w:t xml:space="preserve">CCC = Inventory Days (DIO) + Receivable Days (DSO) − Payable Days (DPO)</w:t>
      </w:r>
    </w:p>
    <w:p>
      <w:pPr>
        <w:pStyle w:val="ListParagraph"/>
        <w:numPr>
          <w:ilvl w:val="0"/>
          <w:numId w:val="1"/>
        </w:numPr>
        <w:spacing w:after="100"/>
      </w:pPr>
      <w:r>
        <w:rPr>
          <w:rFonts w:ascii="Calibri" w:cs="Calibri" w:eastAsia="Calibri" w:hAnsi="Calibri"/>
          <w:sz w:val="22"/>
          <w:szCs w:val="22"/>
        </w:rPr>
        <w:t xml:space="preserve">FY2021 is not covered because no FY2021 10-K was supplied, so it is excluded from this analysis.</w:t>
      </w:r>
    </w:p>
    <w:p>
      <w:pPr>
        <w:pStyle w:val="ListParagraph"/>
        <w:numPr>
          <w:ilvl w:val="0"/>
          <w:numId w:val="1"/>
        </w:numPr>
        <w:spacing w:after="100"/>
      </w:pPr>
      <w:r>
        <w:rPr>
          <w:rFonts w:ascii="Calibri" w:cs="Calibri" w:eastAsia="Calibri" w:hAnsi="Calibri"/>
          <w:sz w:val="22"/>
          <w:szCs w:val="22"/>
        </w:rPr>
        <w:t xml:space="preserve">Figures for each fiscal year are taken directly from that fiscal year's own 10-K, so the beginning and ending balance sheet figures used for each year's averages are internally consistent within that same filing (RCI restated some FY2019 balance sheet items in later filings; using each report's own comparatives avoids mixing original and restated figures).</w:t>
      </w:r>
    </w:p>
    <w:p>
      <w:pPr>
        <w:pStyle w:val="ListParagraph"/>
        <w:numPr>
          <w:ilvl w:val="0"/>
          <w:numId w:val="1"/>
        </w:numPr>
        <w:spacing w:after="100"/>
      </w:pPr>
      <w:r>
        <w:rPr>
          <w:rFonts w:ascii="Calibri" w:cs="Calibri" w:eastAsia="Calibri" w:hAnsi="Calibri"/>
          <w:sz w:val="22"/>
          <w:szCs w:val="22"/>
        </w:rPr>
        <w:t xml:space="preserve">Revenue and COGS are from the Consolidated Statements of Income/Operations; Inventories, Accounts Receivable (net) and Accounts Payable are from the Consolidated Balance Sheets.</w:t>
      </w:r>
    </w:p>
    <w:p>
      <w:pPr>
        <w:pStyle w:val="ListParagraph"/>
        <w:numPr>
          <w:ilvl w:val="0"/>
          <w:numId w:val="1"/>
        </w:numPr>
        <w:spacing w:after="100"/>
      </w:pPr>
      <w:r>
        <w:rPr>
          <w:rFonts w:ascii="Calibri" w:cs="Calibri" w:eastAsia="Calibri" w:hAnsi="Calibri"/>
          <w:sz w:val="22"/>
          <w:szCs w:val="22"/>
        </w:rPr>
        <w:t xml:space="preserve">A 365-day year is used for all day-count conversions. Average balances = (Beginning + Ending) / 2.</w:t>
      </w:r>
    </w:p>
    <w:p>
      <w:pPr>
        <w:pStyle w:val="Heading1"/>
        <w:spacing w:after="150" w:before="300"/>
      </w:pPr>
      <w:r>
        <w:t xml:space="preserve">2. Inputs (from the 10-K filings)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360"/>
        <w:gridCol w:w="1200"/>
        <w:gridCol w:w="1200"/>
        <w:gridCol w:w="1200"/>
        <w:gridCol w:w="1200"/>
        <w:gridCol w:w="1200"/>
      </w:tblGrid>
      <w:tr>
        <w:tc>
          <w:tcPr>
            <w:tcW w:type="dxa" w:w="336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Fiscal Year (Sep 30 year-end)</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FY2019</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FY2020</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FY2022</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FY2023</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FY2024</w:t>
            </w:r>
          </w:p>
        </w:tc>
      </w:tr>
      <w:tr>
        <w:tc>
          <w:tcPr>
            <w:tcW w:type="dxa" w:w="3360"/>
            <w:tcBorders>
              <w:top w:val="single" w:color="BFBFBF" w:sz="2"/>
              <w:left w:val="single" w:color="BFBFBF" w:sz="2"/>
              <w:bottom w:val="single" w:color="BFBFBF" w:sz="2"/>
              <w:right w:val="single" w:color="BFBFBF" w:sz="2"/>
            </w:tcBorders>
            <w:vAlign w:val="center"/>
          </w:tcPr>
          <w:p>
            <w:r>
              <w:rPr>
                <w:rFonts w:ascii="Calibri" w:cs="Calibri" w:eastAsia="Calibri" w:hAnsi="Calibri"/>
                <w:b w:val="false"/>
                <w:bCs w:val="false"/>
                <w:sz w:val="19"/>
                <w:szCs w:val="19"/>
              </w:rPr>
              <w:t xml:space="preserve">Total revenues ($000)</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181,059</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132,327</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267,620</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293,790</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295,604</w:t>
            </w:r>
          </w:p>
        </w:tc>
      </w:tr>
      <w:tr>
        <w:tc>
          <w:tcPr>
            <w:tcW w:type="dxa" w:w="3360"/>
            <w:tcBorders>
              <w:top w:val="single" w:color="BFBFBF" w:sz="2"/>
              <w:left w:val="single" w:color="BFBFBF" w:sz="2"/>
              <w:bottom w:val="single" w:color="BFBFBF" w:sz="2"/>
              <w:right w:val="single" w:color="BFBFBF" w:sz="2"/>
            </w:tcBorders>
            <w:shd w:fill="F2F2F2" w:val="clear"/>
            <w:vAlign w:val="center"/>
          </w:tcPr>
          <w:p>
            <w:r>
              <w:rPr>
                <w:rFonts w:ascii="Calibri" w:cs="Calibri" w:eastAsia="Calibri" w:hAnsi="Calibri"/>
                <w:b w:val="false"/>
                <w:bCs w:val="false"/>
                <w:sz w:val="19"/>
                <w:szCs w:val="19"/>
              </w:rPr>
              <w:t xml:space="preserve">Total COGS ($000)</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24,937</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19,435</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36,009</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39,002</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40,985</w:t>
            </w:r>
          </w:p>
        </w:tc>
      </w:tr>
      <w:tr>
        <w:tc>
          <w:tcPr>
            <w:tcW w:type="dxa" w:w="3360"/>
            <w:tcBorders>
              <w:top w:val="single" w:color="BFBFBF" w:sz="2"/>
              <w:left w:val="single" w:color="BFBFBF" w:sz="2"/>
              <w:bottom w:val="single" w:color="BFBFBF" w:sz="2"/>
              <w:right w:val="single" w:color="BFBFBF" w:sz="2"/>
            </w:tcBorders>
            <w:vAlign w:val="center"/>
          </w:tcPr>
          <w:p>
            <w:r>
              <w:rPr>
                <w:rFonts w:ascii="Calibri" w:cs="Calibri" w:eastAsia="Calibri" w:hAnsi="Calibri"/>
                <w:b w:val="false"/>
                <w:bCs w:val="false"/>
                <w:sz w:val="19"/>
                <w:szCs w:val="19"/>
              </w:rPr>
              <w:t xml:space="preserve">Inventories — end of year ($000)</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2,598</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2,372</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3,893</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4,412</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4,676</w:t>
            </w:r>
          </w:p>
        </w:tc>
      </w:tr>
      <w:tr>
        <w:tc>
          <w:tcPr>
            <w:tcW w:type="dxa" w:w="3360"/>
            <w:tcBorders>
              <w:top w:val="single" w:color="BFBFBF" w:sz="2"/>
              <w:left w:val="single" w:color="BFBFBF" w:sz="2"/>
              <w:bottom w:val="single" w:color="BFBFBF" w:sz="2"/>
              <w:right w:val="single" w:color="BFBFBF" w:sz="2"/>
            </w:tcBorders>
            <w:shd w:fill="F2F2F2" w:val="clear"/>
            <w:vAlign w:val="center"/>
          </w:tcPr>
          <w:p>
            <w:r>
              <w:rPr>
                <w:rFonts w:ascii="Calibri" w:cs="Calibri" w:eastAsia="Calibri" w:hAnsi="Calibri"/>
                <w:b w:val="false"/>
                <w:bCs w:val="false"/>
                <w:sz w:val="19"/>
                <w:szCs w:val="19"/>
              </w:rPr>
              <w:t xml:space="preserve">Inventories — beginning of year ($000)</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2,353</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2,598</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2,659</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3,893</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4,412</w:t>
            </w:r>
          </w:p>
        </w:tc>
      </w:tr>
      <w:tr>
        <w:tc>
          <w:tcPr>
            <w:tcW w:type="dxa" w:w="3360"/>
            <w:tcBorders>
              <w:top w:val="single" w:color="BFBFBF" w:sz="2"/>
              <w:left w:val="single" w:color="BFBFBF" w:sz="2"/>
              <w:bottom w:val="single" w:color="BFBFBF" w:sz="2"/>
              <w:right w:val="single" w:color="BFBFBF" w:sz="2"/>
            </w:tcBorders>
            <w:vAlign w:val="center"/>
          </w:tcPr>
          <w:p>
            <w:r>
              <w:rPr>
                <w:rFonts w:ascii="Calibri" w:cs="Calibri" w:eastAsia="Calibri" w:hAnsi="Calibri"/>
                <w:b w:val="false"/>
                <w:bCs w:val="false"/>
                <w:sz w:val="19"/>
                <w:szCs w:val="19"/>
              </w:rPr>
              <w:t xml:space="preserve">Accounts receivable, net — end of year ($000)</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6,289</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6,767</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8,510</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9,846</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5,563</w:t>
            </w:r>
          </w:p>
        </w:tc>
      </w:tr>
      <w:tr>
        <w:tc>
          <w:tcPr>
            <w:tcW w:type="dxa" w:w="3360"/>
            <w:tcBorders>
              <w:top w:val="single" w:color="BFBFBF" w:sz="2"/>
              <w:left w:val="single" w:color="BFBFBF" w:sz="2"/>
              <w:bottom w:val="single" w:color="BFBFBF" w:sz="2"/>
              <w:right w:val="single" w:color="BFBFBF" w:sz="2"/>
            </w:tcBorders>
            <w:shd w:fill="F2F2F2" w:val="clear"/>
            <w:vAlign w:val="center"/>
          </w:tcPr>
          <w:p>
            <w:r>
              <w:rPr>
                <w:rFonts w:ascii="Calibri" w:cs="Calibri" w:eastAsia="Calibri" w:hAnsi="Calibri"/>
                <w:b w:val="false"/>
                <w:bCs w:val="false"/>
                <w:sz w:val="19"/>
                <w:szCs w:val="19"/>
              </w:rPr>
              <w:t xml:space="preserve">Accounts receivable, net — beginning of year ($000)</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7,320</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7,408</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7,570</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8,510</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9,846</w:t>
            </w:r>
          </w:p>
        </w:tc>
      </w:tr>
      <w:tr>
        <w:tc>
          <w:tcPr>
            <w:tcW w:type="dxa" w:w="3360"/>
            <w:tcBorders>
              <w:top w:val="single" w:color="BFBFBF" w:sz="2"/>
              <w:left w:val="single" w:color="BFBFBF" w:sz="2"/>
              <w:bottom w:val="single" w:color="BFBFBF" w:sz="2"/>
              <w:right w:val="single" w:color="BFBFBF" w:sz="2"/>
            </w:tcBorders>
            <w:vAlign w:val="center"/>
          </w:tcPr>
          <w:p>
            <w:r>
              <w:rPr>
                <w:rFonts w:ascii="Calibri" w:cs="Calibri" w:eastAsia="Calibri" w:hAnsi="Calibri"/>
                <w:b w:val="false"/>
                <w:bCs w:val="false"/>
                <w:sz w:val="19"/>
                <w:szCs w:val="19"/>
              </w:rPr>
              <w:t xml:space="preserve">Accounts payable — end of year ($000)</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3,810</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4,799</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5,482</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6,111</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5,637</w:t>
            </w:r>
          </w:p>
        </w:tc>
      </w:tr>
      <w:tr>
        <w:tc>
          <w:tcPr>
            <w:tcW w:type="dxa" w:w="3360"/>
            <w:tcBorders>
              <w:top w:val="single" w:color="BFBFBF" w:sz="2"/>
              <w:left w:val="single" w:color="BFBFBF" w:sz="2"/>
              <w:bottom w:val="single" w:color="BFBFBF" w:sz="2"/>
              <w:right w:val="single" w:color="BFBFBF" w:sz="2"/>
            </w:tcBorders>
            <w:shd w:fill="F2F2F2" w:val="clear"/>
            <w:vAlign w:val="center"/>
          </w:tcPr>
          <w:p>
            <w:r>
              <w:rPr>
                <w:rFonts w:ascii="Calibri" w:cs="Calibri" w:eastAsia="Calibri" w:hAnsi="Calibri"/>
                <w:b w:val="false"/>
                <w:bCs w:val="false"/>
                <w:sz w:val="19"/>
                <w:szCs w:val="19"/>
              </w:rPr>
              <w:t xml:space="preserve">Accounts payable — beginning of year ($000)</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2,825</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3,810</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4,408</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5,482</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6,111</w:t>
            </w:r>
          </w:p>
        </w:tc>
      </w:tr>
    </w:tbl>
    <w:p>
      <w:pPr>
        <w:spacing w:after="200"/>
      </w:pPr>
    </w:p>
    <w:p>
      <w:pPr>
        <w:pStyle w:val="Heading1"/>
        <w:spacing w:after="150" w:before="300"/>
      </w:pPr>
      <w:r>
        <w:t xml:space="preserve">3. Workings</w:t>
      </w:r>
    </w:p>
    <w:p>
      <w:pPr>
        <w:spacing w:after="160"/>
      </w:pPr>
      <w:r>
        <w:rPr>
          <w:rFonts w:ascii="Calibri" w:cs="Calibri" w:eastAsia="Calibri" w:hAnsi="Calibri"/>
          <w:sz w:val="22"/>
          <w:szCs w:val="22"/>
        </w:rPr>
        <w:t xml:space="preserve">Average balances and day-ratios, calculated from the inputs above: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360"/>
        <w:gridCol w:w="1200"/>
        <w:gridCol w:w="1200"/>
        <w:gridCol w:w="1200"/>
        <w:gridCol w:w="1200"/>
        <w:gridCol w:w="1200"/>
      </w:tblGrid>
      <w:tr>
        <w:tc>
          <w:tcPr>
            <w:tcW w:type="dxa" w:w="336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Fiscal Year (Sep 30 year-end)</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FY2019</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FY2020</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FY2022</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FY2023</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FY2024</w:t>
            </w:r>
          </w:p>
        </w:tc>
      </w:tr>
      <w:tr>
        <w:tc>
          <w:tcPr>
            <w:tcW w:type="dxa" w:w="3360"/>
            <w:tcBorders>
              <w:top w:val="single" w:color="BFBFBF" w:sz="2"/>
              <w:left w:val="single" w:color="BFBFBF" w:sz="2"/>
              <w:bottom w:val="single" w:color="BFBFBF" w:sz="2"/>
              <w:right w:val="single" w:color="BFBFBF" w:sz="2"/>
            </w:tcBorders>
            <w:vAlign w:val="center"/>
          </w:tcPr>
          <w:p>
            <w:r>
              <w:rPr>
                <w:rFonts w:ascii="Calibri" w:cs="Calibri" w:eastAsia="Calibri" w:hAnsi="Calibri"/>
                <w:b w:val="false"/>
                <w:bCs w:val="false"/>
                <w:sz w:val="19"/>
                <w:szCs w:val="19"/>
              </w:rPr>
              <w:t xml:space="preserve">Average Inventory ($000)</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2,476</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2,485</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3,276</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4,153</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4,544</w:t>
            </w:r>
          </w:p>
        </w:tc>
      </w:tr>
      <w:tr>
        <w:tc>
          <w:tcPr>
            <w:tcW w:type="dxa" w:w="3360"/>
            <w:tcBorders>
              <w:top w:val="single" w:color="BFBFBF" w:sz="2"/>
              <w:left w:val="single" w:color="BFBFBF" w:sz="2"/>
              <w:bottom w:val="single" w:color="BFBFBF" w:sz="2"/>
              <w:right w:val="single" w:color="BFBFBF" w:sz="2"/>
            </w:tcBorders>
            <w:shd w:fill="F2F2F2" w:val="clear"/>
            <w:vAlign w:val="center"/>
          </w:tcPr>
          <w:p>
            <w:r>
              <w:rPr>
                <w:rFonts w:ascii="Calibri" w:cs="Calibri" w:eastAsia="Calibri" w:hAnsi="Calibri"/>
                <w:b w:val="false"/>
                <w:bCs w:val="false"/>
                <w:sz w:val="19"/>
                <w:szCs w:val="19"/>
              </w:rPr>
              <w:t xml:space="preserve">Average Accounts Receivable ($000)</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6,805</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7,088</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8,040</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9,178</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7,705</w:t>
            </w:r>
          </w:p>
        </w:tc>
      </w:tr>
      <w:tr>
        <w:tc>
          <w:tcPr>
            <w:tcW w:type="dxa" w:w="3360"/>
            <w:tcBorders>
              <w:top w:val="single" w:color="BFBFBF" w:sz="2"/>
              <w:left w:val="single" w:color="BFBFBF" w:sz="2"/>
              <w:bottom w:val="single" w:color="BFBFBF" w:sz="2"/>
              <w:right w:val="single" w:color="BFBFBF" w:sz="2"/>
            </w:tcBorders>
            <w:vAlign w:val="center"/>
          </w:tcPr>
          <w:p>
            <w:r>
              <w:rPr>
                <w:rFonts w:ascii="Calibri" w:cs="Calibri" w:eastAsia="Calibri" w:hAnsi="Calibri"/>
                <w:b w:val="false"/>
                <w:bCs w:val="false"/>
                <w:sz w:val="19"/>
                <w:szCs w:val="19"/>
              </w:rPr>
              <w:t xml:space="preserve">Average Accounts Payable ($000)</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3,318</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4,305</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4,945</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5,797</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5,874</w:t>
            </w:r>
          </w:p>
        </w:tc>
      </w:tr>
      <w:tr>
        <w:tc>
          <w:tcPr>
            <w:tcW w:type="dxa" w:w="3360"/>
            <w:tcBorders>
              <w:top w:val="single" w:color="BFBFBF" w:sz="2"/>
              <w:left w:val="single" w:color="BFBFBF" w:sz="2"/>
              <w:bottom w:val="single" w:color="BFBFBF" w:sz="2"/>
              <w:right w:val="single" w:color="BFBFBF" w:sz="2"/>
            </w:tcBorders>
            <w:shd w:fill="F2F2F2" w:val="clear"/>
            <w:vAlign w:val="center"/>
          </w:tcPr>
          <w:p>
            <w:r>
              <w:rPr>
                <w:rFonts w:ascii="Calibri" w:cs="Calibri" w:eastAsia="Calibri" w:hAnsi="Calibri"/>
                <w:b w:val="false"/>
                <w:bCs w:val="false"/>
                <w:sz w:val="19"/>
                <w:szCs w:val="19"/>
              </w:rPr>
              <w:t xml:space="preserve">Inventory Days = Avg Inv / COGS x 365</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36.2</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46.7</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33.2</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38.9</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40.5</w:t>
            </w:r>
          </w:p>
        </w:tc>
      </w:tr>
      <w:tr>
        <w:tc>
          <w:tcPr>
            <w:tcW w:type="dxa" w:w="3360"/>
            <w:tcBorders>
              <w:top w:val="single" w:color="BFBFBF" w:sz="2"/>
              <w:left w:val="single" w:color="BFBFBF" w:sz="2"/>
              <w:bottom w:val="single" w:color="BFBFBF" w:sz="2"/>
              <w:right w:val="single" w:color="BFBFBF" w:sz="2"/>
            </w:tcBorders>
            <w:vAlign w:val="center"/>
          </w:tcPr>
          <w:p>
            <w:r>
              <w:rPr>
                <w:rFonts w:ascii="Calibri" w:cs="Calibri" w:eastAsia="Calibri" w:hAnsi="Calibri"/>
                <w:b w:val="false"/>
                <w:bCs w:val="false"/>
                <w:sz w:val="19"/>
                <w:szCs w:val="19"/>
              </w:rPr>
              <w:t xml:space="preserve">Receivable Days = Avg AR / Revenue x 365</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13.7</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19.5</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11.0</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11.4</w:t>
            </w:r>
          </w:p>
        </w:tc>
        <w:tc>
          <w:tcPr>
            <w:tcW w:type="dxa" w:w="1200"/>
            <w:tcBorders>
              <w:top w:val="single" w:color="BFBFBF" w:sz="2"/>
              <w:left w:val="single" w:color="BFBFBF" w:sz="2"/>
              <w:bottom w:val="single" w:color="BFBFBF" w:sz="2"/>
              <w:right w:val="single" w:color="BFBFBF" w:sz="2"/>
            </w:tcBorders>
            <w:vAlign w:val="center"/>
          </w:tcPr>
          <w:p>
            <w:pPr>
              <w:jc w:val="right"/>
            </w:pPr>
            <w:r>
              <w:rPr>
                <w:rFonts w:ascii="Calibri" w:cs="Calibri" w:eastAsia="Calibri" w:hAnsi="Calibri"/>
                <w:b w:val="false"/>
                <w:bCs w:val="false"/>
                <w:sz w:val="19"/>
                <w:szCs w:val="19"/>
              </w:rPr>
              <w:t xml:space="preserve">9.5</w:t>
            </w:r>
          </w:p>
        </w:tc>
      </w:tr>
      <w:tr>
        <w:tc>
          <w:tcPr>
            <w:tcW w:type="dxa" w:w="3360"/>
            <w:tcBorders>
              <w:top w:val="single" w:color="BFBFBF" w:sz="2"/>
              <w:left w:val="single" w:color="BFBFBF" w:sz="2"/>
              <w:bottom w:val="single" w:color="BFBFBF" w:sz="2"/>
              <w:right w:val="single" w:color="BFBFBF" w:sz="2"/>
            </w:tcBorders>
            <w:shd w:fill="F2F2F2" w:val="clear"/>
            <w:vAlign w:val="center"/>
          </w:tcPr>
          <w:p>
            <w:r>
              <w:rPr>
                <w:rFonts w:ascii="Calibri" w:cs="Calibri" w:eastAsia="Calibri" w:hAnsi="Calibri"/>
                <w:b w:val="false"/>
                <w:bCs w:val="false"/>
                <w:sz w:val="19"/>
                <w:szCs w:val="19"/>
              </w:rPr>
              <w:t xml:space="preserve">Payable Days = Avg AP / COGS x 365</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48.6</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80.8</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50.1</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54.2</w:t>
            </w:r>
          </w:p>
        </w:tc>
        <w:tc>
          <w:tcPr>
            <w:tcW w:type="dxa" w:w="1200"/>
            <w:tcBorders>
              <w:top w:val="single" w:color="BFBFBF" w:sz="2"/>
              <w:left w:val="single" w:color="BFBFBF" w:sz="2"/>
              <w:bottom w:val="single" w:color="BFBFBF" w:sz="2"/>
              <w:right w:val="single" w:color="BFBFBF" w:sz="2"/>
            </w:tcBorders>
            <w:shd w:fill="F2F2F2" w:val="clear"/>
            <w:vAlign w:val="center"/>
          </w:tcPr>
          <w:p>
            <w:pPr>
              <w:jc w:val="right"/>
            </w:pPr>
            <w:r>
              <w:rPr>
                <w:rFonts w:ascii="Calibri" w:cs="Calibri" w:eastAsia="Calibri" w:hAnsi="Calibri"/>
                <w:b w:val="false"/>
                <w:bCs w:val="false"/>
                <w:sz w:val="19"/>
                <w:szCs w:val="19"/>
              </w:rPr>
              <w:t xml:space="preserve">52.3</w:t>
            </w:r>
          </w:p>
        </w:tc>
      </w:tr>
    </w:tbl>
    <w:p>
      <w:pPr>
        <w:spacing w:after="200"/>
      </w:pPr>
    </w:p>
    <w:p>
      <w:pPr>
        <w:pStyle w:val="Heading1"/>
        <w:spacing w:after="150" w:before="300"/>
      </w:pPr>
      <w:r>
        <w:t xml:space="preserve">4. Cash Conversion Cycle Results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360"/>
        <w:gridCol w:w="1200"/>
        <w:gridCol w:w="1200"/>
        <w:gridCol w:w="1200"/>
        <w:gridCol w:w="1200"/>
        <w:gridCol w:w="1200"/>
      </w:tblGrid>
      <w:tr>
        <w:tc>
          <w:tcPr>
            <w:tcW w:type="dxa" w:w="336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Cash Conversion Cycle (days)</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FY2019</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FY2020</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FY2022</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FY2023</w:t>
            </w:r>
          </w:p>
        </w:tc>
        <w:tc>
          <w:tcPr>
            <w:tcW w:type="dxa" w:w="1200"/>
            <w:tcBorders>
              <w:top w:val="single" w:color="BFBFBF" w:sz="2"/>
              <w:left w:val="single" w:color="BFBFBF" w:sz="2"/>
              <w:bottom w:val="single" w:color="BFBFBF" w:sz="2"/>
              <w:right w:val="single" w:color="BFBFBF" w:sz="2"/>
            </w:tcBorders>
            <w:shd w:fill="1F4E78" w:val="clear"/>
            <w:vAlign w:val="center"/>
          </w:tcPr>
          <w:p>
            <w:pPr>
              <w:jc w:val="center"/>
            </w:pPr>
            <w:r>
              <w:rPr>
                <w:rFonts w:ascii="Calibri" w:cs="Calibri" w:eastAsia="Calibri" w:hAnsi="Calibri"/>
                <w:b/>
                <w:bCs/>
                <w:color w:val="FFFFFF"/>
                <w:sz w:val="19"/>
                <w:szCs w:val="19"/>
              </w:rPr>
              <w:t xml:space="preserve">FY2024</w:t>
            </w:r>
          </w:p>
        </w:tc>
      </w:tr>
      <w:tr>
        <w:tc>
          <w:tcPr>
            <w:tcW w:type="dxa" w:w="3360"/>
            <w:tcBorders>
              <w:top w:val="single" w:color="BFBFBF" w:sz="2"/>
              <w:left w:val="single" w:color="BFBFBF" w:sz="2"/>
              <w:bottom w:val="single" w:color="BFBFBF" w:sz="2"/>
              <w:right w:val="single" w:color="BFBFBF" w:sz="2"/>
            </w:tcBorders>
            <w:shd w:fill="C6E0B4" w:val="clear"/>
            <w:vAlign w:val="center"/>
          </w:tcPr>
          <w:p>
            <w:r>
              <w:rPr>
                <w:rFonts w:ascii="Calibri" w:cs="Calibri" w:eastAsia="Calibri" w:hAnsi="Calibri"/>
                <w:b w:val="false"/>
                <w:bCs w:val="false"/>
                <w:sz w:val="19"/>
                <w:szCs w:val="19"/>
              </w:rPr>
              <w:t xml:space="preserve">CCC = Inventory Days + Receivable Days − Payable Days</w:t>
            </w:r>
          </w:p>
        </w:tc>
        <w:tc>
          <w:tcPr>
            <w:tcW w:type="dxa" w:w="1200"/>
            <w:tcBorders>
              <w:top w:val="single" w:color="BFBFBF" w:sz="2"/>
              <w:left w:val="single" w:color="BFBFBF" w:sz="2"/>
              <w:bottom w:val="single" w:color="BFBFBF" w:sz="2"/>
              <w:right w:val="single" w:color="BFBFBF" w:sz="2"/>
            </w:tcBorders>
            <w:shd w:fill="C6E0B4" w:val="clear"/>
            <w:vAlign w:val="center"/>
          </w:tcPr>
          <w:p>
            <w:pPr>
              <w:jc w:val="right"/>
            </w:pPr>
            <w:r>
              <w:rPr>
                <w:rFonts w:ascii="Calibri" w:cs="Calibri" w:eastAsia="Calibri" w:hAnsi="Calibri"/>
                <w:b/>
                <w:bCs/>
                <w:sz w:val="19"/>
                <w:szCs w:val="19"/>
              </w:rPr>
              <w:t xml:space="preserve">1.4</w:t>
            </w:r>
          </w:p>
        </w:tc>
        <w:tc>
          <w:tcPr>
            <w:tcW w:type="dxa" w:w="1200"/>
            <w:tcBorders>
              <w:top w:val="single" w:color="BFBFBF" w:sz="2"/>
              <w:left w:val="single" w:color="BFBFBF" w:sz="2"/>
              <w:bottom w:val="single" w:color="BFBFBF" w:sz="2"/>
              <w:right w:val="single" w:color="BFBFBF" w:sz="2"/>
            </w:tcBorders>
            <w:shd w:fill="C6E0B4" w:val="clear"/>
            <w:vAlign w:val="center"/>
          </w:tcPr>
          <w:p>
            <w:pPr>
              <w:jc w:val="right"/>
            </w:pPr>
            <w:r>
              <w:rPr>
                <w:rFonts w:ascii="Calibri" w:cs="Calibri" w:eastAsia="Calibri" w:hAnsi="Calibri"/>
                <w:b/>
                <w:bCs/>
                <w:sz w:val="19"/>
                <w:szCs w:val="19"/>
              </w:rPr>
              <w:t xml:space="preserve">-14.6</w:t>
            </w:r>
          </w:p>
        </w:tc>
        <w:tc>
          <w:tcPr>
            <w:tcW w:type="dxa" w:w="1200"/>
            <w:tcBorders>
              <w:top w:val="single" w:color="BFBFBF" w:sz="2"/>
              <w:left w:val="single" w:color="BFBFBF" w:sz="2"/>
              <w:bottom w:val="single" w:color="BFBFBF" w:sz="2"/>
              <w:right w:val="single" w:color="BFBFBF" w:sz="2"/>
            </w:tcBorders>
            <w:shd w:fill="C6E0B4" w:val="clear"/>
            <w:vAlign w:val="center"/>
          </w:tcPr>
          <w:p>
            <w:pPr>
              <w:jc w:val="right"/>
            </w:pPr>
            <w:r>
              <w:rPr>
                <w:rFonts w:ascii="Calibri" w:cs="Calibri" w:eastAsia="Calibri" w:hAnsi="Calibri"/>
                <w:b/>
                <w:bCs/>
                <w:sz w:val="19"/>
                <w:szCs w:val="19"/>
              </w:rPr>
              <w:t xml:space="preserve">-6.0</w:t>
            </w:r>
          </w:p>
        </w:tc>
        <w:tc>
          <w:tcPr>
            <w:tcW w:type="dxa" w:w="1200"/>
            <w:tcBorders>
              <w:top w:val="single" w:color="BFBFBF" w:sz="2"/>
              <w:left w:val="single" w:color="BFBFBF" w:sz="2"/>
              <w:bottom w:val="single" w:color="BFBFBF" w:sz="2"/>
              <w:right w:val="single" w:color="BFBFBF" w:sz="2"/>
            </w:tcBorders>
            <w:shd w:fill="C6E0B4" w:val="clear"/>
            <w:vAlign w:val="center"/>
          </w:tcPr>
          <w:p>
            <w:pPr>
              <w:jc w:val="right"/>
            </w:pPr>
            <w:r>
              <w:rPr>
                <w:rFonts w:ascii="Calibri" w:cs="Calibri" w:eastAsia="Calibri" w:hAnsi="Calibri"/>
                <w:b/>
                <w:bCs/>
                <w:sz w:val="19"/>
                <w:szCs w:val="19"/>
              </w:rPr>
              <w:t xml:space="preserve">-4.0</w:t>
            </w:r>
          </w:p>
        </w:tc>
        <w:tc>
          <w:tcPr>
            <w:tcW w:type="dxa" w:w="1200"/>
            <w:tcBorders>
              <w:top w:val="single" w:color="BFBFBF" w:sz="2"/>
              <w:left w:val="single" w:color="BFBFBF" w:sz="2"/>
              <w:bottom w:val="single" w:color="BFBFBF" w:sz="2"/>
              <w:right w:val="single" w:color="BFBFBF" w:sz="2"/>
            </w:tcBorders>
            <w:shd w:fill="C6E0B4" w:val="clear"/>
            <w:vAlign w:val="center"/>
          </w:tcPr>
          <w:p>
            <w:pPr>
              <w:jc w:val="right"/>
            </w:pPr>
            <w:r>
              <w:rPr>
                <w:rFonts w:ascii="Calibri" w:cs="Calibri" w:eastAsia="Calibri" w:hAnsi="Calibri"/>
                <w:b/>
                <w:bCs/>
                <w:sz w:val="19"/>
                <w:szCs w:val="19"/>
              </w:rPr>
              <w:t xml:space="preserve">-2.3</w:t>
            </w:r>
          </w:p>
        </w:tc>
      </w:tr>
      <w:tr>
        <w:tc>
          <w:tcPr>
            <w:tcW w:type="dxa" w:w="3360"/>
            <w:tcBorders>
              <w:top w:val="single" w:color="BFBFBF" w:sz="2"/>
              <w:left w:val="single" w:color="BFBFBF" w:sz="2"/>
              <w:bottom w:val="single" w:color="BFBFBF" w:sz="2"/>
              <w:right w:val="single" w:color="BFBFBF" w:sz="2"/>
            </w:tcBorders>
            <w:shd w:fill="FFF2CC" w:val="clear"/>
            <w:vAlign w:val="center"/>
          </w:tcPr>
          <w:p>
            <w:r>
              <w:rPr>
                <w:rFonts w:ascii="Calibri" w:cs="Calibri" w:eastAsia="Calibri" w:hAnsi="Calibri"/>
                <w:b w:val="false"/>
                <w:bCs w:val="false"/>
                <w:sz w:val="19"/>
                <w:szCs w:val="19"/>
              </w:rPr>
              <w:t xml:space="preserve">Y/Y change in CCC (days)</w:t>
            </w:r>
          </w:p>
        </w:tc>
        <w:tc>
          <w:tcPr>
            <w:tcW w:type="dxa" w:w="1200"/>
            <w:tcBorders>
              <w:top w:val="single" w:color="BFBFBF" w:sz="2"/>
              <w:left w:val="single" w:color="BFBFBF" w:sz="2"/>
              <w:bottom w:val="single" w:color="BFBFBF" w:sz="2"/>
              <w:right w:val="single" w:color="BFBFBF" w:sz="2"/>
            </w:tcBorders>
            <w:shd w:fill="FFF2CC" w:val="clear"/>
            <w:vAlign w:val="center"/>
          </w:tcPr>
          <w:p>
            <w:pPr>
              <w:jc w:val="right"/>
            </w:pPr>
            <w:r>
              <w:rPr>
                <w:rFonts w:ascii="Calibri" w:cs="Calibri" w:eastAsia="Calibri" w:hAnsi="Calibri"/>
                <w:b w:val="false"/>
                <w:bCs w:val="false"/>
                <w:sz w:val="19"/>
                <w:szCs w:val="19"/>
              </w:rPr>
              <w:t xml:space="preserve">n/a</w:t>
            </w:r>
          </w:p>
        </w:tc>
        <w:tc>
          <w:tcPr>
            <w:tcW w:type="dxa" w:w="1200"/>
            <w:tcBorders>
              <w:top w:val="single" w:color="BFBFBF" w:sz="2"/>
              <w:left w:val="single" w:color="BFBFBF" w:sz="2"/>
              <w:bottom w:val="single" w:color="BFBFBF" w:sz="2"/>
              <w:right w:val="single" w:color="BFBFBF" w:sz="2"/>
            </w:tcBorders>
            <w:shd w:fill="FFF2CC" w:val="clear"/>
            <w:vAlign w:val="center"/>
          </w:tcPr>
          <w:p>
            <w:pPr>
              <w:jc w:val="right"/>
            </w:pPr>
            <w:r>
              <w:rPr>
                <w:rFonts w:ascii="Calibri" w:cs="Calibri" w:eastAsia="Calibri" w:hAnsi="Calibri"/>
                <w:b w:val="false"/>
                <w:bCs w:val="false"/>
                <w:sz w:val="19"/>
                <w:szCs w:val="19"/>
              </w:rPr>
              <w:t xml:space="preserve">-16.0</w:t>
            </w:r>
          </w:p>
        </w:tc>
        <w:tc>
          <w:tcPr>
            <w:tcW w:type="dxa" w:w="1200"/>
            <w:tcBorders>
              <w:top w:val="single" w:color="BFBFBF" w:sz="2"/>
              <w:left w:val="single" w:color="BFBFBF" w:sz="2"/>
              <w:bottom w:val="single" w:color="BFBFBF" w:sz="2"/>
              <w:right w:val="single" w:color="BFBFBF" w:sz="2"/>
            </w:tcBorders>
            <w:shd w:fill="FFF2CC" w:val="clear"/>
            <w:vAlign w:val="center"/>
          </w:tcPr>
          <w:p>
            <w:pPr>
              <w:jc w:val="right"/>
            </w:pPr>
            <w:r>
              <w:rPr>
                <w:rFonts w:ascii="Calibri" w:cs="Calibri" w:eastAsia="Calibri" w:hAnsi="Calibri"/>
                <w:b w:val="false"/>
                <w:bCs w:val="false"/>
                <w:sz w:val="19"/>
                <w:szCs w:val="19"/>
              </w:rPr>
              <w:t xml:space="preserve">+8.7</w:t>
            </w:r>
          </w:p>
        </w:tc>
        <w:tc>
          <w:tcPr>
            <w:tcW w:type="dxa" w:w="1200"/>
            <w:tcBorders>
              <w:top w:val="single" w:color="BFBFBF" w:sz="2"/>
              <w:left w:val="single" w:color="BFBFBF" w:sz="2"/>
              <w:bottom w:val="single" w:color="BFBFBF" w:sz="2"/>
              <w:right w:val="single" w:color="BFBFBF" w:sz="2"/>
            </w:tcBorders>
            <w:shd w:fill="FFF2CC" w:val="clear"/>
            <w:vAlign w:val="center"/>
          </w:tcPr>
          <w:p>
            <w:pPr>
              <w:jc w:val="right"/>
            </w:pPr>
            <w:r>
              <w:rPr>
                <w:rFonts w:ascii="Calibri" w:cs="Calibri" w:eastAsia="Calibri" w:hAnsi="Calibri"/>
                <w:b w:val="false"/>
                <w:bCs w:val="false"/>
                <w:sz w:val="19"/>
                <w:szCs w:val="19"/>
              </w:rPr>
              <w:t xml:space="preserve">+2.0</w:t>
            </w:r>
          </w:p>
        </w:tc>
        <w:tc>
          <w:tcPr>
            <w:tcW w:type="dxa" w:w="1200"/>
            <w:tcBorders>
              <w:top w:val="single" w:color="BFBFBF" w:sz="2"/>
              <w:left w:val="single" w:color="BFBFBF" w:sz="2"/>
              <w:bottom w:val="single" w:color="BFBFBF" w:sz="2"/>
              <w:right w:val="single" w:color="BFBFBF" w:sz="2"/>
            </w:tcBorders>
            <w:shd w:fill="FFF2CC" w:val="clear"/>
            <w:vAlign w:val="center"/>
          </w:tcPr>
          <w:p>
            <w:pPr>
              <w:jc w:val="right"/>
            </w:pPr>
            <w:r>
              <w:rPr>
                <w:rFonts w:ascii="Calibri" w:cs="Calibri" w:eastAsia="Calibri" w:hAnsi="Calibri"/>
                <w:b w:val="false"/>
                <w:bCs w:val="false"/>
                <w:sz w:val="19"/>
                <w:szCs w:val="19"/>
              </w:rPr>
              <w:t xml:space="preserve">+1.7</w:t>
            </w:r>
          </w:p>
        </w:tc>
      </w:tr>
    </w:tbl>
    <w:p>
      <w:pPr>
        <w:spacing w:after="200"/>
      </w:pPr>
    </w:p>
    <w:p>
      <w:pPr>
        <w:spacing w:after="200"/>
      </w:pPr>
      <w:r>
        <w:rPr>
          <w:rFonts w:ascii="Calibri" w:cs="Calibri" w:eastAsia="Calibri" w:hAnsi="Calibri"/>
          <w:i/>
          <w:iCs/>
          <w:color w:val="555555"/>
          <w:sz w:val="18"/>
          <w:szCs w:val="18"/>
        </w:rPr>
        <w:t xml:space="preserve">A negative CCC means RCI collects cash from customers (largely credit-card sales, cleared within days) faster than it pays its own suppliers — i.e., suppliers are effectively financing part of working capital.</w:t>
      </w:r>
    </w:p>
    <w:p>
      <w:pPr>
        <w:pStyle w:val="Heading1"/>
        <w:spacing w:after="150" w:before="300"/>
      </w:pPr>
      <w:r>
        <w:t xml:space="preserve">5. Year-on-Year Analysis</w:t>
      </w:r>
    </w:p>
    <w:p>
      <w:pPr>
        <w:pStyle w:val="Heading2"/>
        <w:spacing w:after="120" w:before="250"/>
      </w:pPr>
      <w:r>
        <w:t xml:space="preserve">FY2019 → FY2020: CCC moves from +1.4 to −14.6 days (a 16-day drop)</w:t>
      </w:r>
    </w:p>
    <w:p>
      <w:pPr>
        <w:spacing w:after="160"/>
      </w:pPr>
      <w:r>
        <w:rPr>
          <w:rFonts w:ascii="Calibri" w:cs="Calibri" w:eastAsia="Calibri" w:hAnsi="Calibri"/>
          <w:sz w:val="22"/>
          <w:szCs w:val="22"/>
        </w:rPr>
        <w:t xml:space="preserve">This is the largest swing in the five years, driven almost entirely by payables. Payable Days jumped from 48.6 to 80.8 days as RCI deliberately stretched payments to suppliers to conserve cash during the COVID-19 shutdown of nightclubs and restaurants (revenue fell from $181.1m to $132.3m). Receivable Days also rose (13.7 to 19.5 days), reflecting slower collections in the disrupted operating environment. Inventory Days rose too (36.2 to 46.7 days) as sales volume fell faster than inventory could be run down. The stretched payables dominated, pushing CCC sharply negative — a defensive, temporary cash-preservation measure rather than a structural efficiency gain.</w:t>
      </w:r>
    </w:p>
    <w:p>
      <w:pPr>
        <w:pStyle w:val="Heading2"/>
        <w:spacing w:after="120" w:before="250"/>
      </w:pPr>
      <w:r>
        <w:t xml:space="preserve">FY2020 → FY2022: CCC moves from −14.6 to −6.0 days</w:t>
      </w:r>
    </w:p>
    <w:p>
      <w:pPr>
        <w:spacing w:after="160"/>
      </w:pPr>
      <w:r>
        <w:rPr>
          <w:rFonts w:ascii="Calibri" w:cs="Calibri" w:eastAsia="Calibri" w:hAnsi="Calibri"/>
          <w:sz w:val="22"/>
          <w:szCs w:val="22"/>
        </w:rPr>
        <w:t xml:space="preserve">As the business recovered and grew strongly post-pandemic (revenue rose to $267.6m), payment terms normalized: Payable Days fell back from the COVID-stretched 80.8 days to 50.1 days, closer to pre-pandemic levels. Inventory turned faster (33.2 days, the lowest of the five years) on higher sales throughput, and Receivable Days improved to 11.0 days. The net effect was a partial reversal of the FY2020 spike as supplier terms and collections both normalized.</w:t>
      </w:r>
    </w:p>
    <w:p>
      <w:pPr>
        <w:pStyle w:val="Heading2"/>
        <w:spacing w:after="120" w:before="250"/>
      </w:pPr>
      <w:r>
        <w:t xml:space="preserve">FY2022 → FY2023: CCC moves from −6.0 to −4.0 days</w:t>
      </w:r>
    </w:p>
    <w:p>
      <w:pPr>
        <w:spacing w:after="160"/>
      </w:pPr>
      <w:r>
        <w:rPr>
          <w:rFonts w:ascii="Calibri" w:cs="Calibri" w:eastAsia="Calibri" w:hAnsi="Calibri"/>
          <w:sz w:val="22"/>
          <w:szCs w:val="22"/>
        </w:rPr>
        <w:t xml:space="preserve">A comparatively stable year. Inventory Days increased from 33.2 to 38.9 days as RCI built stock to support continued unit growth (new Bombshells and Nightclub locations), and Payable Days edged up from 50.1 to 54.2 days. Receivable Days were broadly flat (11.0 to 11.4 days). The net effect was a modest ~2-day increase in CCC.</w:t>
      </w:r>
    </w:p>
    <w:p>
      <w:pPr>
        <w:pStyle w:val="Heading2"/>
        <w:spacing w:after="120" w:before="250"/>
      </w:pPr>
      <w:r>
        <w:t xml:space="preserve">FY2023 → FY2024: CCC moves from −4.0 to −2.3 days</w:t>
      </w:r>
    </w:p>
    <w:p>
      <w:pPr>
        <w:spacing w:after="160"/>
      </w:pPr>
      <w:r>
        <w:rPr>
          <w:rFonts w:ascii="Calibri" w:cs="Calibri" w:eastAsia="Calibri" w:hAnsi="Calibri"/>
          <w:sz w:val="22"/>
          <w:szCs w:val="22"/>
        </w:rPr>
        <w:t xml:space="preserve">Receivable Days fell further, from 11.4 to 9.5 days — the lowest of the five years — consistent with RCI's largely cash/credit-card nightclub and restaurant revenue base. Inventory Days rose slightly (38.9 to 40.5 days) and Payable Days were broadly stable (54.2 to 52.3 days). The net effect was a small ~1.7-day increase in CCC.</w:t>
      </w:r>
    </w:p>
    <w:p>
      <w:pPr>
        <w:pStyle w:val="Heading1"/>
        <w:spacing w:after="150" w:before="300"/>
      </w:pPr>
      <w:r>
        <w:t xml:space="preserve">6. Overall Conclusion</w:t>
      </w:r>
    </w:p>
    <w:p>
      <w:pPr>
        <w:spacing w:after="160"/>
      </w:pPr>
      <w:r>
        <w:rPr>
          <w:rFonts w:ascii="Calibri" w:cs="Calibri" w:eastAsia="Calibri" w:hAnsi="Calibri"/>
          <w:sz w:val="22"/>
          <w:szCs w:val="22"/>
        </w:rPr>
        <w:t xml:space="preserve">RCI Hospitality Holdings runs a structurally negative Cash Conversion Cycle in four of the five years studied, reflecting the cash/credit-card-driven nature of its nightclub and restaurant revenue, which is collected in days, versus supplier payment terms of roughly 50–80 days. FY2019 is the only year with a (marginally) positive CCC. FY2020 stands out as an outlier, where a deliberate stretching of accounts payable during the COVID-19 shutdown pushed CCC to its most negative level (−14.6 days); this reversed over FY2022–FY2024 as operations and supplier terms normalized, settling in the −2 to −6 day range.</w:t>
      </w:r>
    </w:p>
    <w:sectPr>
      <w:pgSz w:w="12240" w:h="15840"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2026-07-26T11:03:54.246Z</dcterms:created>
  <dcterms:modified xsi:type="dcterms:W3CDTF">2026-07-26T11:03:54.279Z</dcterms:modified>
</cp:coreProperties>
</file>

<file path=docProps/custom.xml><?xml version="1.0" encoding="utf-8"?>
<Properties xmlns="http://schemas.openxmlformats.org/officeDocument/2006/custom-properties" xmlns:vt="http://schemas.openxmlformats.org/officeDocument/2006/docPropsVTypes"/>
</file>