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715B" w:rsidRDefault="009E715B">
      <w:pPr>
        <w:rPr>
          <w:rFonts w:ascii="Arial" w:hAnsi="Arial" w:cs="Arial"/>
          <w:sz w:val="28"/>
          <w:szCs w:val="28"/>
        </w:rPr>
      </w:pPr>
      <w:r w:rsidRPr="009E715B">
        <w:rPr>
          <w:rFonts w:ascii="Arial" w:hAnsi="Arial" w:cs="Arial"/>
          <w:sz w:val="28"/>
          <w:szCs w:val="28"/>
        </w:rPr>
        <w:drawing>
          <wp:anchor distT="0" distB="0" distL="114300" distR="114300" simplePos="0" relativeHeight="251658240" behindDoc="0" locked="0" layoutInCell="1" allowOverlap="1">
            <wp:simplePos x="0" y="0"/>
            <wp:positionH relativeFrom="column">
              <wp:posOffset>-552450</wp:posOffset>
            </wp:positionH>
            <wp:positionV relativeFrom="paragraph">
              <wp:posOffset>-581026</wp:posOffset>
            </wp:positionV>
            <wp:extent cx="6934200" cy="5272271"/>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956687" cy="5289369"/>
                    </a:xfrm>
                    <a:prstGeom prst="rect">
                      <a:avLst/>
                    </a:prstGeom>
                  </pic:spPr>
                </pic:pic>
              </a:graphicData>
            </a:graphic>
            <wp14:sizeRelH relativeFrom="margin">
              <wp14:pctWidth>0</wp14:pctWidth>
            </wp14:sizeRelH>
            <wp14:sizeRelV relativeFrom="margin">
              <wp14:pctHeight>0</wp14:pctHeight>
            </wp14:sizeRelV>
          </wp:anchor>
        </w:drawing>
      </w: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077880" w:rsidRPr="009E715B" w:rsidRDefault="009E715B">
      <w:pPr>
        <w:rPr>
          <w:rFonts w:ascii="Arial" w:hAnsi="Arial" w:cs="Arial"/>
          <w:sz w:val="28"/>
          <w:szCs w:val="28"/>
        </w:rPr>
      </w:pPr>
      <w:r w:rsidRPr="009E715B">
        <w:rPr>
          <w:rFonts w:ascii="Arial" w:hAnsi="Arial" w:cs="Arial"/>
          <w:sz w:val="28"/>
          <w:szCs w:val="28"/>
        </w:rPr>
        <w:t xml:space="preserve">Student name: Alexandra Andries </w:t>
      </w:r>
    </w:p>
    <w:p w:rsidR="009E715B" w:rsidRPr="009E715B" w:rsidRDefault="009E715B">
      <w:pPr>
        <w:rPr>
          <w:rFonts w:ascii="Arial" w:hAnsi="Arial" w:cs="Arial"/>
          <w:sz w:val="28"/>
          <w:szCs w:val="28"/>
        </w:rPr>
      </w:pPr>
      <w:r w:rsidRPr="009E715B">
        <w:rPr>
          <w:rFonts w:ascii="Arial" w:hAnsi="Arial" w:cs="Arial"/>
          <w:sz w:val="28"/>
          <w:szCs w:val="28"/>
        </w:rPr>
        <w:t>Student Id: 2026369</w:t>
      </w:r>
    </w:p>
    <w:p w:rsidR="009E715B" w:rsidRPr="009E715B" w:rsidRDefault="009E715B">
      <w:pPr>
        <w:rPr>
          <w:rFonts w:ascii="Arial" w:hAnsi="Arial" w:cs="Arial"/>
          <w:sz w:val="28"/>
          <w:szCs w:val="28"/>
        </w:rPr>
      </w:pPr>
      <w:r w:rsidRPr="009E715B">
        <w:rPr>
          <w:rFonts w:ascii="Arial" w:hAnsi="Arial" w:cs="Arial"/>
          <w:sz w:val="28"/>
          <w:szCs w:val="28"/>
        </w:rPr>
        <w:t>Module: BMIH6007 International Meetings Management</w:t>
      </w:r>
    </w:p>
    <w:p w:rsidR="009E715B" w:rsidRDefault="009E715B">
      <w:pPr>
        <w:rPr>
          <w:rFonts w:ascii="Arial" w:hAnsi="Arial" w:cs="Arial"/>
          <w:sz w:val="28"/>
          <w:szCs w:val="28"/>
        </w:rPr>
      </w:pPr>
      <w:r>
        <w:rPr>
          <w:rFonts w:ascii="Arial" w:hAnsi="Arial" w:cs="Arial"/>
          <w:sz w:val="28"/>
          <w:szCs w:val="28"/>
        </w:rPr>
        <w:t xml:space="preserve">Module </w:t>
      </w:r>
      <w:r w:rsidRPr="009E715B">
        <w:rPr>
          <w:rFonts w:ascii="Arial" w:hAnsi="Arial" w:cs="Arial"/>
          <w:sz w:val="28"/>
          <w:szCs w:val="28"/>
        </w:rPr>
        <w:t xml:space="preserve">Lead: Kathryn Flynn </w:t>
      </w: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E715B" w:rsidRDefault="009E715B">
      <w:pPr>
        <w:rPr>
          <w:rFonts w:ascii="Arial" w:hAnsi="Arial" w:cs="Arial"/>
          <w:sz w:val="28"/>
          <w:szCs w:val="28"/>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Introduction</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The meeting/event being planned is an international conference focused on promoting sustainable workplace practices within the hospitality industry in the United Kingdom. Sustainability has emerged as a critical concern for businesses across various sectors, including hospitality, due to its potential to enhance operational efficiency, reduce environmental impact, and improve stakeholder relations (</w:t>
      </w:r>
      <w:proofErr w:type="spellStart"/>
      <w:r w:rsidRPr="00940A16">
        <w:rPr>
          <w:rFonts w:ascii="Arial" w:eastAsia="Times New Roman" w:hAnsi="Arial" w:cs="Arial"/>
          <w:color w:val="222222"/>
          <w:sz w:val="24"/>
          <w:szCs w:val="24"/>
          <w:shd w:val="clear" w:color="auto" w:fill="FFFFFF"/>
          <w:lang w:eastAsia="en-GB"/>
        </w:rPr>
        <w:t>Banytė</w:t>
      </w:r>
      <w:proofErr w:type="spellEnd"/>
      <w:r w:rsidRPr="00940A16">
        <w:rPr>
          <w:rFonts w:ascii="Arial" w:eastAsia="Times New Roman" w:hAnsi="Arial" w:cs="Arial"/>
          <w:color w:val="222222"/>
          <w:sz w:val="24"/>
          <w:szCs w:val="24"/>
          <w:shd w:val="clear" w:color="auto" w:fill="FFFFFF"/>
          <w:lang w:eastAsia="en-GB"/>
        </w:rPr>
        <w:t xml:space="preserve"> et al., 2020). The location chosen for the event is Tewkesbury Park, a renowned hotel and conference venue located in Gloucestershire, UK. Tewkesbury Park offers state-of-the-art facilities and picturesque surroundings, making it an ideal setting for hosting conferences and events. The venue's commitment to sustainability aligns with the theme of the conference, further reinforcing its suitability for t</w:t>
      </w:r>
      <w:r>
        <w:rPr>
          <w:rFonts w:ascii="Arial" w:eastAsia="Times New Roman" w:hAnsi="Arial" w:cs="Arial"/>
          <w:color w:val="222222"/>
          <w:sz w:val="24"/>
          <w:szCs w:val="24"/>
          <w:shd w:val="clear" w:color="auto" w:fill="FFFFFF"/>
          <w:lang w:eastAsia="en-GB"/>
        </w:rPr>
        <w:t xml:space="preserve">he event (Day Meetings, 2022). </w:t>
      </w:r>
      <w:r w:rsidRPr="00940A16">
        <w:rPr>
          <w:rFonts w:ascii="Arial" w:eastAsia="Times New Roman" w:hAnsi="Arial" w:cs="Arial"/>
          <w:color w:val="222222"/>
          <w:sz w:val="24"/>
          <w:szCs w:val="24"/>
          <w:shd w:val="clear" w:color="auto" w:fill="FFFFFF"/>
          <w:lang w:eastAsia="en-GB"/>
        </w:rPr>
        <w:t xml:space="preserve"> </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 xml:space="preserve"> The Event Cycle</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The event cycle encompasses the various stages involved in planning, organizing, executing, and evaluating an event. These stages typically include pre-event planning, promotion and marketing, registration and logistics, event execution, and post-event evaluation (</w:t>
      </w:r>
      <w:proofErr w:type="spellStart"/>
      <w:r w:rsidRPr="00940A16">
        <w:rPr>
          <w:rFonts w:ascii="Arial" w:eastAsia="Times New Roman" w:hAnsi="Arial" w:cs="Arial"/>
          <w:color w:val="222222"/>
          <w:sz w:val="24"/>
          <w:szCs w:val="24"/>
          <w:shd w:val="clear" w:color="auto" w:fill="FFFFFF"/>
          <w:lang w:eastAsia="en-GB"/>
        </w:rPr>
        <w:t>Brozzi</w:t>
      </w:r>
      <w:proofErr w:type="spellEnd"/>
      <w:r w:rsidRPr="00940A16">
        <w:rPr>
          <w:rFonts w:ascii="Arial" w:eastAsia="Times New Roman" w:hAnsi="Arial" w:cs="Arial"/>
          <w:color w:val="222222"/>
          <w:sz w:val="24"/>
          <w:szCs w:val="24"/>
          <w:shd w:val="clear" w:color="auto" w:fill="FFFFFF"/>
          <w:lang w:eastAsia="en-GB"/>
        </w:rPr>
        <w:t xml:space="preserve"> et al., 2020). Each stage of the event cycle requires careful coordination and attention to detail to ensure the successful delivery of the event and the achievement of its objectives. For the international conference on sustainable workplace practices, the event cycle will begin with pre-event planning, including defining objectives, selecting speakers and topics, securing sponsorships, and coordinating logistics. Promotion and marketing efforts will follow, aimed at raising awareness of the event, attracting attendees, and generating interest and excitement. Registration and logistics will involve managing attendee registration, coordinating travel and accommodations, and preparing the venue and materials for the event. </w:t>
      </w:r>
      <w:r w:rsidRPr="00940A16">
        <w:rPr>
          <w:rFonts w:ascii="Arial" w:eastAsia="Times New Roman" w:hAnsi="Arial" w:cs="Arial"/>
          <w:color w:val="222222"/>
          <w:sz w:val="24"/>
          <w:szCs w:val="24"/>
          <w:shd w:val="clear" w:color="auto" w:fill="FFFFFF"/>
          <w:lang w:eastAsia="en-GB"/>
        </w:rPr>
        <w:lastRenderedPageBreak/>
        <w:t xml:space="preserve">During the event execution stage, all planned activities and sessions will be carried out according to the schedule, with a focus on providing a valuable and engaging experience for attendees. Finally, post-event evaluation will involve assessing the success of the event, gathering feedback from attendees, and identifying areas for improvement for future events. </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 xml:space="preserve"> Event Concept</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 xml:space="preserve"> International conference on sustainable workplace practices aims to provide a platform for industry professionals, researchers, policymakers, and other stakeholders to discuss and exchange ideas on topics related to sustainability in the hospitality industry. The event will feature keynote presentations, panel discussions, workshops, and networking opportunities, covering a range of themes such as energy efficiency, waste management, sustainable sourcing, and employee engagement (Sustainable Event: Why is it so popular these days?, 2024). Attendees can expect to hear from leading experts and practitioners in the field, who will share insights, best practices, and case studies highlighting successful sustainability initiatives in the hospitality sector (Lozano, 2020). The event will also provide a forum for networking and collaboration, allowing participants to connect with peers, explore potential partnerships, and exchange knowledge a</w:t>
      </w:r>
      <w:r>
        <w:rPr>
          <w:rFonts w:ascii="Arial" w:eastAsia="Times New Roman" w:hAnsi="Arial" w:cs="Arial"/>
          <w:color w:val="222222"/>
          <w:sz w:val="24"/>
          <w:szCs w:val="24"/>
          <w:shd w:val="clear" w:color="auto" w:fill="FFFFFF"/>
          <w:lang w:eastAsia="en-GB"/>
        </w:rPr>
        <w:t>nd resources.</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Aim and O</w:t>
      </w:r>
      <w:r>
        <w:rPr>
          <w:rFonts w:ascii="Arial" w:eastAsia="Times New Roman" w:hAnsi="Arial" w:cs="Arial"/>
          <w:color w:val="222222"/>
          <w:sz w:val="24"/>
          <w:szCs w:val="24"/>
          <w:shd w:val="clear" w:color="auto" w:fill="FFFFFF"/>
          <w:lang w:eastAsia="en-GB"/>
        </w:rPr>
        <w:t>bjectives of the Meeting/Event</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 xml:space="preserve">The overarching aim of the international conference on sustainable workplace practices is to promote awareness, knowledge, and action related to sustainability within the hospitality industry in the UK. This aim will be achieved through the following SMART objectives: </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 xml:space="preserve">- Objective 1: To educate attendees about the importance of sustainable workplace practices and their potential benefits for businesses, employees, and the environment. - Objective 2: To facilitate knowledge-sharing and collaboration among industry stakeholders, fostering the exchange of ideas, experiences, and best practices. - Objective 3: To inspire and empower attendees to implement sustainable initiatives within their own organizations, driving positive change and innovation in the hospitality </w:t>
      </w:r>
      <w:r w:rsidRPr="00940A16">
        <w:rPr>
          <w:rFonts w:ascii="Arial" w:eastAsia="Times New Roman" w:hAnsi="Arial" w:cs="Arial"/>
          <w:color w:val="222222"/>
          <w:sz w:val="24"/>
          <w:szCs w:val="24"/>
          <w:shd w:val="clear" w:color="auto" w:fill="FFFFFF"/>
          <w:lang w:eastAsia="en-GB"/>
        </w:rPr>
        <w:lastRenderedPageBreak/>
        <w:t xml:space="preserve">sector. These objectives will guide the planning and execution of the event, ensuring that it effectively addresses the needs and interests of attendees while advancing the broader goal of sustainability </w:t>
      </w:r>
      <w:r>
        <w:rPr>
          <w:rFonts w:ascii="Arial" w:eastAsia="Times New Roman" w:hAnsi="Arial" w:cs="Arial"/>
          <w:color w:val="222222"/>
          <w:sz w:val="24"/>
          <w:szCs w:val="24"/>
          <w:shd w:val="clear" w:color="auto" w:fill="FFFFFF"/>
          <w:lang w:eastAsia="en-GB"/>
        </w:rPr>
        <w:t>in the hospitality industry.</w:t>
      </w:r>
      <w:r w:rsidRPr="00940A16">
        <w:rPr>
          <w:rFonts w:ascii="Arial" w:eastAsia="Times New Roman" w:hAnsi="Arial" w:cs="Arial"/>
          <w:color w:val="222222"/>
          <w:sz w:val="24"/>
          <w:szCs w:val="24"/>
          <w:shd w:val="clear" w:color="auto" w:fill="FFFFFF"/>
          <w:lang w:eastAsia="en-GB"/>
        </w:rPr>
        <w:t xml:space="preserve"> </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Event Operations</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The successful execution of the international conference on sustainable workplace practices will require careful planning and coordination of various operational aspects. Key operational considerations include venue selection and setup, technical requirements, staffing and volunteer management, catering and hospitality, registration and attendee management, and health and safety protocols (</w:t>
      </w:r>
      <w:proofErr w:type="spellStart"/>
      <w:r w:rsidRPr="00940A16">
        <w:rPr>
          <w:rFonts w:ascii="Arial" w:eastAsia="Times New Roman" w:hAnsi="Arial" w:cs="Arial"/>
          <w:color w:val="222222"/>
          <w:sz w:val="24"/>
          <w:szCs w:val="24"/>
          <w:shd w:val="clear" w:color="auto" w:fill="FFFFFF"/>
          <w:lang w:eastAsia="en-GB"/>
        </w:rPr>
        <w:t>Cvenkel</w:t>
      </w:r>
      <w:proofErr w:type="spellEnd"/>
      <w:r w:rsidRPr="00940A16">
        <w:rPr>
          <w:rFonts w:ascii="Arial" w:eastAsia="Times New Roman" w:hAnsi="Arial" w:cs="Arial"/>
          <w:color w:val="222222"/>
          <w:sz w:val="24"/>
          <w:szCs w:val="24"/>
          <w:shd w:val="clear" w:color="auto" w:fill="FFFFFF"/>
          <w:lang w:eastAsia="en-GB"/>
        </w:rPr>
        <w:t>, 2020). Venue selection is critical, with Tewkesbury Park chosen for its suitability, amenities, and commitment to sustainability. The venue will be configured to accommodate different types of sessions and activities, with appropriate audio-visual equipment, seating arrangements, and signage to facilitate engagement and navigation. Technical requirements, such as sound systems, lighting, and Wi-Fi connectivity, will be addressed to ensure smooth and uninterrupted proceedings. Staffing and volunteer management will involve recruiting and training personnel to fulfil various roles, including event coordination, registration assistance, session moderation, and hospitality services. Catering and hospitality arrangements will be made to provide refreshments and meals that align with sustainable principles, such as locally sourced and seasonal ingredients, minimal packaging, and waste reduction measures. Registration and attendee management will be handled through an online platform, allowing for seamless registration, ticketing, and communication with attendees. Health and safety protocols will be implemented to protect the well-being of participants, with measures in place to mitigate risks associated with COVID-1</w:t>
      </w:r>
      <w:r>
        <w:rPr>
          <w:rFonts w:ascii="Arial" w:eastAsia="Times New Roman" w:hAnsi="Arial" w:cs="Arial"/>
          <w:color w:val="222222"/>
          <w:sz w:val="24"/>
          <w:szCs w:val="24"/>
          <w:shd w:val="clear" w:color="auto" w:fill="FFFFFF"/>
          <w:lang w:eastAsia="en-GB"/>
        </w:rPr>
        <w:t xml:space="preserve">9 and other potential hazards. </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p>
    <w:p w:rsidR="00C81610"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 xml:space="preserve"> </w:t>
      </w:r>
    </w:p>
    <w:p w:rsidR="00C81610" w:rsidRDefault="00C81610" w:rsidP="00940A16">
      <w:pPr>
        <w:spacing w:after="0" w:line="360" w:lineRule="auto"/>
        <w:jc w:val="both"/>
        <w:rPr>
          <w:rFonts w:ascii="Arial" w:eastAsia="Times New Roman" w:hAnsi="Arial" w:cs="Arial"/>
          <w:color w:val="222222"/>
          <w:sz w:val="24"/>
          <w:szCs w:val="24"/>
          <w:shd w:val="clear" w:color="auto" w:fill="FFFFFF"/>
          <w:lang w:eastAsia="en-GB"/>
        </w:rPr>
      </w:pPr>
    </w:p>
    <w:p w:rsidR="00C81610" w:rsidRDefault="00C81610" w:rsidP="00940A16">
      <w:pPr>
        <w:spacing w:after="0" w:line="360" w:lineRule="auto"/>
        <w:jc w:val="both"/>
        <w:rPr>
          <w:rFonts w:ascii="Arial" w:eastAsia="Times New Roman" w:hAnsi="Arial" w:cs="Arial"/>
          <w:color w:val="222222"/>
          <w:sz w:val="24"/>
          <w:szCs w:val="24"/>
          <w:shd w:val="clear" w:color="auto" w:fill="FFFFFF"/>
          <w:lang w:eastAsia="en-GB"/>
        </w:rPr>
      </w:pPr>
    </w:p>
    <w:p w:rsidR="00C81610"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Pr>
          <w:rFonts w:ascii="Arial" w:eastAsia="Times New Roman" w:hAnsi="Arial" w:cs="Arial"/>
          <w:color w:val="222222"/>
          <w:sz w:val="24"/>
          <w:szCs w:val="24"/>
          <w:shd w:val="clear" w:color="auto" w:fill="FFFFFF"/>
          <w:lang w:eastAsia="en-GB"/>
        </w:rPr>
        <w:t>Event Budget</w:t>
      </w:r>
    </w:p>
    <w:p w:rsidR="00940A16"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 xml:space="preserve"> A comprehensive budget will be developed to outline the income and expenditure associated with the international conference on sustainable workplace practices. Income sources will include registration fees, sponsorships, grants, and donations, </w:t>
      </w:r>
      <w:r w:rsidRPr="00940A16">
        <w:rPr>
          <w:rFonts w:ascii="Arial" w:eastAsia="Times New Roman" w:hAnsi="Arial" w:cs="Arial"/>
          <w:color w:val="222222"/>
          <w:sz w:val="24"/>
          <w:szCs w:val="24"/>
          <w:shd w:val="clear" w:color="auto" w:fill="FFFFFF"/>
          <w:lang w:eastAsia="en-GB"/>
        </w:rPr>
        <w:lastRenderedPageBreak/>
        <w:t>while expenditure items will encompass venue rental, catering, audio-visual equipment, marketing and promotion, staffing, travel and accommodation, and contingency funds (</w:t>
      </w:r>
      <w:proofErr w:type="spellStart"/>
      <w:r w:rsidRPr="00940A16">
        <w:rPr>
          <w:rFonts w:ascii="Arial" w:eastAsia="Times New Roman" w:hAnsi="Arial" w:cs="Arial"/>
          <w:color w:val="222222"/>
          <w:sz w:val="24"/>
          <w:szCs w:val="24"/>
          <w:shd w:val="clear" w:color="auto" w:fill="FFFFFF"/>
          <w:lang w:eastAsia="en-GB"/>
        </w:rPr>
        <w:t>Nu'man</w:t>
      </w:r>
      <w:proofErr w:type="spellEnd"/>
      <w:r w:rsidRPr="00940A16">
        <w:rPr>
          <w:rFonts w:ascii="Arial" w:eastAsia="Times New Roman" w:hAnsi="Arial" w:cs="Arial"/>
          <w:color w:val="222222"/>
          <w:sz w:val="24"/>
          <w:szCs w:val="24"/>
          <w:shd w:val="clear" w:color="auto" w:fill="FFFFFF"/>
          <w:lang w:eastAsia="en-GB"/>
        </w:rPr>
        <w:t xml:space="preserve"> et al., 2020). The budget will be prepared in consultation with relevant stakeholders, including sponsors, partners, and financial advisors, to ensure accuracy, transparency, and feasibility. Income generation strategies will be employed to maximize revenue and minimize reliance on external funding sources, with targeted efforts to secure sponsorships and partnerships from organizations aligned with the event's objectives and values. Expenditure items will be carefully evaluated and prioritized based on their importance and impact on the success of the event. Cost-saving measures, such as negotiating discounts, leveraging in-kind contributions, and optimizing resource utilization, will be employed to optimize the budget and maximize value for money. Contingency funds will be set aside to address unforeseen expenses and mitigate financial risks, providing a buffer against budget overruns and ensuring the financial sustainability of the event. </w:t>
      </w:r>
    </w:p>
    <w:p w:rsidR="00C81610" w:rsidRDefault="00C81610" w:rsidP="00940A16">
      <w:pPr>
        <w:spacing w:after="0" w:line="360" w:lineRule="auto"/>
        <w:jc w:val="both"/>
        <w:rPr>
          <w:rFonts w:ascii="Arial" w:eastAsia="Times New Roman" w:hAnsi="Arial" w:cs="Arial"/>
          <w:color w:val="222222"/>
          <w:sz w:val="24"/>
          <w:szCs w:val="24"/>
          <w:shd w:val="clear" w:color="auto" w:fill="FFFFFF"/>
          <w:lang w:eastAsia="en-GB"/>
        </w:rPr>
      </w:pPr>
    </w:p>
    <w:p w:rsidR="00C81610" w:rsidRDefault="00C81610" w:rsidP="00940A16">
      <w:pPr>
        <w:spacing w:after="0" w:line="360" w:lineRule="auto"/>
        <w:jc w:val="both"/>
        <w:rPr>
          <w:rFonts w:ascii="Arial" w:eastAsia="Times New Roman" w:hAnsi="Arial" w:cs="Arial"/>
          <w:color w:val="222222"/>
          <w:sz w:val="24"/>
          <w:szCs w:val="24"/>
          <w:shd w:val="clear" w:color="auto" w:fill="FFFFFF"/>
          <w:lang w:eastAsia="en-GB"/>
        </w:rPr>
      </w:pPr>
    </w:p>
    <w:p w:rsidR="00C81610" w:rsidRDefault="00C81610" w:rsidP="00940A16">
      <w:pPr>
        <w:spacing w:after="0" w:line="360" w:lineRule="auto"/>
        <w:jc w:val="both"/>
        <w:rPr>
          <w:rFonts w:ascii="Arial" w:hAnsi="Arial" w:cs="Arial"/>
          <w:color w:val="222222"/>
          <w:sz w:val="28"/>
          <w:shd w:val="clear" w:color="auto" w:fill="FFFFFF"/>
        </w:rPr>
      </w:pPr>
      <w:r w:rsidRPr="00C81610">
        <w:rPr>
          <w:rFonts w:ascii="Arial" w:hAnsi="Arial" w:cs="Arial"/>
          <w:color w:val="222222"/>
          <w:sz w:val="28"/>
          <w:shd w:val="clear" w:color="auto" w:fill="FFFFFF"/>
        </w:rPr>
        <w:t>Financial Factors</w:t>
      </w:r>
    </w:p>
    <w:p w:rsidR="00C81610" w:rsidRDefault="00C81610" w:rsidP="00940A16">
      <w:pPr>
        <w:spacing w:after="0" w:line="360" w:lineRule="auto"/>
        <w:jc w:val="both"/>
        <w:rPr>
          <w:rFonts w:ascii="Arial" w:hAnsi="Arial" w:cs="Arial"/>
          <w:color w:val="222222"/>
          <w:sz w:val="28"/>
          <w:shd w:val="clear" w:color="auto" w:fill="FFFFFF"/>
        </w:rPr>
      </w:pPr>
    </w:p>
    <w:p w:rsidR="00C81610" w:rsidRPr="00C81610" w:rsidRDefault="00C81610" w:rsidP="00940A16">
      <w:pPr>
        <w:spacing w:after="0" w:line="360" w:lineRule="auto"/>
        <w:jc w:val="both"/>
        <w:rPr>
          <w:rFonts w:ascii="Arial" w:hAnsi="Arial" w:cs="Arial"/>
          <w:color w:val="222222"/>
          <w:sz w:val="28"/>
          <w:shd w:val="clear" w:color="auto" w:fill="FFFFFF"/>
        </w:rPr>
      </w:pPr>
      <w:r w:rsidRPr="00C81610">
        <w:rPr>
          <w:rFonts w:ascii="Arial" w:eastAsia="Times New Roman" w:hAnsi="Arial" w:cs="Arial"/>
          <w:color w:val="222222"/>
          <w:sz w:val="24"/>
          <w:szCs w:val="24"/>
          <w:shd w:val="clear" w:color="auto" w:fill="FFFFFF"/>
          <w:lang w:eastAsia="en-GB"/>
        </w:rPr>
        <w:drawing>
          <wp:inline distT="0" distB="0" distL="0" distR="0" wp14:anchorId="54761C94" wp14:editId="52332FC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Event R</w:t>
      </w:r>
      <w:r w:rsidRPr="00C81610">
        <w:rPr>
          <w:rFonts w:ascii="Arial" w:hAnsi="Arial" w:cs="Arial"/>
          <w:color w:val="222222"/>
          <w:sz w:val="24"/>
          <w:shd w:val="clear" w:color="auto" w:fill="FFFFFF"/>
        </w:rPr>
        <w:t>egistration/Ticketing Website:</w:t>
      </w:r>
      <w:r w:rsidRPr="00C81610">
        <w:rPr>
          <w:rFonts w:ascii="Arial" w:hAnsi="Arial" w:cs="Arial"/>
          <w:color w:val="222222"/>
          <w:sz w:val="24"/>
          <w:shd w:val="clear" w:color="auto" w:fill="FFFFFF"/>
        </w:rPr>
        <w:t xml:space="preserve"> The cost of developing and maintaining an event registration and ticketing website is $2,500. This website is crucial for facilitating attendee registration, ticket sales, and communication leading up to the event. It </w:t>
      </w:r>
      <w:r w:rsidRPr="00C81610">
        <w:rPr>
          <w:rFonts w:ascii="Arial" w:hAnsi="Arial" w:cs="Arial"/>
          <w:color w:val="222222"/>
          <w:sz w:val="24"/>
          <w:shd w:val="clear" w:color="auto" w:fill="FFFFFF"/>
        </w:rPr>
        <w:lastRenderedPageBreak/>
        <w:t xml:space="preserve">provides a convenient platform for attendees to purchase tickets and learn more about the event's agenda and speakers.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Event Marketing</w:t>
      </w:r>
      <w:r w:rsidRPr="00C81610">
        <w:rPr>
          <w:rFonts w:ascii="Arial" w:hAnsi="Arial" w:cs="Arial"/>
          <w:color w:val="222222"/>
          <w:sz w:val="24"/>
          <w:shd w:val="clear" w:color="auto" w:fill="FFFFFF"/>
        </w:rPr>
        <w:t xml:space="preserve"> </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Allocating funds for event marketing is essential to promote the conference effectively and attract attendees. With a budget of $4,500, various marketing channels can be utilized, including digital advertising, social media promotion, email campaigns, and print materials. Strategic marketing efforts will help raise awareness about the eve</w:t>
      </w:r>
      <w:r w:rsidRPr="00C81610">
        <w:rPr>
          <w:rFonts w:ascii="Arial" w:hAnsi="Arial" w:cs="Arial"/>
          <w:color w:val="222222"/>
          <w:sz w:val="24"/>
          <w:shd w:val="clear" w:color="auto" w:fill="FFFFFF"/>
        </w:rPr>
        <w:t xml:space="preserve">nt and drive ticket sales. 3.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Mobi</w:t>
      </w:r>
      <w:r w:rsidRPr="00C81610">
        <w:rPr>
          <w:rFonts w:ascii="Arial" w:hAnsi="Arial" w:cs="Arial"/>
          <w:color w:val="222222"/>
          <w:sz w:val="24"/>
          <w:shd w:val="clear" w:color="auto" w:fill="FFFFFF"/>
        </w:rPr>
        <w:t>le Event App Design and Build</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Investing $15,000 in designing and building a mobile event app enhances the attendee experience and engagement. The app can include features such as session schedules, speaker profiles, networking opportunities, interactive maps, and real-time updates. A well-designed app adds value to the event and provides attendees with convenient access to event informa</w:t>
      </w:r>
      <w:r w:rsidRPr="00C81610">
        <w:rPr>
          <w:rFonts w:ascii="Arial" w:hAnsi="Arial" w:cs="Arial"/>
          <w:color w:val="222222"/>
          <w:sz w:val="24"/>
          <w:shd w:val="clear" w:color="auto" w:fill="FFFFFF"/>
        </w:rPr>
        <w:t>tion and resources.</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Venue Rental</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Securing a suitable venue for the conference comes with a cost of $4,500. The chosen venue, Tewkesbury Park, offers modern facilities, ample space, and a conducive environment for hosting the event. The venue's location, amenities, and sustainability practices align with the conference's theme and objectives.</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Venue Design</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Enhancing the venue's ambiance and branding requires an investment of $45,000. This includes decor, signage, branding materials, and stage setup to create an immersive and memorable experience for attendees. A well-designed venue reflects the conference's theme and reinforces key messages about sustainability and innovation.</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Speaker Fees</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Securing renowned speakers and industry experts for the conference involves paying speaker fees </w:t>
      </w:r>
      <w:r w:rsidRPr="00C81610">
        <w:rPr>
          <w:rFonts w:ascii="Arial" w:hAnsi="Arial" w:cs="Arial"/>
          <w:color w:val="222222"/>
          <w:sz w:val="24"/>
          <w:shd w:val="clear" w:color="auto" w:fill="FFFFFF"/>
        </w:rPr>
        <w:t>totalling</w:t>
      </w:r>
      <w:r w:rsidRPr="00C81610">
        <w:rPr>
          <w:rFonts w:ascii="Arial" w:hAnsi="Arial" w:cs="Arial"/>
          <w:color w:val="222222"/>
          <w:sz w:val="24"/>
          <w:shd w:val="clear" w:color="auto" w:fill="FFFFFF"/>
        </w:rPr>
        <w:t xml:space="preserve"> $60,000. High-</w:t>
      </w:r>
      <w:r w:rsidRPr="00C81610">
        <w:rPr>
          <w:rFonts w:ascii="Arial" w:hAnsi="Arial" w:cs="Arial"/>
          <w:color w:val="222222"/>
          <w:sz w:val="24"/>
          <w:shd w:val="clear" w:color="auto" w:fill="FFFFFF"/>
        </w:rPr>
        <w:t>calibre</w:t>
      </w:r>
      <w:r w:rsidRPr="00C81610">
        <w:rPr>
          <w:rFonts w:ascii="Arial" w:hAnsi="Arial" w:cs="Arial"/>
          <w:color w:val="222222"/>
          <w:sz w:val="24"/>
          <w:shd w:val="clear" w:color="auto" w:fill="FFFFFF"/>
        </w:rPr>
        <w:t xml:space="preserve"> speakers attract attendees, lend credibility to the event, and deliver valuable insights and expertise on sustainable workplace </w:t>
      </w:r>
      <w:r w:rsidRPr="00C81610">
        <w:rPr>
          <w:rFonts w:ascii="Arial" w:hAnsi="Arial" w:cs="Arial"/>
          <w:color w:val="222222"/>
          <w:sz w:val="24"/>
          <w:shd w:val="clear" w:color="auto" w:fill="FFFFFF"/>
        </w:rPr>
        <w:lastRenderedPageBreak/>
        <w:t xml:space="preserve">practices. Investing in quality speakers ensures a diverse and engaging </w:t>
      </w:r>
      <w:r w:rsidRPr="00C81610">
        <w:rPr>
          <w:rFonts w:ascii="Arial" w:hAnsi="Arial" w:cs="Arial"/>
          <w:color w:val="222222"/>
          <w:sz w:val="24"/>
          <w:shd w:val="clear" w:color="auto" w:fill="FFFFFF"/>
        </w:rPr>
        <w:t>line-up</w:t>
      </w:r>
      <w:r w:rsidRPr="00C81610">
        <w:rPr>
          <w:rFonts w:ascii="Arial" w:hAnsi="Arial" w:cs="Arial"/>
          <w:color w:val="222222"/>
          <w:sz w:val="24"/>
          <w:shd w:val="clear" w:color="auto" w:fill="FFFFFF"/>
        </w:rPr>
        <w:t xml:space="preserve"> of presentati</w:t>
      </w:r>
      <w:r w:rsidRPr="00C81610">
        <w:rPr>
          <w:rFonts w:ascii="Arial" w:hAnsi="Arial" w:cs="Arial"/>
          <w:color w:val="222222"/>
          <w:sz w:val="24"/>
          <w:shd w:val="clear" w:color="auto" w:fill="FFFFFF"/>
        </w:rPr>
        <w:t xml:space="preserve">ons and panel discussions.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AV Equipment</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Provisioning </w:t>
      </w:r>
      <w:r w:rsidRPr="00C81610">
        <w:rPr>
          <w:rFonts w:ascii="Arial" w:hAnsi="Arial" w:cs="Arial"/>
          <w:color w:val="222222"/>
          <w:sz w:val="24"/>
          <w:shd w:val="clear" w:color="auto" w:fill="FFFFFF"/>
        </w:rPr>
        <w:t>audio-visual</w:t>
      </w:r>
      <w:r w:rsidRPr="00C81610">
        <w:rPr>
          <w:rFonts w:ascii="Arial" w:hAnsi="Arial" w:cs="Arial"/>
          <w:color w:val="222222"/>
          <w:sz w:val="24"/>
          <w:shd w:val="clear" w:color="auto" w:fill="FFFFFF"/>
        </w:rPr>
        <w:t xml:space="preserve"> (AV) equipment for the conference incurs a cost of $65,000. This includes sound systems, projectors, screens, lighting, and other technical setups necessary for presentations, workshops, and entertainment. High-quality AV equipment enhances the overall event experience and ensures seamless execution of multimedia</w:t>
      </w:r>
      <w:r w:rsidRPr="00C81610">
        <w:rPr>
          <w:rFonts w:ascii="Arial" w:hAnsi="Arial" w:cs="Arial"/>
          <w:color w:val="222222"/>
          <w:sz w:val="24"/>
          <w:shd w:val="clear" w:color="auto" w:fill="FFFFFF"/>
        </w:rPr>
        <w:t xml:space="preserve"> content.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Entertainment </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Allocating</w:t>
      </w:r>
      <w:r w:rsidRPr="00C81610">
        <w:rPr>
          <w:rFonts w:ascii="Arial" w:hAnsi="Arial" w:cs="Arial"/>
          <w:color w:val="222222"/>
          <w:sz w:val="24"/>
          <w:shd w:val="clear" w:color="auto" w:fill="FFFFFF"/>
        </w:rPr>
        <w:t xml:space="preserve"> $30,000 for entertainment adds an element of excitement and engagement to the conference. Entertainment options may include live music, performances, interactive activities, or networking receptions. Entertainment enhances attendee enjoyment and fosters networking opportunities, contributing to the overall success of the event.</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Total Expenses</w:t>
      </w:r>
      <w:r w:rsidRPr="00C81610">
        <w:rPr>
          <w:rFonts w:ascii="Arial" w:hAnsi="Arial" w:cs="Arial"/>
          <w:color w:val="222222"/>
          <w:sz w:val="24"/>
          <w:shd w:val="clear" w:color="auto" w:fill="FFFFFF"/>
        </w:rPr>
        <w:t xml:space="preserve"> </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The total expenses for the conference amount to $246,500, encompassing all the aforementioned financial factors required for planning and executing a succ</w:t>
      </w:r>
      <w:r w:rsidRPr="00C81610">
        <w:rPr>
          <w:rFonts w:ascii="Arial" w:hAnsi="Arial" w:cs="Arial"/>
          <w:color w:val="222222"/>
          <w:sz w:val="24"/>
          <w:shd w:val="clear" w:color="auto" w:fill="FFFFFF"/>
        </w:rPr>
        <w:t xml:space="preserve">essful event.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Revenue: Ticket Sales</w:t>
      </w:r>
    </w:p>
    <w:p w:rsid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Generating revenue through ticket sales is a primary source of income for the event. With 200 attendees purchasing tickets at $300 per person, ticket sales contribute $60,000 to the tot</w:t>
      </w:r>
      <w:r w:rsidRPr="00C81610">
        <w:rPr>
          <w:rFonts w:ascii="Arial" w:hAnsi="Arial" w:cs="Arial"/>
          <w:color w:val="222222"/>
          <w:sz w:val="24"/>
          <w:shd w:val="clear" w:color="auto" w:fill="FFFFFF"/>
        </w:rPr>
        <w:t xml:space="preserve">al revenue. </w:t>
      </w:r>
    </w:p>
    <w:p w:rsidR="00BC3CBE" w:rsidRPr="00C81610" w:rsidRDefault="00BC3CBE"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Sponsorships:</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Securing sponsorships from businesses and organizations interested in supporting the conference's objectives generates $150,000 in revenue. Sponsorship opportunities may include branding, advertising, speaking slots, and networking events, providing sponsors with exposure and engagement with attendees.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Exhibitor Booth Fee</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Offering exhibitor booth opportunities to companies and vendors allows them to showcase products, services, and innovations related to sustainable workplace practices. Exhibitor booth fees generate $200,000 in revenue, providing exhibitors with a platform to connect with attendees and potential clients. </w:t>
      </w:r>
    </w:p>
    <w:p w:rsidR="00C81610" w:rsidRPr="00C81610" w:rsidRDefault="00C81610" w:rsidP="00940A16">
      <w:pPr>
        <w:spacing w:after="0" w:line="360" w:lineRule="auto"/>
        <w:jc w:val="both"/>
        <w:rPr>
          <w:rFonts w:ascii="Arial" w:hAnsi="Arial" w:cs="Arial"/>
          <w:color w:val="222222"/>
          <w:sz w:val="24"/>
          <w:shd w:val="clear" w:color="auto" w:fill="FFFFFF"/>
        </w:rPr>
      </w:pP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Total Revenue</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 xml:space="preserve"> The total revenue generated from ticket sales, sponsorships, and exhibitor booth fees amounts to $410,000, offsetting the event expenses and contributing to the overall profitability of t</w:t>
      </w:r>
      <w:r w:rsidRPr="00C81610">
        <w:rPr>
          <w:rFonts w:ascii="Arial" w:hAnsi="Arial" w:cs="Arial"/>
          <w:color w:val="222222"/>
          <w:sz w:val="24"/>
          <w:shd w:val="clear" w:color="auto" w:fill="FFFFFF"/>
        </w:rPr>
        <w:t xml:space="preserve">he conference. </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Profit/Loss</w:t>
      </w:r>
    </w:p>
    <w:p w:rsidR="00C81610" w:rsidRPr="00C81610"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The profit or loss for the event is determined by subtracting the total expenses from the total revenue: Profit/Loss = Total Revenue - Total Expenses Profit/Loss = $410,000 - $246,500 Profit</w:t>
      </w:r>
      <w:r w:rsidRPr="00C81610">
        <w:rPr>
          <w:rFonts w:ascii="Arial" w:hAnsi="Arial" w:cs="Arial"/>
          <w:color w:val="222222"/>
          <w:sz w:val="24"/>
          <w:shd w:val="clear" w:color="auto" w:fill="FFFFFF"/>
        </w:rPr>
        <w:t>/Loss = $163,500</w:t>
      </w:r>
    </w:p>
    <w:p w:rsidR="00940A16" w:rsidRDefault="00C81610" w:rsidP="00940A16">
      <w:pPr>
        <w:spacing w:after="0" w:line="360" w:lineRule="auto"/>
        <w:jc w:val="both"/>
        <w:rPr>
          <w:rFonts w:ascii="Arial" w:hAnsi="Arial" w:cs="Arial"/>
          <w:color w:val="222222"/>
          <w:sz w:val="24"/>
          <w:shd w:val="clear" w:color="auto" w:fill="FFFFFF"/>
        </w:rPr>
      </w:pPr>
      <w:r w:rsidRPr="00C81610">
        <w:rPr>
          <w:rFonts w:ascii="Arial" w:hAnsi="Arial" w:cs="Arial"/>
          <w:color w:val="222222"/>
          <w:sz w:val="24"/>
          <w:shd w:val="clear" w:color="auto" w:fill="FFFFFF"/>
        </w:rPr>
        <w:t>The event's financial analysis demonstrates a projected profit of $163,500, indicating a successful and financially viable outcome. By carefully managing expenses, maximizing revenue streams, and delivering value to attendees and stakeholders, the conference on sustainable workplace practices achieves its objectives while generating positive returns on investment</w:t>
      </w:r>
      <w:r w:rsidR="00BC3CBE">
        <w:rPr>
          <w:rFonts w:ascii="Arial" w:hAnsi="Arial" w:cs="Arial"/>
          <w:color w:val="222222"/>
          <w:sz w:val="24"/>
          <w:shd w:val="clear" w:color="auto" w:fill="FFFFFF"/>
        </w:rPr>
        <w:t>.</w:t>
      </w:r>
    </w:p>
    <w:p w:rsidR="00BC3CBE" w:rsidRDefault="00BC3CBE" w:rsidP="00940A16">
      <w:pPr>
        <w:spacing w:after="0" w:line="360" w:lineRule="auto"/>
        <w:jc w:val="both"/>
        <w:rPr>
          <w:rFonts w:ascii="Arial" w:eastAsia="Times New Roman" w:hAnsi="Arial" w:cs="Arial"/>
          <w:color w:val="222222"/>
          <w:sz w:val="28"/>
          <w:szCs w:val="24"/>
          <w:shd w:val="clear" w:color="auto" w:fill="FFFFFF"/>
          <w:lang w:eastAsia="en-GB"/>
        </w:rPr>
      </w:pPr>
      <w:r w:rsidRPr="00BC3CBE">
        <w:rPr>
          <w:rFonts w:ascii="Arial" w:eastAsia="Times New Roman" w:hAnsi="Arial" w:cs="Arial"/>
          <w:color w:val="222222"/>
          <w:sz w:val="28"/>
          <w:szCs w:val="24"/>
          <w:shd w:val="clear" w:color="auto" w:fill="FFFFFF"/>
          <w:lang w:eastAsia="en-GB"/>
        </w:rPr>
        <w:drawing>
          <wp:inline distT="0" distB="0" distL="0" distR="0" wp14:anchorId="35838E92" wp14:editId="7965E1A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BC3CBE" w:rsidRPr="00C81610" w:rsidRDefault="00BC3CBE" w:rsidP="00940A16">
      <w:pPr>
        <w:spacing w:after="0" w:line="360" w:lineRule="auto"/>
        <w:jc w:val="both"/>
        <w:rPr>
          <w:rFonts w:ascii="Arial" w:eastAsia="Times New Roman" w:hAnsi="Arial" w:cs="Arial"/>
          <w:color w:val="222222"/>
          <w:sz w:val="28"/>
          <w:szCs w:val="24"/>
          <w:shd w:val="clear" w:color="auto" w:fill="FFFFFF"/>
          <w:lang w:eastAsia="en-GB"/>
        </w:rPr>
      </w:pPr>
    </w:p>
    <w:p w:rsidR="00940A16" w:rsidRDefault="00BC3CBE" w:rsidP="00940A16">
      <w:pPr>
        <w:spacing w:after="0" w:line="360" w:lineRule="auto"/>
        <w:jc w:val="both"/>
        <w:rPr>
          <w:rFonts w:ascii="Arial" w:eastAsia="Times New Roman" w:hAnsi="Arial" w:cs="Arial"/>
          <w:color w:val="222222"/>
          <w:sz w:val="24"/>
          <w:szCs w:val="24"/>
          <w:shd w:val="clear" w:color="auto" w:fill="FFFFFF"/>
          <w:lang w:eastAsia="en-GB"/>
        </w:rPr>
      </w:pPr>
      <w:r w:rsidRPr="00BC3CBE">
        <w:rPr>
          <w:rFonts w:ascii="Arial" w:eastAsia="Times New Roman" w:hAnsi="Arial" w:cs="Arial"/>
          <w:color w:val="222222"/>
          <w:sz w:val="24"/>
          <w:szCs w:val="24"/>
          <w:shd w:val="clear" w:color="auto" w:fill="FFFFFF"/>
          <w:lang w:eastAsia="en-GB"/>
        </w:rPr>
        <w:lastRenderedPageBreak/>
        <w:drawing>
          <wp:inline distT="0" distB="0" distL="0" distR="0" wp14:anchorId="7DD494A3" wp14:editId="3798012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BC3CBE" w:rsidRPr="00C81610" w:rsidRDefault="00BC3CBE" w:rsidP="00940A16">
      <w:pPr>
        <w:spacing w:after="0" w:line="360" w:lineRule="auto"/>
        <w:jc w:val="both"/>
        <w:rPr>
          <w:rFonts w:ascii="Arial" w:eastAsia="Times New Roman" w:hAnsi="Arial" w:cs="Arial"/>
          <w:color w:val="222222"/>
          <w:sz w:val="24"/>
          <w:szCs w:val="24"/>
          <w:shd w:val="clear" w:color="auto" w:fill="FFFFFF"/>
          <w:lang w:eastAsia="en-GB"/>
        </w:rPr>
      </w:pPr>
      <w:r w:rsidRPr="00BC3CBE">
        <w:rPr>
          <w:rFonts w:ascii="Arial" w:eastAsia="Times New Roman" w:hAnsi="Arial" w:cs="Arial"/>
          <w:color w:val="222222"/>
          <w:sz w:val="24"/>
          <w:szCs w:val="24"/>
          <w:shd w:val="clear" w:color="auto" w:fill="FFFFFF"/>
          <w:lang w:eastAsia="en-GB"/>
        </w:rPr>
        <w:drawing>
          <wp:inline distT="0" distB="0" distL="0" distR="0" wp14:anchorId="793162D3" wp14:editId="5D83E38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940A16" w:rsidRPr="00C81610" w:rsidRDefault="00940A16" w:rsidP="00940A16">
      <w:pPr>
        <w:spacing w:after="0" w:line="360" w:lineRule="auto"/>
        <w:jc w:val="both"/>
        <w:rPr>
          <w:rFonts w:ascii="Arial" w:eastAsia="Times New Roman" w:hAnsi="Arial" w:cs="Arial"/>
          <w:color w:val="222222"/>
          <w:sz w:val="24"/>
          <w:szCs w:val="24"/>
          <w:shd w:val="clear" w:color="auto" w:fill="FFFFFF"/>
          <w:lang w:eastAsia="en-GB"/>
        </w:rPr>
      </w:pPr>
      <w:r w:rsidRPr="00940A16">
        <w:rPr>
          <w:rFonts w:ascii="Arial" w:eastAsia="Times New Roman" w:hAnsi="Arial" w:cs="Arial"/>
          <w:color w:val="222222"/>
          <w:sz w:val="24"/>
          <w:szCs w:val="24"/>
          <w:shd w:val="clear" w:color="auto" w:fill="FFFFFF"/>
          <w:lang w:eastAsia="en-GB"/>
        </w:rPr>
        <w:t xml:space="preserve"> </w:t>
      </w:r>
      <w:r w:rsidRPr="00C81610">
        <w:rPr>
          <w:rFonts w:ascii="Arial" w:eastAsia="Times New Roman" w:hAnsi="Arial" w:cs="Arial"/>
          <w:color w:val="222222"/>
          <w:sz w:val="24"/>
          <w:szCs w:val="24"/>
          <w:shd w:val="clear" w:color="auto" w:fill="FFFFFF"/>
          <w:lang w:eastAsia="en-GB"/>
        </w:rPr>
        <w:t>Industry Trends/Impacts</w:t>
      </w:r>
    </w:p>
    <w:p w:rsidR="00940A16" w:rsidRPr="00C81610" w:rsidRDefault="00940A16" w:rsidP="00940A16">
      <w:pPr>
        <w:spacing w:after="0" w:line="360" w:lineRule="auto"/>
        <w:jc w:val="both"/>
        <w:rPr>
          <w:rFonts w:ascii="Arial" w:eastAsia="Times New Roman" w:hAnsi="Arial" w:cs="Arial"/>
          <w:color w:val="222222"/>
          <w:sz w:val="24"/>
          <w:szCs w:val="24"/>
          <w:lang w:eastAsia="en-GB"/>
        </w:rPr>
      </w:pPr>
      <w:r w:rsidRPr="00940A16">
        <w:rPr>
          <w:rFonts w:ascii="Arial" w:eastAsia="Times New Roman" w:hAnsi="Arial" w:cs="Arial"/>
          <w:color w:val="222222"/>
          <w:sz w:val="24"/>
          <w:szCs w:val="24"/>
          <w:shd w:val="clear" w:color="auto" w:fill="FFFFFF"/>
          <w:lang w:eastAsia="en-GB"/>
        </w:rPr>
        <w:t xml:space="preserve">The meetings and events industry is constantly evolving, driven by changes in technology, consumer preferences, economic conditions, and societal trends. Several key trends and impacts are shaping the landscape of the industry and influencing the planning and delivery of events such as the international conference on sustainable workplace practices (The Importance of Sustainability in the Events Industry, 2023). One significant trend is the growing demand for sustainable and eco-friendly events, driven by increasing awareness of environmental issues and the desire to minimize </w:t>
      </w:r>
      <w:r w:rsidRPr="00940A16">
        <w:rPr>
          <w:rFonts w:ascii="Arial" w:eastAsia="Times New Roman" w:hAnsi="Arial" w:cs="Arial"/>
          <w:color w:val="222222"/>
          <w:sz w:val="24"/>
          <w:szCs w:val="24"/>
          <w:shd w:val="clear" w:color="auto" w:fill="FFFFFF"/>
          <w:lang w:eastAsia="en-GB"/>
        </w:rPr>
        <w:lastRenderedPageBreak/>
        <w:t>the ecological footprint of gatherings and conferences. Organizers are increasingly incorporating sustainable practices into their events, such as reducing waste, conserving resources, and offsetting carbon emissions, to meet the expectations of environmentally conscious attendees and stakeholders. Another trend is the rise of hybrid and virtual events, spurred by advancements in technology and the need for flexibility and accessibility </w:t>
      </w:r>
      <w:r w:rsidRPr="00940A16">
        <w:rPr>
          <w:rFonts w:ascii="Arial" w:eastAsia="Times New Roman" w:hAnsi="Arial" w:cs="Arial"/>
          <w:color w:val="222222"/>
          <w:sz w:val="24"/>
          <w:szCs w:val="24"/>
          <w:lang w:eastAsia="en-GB"/>
        </w:rPr>
        <w:t xml:space="preserve">in light of the COVID-19 pandemic. Hybrid events combine in-person and virtual elements, allowing attendees to participate remotely via livestreams, webinars, and online networking platforms. This approach not only expands the reach and accessibility of events but also reduces costs and environmental impact by minimizing travel and accommodation requirements. Furthermore, there is a growing emphasis on inclusivity and diversity in event planning, with organizers striving to create welcoming and accessible environments for attendees of all backgrounds and abilities. This includes considerations such as venue accessibility, language interpretation, and representation of diverse voices and perspectives in event programming and speaker </w:t>
      </w:r>
      <w:r w:rsidRPr="00C81610">
        <w:rPr>
          <w:rFonts w:ascii="Arial" w:eastAsia="Times New Roman" w:hAnsi="Arial" w:cs="Arial"/>
          <w:color w:val="222222"/>
          <w:sz w:val="24"/>
          <w:szCs w:val="24"/>
          <w:lang w:eastAsia="en-GB"/>
        </w:rPr>
        <w:t>line-ups</w:t>
      </w:r>
      <w:r w:rsidRPr="00940A16">
        <w:rPr>
          <w:rFonts w:ascii="Arial" w:eastAsia="Times New Roman" w:hAnsi="Arial" w:cs="Arial"/>
          <w:color w:val="222222"/>
          <w:sz w:val="24"/>
          <w:szCs w:val="24"/>
          <w:lang w:eastAsia="en-GB"/>
        </w:rPr>
        <w:t>. Additionally, technological innovations such as event management software, mobile apps, and data analytics are transforming the way events are planned, executed, and evaluated. These tools enable organizers to streamline registration and logistics, engage attendees through personalized experiences, and measure event impact and ROI more effectively. The impacts of these trends on the international conference on sustainable workplace practices are significant. By embracing sustainability principles and adopting hybrid event formats, the conference can reach a wider audience while minimizing its environmental footprint. Inclusivity and diversity considerations will ensure that the event is accessible and relevant to attendees from diverse backgrounds and perspectives. Furthermore, leveraging technology will enhance the efficiency and effectiveness of event operations, from registration and communication t</w:t>
      </w:r>
      <w:r w:rsidRPr="00C81610">
        <w:rPr>
          <w:rFonts w:ascii="Arial" w:eastAsia="Times New Roman" w:hAnsi="Arial" w:cs="Arial"/>
          <w:color w:val="222222"/>
          <w:sz w:val="24"/>
          <w:szCs w:val="24"/>
          <w:lang w:eastAsia="en-GB"/>
        </w:rPr>
        <w:t xml:space="preserve">o data analysis and reporting. </w:t>
      </w:r>
      <w:r w:rsidRPr="00940A16">
        <w:rPr>
          <w:rFonts w:ascii="Arial" w:eastAsia="Times New Roman" w:hAnsi="Arial" w:cs="Arial"/>
          <w:color w:val="222222"/>
          <w:sz w:val="24"/>
          <w:szCs w:val="24"/>
          <w:lang w:eastAsia="en-GB"/>
        </w:rPr>
        <w:t xml:space="preserve"> </w:t>
      </w:r>
    </w:p>
    <w:p w:rsidR="00940A16" w:rsidRPr="00C81610" w:rsidRDefault="00940A16" w:rsidP="00940A16">
      <w:pPr>
        <w:spacing w:after="0" w:line="360" w:lineRule="auto"/>
        <w:jc w:val="both"/>
        <w:rPr>
          <w:rFonts w:ascii="Arial" w:eastAsia="Times New Roman" w:hAnsi="Arial" w:cs="Arial"/>
          <w:color w:val="222222"/>
          <w:sz w:val="24"/>
          <w:szCs w:val="24"/>
          <w:lang w:eastAsia="en-GB"/>
        </w:rPr>
      </w:pPr>
    </w:p>
    <w:p w:rsidR="00940A16" w:rsidRDefault="00940A16" w:rsidP="00940A16">
      <w:pPr>
        <w:spacing w:after="0" w:line="360" w:lineRule="auto"/>
        <w:jc w:val="both"/>
        <w:rPr>
          <w:rFonts w:ascii="Arial" w:eastAsia="Times New Roman" w:hAnsi="Arial" w:cs="Arial"/>
          <w:color w:val="222222"/>
          <w:sz w:val="24"/>
          <w:szCs w:val="24"/>
          <w:lang w:eastAsia="en-GB"/>
        </w:rPr>
      </w:pPr>
    </w:p>
    <w:p w:rsidR="00940A16" w:rsidRDefault="00940A16" w:rsidP="00940A16">
      <w:pPr>
        <w:spacing w:after="0" w:line="360" w:lineRule="auto"/>
        <w:jc w:val="both"/>
        <w:rPr>
          <w:rFonts w:ascii="Arial" w:eastAsia="Times New Roman" w:hAnsi="Arial" w:cs="Arial"/>
          <w:color w:val="222222"/>
          <w:sz w:val="24"/>
          <w:szCs w:val="24"/>
          <w:lang w:eastAsia="en-GB"/>
        </w:rPr>
      </w:pPr>
      <w:r w:rsidRPr="00940A16">
        <w:rPr>
          <w:rFonts w:ascii="Arial" w:eastAsia="Times New Roman" w:hAnsi="Arial" w:cs="Arial"/>
          <w:color w:val="222222"/>
          <w:sz w:val="24"/>
          <w:szCs w:val="24"/>
          <w:lang w:eastAsia="en-GB"/>
        </w:rPr>
        <w:t xml:space="preserve">Cultural </w:t>
      </w:r>
      <w:r>
        <w:rPr>
          <w:rFonts w:ascii="Arial" w:eastAsia="Times New Roman" w:hAnsi="Arial" w:cs="Arial"/>
          <w:color w:val="222222"/>
          <w:sz w:val="24"/>
          <w:szCs w:val="24"/>
          <w:lang w:eastAsia="en-GB"/>
        </w:rPr>
        <w:t>and Situational Considerations</w:t>
      </w:r>
    </w:p>
    <w:p w:rsidR="00940A16" w:rsidRDefault="00940A16" w:rsidP="00940A16">
      <w:pPr>
        <w:spacing w:after="0" w:line="360" w:lineRule="auto"/>
        <w:jc w:val="both"/>
        <w:rPr>
          <w:rFonts w:ascii="Arial" w:eastAsia="Times New Roman" w:hAnsi="Arial" w:cs="Arial"/>
          <w:color w:val="222222"/>
          <w:sz w:val="24"/>
          <w:szCs w:val="24"/>
          <w:lang w:eastAsia="en-GB"/>
        </w:rPr>
      </w:pPr>
      <w:r w:rsidRPr="00940A16">
        <w:rPr>
          <w:rFonts w:ascii="Arial" w:eastAsia="Times New Roman" w:hAnsi="Arial" w:cs="Arial"/>
          <w:color w:val="222222"/>
          <w:sz w:val="24"/>
          <w:szCs w:val="24"/>
          <w:lang w:eastAsia="en-GB"/>
        </w:rPr>
        <w:t xml:space="preserve"> Cultural and situational considerations play a crucial role in the planning and execution of international meetings and events, influencing everything from venue selection and scheduling to communication and protocol. For the international conference on sustainable workplace practices, several cultural and situational factors </w:t>
      </w:r>
      <w:r w:rsidRPr="00940A16">
        <w:rPr>
          <w:rFonts w:ascii="Arial" w:eastAsia="Times New Roman" w:hAnsi="Arial" w:cs="Arial"/>
          <w:color w:val="222222"/>
          <w:sz w:val="24"/>
          <w:szCs w:val="24"/>
          <w:lang w:eastAsia="en-GB"/>
        </w:rPr>
        <w:lastRenderedPageBreak/>
        <w:t xml:space="preserve">must be taken into account to ensure the event's success and relevance (The Political Aspects of Environmentalism in the UK, 2024). Firstly, cultural norms and customs may vary among attendees from different regions and countries, affecting their expectations and preferences regarding event format, content, and interaction. Sensitivity to cultural differences, such as communication styles, dietary preferences, and religious observances, is essential to create an inclusive and respectful environment for all participants. Secondly, situational factors such as geopolitical developments, economic conditions, and public health concerns can impact the feasibility and logistics of hosting an international event. For example, travel restrictions, visa requirements, and health and safety protocols may affect attendance and participation, requiring careful planning and contingency measures (The UK Environmental Protections Dropped </w:t>
      </w:r>
      <w:proofErr w:type="gramStart"/>
      <w:r w:rsidRPr="00940A16">
        <w:rPr>
          <w:rFonts w:ascii="Arial" w:eastAsia="Times New Roman" w:hAnsi="Arial" w:cs="Arial"/>
          <w:color w:val="222222"/>
          <w:sz w:val="24"/>
          <w:szCs w:val="24"/>
          <w:lang w:eastAsia="en-GB"/>
        </w:rPr>
        <w:t>Since</w:t>
      </w:r>
      <w:proofErr w:type="gramEnd"/>
      <w:r w:rsidRPr="00940A16">
        <w:rPr>
          <w:rFonts w:ascii="Arial" w:eastAsia="Times New Roman" w:hAnsi="Arial" w:cs="Arial"/>
          <w:color w:val="222222"/>
          <w:sz w:val="24"/>
          <w:szCs w:val="24"/>
          <w:lang w:eastAsia="en-GB"/>
        </w:rPr>
        <w:t xml:space="preserve"> </w:t>
      </w:r>
      <w:proofErr w:type="spellStart"/>
      <w:r w:rsidRPr="00940A16">
        <w:rPr>
          <w:rFonts w:ascii="Arial" w:eastAsia="Times New Roman" w:hAnsi="Arial" w:cs="Arial"/>
          <w:color w:val="222222"/>
          <w:sz w:val="24"/>
          <w:szCs w:val="24"/>
          <w:lang w:eastAsia="en-GB"/>
        </w:rPr>
        <w:t>Brexit</w:t>
      </w:r>
      <w:proofErr w:type="spellEnd"/>
      <w:r w:rsidRPr="00940A16">
        <w:rPr>
          <w:rFonts w:ascii="Arial" w:eastAsia="Times New Roman" w:hAnsi="Arial" w:cs="Arial"/>
          <w:color w:val="222222"/>
          <w:sz w:val="24"/>
          <w:szCs w:val="24"/>
          <w:lang w:eastAsia="en-GB"/>
        </w:rPr>
        <w:t xml:space="preserve">, 2024). Additionally, legal and regulatory considerations, such as data privacy laws, intellectual property rights, and tax regulations, may vary across jurisdictions and affect event planning and compliance. It is essential to consult with legal experts and local authorities to ensure that the event complies with relevant laws and regulations and mitigates any potential risks or liabilities. By addressing these cultural and situational considerations proactively, the international conference on sustainable workplace practices can create a welcoming, inclusive, and compliant environment that resonates with attendees and maximizes the event's impact and effectiveness. </w:t>
      </w:r>
    </w:p>
    <w:p w:rsidR="00940A16" w:rsidRDefault="00940A16" w:rsidP="00940A16">
      <w:pPr>
        <w:spacing w:after="0" w:line="360" w:lineRule="auto"/>
        <w:jc w:val="both"/>
        <w:rPr>
          <w:rFonts w:ascii="Arial" w:eastAsia="Times New Roman" w:hAnsi="Arial" w:cs="Arial"/>
          <w:color w:val="222222"/>
          <w:sz w:val="24"/>
          <w:szCs w:val="24"/>
          <w:lang w:eastAsia="en-GB"/>
        </w:rPr>
      </w:pPr>
    </w:p>
    <w:p w:rsidR="00940A16" w:rsidRDefault="00940A16" w:rsidP="00940A16">
      <w:pPr>
        <w:spacing w:after="0" w:line="360" w:lineRule="auto"/>
        <w:jc w:val="both"/>
        <w:rPr>
          <w:rFonts w:ascii="Arial" w:eastAsia="Times New Roman" w:hAnsi="Arial" w:cs="Arial"/>
          <w:color w:val="222222"/>
          <w:sz w:val="24"/>
          <w:szCs w:val="24"/>
          <w:lang w:eastAsia="en-GB"/>
        </w:rPr>
      </w:pPr>
    </w:p>
    <w:p w:rsidR="00940A16" w:rsidRDefault="00940A16" w:rsidP="00940A16">
      <w:pPr>
        <w:spacing w:after="0"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Conclusion</w:t>
      </w:r>
    </w:p>
    <w:p w:rsidR="00940A16" w:rsidRDefault="00940A16" w:rsidP="00940A16">
      <w:pPr>
        <w:spacing w:after="0" w:line="360" w:lineRule="auto"/>
        <w:jc w:val="both"/>
        <w:rPr>
          <w:rFonts w:ascii="Arial" w:eastAsia="Times New Roman" w:hAnsi="Arial" w:cs="Arial"/>
          <w:color w:val="222222"/>
          <w:sz w:val="24"/>
          <w:szCs w:val="24"/>
          <w:lang w:eastAsia="en-GB"/>
        </w:rPr>
      </w:pPr>
      <w:r w:rsidRPr="00940A16">
        <w:rPr>
          <w:rFonts w:ascii="Arial" w:eastAsia="Times New Roman" w:hAnsi="Arial" w:cs="Arial"/>
          <w:color w:val="222222"/>
          <w:sz w:val="24"/>
          <w:szCs w:val="24"/>
          <w:lang w:eastAsia="en-GB"/>
        </w:rPr>
        <w:t xml:space="preserve"> In conclusion, the planning and delivery of an international meeting/event such as the conference on sustainable workplace practices require careful consideration of various factors, including sustainability, event cycle, concept, aims and objectives, event operations, budget, industry trends, and cultural and situational considerations. By meticulously planning and executing each stage of the event cycle and incorporating best practices and innovative approaches, organizers can create a successful and impactful event that advances the goals of sustainability and promotes knowledge sharing, collaboration, and action within the hospitality industry. Through strategic partnerships, effective marketing, and thoughtful engagement, the conference can reach a diverse audience of stakeholders, inspire meaningful dialogue and exchange, and drive positive change and innovation in the pursuit of sustainable </w:t>
      </w:r>
      <w:r w:rsidRPr="00940A16">
        <w:rPr>
          <w:rFonts w:ascii="Arial" w:eastAsia="Times New Roman" w:hAnsi="Arial" w:cs="Arial"/>
          <w:color w:val="222222"/>
          <w:sz w:val="24"/>
          <w:szCs w:val="24"/>
          <w:lang w:eastAsia="en-GB"/>
        </w:rPr>
        <w:lastRenderedPageBreak/>
        <w:t>workplace practices. By leveraging technology, embracing diversity, and adapting to changing circumstances and trends, organizers can ensure that the event remains relevant, accessible, and impactful in an ever-evolving global landscape. Overall, the international conference on sustainable workplace practices represents an opportunity to showcase leadership, foster collaboration, and inspire action towards a more sustainable future for the ho</w:t>
      </w:r>
      <w:r>
        <w:rPr>
          <w:rFonts w:ascii="Arial" w:eastAsia="Times New Roman" w:hAnsi="Arial" w:cs="Arial"/>
          <w:color w:val="222222"/>
          <w:sz w:val="24"/>
          <w:szCs w:val="24"/>
          <w:lang w:eastAsia="en-GB"/>
        </w:rPr>
        <w:t xml:space="preserve">spitality industry and beyond. </w:t>
      </w: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p>
    <w:p w:rsidR="00BC3CBE" w:rsidRDefault="00BC3CBE" w:rsidP="00940A16">
      <w:pPr>
        <w:spacing w:after="0" w:line="360" w:lineRule="auto"/>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Reference:</w:t>
      </w:r>
    </w:p>
    <w:p w:rsidR="00BC3CBE" w:rsidRPr="00940A16" w:rsidRDefault="00BC3CBE" w:rsidP="00940A16">
      <w:pPr>
        <w:spacing w:after="0" w:line="360" w:lineRule="auto"/>
        <w:jc w:val="both"/>
        <w:rPr>
          <w:rFonts w:ascii="Arial" w:eastAsia="Times New Roman" w:hAnsi="Arial" w:cs="Arial"/>
          <w:sz w:val="24"/>
          <w:szCs w:val="24"/>
          <w:lang w:eastAsia="en-GB"/>
        </w:rPr>
      </w:pPr>
    </w:p>
    <w:p w:rsid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Banytė</w:t>
      </w:r>
      <w:proofErr w:type="spellEnd"/>
      <w:r w:rsidRPr="00BC3CBE">
        <w:rPr>
          <w:rFonts w:ascii="Arial" w:eastAsia="Times New Roman" w:hAnsi="Arial" w:cs="Arial"/>
          <w:color w:val="222222"/>
          <w:sz w:val="24"/>
          <w:szCs w:val="24"/>
          <w:lang w:eastAsia="en-GB"/>
        </w:rPr>
        <w:t xml:space="preserve">, J., </w:t>
      </w:r>
      <w:proofErr w:type="spellStart"/>
      <w:r w:rsidRPr="00BC3CBE">
        <w:rPr>
          <w:rFonts w:ascii="Arial" w:eastAsia="Times New Roman" w:hAnsi="Arial" w:cs="Arial"/>
          <w:color w:val="222222"/>
          <w:sz w:val="24"/>
          <w:szCs w:val="24"/>
          <w:lang w:eastAsia="en-GB"/>
        </w:rPr>
        <w:t>Šalčiuvienė</w:t>
      </w:r>
      <w:proofErr w:type="spellEnd"/>
      <w:r w:rsidRPr="00BC3CBE">
        <w:rPr>
          <w:rFonts w:ascii="Arial" w:eastAsia="Times New Roman" w:hAnsi="Arial" w:cs="Arial"/>
          <w:color w:val="222222"/>
          <w:sz w:val="24"/>
          <w:szCs w:val="24"/>
          <w:lang w:eastAsia="en-GB"/>
        </w:rPr>
        <w:t xml:space="preserve">, L., </w:t>
      </w:r>
      <w:proofErr w:type="spellStart"/>
      <w:r w:rsidRPr="00BC3CBE">
        <w:rPr>
          <w:rFonts w:ascii="Arial" w:eastAsia="Times New Roman" w:hAnsi="Arial" w:cs="Arial"/>
          <w:color w:val="222222"/>
          <w:sz w:val="24"/>
          <w:szCs w:val="24"/>
          <w:lang w:eastAsia="en-GB"/>
        </w:rPr>
        <w:t>Dovalienė</w:t>
      </w:r>
      <w:proofErr w:type="spellEnd"/>
      <w:r w:rsidRPr="00BC3CBE">
        <w:rPr>
          <w:rFonts w:ascii="Arial" w:eastAsia="Times New Roman" w:hAnsi="Arial" w:cs="Arial"/>
          <w:color w:val="222222"/>
          <w:sz w:val="24"/>
          <w:szCs w:val="24"/>
          <w:lang w:eastAsia="en-GB"/>
        </w:rPr>
        <w:t xml:space="preserve">, A., </w:t>
      </w:r>
      <w:proofErr w:type="spellStart"/>
      <w:r w:rsidRPr="00BC3CBE">
        <w:rPr>
          <w:rFonts w:ascii="Arial" w:eastAsia="Times New Roman" w:hAnsi="Arial" w:cs="Arial"/>
          <w:color w:val="222222"/>
          <w:sz w:val="24"/>
          <w:szCs w:val="24"/>
          <w:lang w:eastAsia="en-GB"/>
        </w:rPr>
        <w:t>Piligrimienė</w:t>
      </w:r>
      <w:proofErr w:type="spellEnd"/>
      <w:r w:rsidRPr="00BC3CBE">
        <w:rPr>
          <w:rFonts w:ascii="Arial" w:eastAsia="Times New Roman" w:hAnsi="Arial" w:cs="Arial"/>
          <w:color w:val="222222"/>
          <w:sz w:val="24"/>
          <w:szCs w:val="24"/>
          <w:lang w:eastAsia="en-GB"/>
        </w:rPr>
        <w:t xml:space="preserve">, Ž. and </w:t>
      </w:r>
      <w:proofErr w:type="spellStart"/>
      <w:r w:rsidRPr="00BC3CBE">
        <w:rPr>
          <w:rFonts w:ascii="Arial" w:eastAsia="Times New Roman" w:hAnsi="Arial" w:cs="Arial"/>
          <w:color w:val="222222"/>
          <w:sz w:val="24"/>
          <w:szCs w:val="24"/>
          <w:lang w:eastAsia="en-GB"/>
        </w:rPr>
        <w:t>Sroka</w:t>
      </w:r>
      <w:proofErr w:type="spellEnd"/>
      <w:r w:rsidRPr="00BC3CBE">
        <w:rPr>
          <w:rFonts w:ascii="Arial" w:eastAsia="Times New Roman" w:hAnsi="Arial" w:cs="Arial"/>
          <w:color w:val="222222"/>
          <w:sz w:val="24"/>
          <w:szCs w:val="24"/>
          <w:lang w:eastAsia="en-GB"/>
        </w:rPr>
        <w:t xml:space="preserve">, W., 2020. Sustainable consumption </w:t>
      </w:r>
      <w:proofErr w:type="spellStart"/>
      <w:r w:rsidRPr="00BC3CBE">
        <w:rPr>
          <w:rFonts w:ascii="Arial" w:eastAsia="Times New Roman" w:hAnsi="Arial" w:cs="Arial"/>
          <w:color w:val="222222"/>
          <w:sz w:val="24"/>
          <w:szCs w:val="24"/>
          <w:lang w:eastAsia="en-GB"/>
        </w:rPr>
        <w:t>behavior</w:t>
      </w:r>
      <w:proofErr w:type="spellEnd"/>
      <w:r w:rsidRPr="00BC3CBE">
        <w:rPr>
          <w:rFonts w:ascii="Arial" w:eastAsia="Times New Roman" w:hAnsi="Arial" w:cs="Arial"/>
          <w:color w:val="222222"/>
          <w:sz w:val="24"/>
          <w:szCs w:val="24"/>
          <w:lang w:eastAsia="en-GB"/>
        </w:rPr>
        <w:t xml:space="preserve"> at home and in the workplace: Avenues for innovative solutions. </w:t>
      </w:r>
      <w:r w:rsidRPr="00BC3CBE">
        <w:rPr>
          <w:rFonts w:ascii="Arial" w:eastAsia="Times New Roman" w:hAnsi="Arial" w:cs="Arial"/>
          <w:i/>
          <w:iCs/>
          <w:color w:val="222222"/>
          <w:sz w:val="24"/>
          <w:szCs w:val="24"/>
          <w:lang w:eastAsia="en-GB"/>
        </w:rPr>
        <w:t>Sustainability</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12</w:t>
      </w:r>
      <w:r w:rsidRPr="00BC3CBE">
        <w:rPr>
          <w:rFonts w:ascii="Arial" w:eastAsia="Times New Roman" w:hAnsi="Arial" w:cs="Arial"/>
          <w:color w:val="222222"/>
          <w:sz w:val="24"/>
          <w:szCs w:val="24"/>
          <w:lang w:eastAsia="en-GB"/>
        </w:rPr>
        <w:t xml:space="preserve">(16), p.6564.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val="en-US" w:eastAsia="en-GB"/>
        </w:rPr>
        <w:t xml:space="preserve">Birch, K. (2023) </w:t>
      </w:r>
      <w:r w:rsidRPr="00BC3CBE">
        <w:rPr>
          <w:rFonts w:ascii="Arial" w:eastAsia="Times New Roman" w:hAnsi="Arial" w:cs="Arial"/>
          <w:i/>
          <w:iCs/>
          <w:color w:val="222222"/>
          <w:sz w:val="24"/>
          <w:szCs w:val="24"/>
          <w:lang w:val="en-US" w:eastAsia="en-GB"/>
        </w:rPr>
        <w:t>Top 10 must-attend sustainability events for business leaders in 2024</w:t>
      </w:r>
      <w:r w:rsidRPr="00BC3CBE">
        <w:rPr>
          <w:rFonts w:ascii="Arial" w:eastAsia="Times New Roman" w:hAnsi="Arial" w:cs="Arial"/>
          <w:color w:val="222222"/>
          <w:sz w:val="24"/>
          <w:szCs w:val="24"/>
          <w:lang w:val="en-US" w:eastAsia="en-GB"/>
        </w:rPr>
        <w:t xml:space="preserve">, </w:t>
      </w:r>
      <w:r w:rsidRPr="00BC3CBE">
        <w:rPr>
          <w:rFonts w:ascii="Arial" w:eastAsia="Times New Roman" w:hAnsi="Arial" w:cs="Arial"/>
          <w:i/>
          <w:iCs/>
          <w:color w:val="222222"/>
          <w:sz w:val="24"/>
          <w:szCs w:val="24"/>
          <w:lang w:val="en-US" w:eastAsia="en-GB"/>
        </w:rPr>
        <w:t>Top 10 must-attend sustainability events for business leaders in 2024 | Sustainability Magazine</w:t>
      </w:r>
      <w:r w:rsidRPr="00BC3CBE">
        <w:rPr>
          <w:rFonts w:ascii="Arial" w:eastAsia="Times New Roman" w:hAnsi="Arial" w:cs="Arial"/>
          <w:color w:val="222222"/>
          <w:sz w:val="24"/>
          <w:szCs w:val="24"/>
          <w:lang w:val="en-US" w:eastAsia="en-GB"/>
        </w:rPr>
        <w:t xml:space="preserve">. Available at: https://sustainabilitymag.com/top10/top-10-must-attend-sustainability-events-in-2024 (Accessed: 06 February 2024). </w:t>
      </w:r>
    </w:p>
    <w:p w:rsid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Brozzi</w:t>
      </w:r>
      <w:proofErr w:type="spellEnd"/>
      <w:r w:rsidRPr="00BC3CBE">
        <w:rPr>
          <w:rFonts w:ascii="Arial" w:eastAsia="Times New Roman" w:hAnsi="Arial" w:cs="Arial"/>
          <w:color w:val="222222"/>
          <w:sz w:val="24"/>
          <w:szCs w:val="24"/>
          <w:lang w:eastAsia="en-GB"/>
        </w:rPr>
        <w:t xml:space="preserve">, R., </w:t>
      </w:r>
      <w:proofErr w:type="spellStart"/>
      <w:r w:rsidRPr="00BC3CBE">
        <w:rPr>
          <w:rFonts w:ascii="Arial" w:eastAsia="Times New Roman" w:hAnsi="Arial" w:cs="Arial"/>
          <w:color w:val="222222"/>
          <w:sz w:val="24"/>
          <w:szCs w:val="24"/>
          <w:lang w:eastAsia="en-GB"/>
        </w:rPr>
        <w:t>Forti</w:t>
      </w:r>
      <w:proofErr w:type="spellEnd"/>
      <w:r w:rsidRPr="00BC3CBE">
        <w:rPr>
          <w:rFonts w:ascii="Arial" w:eastAsia="Times New Roman" w:hAnsi="Arial" w:cs="Arial"/>
          <w:color w:val="222222"/>
          <w:sz w:val="24"/>
          <w:szCs w:val="24"/>
          <w:lang w:eastAsia="en-GB"/>
        </w:rPr>
        <w:t>, D., Rauch, E. and Matt, D.T., 2020. The advantages of industry 4.0 applications for sustainability: results from a sample of manufacturing companies. </w:t>
      </w:r>
      <w:r w:rsidRPr="00BC3CBE">
        <w:rPr>
          <w:rFonts w:ascii="Arial" w:eastAsia="Times New Roman" w:hAnsi="Arial" w:cs="Arial"/>
          <w:i/>
          <w:iCs/>
          <w:color w:val="222222"/>
          <w:sz w:val="24"/>
          <w:szCs w:val="24"/>
          <w:lang w:eastAsia="en-GB"/>
        </w:rPr>
        <w:t>Sustainability</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12</w:t>
      </w:r>
      <w:r w:rsidRPr="00BC3CBE">
        <w:rPr>
          <w:rFonts w:ascii="Arial" w:eastAsia="Times New Roman" w:hAnsi="Arial" w:cs="Arial"/>
          <w:color w:val="222222"/>
          <w:sz w:val="24"/>
          <w:szCs w:val="24"/>
          <w:lang w:eastAsia="en-GB"/>
        </w:rPr>
        <w:t xml:space="preserve">(9), p.3647.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Cvenkel</w:t>
      </w:r>
      <w:proofErr w:type="spellEnd"/>
      <w:r w:rsidRPr="00BC3CBE">
        <w:rPr>
          <w:rFonts w:ascii="Arial" w:eastAsia="Times New Roman" w:hAnsi="Arial" w:cs="Arial"/>
          <w:color w:val="222222"/>
          <w:sz w:val="24"/>
          <w:szCs w:val="24"/>
          <w:lang w:eastAsia="en-GB"/>
        </w:rPr>
        <w:t>, N., 2020. </w:t>
      </w:r>
      <w:r w:rsidRPr="00BC3CBE">
        <w:rPr>
          <w:rFonts w:ascii="Arial" w:eastAsia="Times New Roman" w:hAnsi="Arial" w:cs="Arial"/>
          <w:i/>
          <w:iCs/>
          <w:color w:val="222222"/>
          <w:sz w:val="24"/>
          <w:szCs w:val="24"/>
          <w:lang w:eastAsia="en-GB"/>
        </w:rPr>
        <w:t>Well-being in the workplace: governance and sustainability insights to promote workplace health</w:t>
      </w:r>
      <w:r w:rsidRPr="00BC3CBE">
        <w:rPr>
          <w:rFonts w:ascii="Arial" w:eastAsia="Times New Roman" w:hAnsi="Arial" w:cs="Arial"/>
          <w:color w:val="222222"/>
          <w:sz w:val="24"/>
          <w:szCs w:val="24"/>
          <w:lang w:eastAsia="en-GB"/>
        </w:rPr>
        <w:t xml:space="preserve">. Springer Nature.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Day meetings</w:t>
      </w:r>
      <w:r w:rsidRPr="00BC3CBE">
        <w:rPr>
          <w:rFonts w:ascii="Arial" w:eastAsia="Times New Roman" w:hAnsi="Arial" w:cs="Arial"/>
          <w:color w:val="222222"/>
          <w:sz w:val="24"/>
          <w:szCs w:val="24"/>
          <w:lang w:val="en-US" w:eastAsia="en-GB"/>
        </w:rPr>
        <w:t xml:space="preserve"> (2022) </w:t>
      </w:r>
      <w:r w:rsidRPr="00BC3CBE">
        <w:rPr>
          <w:rFonts w:ascii="Arial" w:eastAsia="Times New Roman" w:hAnsi="Arial" w:cs="Arial"/>
          <w:i/>
          <w:iCs/>
          <w:color w:val="222222"/>
          <w:sz w:val="24"/>
          <w:szCs w:val="24"/>
          <w:lang w:val="en-US" w:eastAsia="en-GB"/>
        </w:rPr>
        <w:t>Tewkesbury Park</w:t>
      </w:r>
      <w:r w:rsidRPr="00BC3CBE">
        <w:rPr>
          <w:rFonts w:ascii="Arial" w:eastAsia="Times New Roman" w:hAnsi="Arial" w:cs="Arial"/>
          <w:color w:val="222222"/>
          <w:sz w:val="24"/>
          <w:szCs w:val="24"/>
          <w:lang w:val="en-US" w:eastAsia="en-GB"/>
        </w:rPr>
        <w:t xml:space="preserve">. Available at: https://www.tewkesburypark.co.uk/business/day-meetings/ (Accessed: 06 February 2024).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val="en-US" w:eastAsia="en-GB"/>
        </w:rPr>
        <w:t xml:space="preserve">Handley, E. (2023) </w:t>
      </w:r>
      <w:r w:rsidRPr="00BC3CBE">
        <w:rPr>
          <w:rFonts w:ascii="Arial" w:eastAsia="Times New Roman" w:hAnsi="Arial" w:cs="Arial"/>
          <w:i/>
          <w:iCs/>
          <w:color w:val="222222"/>
          <w:sz w:val="24"/>
          <w:szCs w:val="24"/>
          <w:lang w:val="en-US" w:eastAsia="en-GB"/>
        </w:rPr>
        <w:t>UK citizens’ interests towards sustainable practices on the rise</w:t>
      </w:r>
      <w:r w:rsidRPr="00BC3CBE">
        <w:rPr>
          <w:rFonts w:ascii="Arial" w:eastAsia="Times New Roman" w:hAnsi="Arial" w:cs="Arial"/>
          <w:color w:val="222222"/>
          <w:sz w:val="24"/>
          <w:szCs w:val="24"/>
          <w:lang w:val="en-US" w:eastAsia="en-GB"/>
        </w:rPr>
        <w:t xml:space="preserve">, </w:t>
      </w:r>
      <w:r w:rsidRPr="00BC3CBE">
        <w:rPr>
          <w:rFonts w:ascii="Arial" w:eastAsia="Times New Roman" w:hAnsi="Arial" w:cs="Arial"/>
          <w:i/>
          <w:iCs/>
          <w:color w:val="222222"/>
          <w:sz w:val="24"/>
          <w:szCs w:val="24"/>
          <w:lang w:val="en-US" w:eastAsia="en-GB"/>
        </w:rPr>
        <w:t>Open Access Government</w:t>
      </w:r>
      <w:r w:rsidRPr="00BC3CBE">
        <w:rPr>
          <w:rFonts w:ascii="Arial" w:eastAsia="Times New Roman" w:hAnsi="Arial" w:cs="Arial"/>
          <w:color w:val="222222"/>
          <w:sz w:val="24"/>
          <w:szCs w:val="24"/>
          <w:lang w:val="en-US" w:eastAsia="en-GB"/>
        </w:rPr>
        <w:t xml:space="preserve">. Available at: https://www.openaccessgovernment.org/uk-citizens-interest-sustainability-sustainable-practices/152965/#:~:text=75%25%20of%20UK%20consumers%20say,changes%20to%20support%20sustainable%20practices. (Accessed: 06 February 2024).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eastAsia="en-GB"/>
        </w:rPr>
        <w:t>Hossain, M.S., Kannan, S.N. and Raman Nair, S.K.K., 2021. Factors influencing sustainable competitive advantage in the hospitality industry. </w:t>
      </w:r>
      <w:r w:rsidRPr="00BC3CBE">
        <w:rPr>
          <w:rFonts w:ascii="Arial" w:eastAsia="Times New Roman" w:hAnsi="Arial" w:cs="Arial"/>
          <w:i/>
          <w:iCs/>
          <w:color w:val="222222"/>
          <w:sz w:val="24"/>
          <w:szCs w:val="24"/>
          <w:lang w:eastAsia="en-GB"/>
        </w:rPr>
        <w:t>Journal of Quality Assurance in Hospitality &amp; Tourism</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22</w:t>
      </w:r>
      <w:r w:rsidRPr="00BC3CBE">
        <w:rPr>
          <w:rFonts w:ascii="Arial" w:eastAsia="Times New Roman" w:hAnsi="Arial" w:cs="Arial"/>
          <w:color w:val="222222"/>
          <w:sz w:val="24"/>
          <w:szCs w:val="24"/>
          <w:lang w:eastAsia="en-GB"/>
        </w:rPr>
        <w:t xml:space="preserve">(6), pp.679-710.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lastRenderedPageBreak/>
        <w:t>Leveraging Technology for Sustainable Hospitality: Eco-friendly initiatives in hotels</w:t>
      </w:r>
      <w:r w:rsidRPr="00BC3CBE">
        <w:rPr>
          <w:rFonts w:ascii="Arial" w:eastAsia="Times New Roman" w:hAnsi="Arial" w:cs="Arial"/>
          <w:color w:val="222222"/>
          <w:sz w:val="24"/>
          <w:szCs w:val="24"/>
          <w:lang w:val="en-US" w:eastAsia="en-GB"/>
        </w:rPr>
        <w:t xml:space="preserve"> (2023) </w:t>
      </w:r>
      <w:r w:rsidRPr="00BC3CBE">
        <w:rPr>
          <w:rFonts w:ascii="Arial" w:eastAsia="Times New Roman" w:hAnsi="Arial" w:cs="Arial"/>
          <w:i/>
          <w:iCs/>
          <w:color w:val="222222"/>
          <w:sz w:val="24"/>
          <w:szCs w:val="24"/>
          <w:lang w:val="en-US" w:eastAsia="en-GB"/>
        </w:rPr>
        <w:t>icon</w:t>
      </w:r>
      <w:r w:rsidRPr="00BC3CBE">
        <w:rPr>
          <w:rFonts w:ascii="Arial" w:eastAsia="Times New Roman" w:hAnsi="Arial" w:cs="Arial"/>
          <w:color w:val="222222"/>
          <w:sz w:val="24"/>
          <w:szCs w:val="24"/>
          <w:lang w:val="en-US" w:eastAsia="en-GB"/>
        </w:rPr>
        <w:t xml:space="preserve">. Available at: https://tagpoint.co.uk/blog/tech-for-sustainable-hospitality/ (Accessed: 06 February 2024). </w:t>
      </w: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eastAsia="en-GB"/>
        </w:rPr>
        <w:t>Lozano, R., 2020. Analysing the use of tools, initiatives, and approaches to promote sustainability in corporations. </w:t>
      </w:r>
      <w:r w:rsidRPr="00BC3CBE">
        <w:rPr>
          <w:rFonts w:ascii="Arial" w:eastAsia="Times New Roman" w:hAnsi="Arial" w:cs="Arial"/>
          <w:i/>
          <w:iCs/>
          <w:color w:val="222222"/>
          <w:sz w:val="24"/>
          <w:szCs w:val="24"/>
          <w:lang w:eastAsia="en-GB"/>
        </w:rPr>
        <w:t>Corporate Social Responsibility and Environmental Management</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27</w:t>
      </w:r>
      <w:r w:rsidRPr="00BC3CBE">
        <w:rPr>
          <w:rFonts w:ascii="Arial" w:eastAsia="Times New Roman" w:hAnsi="Arial" w:cs="Arial"/>
          <w:color w:val="222222"/>
          <w:sz w:val="24"/>
          <w:szCs w:val="24"/>
          <w:lang w:eastAsia="en-GB"/>
        </w:rPr>
        <w:t xml:space="preserve">(2), pp.982-998.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1"/>
        </w:numPr>
        <w:spacing w:after="0" w:line="360" w:lineRule="auto"/>
        <w:jc w:val="both"/>
        <w:rPr>
          <w:rFonts w:ascii="Arial" w:eastAsia="Times New Roman" w:hAnsi="Arial" w:cs="Arial"/>
          <w:color w:val="222222"/>
          <w:sz w:val="24"/>
          <w:szCs w:val="24"/>
          <w:lang w:eastAsia="en-GB"/>
        </w:rPr>
      </w:pPr>
    </w:p>
    <w:p w:rsid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Nasifoglu</w:t>
      </w:r>
      <w:proofErr w:type="spellEnd"/>
      <w:r w:rsidRPr="00BC3CBE">
        <w:rPr>
          <w:rFonts w:ascii="Arial" w:eastAsia="Times New Roman" w:hAnsi="Arial" w:cs="Arial"/>
          <w:color w:val="222222"/>
          <w:sz w:val="24"/>
          <w:szCs w:val="24"/>
          <w:lang w:eastAsia="en-GB"/>
        </w:rPr>
        <w:t xml:space="preserve"> </w:t>
      </w:r>
      <w:proofErr w:type="spellStart"/>
      <w:r w:rsidRPr="00BC3CBE">
        <w:rPr>
          <w:rFonts w:ascii="Arial" w:eastAsia="Times New Roman" w:hAnsi="Arial" w:cs="Arial"/>
          <w:color w:val="222222"/>
          <w:sz w:val="24"/>
          <w:szCs w:val="24"/>
          <w:lang w:eastAsia="en-GB"/>
        </w:rPr>
        <w:t>Elidemir</w:t>
      </w:r>
      <w:proofErr w:type="spellEnd"/>
      <w:r w:rsidRPr="00BC3CBE">
        <w:rPr>
          <w:rFonts w:ascii="Arial" w:eastAsia="Times New Roman" w:hAnsi="Arial" w:cs="Arial"/>
          <w:color w:val="222222"/>
          <w:sz w:val="24"/>
          <w:szCs w:val="24"/>
          <w:lang w:eastAsia="en-GB"/>
        </w:rPr>
        <w:t xml:space="preserve">, S., </w:t>
      </w:r>
      <w:proofErr w:type="spellStart"/>
      <w:r w:rsidRPr="00BC3CBE">
        <w:rPr>
          <w:rFonts w:ascii="Arial" w:eastAsia="Times New Roman" w:hAnsi="Arial" w:cs="Arial"/>
          <w:color w:val="222222"/>
          <w:sz w:val="24"/>
          <w:szCs w:val="24"/>
          <w:lang w:eastAsia="en-GB"/>
        </w:rPr>
        <w:t>Ozturen</w:t>
      </w:r>
      <w:proofErr w:type="spellEnd"/>
      <w:r w:rsidRPr="00BC3CBE">
        <w:rPr>
          <w:rFonts w:ascii="Arial" w:eastAsia="Times New Roman" w:hAnsi="Arial" w:cs="Arial"/>
          <w:color w:val="222222"/>
          <w:sz w:val="24"/>
          <w:szCs w:val="24"/>
          <w:lang w:eastAsia="en-GB"/>
        </w:rPr>
        <w:t xml:space="preserve">, A. and </w:t>
      </w:r>
      <w:proofErr w:type="spellStart"/>
      <w:r w:rsidRPr="00BC3CBE">
        <w:rPr>
          <w:rFonts w:ascii="Arial" w:eastAsia="Times New Roman" w:hAnsi="Arial" w:cs="Arial"/>
          <w:color w:val="222222"/>
          <w:sz w:val="24"/>
          <w:szCs w:val="24"/>
          <w:lang w:eastAsia="en-GB"/>
        </w:rPr>
        <w:t>Bayighomog</w:t>
      </w:r>
      <w:proofErr w:type="spellEnd"/>
      <w:r w:rsidRPr="00BC3CBE">
        <w:rPr>
          <w:rFonts w:ascii="Arial" w:eastAsia="Times New Roman" w:hAnsi="Arial" w:cs="Arial"/>
          <w:color w:val="222222"/>
          <w:sz w:val="24"/>
          <w:szCs w:val="24"/>
          <w:lang w:eastAsia="en-GB"/>
        </w:rPr>
        <w:t xml:space="preserve">, S.W., 2020. Innovative </w:t>
      </w:r>
      <w:proofErr w:type="spellStart"/>
      <w:r w:rsidRPr="00BC3CBE">
        <w:rPr>
          <w:rFonts w:ascii="Arial" w:eastAsia="Times New Roman" w:hAnsi="Arial" w:cs="Arial"/>
          <w:color w:val="222222"/>
          <w:sz w:val="24"/>
          <w:szCs w:val="24"/>
          <w:lang w:eastAsia="en-GB"/>
        </w:rPr>
        <w:t>behaviors</w:t>
      </w:r>
      <w:proofErr w:type="spellEnd"/>
      <w:r w:rsidRPr="00BC3CBE">
        <w:rPr>
          <w:rFonts w:ascii="Arial" w:eastAsia="Times New Roman" w:hAnsi="Arial" w:cs="Arial"/>
          <w:color w:val="222222"/>
          <w:sz w:val="24"/>
          <w:szCs w:val="24"/>
          <w:lang w:eastAsia="en-GB"/>
        </w:rPr>
        <w:t>, employee creativity, and sustainable competitive advantage: A moderated mediation. </w:t>
      </w:r>
      <w:r w:rsidRPr="00BC3CBE">
        <w:rPr>
          <w:rFonts w:ascii="Arial" w:eastAsia="Times New Roman" w:hAnsi="Arial" w:cs="Arial"/>
          <w:i/>
          <w:iCs/>
          <w:color w:val="222222"/>
          <w:sz w:val="24"/>
          <w:szCs w:val="24"/>
          <w:lang w:eastAsia="en-GB"/>
        </w:rPr>
        <w:t>Sustainability</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12</w:t>
      </w:r>
      <w:r w:rsidRPr="00BC3CBE">
        <w:rPr>
          <w:rFonts w:ascii="Arial" w:eastAsia="Times New Roman" w:hAnsi="Arial" w:cs="Arial"/>
          <w:color w:val="222222"/>
          <w:sz w:val="24"/>
          <w:szCs w:val="24"/>
          <w:lang w:eastAsia="en-GB"/>
        </w:rPr>
        <w:t xml:space="preserve">(8), p.3295.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Nu'man</w:t>
      </w:r>
      <w:proofErr w:type="spellEnd"/>
      <w:r w:rsidRPr="00BC3CBE">
        <w:rPr>
          <w:rFonts w:ascii="Arial" w:eastAsia="Times New Roman" w:hAnsi="Arial" w:cs="Arial"/>
          <w:color w:val="222222"/>
          <w:sz w:val="24"/>
          <w:szCs w:val="24"/>
          <w:lang w:eastAsia="en-GB"/>
        </w:rPr>
        <w:t xml:space="preserve">, A.H., </w:t>
      </w:r>
      <w:proofErr w:type="spellStart"/>
      <w:r w:rsidRPr="00BC3CBE">
        <w:rPr>
          <w:rFonts w:ascii="Arial" w:eastAsia="Times New Roman" w:hAnsi="Arial" w:cs="Arial"/>
          <w:color w:val="222222"/>
          <w:sz w:val="24"/>
          <w:szCs w:val="24"/>
          <w:lang w:eastAsia="en-GB"/>
        </w:rPr>
        <w:t>Nurwandi</w:t>
      </w:r>
      <w:proofErr w:type="spellEnd"/>
      <w:r w:rsidRPr="00BC3CBE">
        <w:rPr>
          <w:rFonts w:ascii="Arial" w:eastAsia="Times New Roman" w:hAnsi="Arial" w:cs="Arial"/>
          <w:color w:val="222222"/>
          <w:sz w:val="24"/>
          <w:szCs w:val="24"/>
          <w:lang w:eastAsia="en-GB"/>
        </w:rPr>
        <w:t xml:space="preserve">, L., </w:t>
      </w:r>
      <w:proofErr w:type="spellStart"/>
      <w:r w:rsidRPr="00BC3CBE">
        <w:rPr>
          <w:rFonts w:ascii="Arial" w:eastAsia="Times New Roman" w:hAnsi="Arial" w:cs="Arial"/>
          <w:color w:val="222222"/>
          <w:sz w:val="24"/>
          <w:szCs w:val="24"/>
          <w:lang w:eastAsia="en-GB"/>
        </w:rPr>
        <w:t>Bachtiar</w:t>
      </w:r>
      <w:proofErr w:type="spellEnd"/>
      <w:r w:rsidRPr="00BC3CBE">
        <w:rPr>
          <w:rFonts w:ascii="Arial" w:eastAsia="Times New Roman" w:hAnsi="Arial" w:cs="Arial"/>
          <w:color w:val="222222"/>
          <w:sz w:val="24"/>
          <w:szCs w:val="24"/>
          <w:lang w:eastAsia="en-GB"/>
        </w:rPr>
        <w:t xml:space="preserve">, I., </w:t>
      </w:r>
      <w:proofErr w:type="spellStart"/>
      <w:r w:rsidRPr="00BC3CBE">
        <w:rPr>
          <w:rFonts w:ascii="Arial" w:eastAsia="Times New Roman" w:hAnsi="Arial" w:cs="Arial"/>
          <w:color w:val="222222"/>
          <w:sz w:val="24"/>
          <w:szCs w:val="24"/>
          <w:lang w:eastAsia="en-GB"/>
        </w:rPr>
        <w:t>Aspiranti</w:t>
      </w:r>
      <w:proofErr w:type="spellEnd"/>
      <w:r w:rsidRPr="00BC3CBE">
        <w:rPr>
          <w:rFonts w:ascii="Arial" w:eastAsia="Times New Roman" w:hAnsi="Arial" w:cs="Arial"/>
          <w:color w:val="222222"/>
          <w:sz w:val="24"/>
          <w:szCs w:val="24"/>
          <w:lang w:eastAsia="en-GB"/>
        </w:rPr>
        <w:t xml:space="preserve">, T. and </w:t>
      </w:r>
      <w:proofErr w:type="spellStart"/>
      <w:r w:rsidRPr="00BC3CBE">
        <w:rPr>
          <w:rFonts w:ascii="Arial" w:eastAsia="Times New Roman" w:hAnsi="Arial" w:cs="Arial"/>
          <w:color w:val="222222"/>
          <w:sz w:val="24"/>
          <w:szCs w:val="24"/>
          <w:lang w:eastAsia="en-GB"/>
        </w:rPr>
        <w:t>Pratama</w:t>
      </w:r>
      <w:proofErr w:type="spellEnd"/>
      <w:r w:rsidRPr="00BC3CBE">
        <w:rPr>
          <w:rFonts w:ascii="Arial" w:eastAsia="Times New Roman" w:hAnsi="Arial" w:cs="Arial"/>
          <w:color w:val="222222"/>
          <w:sz w:val="24"/>
          <w:szCs w:val="24"/>
          <w:lang w:eastAsia="en-GB"/>
        </w:rPr>
        <w:t>, I., 2020. Social Networking, and firm performance: Mediating role of comparative advantage and sustainable supply chain. </w:t>
      </w:r>
      <w:r w:rsidRPr="00BC3CBE">
        <w:rPr>
          <w:rFonts w:ascii="Arial" w:eastAsia="Times New Roman" w:hAnsi="Arial" w:cs="Arial"/>
          <w:i/>
          <w:iCs/>
          <w:color w:val="222222"/>
          <w:sz w:val="24"/>
          <w:szCs w:val="24"/>
          <w:lang w:eastAsia="en-GB"/>
        </w:rPr>
        <w:t xml:space="preserve">Int. J Sup. Chain. </w:t>
      </w:r>
      <w:proofErr w:type="spellStart"/>
      <w:r w:rsidRPr="00BC3CBE">
        <w:rPr>
          <w:rFonts w:ascii="Arial" w:eastAsia="Times New Roman" w:hAnsi="Arial" w:cs="Arial"/>
          <w:i/>
          <w:iCs/>
          <w:color w:val="222222"/>
          <w:sz w:val="24"/>
          <w:szCs w:val="24"/>
          <w:lang w:eastAsia="en-GB"/>
        </w:rPr>
        <w:t>Mgt</w:t>
      </w:r>
      <w:proofErr w:type="spellEnd"/>
      <w:r w:rsidRPr="00BC3CBE">
        <w:rPr>
          <w:rFonts w:ascii="Arial" w:eastAsia="Times New Roman" w:hAnsi="Arial" w:cs="Arial"/>
          <w:i/>
          <w:iCs/>
          <w:color w:val="222222"/>
          <w:sz w:val="24"/>
          <w:szCs w:val="24"/>
          <w:lang w:eastAsia="en-GB"/>
        </w:rPr>
        <w:t xml:space="preserve"> Vol</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9</w:t>
      </w:r>
      <w:r w:rsidRPr="00BC3CBE">
        <w:rPr>
          <w:rFonts w:ascii="Arial" w:eastAsia="Times New Roman" w:hAnsi="Arial" w:cs="Arial"/>
          <w:color w:val="222222"/>
          <w:sz w:val="24"/>
          <w:szCs w:val="24"/>
          <w:lang w:eastAsia="en-GB"/>
        </w:rPr>
        <w:t xml:space="preserve">(3), pp.664-673.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val="en-US" w:eastAsia="en-GB"/>
        </w:rPr>
        <w:t xml:space="preserve">O’Neill, A. (2023) </w:t>
      </w:r>
      <w:r w:rsidRPr="00BC3CBE">
        <w:rPr>
          <w:rFonts w:ascii="Arial" w:eastAsia="Times New Roman" w:hAnsi="Arial" w:cs="Arial"/>
          <w:i/>
          <w:iCs/>
          <w:color w:val="222222"/>
          <w:sz w:val="24"/>
          <w:szCs w:val="24"/>
          <w:lang w:val="en-US" w:eastAsia="en-GB"/>
        </w:rPr>
        <w:t>United Kingdom - gross domestic product (GDP) 2028</w:t>
      </w:r>
      <w:r w:rsidRPr="00BC3CBE">
        <w:rPr>
          <w:rFonts w:ascii="Arial" w:eastAsia="Times New Roman" w:hAnsi="Arial" w:cs="Arial"/>
          <w:color w:val="222222"/>
          <w:sz w:val="24"/>
          <w:szCs w:val="24"/>
          <w:lang w:val="en-US" w:eastAsia="en-GB"/>
        </w:rPr>
        <w:t xml:space="preserve">, </w:t>
      </w:r>
      <w:r w:rsidRPr="00BC3CBE">
        <w:rPr>
          <w:rFonts w:ascii="Arial" w:eastAsia="Times New Roman" w:hAnsi="Arial" w:cs="Arial"/>
          <w:i/>
          <w:iCs/>
          <w:color w:val="222222"/>
          <w:sz w:val="24"/>
          <w:szCs w:val="24"/>
          <w:lang w:val="en-US" w:eastAsia="en-GB"/>
        </w:rPr>
        <w:t>Statista</w:t>
      </w:r>
      <w:r w:rsidRPr="00BC3CBE">
        <w:rPr>
          <w:rFonts w:ascii="Arial" w:eastAsia="Times New Roman" w:hAnsi="Arial" w:cs="Arial"/>
          <w:color w:val="222222"/>
          <w:sz w:val="24"/>
          <w:szCs w:val="24"/>
          <w:lang w:val="en-US" w:eastAsia="en-GB"/>
        </w:rPr>
        <w:t xml:space="preserve">. Available at: https://www.statista.com/statistics/263590/gross-domestic-product-gdp-of-the-united-kingdom/ (Accessed: 06 February 2024). </w:t>
      </w:r>
    </w:p>
    <w:p w:rsid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t>Paillé</w:t>
      </w:r>
      <w:proofErr w:type="spellEnd"/>
      <w:r w:rsidRPr="00BC3CBE">
        <w:rPr>
          <w:rFonts w:ascii="Arial" w:eastAsia="Times New Roman" w:hAnsi="Arial" w:cs="Arial"/>
          <w:color w:val="222222"/>
          <w:sz w:val="24"/>
          <w:szCs w:val="24"/>
          <w:lang w:eastAsia="en-GB"/>
        </w:rPr>
        <w:t xml:space="preserve">, P., </w:t>
      </w:r>
      <w:proofErr w:type="spellStart"/>
      <w:r w:rsidRPr="00BC3CBE">
        <w:rPr>
          <w:rFonts w:ascii="Arial" w:eastAsia="Times New Roman" w:hAnsi="Arial" w:cs="Arial"/>
          <w:color w:val="222222"/>
          <w:sz w:val="24"/>
          <w:szCs w:val="24"/>
          <w:lang w:eastAsia="en-GB"/>
        </w:rPr>
        <w:t>Valéau</w:t>
      </w:r>
      <w:proofErr w:type="spellEnd"/>
      <w:r w:rsidRPr="00BC3CBE">
        <w:rPr>
          <w:rFonts w:ascii="Arial" w:eastAsia="Times New Roman" w:hAnsi="Arial" w:cs="Arial"/>
          <w:color w:val="222222"/>
          <w:sz w:val="24"/>
          <w:szCs w:val="24"/>
          <w:lang w:eastAsia="en-GB"/>
        </w:rPr>
        <w:t>, P. and Renwick, D.W., 2020. Leveraging green human resource practices to achieve environmental sustainability. </w:t>
      </w:r>
      <w:r w:rsidRPr="00BC3CBE">
        <w:rPr>
          <w:rFonts w:ascii="Arial" w:eastAsia="Times New Roman" w:hAnsi="Arial" w:cs="Arial"/>
          <w:i/>
          <w:iCs/>
          <w:color w:val="222222"/>
          <w:sz w:val="24"/>
          <w:szCs w:val="24"/>
          <w:lang w:eastAsia="en-GB"/>
        </w:rPr>
        <w:t>Journal of Cleaner Production</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260</w:t>
      </w:r>
      <w:r w:rsidRPr="00BC3CBE">
        <w:rPr>
          <w:rFonts w:ascii="Arial" w:eastAsia="Times New Roman" w:hAnsi="Arial" w:cs="Arial"/>
          <w:color w:val="222222"/>
          <w:sz w:val="24"/>
          <w:szCs w:val="24"/>
          <w:lang w:eastAsia="en-GB"/>
        </w:rPr>
        <w:t xml:space="preserve">, p.121137.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val="en-US" w:eastAsia="en-GB"/>
        </w:rPr>
        <w:t xml:space="preserve">Rowland, J. (2023) </w:t>
      </w:r>
      <w:proofErr w:type="gramStart"/>
      <w:r w:rsidRPr="00BC3CBE">
        <w:rPr>
          <w:rFonts w:ascii="Arial" w:eastAsia="Times New Roman" w:hAnsi="Arial" w:cs="Arial"/>
          <w:i/>
          <w:iCs/>
          <w:color w:val="222222"/>
          <w:sz w:val="24"/>
          <w:szCs w:val="24"/>
          <w:lang w:val="en-US" w:eastAsia="en-GB"/>
        </w:rPr>
        <w:t>The</w:t>
      </w:r>
      <w:proofErr w:type="gramEnd"/>
      <w:r w:rsidRPr="00BC3CBE">
        <w:rPr>
          <w:rFonts w:ascii="Arial" w:eastAsia="Times New Roman" w:hAnsi="Arial" w:cs="Arial"/>
          <w:i/>
          <w:iCs/>
          <w:color w:val="222222"/>
          <w:sz w:val="24"/>
          <w:szCs w:val="24"/>
          <w:lang w:val="en-US" w:eastAsia="en-GB"/>
        </w:rPr>
        <w:t xml:space="preserve"> importance of sustainability in the workplace: A guide for UK employers</w:t>
      </w:r>
      <w:r w:rsidRPr="00BC3CBE">
        <w:rPr>
          <w:rFonts w:ascii="Arial" w:eastAsia="Times New Roman" w:hAnsi="Arial" w:cs="Arial"/>
          <w:color w:val="222222"/>
          <w:sz w:val="24"/>
          <w:szCs w:val="24"/>
          <w:lang w:val="en-US" w:eastAsia="en-GB"/>
        </w:rPr>
        <w:t xml:space="preserve">, </w:t>
      </w:r>
      <w:r w:rsidRPr="00BC3CBE">
        <w:rPr>
          <w:rFonts w:ascii="Arial" w:eastAsia="Times New Roman" w:hAnsi="Arial" w:cs="Arial"/>
          <w:i/>
          <w:iCs/>
          <w:color w:val="222222"/>
          <w:sz w:val="24"/>
          <w:szCs w:val="24"/>
          <w:lang w:val="en-US" w:eastAsia="en-GB"/>
        </w:rPr>
        <w:t>LinkedIn</w:t>
      </w:r>
      <w:r w:rsidRPr="00BC3CBE">
        <w:rPr>
          <w:rFonts w:ascii="Arial" w:eastAsia="Times New Roman" w:hAnsi="Arial" w:cs="Arial"/>
          <w:color w:val="222222"/>
          <w:sz w:val="24"/>
          <w:szCs w:val="24"/>
          <w:lang w:val="en-US" w:eastAsia="en-GB"/>
        </w:rPr>
        <w:t xml:space="preserve">. Available at: https://www.linkedin.com/pulse/importance-sustainability-workplace-guide-uk-james-rowland (Accessed: 06 February 2024).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lastRenderedPageBreak/>
        <w:t>Saadatyar</w:t>
      </w:r>
      <w:proofErr w:type="spellEnd"/>
      <w:r w:rsidRPr="00BC3CBE">
        <w:rPr>
          <w:rFonts w:ascii="Arial" w:eastAsia="Times New Roman" w:hAnsi="Arial" w:cs="Arial"/>
          <w:color w:val="222222"/>
          <w:sz w:val="24"/>
          <w:szCs w:val="24"/>
          <w:lang w:eastAsia="en-GB"/>
        </w:rPr>
        <w:t xml:space="preserve">, F.S., </w:t>
      </w:r>
      <w:proofErr w:type="spellStart"/>
      <w:r w:rsidRPr="00BC3CBE">
        <w:rPr>
          <w:rFonts w:ascii="Arial" w:eastAsia="Times New Roman" w:hAnsi="Arial" w:cs="Arial"/>
          <w:color w:val="222222"/>
          <w:sz w:val="24"/>
          <w:szCs w:val="24"/>
          <w:lang w:eastAsia="en-GB"/>
        </w:rPr>
        <w:t>Poursalimi</w:t>
      </w:r>
      <w:proofErr w:type="spellEnd"/>
      <w:r w:rsidRPr="00BC3CBE">
        <w:rPr>
          <w:rFonts w:ascii="Arial" w:eastAsia="Times New Roman" w:hAnsi="Arial" w:cs="Arial"/>
          <w:color w:val="222222"/>
          <w:sz w:val="24"/>
          <w:szCs w:val="24"/>
          <w:lang w:eastAsia="en-GB"/>
        </w:rPr>
        <w:t>, M., Al-</w:t>
      </w:r>
      <w:proofErr w:type="spellStart"/>
      <w:r w:rsidRPr="00BC3CBE">
        <w:rPr>
          <w:rFonts w:ascii="Arial" w:eastAsia="Times New Roman" w:hAnsi="Arial" w:cs="Arial"/>
          <w:color w:val="222222"/>
          <w:sz w:val="24"/>
          <w:szCs w:val="24"/>
          <w:lang w:eastAsia="en-GB"/>
        </w:rPr>
        <w:t>Tabbaa</w:t>
      </w:r>
      <w:proofErr w:type="spellEnd"/>
      <w:r w:rsidRPr="00BC3CBE">
        <w:rPr>
          <w:rFonts w:ascii="Arial" w:eastAsia="Times New Roman" w:hAnsi="Arial" w:cs="Arial"/>
          <w:color w:val="222222"/>
          <w:sz w:val="24"/>
          <w:szCs w:val="24"/>
          <w:lang w:eastAsia="en-GB"/>
        </w:rPr>
        <w:t xml:space="preserve">, O. and </w:t>
      </w:r>
      <w:proofErr w:type="spellStart"/>
      <w:r w:rsidRPr="00BC3CBE">
        <w:rPr>
          <w:rFonts w:ascii="Arial" w:eastAsia="Times New Roman" w:hAnsi="Arial" w:cs="Arial"/>
          <w:color w:val="222222"/>
          <w:sz w:val="24"/>
          <w:szCs w:val="24"/>
          <w:lang w:eastAsia="en-GB"/>
        </w:rPr>
        <w:t>Iannotta</w:t>
      </w:r>
      <w:proofErr w:type="spellEnd"/>
      <w:r w:rsidRPr="00BC3CBE">
        <w:rPr>
          <w:rFonts w:ascii="Arial" w:eastAsia="Times New Roman" w:hAnsi="Arial" w:cs="Arial"/>
          <w:color w:val="222222"/>
          <w:sz w:val="24"/>
          <w:szCs w:val="24"/>
          <w:lang w:eastAsia="en-GB"/>
        </w:rPr>
        <w:t>, M., 2020. Workplace spirituality as a source for competitive advantage: an empirical study. </w:t>
      </w:r>
      <w:r w:rsidRPr="00BC3CBE">
        <w:rPr>
          <w:rFonts w:ascii="Arial" w:eastAsia="Times New Roman" w:hAnsi="Arial" w:cs="Arial"/>
          <w:i/>
          <w:iCs/>
          <w:color w:val="222222"/>
          <w:sz w:val="24"/>
          <w:szCs w:val="24"/>
          <w:lang w:eastAsia="en-GB"/>
        </w:rPr>
        <w:t>International Journal of Organizational Analysis</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28</w:t>
      </w:r>
      <w:r w:rsidRPr="00BC3CBE">
        <w:rPr>
          <w:rFonts w:ascii="Arial" w:eastAsia="Times New Roman" w:hAnsi="Arial" w:cs="Arial"/>
          <w:color w:val="222222"/>
          <w:sz w:val="24"/>
          <w:szCs w:val="24"/>
          <w:lang w:eastAsia="en-GB"/>
        </w:rPr>
        <w:t xml:space="preserve">(3), pp.655-676.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Sustainability Fair</w:t>
      </w:r>
      <w:r w:rsidRPr="00BC3CBE">
        <w:rPr>
          <w:rFonts w:ascii="Arial" w:eastAsia="Times New Roman" w:hAnsi="Arial" w:cs="Arial"/>
          <w:color w:val="222222"/>
          <w:sz w:val="24"/>
          <w:szCs w:val="24"/>
          <w:lang w:val="en-US" w:eastAsia="en-GB"/>
        </w:rPr>
        <w:t xml:space="preserve"> (2024) </w:t>
      </w:r>
      <w:r w:rsidRPr="00BC3CBE">
        <w:rPr>
          <w:rFonts w:ascii="Arial" w:eastAsia="Times New Roman" w:hAnsi="Arial" w:cs="Arial"/>
          <w:i/>
          <w:iCs/>
          <w:color w:val="222222"/>
          <w:sz w:val="24"/>
          <w:szCs w:val="24"/>
          <w:lang w:val="en-US" w:eastAsia="en-GB"/>
        </w:rPr>
        <w:t>Imperial College London</w:t>
      </w:r>
      <w:r w:rsidRPr="00BC3CBE">
        <w:rPr>
          <w:rFonts w:ascii="Arial" w:eastAsia="Times New Roman" w:hAnsi="Arial" w:cs="Arial"/>
          <w:color w:val="222222"/>
          <w:sz w:val="24"/>
          <w:szCs w:val="24"/>
          <w:lang w:val="en-US" w:eastAsia="en-GB"/>
        </w:rPr>
        <w:t xml:space="preserve">. Available at: https://www.imperial.ac.uk/events/158900/sustainability-fair/ (Accessed: 06 February 2024).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Sustainable event: Why is it so popular these days?</w:t>
      </w:r>
      <w:r w:rsidRPr="00BC3CBE">
        <w:rPr>
          <w:rFonts w:ascii="Arial" w:eastAsia="Times New Roman" w:hAnsi="Arial" w:cs="Arial"/>
          <w:color w:val="222222"/>
          <w:sz w:val="24"/>
          <w:szCs w:val="24"/>
          <w:lang w:val="en-US" w:eastAsia="en-GB"/>
        </w:rPr>
        <w:t xml:space="preserve"> (2024) </w:t>
      </w:r>
      <w:r w:rsidRPr="00BC3CBE">
        <w:rPr>
          <w:rFonts w:ascii="Arial" w:eastAsia="Times New Roman" w:hAnsi="Arial" w:cs="Arial"/>
          <w:i/>
          <w:iCs/>
          <w:color w:val="222222"/>
          <w:sz w:val="24"/>
          <w:szCs w:val="24"/>
          <w:lang w:val="en-US" w:eastAsia="en-GB"/>
        </w:rPr>
        <w:t>RSS</w:t>
      </w:r>
      <w:r w:rsidRPr="00BC3CBE">
        <w:rPr>
          <w:rFonts w:ascii="Arial" w:eastAsia="Times New Roman" w:hAnsi="Arial" w:cs="Arial"/>
          <w:color w:val="222222"/>
          <w:sz w:val="24"/>
          <w:szCs w:val="24"/>
          <w:lang w:val="en-US" w:eastAsia="en-GB"/>
        </w:rPr>
        <w:t xml:space="preserve">. Available at: https://www.hubilo.com/blog/sustainable-event-popular (Accessed: 06 February 2024).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The importance of sustainability in the events industry</w:t>
      </w:r>
      <w:r w:rsidRPr="00BC3CBE">
        <w:rPr>
          <w:rFonts w:ascii="Arial" w:eastAsia="Times New Roman" w:hAnsi="Arial" w:cs="Arial"/>
          <w:color w:val="222222"/>
          <w:sz w:val="24"/>
          <w:szCs w:val="24"/>
          <w:lang w:val="en-US" w:eastAsia="en-GB"/>
        </w:rPr>
        <w:t xml:space="preserve"> (2023) </w:t>
      </w:r>
      <w:r w:rsidRPr="00BC3CBE">
        <w:rPr>
          <w:rFonts w:ascii="Arial" w:eastAsia="Times New Roman" w:hAnsi="Arial" w:cs="Arial"/>
          <w:i/>
          <w:iCs/>
          <w:color w:val="222222"/>
          <w:sz w:val="24"/>
          <w:szCs w:val="24"/>
          <w:lang w:val="en-US" w:eastAsia="en-GB"/>
        </w:rPr>
        <w:t>Silverback Event Crew</w:t>
      </w:r>
      <w:r w:rsidRPr="00BC3CBE">
        <w:rPr>
          <w:rFonts w:ascii="Arial" w:eastAsia="Times New Roman" w:hAnsi="Arial" w:cs="Arial"/>
          <w:color w:val="222222"/>
          <w:sz w:val="24"/>
          <w:szCs w:val="24"/>
          <w:lang w:val="en-US" w:eastAsia="en-GB"/>
        </w:rPr>
        <w:t xml:space="preserve">. Available at: https://silverbackuk.com/the-importance-of-sustainability-in-the-events-industry/ (Accessed: 06 February 2024).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The political aspects of environmentalism in the UK</w:t>
      </w:r>
      <w:r w:rsidRPr="00BC3CBE">
        <w:rPr>
          <w:rFonts w:ascii="Arial" w:eastAsia="Times New Roman" w:hAnsi="Arial" w:cs="Arial"/>
          <w:color w:val="222222"/>
          <w:sz w:val="24"/>
          <w:szCs w:val="24"/>
          <w:lang w:val="en-US" w:eastAsia="en-GB"/>
        </w:rPr>
        <w:t xml:space="preserve"> (2024) </w:t>
      </w:r>
      <w:r w:rsidRPr="00BC3CBE">
        <w:rPr>
          <w:rFonts w:ascii="Arial" w:eastAsia="Times New Roman" w:hAnsi="Arial" w:cs="Arial"/>
          <w:i/>
          <w:iCs/>
          <w:color w:val="222222"/>
          <w:sz w:val="24"/>
          <w:szCs w:val="24"/>
          <w:lang w:val="en-US" w:eastAsia="en-GB"/>
        </w:rPr>
        <w:t>IES</w:t>
      </w:r>
      <w:r w:rsidRPr="00BC3CBE">
        <w:rPr>
          <w:rFonts w:ascii="Arial" w:eastAsia="Times New Roman" w:hAnsi="Arial" w:cs="Arial"/>
          <w:color w:val="222222"/>
          <w:sz w:val="24"/>
          <w:szCs w:val="24"/>
          <w:lang w:val="en-US" w:eastAsia="en-GB"/>
        </w:rPr>
        <w:t xml:space="preserve">. Available at: </w:t>
      </w:r>
      <w:hyperlink r:id="rId10" w:history="1">
        <w:r w:rsidRPr="00195A06">
          <w:rPr>
            <w:rStyle w:val="Hyperlink"/>
            <w:rFonts w:ascii="Arial" w:eastAsia="Times New Roman" w:hAnsi="Arial" w:cs="Arial"/>
            <w:sz w:val="24"/>
            <w:szCs w:val="24"/>
            <w:lang w:val="en-US" w:eastAsia="en-GB"/>
          </w:rPr>
          <w:t>https://www.the-</w:t>
        </w:r>
      </w:hyperlink>
    </w:p>
    <w:p w:rsidR="00BC3CBE" w:rsidRPr="00BC3CBE" w:rsidRDefault="00BC3CBE" w:rsidP="00BC3CBE">
      <w:pPr>
        <w:spacing w:after="0" w:line="360" w:lineRule="auto"/>
        <w:ind w:left="720"/>
        <w:jc w:val="both"/>
        <w:rPr>
          <w:rFonts w:ascii="Arial" w:eastAsia="Times New Roman" w:hAnsi="Arial" w:cs="Arial"/>
          <w:color w:val="222222"/>
          <w:sz w:val="24"/>
          <w:szCs w:val="24"/>
          <w:lang w:eastAsia="en-GB"/>
        </w:rPr>
      </w:pPr>
      <w:r w:rsidRPr="00BC3CBE">
        <w:rPr>
          <w:rFonts w:ascii="Arial" w:eastAsia="Times New Roman" w:hAnsi="Arial" w:cs="Arial"/>
          <w:color w:val="222222"/>
          <w:sz w:val="24"/>
          <w:szCs w:val="24"/>
          <w:lang w:val="en-US" w:eastAsia="en-GB"/>
        </w:rPr>
        <w:t xml:space="preserve">ies.org/sites/default/files/documents/political_aspects_environmentalism.pdf (Accessed: 06 February 2024).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 xml:space="preserve">The UK environmental protections dropped since </w:t>
      </w:r>
      <w:proofErr w:type="spellStart"/>
      <w:r w:rsidRPr="00BC3CBE">
        <w:rPr>
          <w:rFonts w:ascii="Arial" w:eastAsia="Times New Roman" w:hAnsi="Arial" w:cs="Arial"/>
          <w:i/>
          <w:iCs/>
          <w:color w:val="222222"/>
          <w:sz w:val="24"/>
          <w:szCs w:val="24"/>
          <w:lang w:val="en-US" w:eastAsia="en-GB"/>
        </w:rPr>
        <w:t>Brexit</w:t>
      </w:r>
      <w:proofErr w:type="spellEnd"/>
      <w:r w:rsidRPr="00BC3CBE">
        <w:rPr>
          <w:rFonts w:ascii="Arial" w:eastAsia="Times New Roman" w:hAnsi="Arial" w:cs="Arial"/>
          <w:color w:val="222222"/>
          <w:sz w:val="24"/>
          <w:szCs w:val="24"/>
          <w:lang w:val="en-US" w:eastAsia="en-GB"/>
        </w:rPr>
        <w:t xml:space="preserve"> (2024) </w:t>
      </w:r>
      <w:r w:rsidRPr="00BC3CBE">
        <w:rPr>
          <w:rFonts w:ascii="Arial" w:eastAsia="Times New Roman" w:hAnsi="Arial" w:cs="Arial"/>
          <w:i/>
          <w:iCs/>
          <w:color w:val="222222"/>
          <w:sz w:val="24"/>
          <w:szCs w:val="24"/>
          <w:lang w:val="en-US" w:eastAsia="en-GB"/>
        </w:rPr>
        <w:t>The Guardian</w:t>
      </w:r>
      <w:r w:rsidRPr="00BC3CBE">
        <w:rPr>
          <w:rFonts w:ascii="Arial" w:eastAsia="Times New Roman" w:hAnsi="Arial" w:cs="Arial"/>
          <w:color w:val="222222"/>
          <w:sz w:val="24"/>
          <w:szCs w:val="24"/>
          <w:lang w:val="en-US" w:eastAsia="en-GB"/>
        </w:rPr>
        <w:t xml:space="preserve">. Available at: https://www.theguardian.com/environment/2024/jan/19/the-uk-environmental-protections-dropped-since-brexit (Accessed: 06 February 2024). </w:t>
      </w: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r w:rsidRPr="00BC3CBE">
        <w:rPr>
          <w:rFonts w:ascii="Arial" w:eastAsia="Times New Roman" w:hAnsi="Arial" w:cs="Arial"/>
          <w:i/>
          <w:iCs/>
          <w:color w:val="222222"/>
          <w:sz w:val="24"/>
          <w:szCs w:val="24"/>
          <w:lang w:val="en-US" w:eastAsia="en-GB"/>
        </w:rPr>
        <w:t xml:space="preserve">What does the environment bill mean for the hospitality industry? - </w:t>
      </w:r>
      <w:proofErr w:type="gramStart"/>
      <w:r w:rsidRPr="00BC3CBE">
        <w:rPr>
          <w:rFonts w:ascii="Arial" w:eastAsia="Times New Roman" w:hAnsi="Arial" w:cs="Arial"/>
          <w:i/>
          <w:iCs/>
          <w:color w:val="222222"/>
          <w:sz w:val="24"/>
          <w:szCs w:val="24"/>
          <w:lang w:val="en-US" w:eastAsia="en-GB"/>
        </w:rPr>
        <w:t>tidy</w:t>
      </w:r>
      <w:proofErr w:type="gramEnd"/>
      <w:r w:rsidRPr="00BC3CBE">
        <w:rPr>
          <w:rFonts w:ascii="Arial" w:eastAsia="Times New Roman" w:hAnsi="Arial" w:cs="Arial"/>
          <w:i/>
          <w:iCs/>
          <w:color w:val="222222"/>
          <w:sz w:val="24"/>
          <w:szCs w:val="24"/>
          <w:lang w:val="en-US" w:eastAsia="en-GB"/>
        </w:rPr>
        <w:t xml:space="preserve"> planet food waste composting</w:t>
      </w:r>
      <w:r w:rsidRPr="00BC3CBE">
        <w:rPr>
          <w:rFonts w:ascii="Arial" w:eastAsia="Times New Roman" w:hAnsi="Arial" w:cs="Arial"/>
          <w:color w:val="222222"/>
          <w:sz w:val="24"/>
          <w:szCs w:val="24"/>
          <w:lang w:val="en-US" w:eastAsia="en-GB"/>
        </w:rPr>
        <w:t xml:space="preserve"> (2023) </w:t>
      </w:r>
      <w:r w:rsidRPr="00BC3CBE">
        <w:rPr>
          <w:rFonts w:ascii="Arial" w:eastAsia="Times New Roman" w:hAnsi="Arial" w:cs="Arial"/>
          <w:i/>
          <w:iCs/>
          <w:color w:val="222222"/>
          <w:sz w:val="24"/>
          <w:szCs w:val="24"/>
          <w:lang w:val="en-US" w:eastAsia="en-GB"/>
        </w:rPr>
        <w:t>Tidy Planet Food Waste Composting - Composting solutions for food waste</w:t>
      </w:r>
      <w:r w:rsidRPr="00BC3CBE">
        <w:rPr>
          <w:rFonts w:ascii="Arial" w:eastAsia="Times New Roman" w:hAnsi="Arial" w:cs="Arial"/>
          <w:color w:val="222222"/>
          <w:sz w:val="24"/>
          <w:szCs w:val="24"/>
          <w:lang w:val="en-US" w:eastAsia="en-GB"/>
        </w:rPr>
        <w:t xml:space="preserve">. Available at: https://tidyplanetwaste.com/what-does-the-environment-bill-mean-for-the-hospitality-industry/ (Accessed: 06 February 2024). </w:t>
      </w:r>
    </w:p>
    <w:p w:rsidR="00BC3CBE" w:rsidRDefault="00BC3CBE" w:rsidP="00BC3CBE">
      <w:pPr>
        <w:pStyle w:val="ListParagraph"/>
        <w:rPr>
          <w:rFonts w:ascii="Arial" w:eastAsia="Times New Roman" w:hAnsi="Arial" w:cs="Arial"/>
          <w:color w:val="222222"/>
          <w:sz w:val="24"/>
          <w:szCs w:val="24"/>
          <w:lang w:eastAsia="en-GB"/>
        </w:rPr>
      </w:pPr>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bookmarkStart w:id="0" w:name="_GoBack"/>
      <w:bookmarkEnd w:id="0"/>
    </w:p>
    <w:p w:rsidR="00BC3CBE" w:rsidRPr="00BC3CBE" w:rsidRDefault="00BC3CBE" w:rsidP="00BC3CBE">
      <w:pPr>
        <w:numPr>
          <w:ilvl w:val="0"/>
          <w:numId w:val="2"/>
        </w:numPr>
        <w:spacing w:after="0" w:line="360" w:lineRule="auto"/>
        <w:jc w:val="both"/>
        <w:rPr>
          <w:rFonts w:ascii="Arial" w:eastAsia="Times New Roman" w:hAnsi="Arial" w:cs="Arial"/>
          <w:color w:val="222222"/>
          <w:sz w:val="24"/>
          <w:szCs w:val="24"/>
          <w:lang w:eastAsia="en-GB"/>
        </w:rPr>
      </w:pPr>
      <w:proofErr w:type="spellStart"/>
      <w:r w:rsidRPr="00BC3CBE">
        <w:rPr>
          <w:rFonts w:ascii="Arial" w:eastAsia="Times New Roman" w:hAnsi="Arial" w:cs="Arial"/>
          <w:color w:val="222222"/>
          <w:sz w:val="24"/>
          <w:szCs w:val="24"/>
          <w:lang w:eastAsia="en-GB"/>
        </w:rPr>
        <w:lastRenderedPageBreak/>
        <w:t>Ybema</w:t>
      </w:r>
      <w:proofErr w:type="spellEnd"/>
      <w:r w:rsidRPr="00BC3CBE">
        <w:rPr>
          <w:rFonts w:ascii="Arial" w:eastAsia="Times New Roman" w:hAnsi="Arial" w:cs="Arial"/>
          <w:color w:val="222222"/>
          <w:sz w:val="24"/>
          <w:szCs w:val="24"/>
          <w:lang w:eastAsia="en-GB"/>
        </w:rPr>
        <w:t xml:space="preserve">, J.F., van </w:t>
      </w:r>
      <w:proofErr w:type="spellStart"/>
      <w:r w:rsidRPr="00BC3CBE">
        <w:rPr>
          <w:rFonts w:ascii="Arial" w:eastAsia="Times New Roman" w:hAnsi="Arial" w:cs="Arial"/>
          <w:color w:val="222222"/>
          <w:sz w:val="24"/>
          <w:szCs w:val="24"/>
          <w:lang w:eastAsia="en-GB"/>
        </w:rPr>
        <w:t>Vuuren</w:t>
      </w:r>
      <w:proofErr w:type="spellEnd"/>
      <w:r w:rsidRPr="00BC3CBE">
        <w:rPr>
          <w:rFonts w:ascii="Arial" w:eastAsia="Times New Roman" w:hAnsi="Arial" w:cs="Arial"/>
          <w:color w:val="222222"/>
          <w:sz w:val="24"/>
          <w:szCs w:val="24"/>
          <w:lang w:eastAsia="en-GB"/>
        </w:rPr>
        <w:t>, T. and van Dam, K., 2020. HR practices for enhancing sustainable employability: implementation, use, and outcomes. </w:t>
      </w:r>
      <w:r w:rsidRPr="00BC3CBE">
        <w:rPr>
          <w:rFonts w:ascii="Arial" w:eastAsia="Times New Roman" w:hAnsi="Arial" w:cs="Arial"/>
          <w:i/>
          <w:iCs/>
          <w:color w:val="222222"/>
          <w:sz w:val="24"/>
          <w:szCs w:val="24"/>
          <w:lang w:eastAsia="en-GB"/>
        </w:rPr>
        <w:t>The International Journal of Human Resource Management</w:t>
      </w:r>
      <w:r w:rsidRPr="00BC3CBE">
        <w:rPr>
          <w:rFonts w:ascii="Arial" w:eastAsia="Times New Roman" w:hAnsi="Arial" w:cs="Arial"/>
          <w:color w:val="222222"/>
          <w:sz w:val="24"/>
          <w:szCs w:val="24"/>
          <w:lang w:eastAsia="en-GB"/>
        </w:rPr>
        <w:t>, </w:t>
      </w:r>
      <w:r w:rsidRPr="00BC3CBE">
        <w:rPr>
          <w:rFonts w:ascii="Arial" w:eastAsia="Times New Roman" w:hAnsi="Arial" w:cs="Arial"/>
          <w:i/>
          <w:iCs/>
          <w:color w:val="222222"/>
          <w:sz w:val="24"/>
          <w:szCs w:val="24"/>
          <w:lang w:eastAsia="en-GB"/>
        </w:rPr>
        <w:t>31</w:t>
      </w:r>
      <w:r w:rsidRPr="00BC3CBE">
        <w:rPr>
          <w:rFonts w:ascii="Arial" w:eastAsia="Times New Roman" w:hAnsi="Arial" w:cs="Arial"/>
          <w:color w:val="222222"/>
          <w:sz w:val="24"/>
          <w:szCs w:val="24"/>
          <w:lang w:eastAsia="en-GB"/>
        </w:rPr>
        <w:t xml:space="preserve">(7), pp.886-907. </w:t>
      </w:r>
    </w:p>
    <w:p w:rsidR="00E558F8" w:rsidRPr="00940A16" w:rsidRDefault="00E558F8" w:rsidP="00940A16">
      <w:pPr>
        <w:spacing w:line="360" w:lineRule="auto"/>
        <w:jc w:val="both"/>
        <w:rPr>
          <w:rFonts w:ascii="Arial" w:hAnsi="Arial" w:cs="Arial"/>
          <w:sz w:val="28"/>
          <w:szCs w:val="28"/>
        </w:rPr>
      </w:pPr>
    </w:p>
    <w:sectPr w:rsidR="00E558F8" w:rsidRPr="00940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D360E0"/>
    <w:multiLevelType w:val="hybridMultilevel"/>
    <w:tmpl w:val="7396DC72"/>
    <w:lvl w:ilvl="0" w:tplc="84F42D9A">
      <w:start w:val="1"/>
      <w:numFmt w:val="bullet"/>
      <w:lvlText w:val=" "/>
      <w:lvlJc w:val="left"/>
      <w:pPr>
        <w:tabs>
          <w:tab w:val="num" w:pos="720"/>
        </w:tabs>
        <w:ind w:left="720" w:hanging="360"/>
      </w:pPr>
      <w:rPr>
        <w:rFonts w:ascii="Tw Cen MT" w:hAnsi="Tw Cen MT" w:hint="default"/>
      </w:rPr>
    </w:lvl>
    <w:lvl w:ilvl="1" w:tplc="F69666D8" w:tentative="1">
      <w:start w:val="1"/>
      <w:numFmt w:val="bullet"/>
      <w:lvlText w:val=" "/>
      <w:lvlJc w:val="left"/>
      <w:pPr>
        <w:tabs>
          <w:tab w:val="num" w:pos="1440"/>
        </w:tabs>
        <w:ind w:left="1440" w:hanging="360"/>
      </w:pPr>
      <w:rPr>
        <w:rFonts w:ascii="Tw Cen MT" w:hAnsi="Tw Cen MT" w:hint="default"/>
      </w:rPr>
    </w:lvl>
    <w:lvl w:ilvl="2" w:tplc="FD72A5B8" w:tentative="1">
      <w:start w:val="1"/>
      <w:numFmt w:val="bullet"/>
      <w:lvlText w:val=" "/>
      <w:lvlJc w:val="left"/>
      <w:pPr>
        <w:tabs>
          <w:tab w:val="num" w:pos="2160"/>
        </w:tabs>
        <w:ind w:left="2160" w:hanging="360"/>
      </w:pPr>
      <w:rPr>
        <w:rFonts w:ascii="Tw Cen MT" w:hAnsi="Tw Cen MT" w:hint="default"/>
      </w:rPr>
    </w:lvl>
    <w:lvl w:ilvl="3" w:tplc="2FFC65AA" w:tentative="1">
      <w:start w:val="1"/>
      <w:numFmt w:val="bullet"/>
      <w:lvlText w:val=" "/>
      <w:lvlJc w:val="left"/>
      <w:pPr>
        <w:tabs>
          <w:tab w:val="num" w:pos="2880"/>
        </w:tabs>
        <w:ind w:left="2880" w:hanging="360"/>
      </w:pPr>
      <w:rPr>
        <w:rFonts w:ascii="Tw Cen MT" w:hAnsi="Tw Cen MT" w:hint="default"/>
      </w:rPr>
    </w:lvl>
    <w:lvl w:ilvl="4" w:tplc="8AD48114" w:tentative="1">
      <w:start w:val="1"/>
      <w:numFmt w:val="bullet"/>
      <w:lvlText w:val=" "/>
      <w:lvlJc w:val="left"/>
      <w:pPr>
        <w:tabs>
          <w:tab w:val="num" w:pos="3600"/>
        </w:tabs>
        <w:ind w:left="3600" w:hanging="360"/>
      </w:pPr>
      <w:rPr>
        <w:rFonts w:ascii="Tw Cen MT" w:hAnsi="Tw Cen MT" w:hint="default"/>
      </w:rPr>
    </w:lvl>
    <w:lvl w:ilvl="5" w:tplc="643E2418" w:tentative="1">
      <w:start w:val="1"/>
      <w:numFmt w:val="bullet"/>
      <w:lvlText w:val=" "/>
      <w:lvlJc w:val="left"/>
      <w:pPr>
        <w:tabs>
          <w:tab w:val="num" w:pos="4320"/>
        </w:tabs>
        <w:ind w:left="4320" w:hanging="360"/>
      </w:pPr>
      <w:rPr>
        <w:rFonts w:ascii="Tw Cen MT" w:hAnsi="Tw Cen MT" w:hint="default"/>
      </w:rPr>
    </w:lvl>
    <w:lvl w:ilvl="6" w:tplc="276CACBC" w:tentative="1">
      <w:start w:val="1"/>
      <w:numFmt w:val="bullet"/>
      <w:lvlText w:val=" "/>
      <w:lvlJc w:val="left"/>
      <w:pPr>
        <w:tabs>
          <w:tab w:val="num" w:pos="5040"/>
        </w:tabs>
        <w:ind w:left="5040" w:hanging="360"/>
      </w:pPr>
      <w:rPr>
        <w:rFonts w:ascii="Tw Cen MT" w:hAnsi="Tw Cen MT" w:hint="default"/>
      </w:rPr>
    </w:lvl>
    <w:lvl w:ilvl="7" w:tplc="3EFEE510" w:tentative="1">
      <w:start w:val="1"/>
      <w:numFmt w:val="bullet"/>
      <w:lvlText w:val=" "/>
      <w:lvlJc w:val="left"/>
      <w:pPr>
        <w:tabs>
          <w:tab w:val="num" w:pos="5760"/>
        </w:tabs>
        <w:ind w:left="5760" w:hanging="360"/>
      </w:pPr>
      <w:rPr>
        <w:rFonts w:ascii="Tw Cen MT" w:hAnsi="Tw Cen MT" w:hint="default"/>
      </w:rPr>
    </w:lvl>
    <w:lvl w:ilvl="8" w:tplc="5AF02428"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61263743"/>
    <w:multiLevelType w:val="hybridMultilevel"/>
    <w:tmpl w:val="6AE2FB8C"/>
    <w:lvl w:ilvl="0" w:tplc="E1EE0D04">
      <w:start w:val="1"/>
      <w:numFmt w:val="bullet"/>
      <w:lvlText w:val=" "/>
      <w:lvlJc w:val="left"/>
      <w:pPr>
        <w:tabs>
          <w:tab w:val="num" w:pos="720"/>
        </w:tabs>
        <w:ind w:left="720" w:hanging="360"/>
      </w:pPr>
      <w:rPr>
        <w:rFonts w:ascii="Tw Cen MT" w:hAnsi="Tw Cen MT" w:hint="default"/>
      </w:rPr>
    </w:lvl>
    <w:lvl w:ilvl="1" w:tplc="D1449B04" w:tentative="1">
      <w:start w:val="1"/>
      <w:numFmt w:val="bullet"/>
      <w:lvlText w:val=" "/>
      <w:lvlJc w:val="left"/>
      <w:pPr>
        <w:tabs>
          <w:tab w:val="num" w:pos="1440"/>
        </w:tabs>
        <w:ind w:left="1440" w:hanging="360"/>
      </w:pPr>
      <w:rPr>
        <w:rFonts w:ascii="Tw Cen MT" w:hAnsi="Tw Cen MT" w:hint="default"/>
      </w:rPr>
    </w:lvl>
    <w:lvl w:ilvl="2" w:tplc="5224BBDE" w:tentative="1">
      <w:start w:val="1"/>
      <w:numFmt w:val="bullet"/>
      <w:lvlText w:val=" "/>
      <w:lvlJc w:val="left"/>
      <w:pPr>
        <w:tabs>
          <w:tab w:val="num" w:pos="2160"/>
        </w:tabs>
        <w:ind w:left="2160" w:hanging="360"/>
      </w:pPr>
      <w:rPr>
        <w:rFonts w:ascii="Tw Cen MT" w:hAnsi="Tw Cen MT" w:hint="default"/>
      </w:rPr>
    </w:lvl>
    <w:lvl w:ilvl="3" w:tplc="C32CE4EC" w:tentative="1">
      <w:start w:val="1"/>
      <w:numFmt w:val="bullet"/>
      <w:lvlText w:val=" "/>
      <w:lvlJc w:val="left"/>
      <w:pPr>
        <w:tabs>
          <w:tab w:val="num" w:pos="2880"/>
        </w:tabs>
        <w:ind w:left="2880" w:hanging="360"/>
      </w:pPr>
      <w:rPr>
        <w:rFonts w:ascii="Tw Cen MT" w:hAnsi="Tw Cen MT" w:hint="default"/>
      </w:rPr>
    </w:lvl>
    <w:lvl w:ilvl="4" w:tplc="D5DE5AB4" w:tentative="1">
      <w:start w:val="1"/>
      <w:numFmt w:val="bullet"/>
      <w:lvlText w:val=" "/>
      <w:lvlJc w:val="left"/>
      <w:pPr>
        <w:tabs>
          <w:tab w:val="num" w:pos="3600"/>
        </w:tabs>
        <w:ind w:left="3600" w:hanging="360"/>
      </w:pPr>
      <w:rPr>
        <w:rFonts w:ascii="Tw Cen MT" w:hAnsi="Tw Cen MT" w:hint="default"/>
      </w:rPr>
    </w:lvl>
    <w:lvl w:ilvl="5" w:tplc="0EB2192A" w:tentative="1">
      <w:start w:val="1"/>
      <w:numFmt w:val="bullet"/>
      <w:lvlText w:val=" "/>
      <w:lvlJc w:val="left"/>
      <w:pPr>
        <w:tabs>
          <w:tab w:val="num" w:pos="4320"/>
        </w:tabs>
        <w:ind w:left="4320" w:hanging="360"/>
      </w:pPr>
      <w:rPr>
        <w:rFonts w:ascii="Tw Cen MT" w:hAnsi="Tw Cen MT" w:hint="default"/>
      </w:rPr>
    </w:lvl>
    <w:lvl w:ilvl="6" w:tplc="E4FE8EB2" w:tentative="1">
      <w:start w:val="1"/>
      <w:numFmt w:val="bullet"/>
      <w:lvlText w:val=" "/>
      <w:lvlJc w:val="left"/>
      <w:pPr>
        <w:tabs>
          <w:tab w:val="num" w:pos="5040"/>
        </w:tabs>
        <w:ind w:left="5040" w:hanging="360"/>
      </w:pPr>
      <w:rPr>
        <w:rFonts w:ascii="Tw Cen MT" w:hAnsi="Tw Cen MT" w:hint="default"/>
      </w:rPr>
    </w:lvl>
    <w:lvl w:ilvl="7" w:tplc="E0941518" w:tentative="1">
      <w:start w:val="1"/>
      <w:numFmt w:val="bullet"/>
      <w:lvlText w:val=" "/>
      <w:lvlJc w:val="left"/>
      <w:pPr>
        <w:tabs>
          <w:tab w:val="num" w:pos="5760"/>
        </w:tabs>
        <w:ind w:left="5760" w:hanging="360"/>
      </w:pPr>
      <w:rPr>
        <w:rFonts w:ascii="Tw Cen MT" w:hAnsi="Tw Cen MT" w:hint="default"/>
      </w:rPr>
    </w:lvl>
    <w:lvl w:ilvl="8" w:tplc="AA1C641A" w:tentative="1">
      <w:start w:val="1"/>
      <w:numFmt w:val="bullet"/>
      <w:lvlText w:val=" "/>
      <w:lvlJc w:val="left"/>
      <w:pPr>
        <w:tabs>
          <w:tab w:val="num" w:pos="6480"/>
        </w:tabs>
        <w:ind w:left="6480" w:hanging="360"/>
      </w:pPr>
      <w:rPr>
        <w:rFonts w:ascii="Tw Cen MT" w:hAnsi="Tw Cen MT"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15B"/>
    <w:rsid w:val="000955B8"/>
    <w:rsid w:val="003E799E"/>
    <w:rsid w:val="00940A16"/>
    <w:rsid w:val="009E715B"/>
    <w:rsid w:val="00AF2065"/>
    <w:rsid w:val="00BC3CBE"/>
    <w:rsid w:val="00C81610"/>
    <w:rsid w:val="00E558F8"/>
    <w:rsid w:val="00F90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9D2B2"/>
  <w15:chartTrackingRefBased/>
  <w15:docId w15:val="{960A1FE6-B787-49CE-8626-EA19D6FE0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CBE"/>
    <w:pPr>
      <w:ind w:left="720"/>
      <w:contextualSpacing/>
    </w:pPr>
  </w:style>
  <w:style w:type="character" w:styleId="Hyperlink">
    <w:name w:val="Hyperlink"/>
    <w:basedOn w:val="DefaultParagraphFont"/>
    <w:uiPriority w:val="99"/>
    <w:unhideWhenUsed/>
    <w:rsid w:val="00BC3C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4251545">
      <w:bodyDiv w:val="1"/>
      <w:marLeft w:val="0"/>
      <w:marRight w:val="0"/>
      <w:marTop w:val="0"/>
      <w:marBottom w:val="0"/>
      <w:divBdr>
        <w:top w:val="none" w:sz="0" w:space="0" w:color="auto"/>
        <w:left w:val="none" w:sz="0" w:space="0" w:color="auto"/>
        <w:bottom w:val="none" w:sz="0" w:space="0" w:color="auto"/>
        <w:right w:val="none" w:sz="0" w:space="0" w:color="auto"/>
      </w:divBdr>
      <w:divsChild>
        <w:div w:id="1789350618">
          <w:marLeft w:val="0"/>
          <w:marRight w:val="0"/>
          <w:marTop w:val="0"/>
          <w:marBottom w:val="160"/>
          <w:divBdr>
            <w:top w:val="none" w:sz="0" w:space="0" w:color="auto"/>
            <w:left w:val="none" w:sz="0" w:space="0" w:color="auto"/>
            <w:bottom w:val="none" w:sz="0" w:space="0" w:color="auto"/>
            <w:right w:val="none" w:sz="0" w:space="0" w:color="auto"/>
          </w:divBdr>
        </w:div>
        <w:div w:id="649290446">
          <w:marLeft w:val="0"/>
          <w:marRight w:val="0"/>
          <w:marTop w:val="0"/>
          <w:marBottom w:val="160"/>
          <w:divBdr>
            <w:top w:val="none" w:sz="0" w:space="0" w:color="auto"/>
            <w:left w:val="none" w:sz="0" w:space="0" w:color="auto"/>
            <w:bottom w:val="none" w:sz="0" w:space="0" w:color="auto"/>
            <w:right w:val="none" w:sz="0" w:space="0" w:color="auto"/>
          </w:divBdr>
        </w:div>
        <w:div w:id="84495534">
          <w:marLeft w:val="0"/>
          <w:marRight w:val="0"/>
          <w:marTop w:val="0"/>
          <w:marBottom w:val="160"/>
          <w:divBdr>
            <w:top w:val="none" w:sz="0" w:space="0" w:color="auto"/>
            <w:left w:val="none" w:sz="0" w:space="0" w:color="auto"/>
            <w:bottom w:val="none" w:sz="0" w:space="0" w:color="auto"/>
            <w:right w:val="none" w:sz="0" w:space="0" w:color="auto"/>
          </w:divBdr>
        </w:div>
        <w:div w:id="1891382970">
          <w:marLeft w:val="0"/>
          <w:marRight w:val="0"/>
          <w:marTop w:val="0"/>
          <w:marBottom w:val="160"/>
          <w:divBdr>
            <w:top w:val="none" w:sz="0" w:space="0" w:color="auto"/>
            <w:left w:val="none" w:sz="0" w:space="0" w:color="auto"/>
            <w:bottom w:val="none" w:sz="0" w:space="0" w:color="auto"/>
            <w:right w:val="none" w:sz="0" w:space="0" w:color="auto"/>
          </w:divBdr>
        </w:div>
        <w:div w:id="454100568">
          <w:marLeft w:val="0"/>
          <w:marRight w:val="0"/>
          <w:marTop w:val="0"/>
          <w:marBottom w:val="160"/>
          <w:divBdr>
            <w:top w:val="none" w:sz="0" w:space="0" w:color="auto"/>
            <w:left w:val="none" w:sz="0" w:space="0" w:color="auto"/>
            <w:bottom w:val="none" w:sz="0" w:space="0" w:color="auto"/>
            <w:right w:val="none" w:sz="0" w:space="0" w:color="auto"/>
          </w:divBdr>
        </w:div>
        <w:div w:id="1485316240">
          <w:marLeft w:val="0"/>
          <w:marRight w:val="0"/>
          <w:marTop w:val="0"/>
          <w:marBottom w:val="160"/>
          <w:divBdr>
            <w:top w:val="none" w:sz="0" w:space="0" w:color="auto"/>
            <w:left w:val="none" w:sz="0" w:space="0" w:color="auto"/>
            <w:bottom w:val="none" w:sz="0" w:space="0" w:color="auto"/>
            <w:right w:val="none" w:sz="0" w:space="0" w:color="auto"/>
          </w:divBdr>
        </w:div>
        <w:div w:id="1331911583">
          <w:marLeft w:val="0"/>
          <w:marRight w:val="0"/>
          <w:marTop w:val="0"/>
          <w:marBottom w:val="160"/>
          <w:divBdr>
            <w:top w:val="none" w:sz="0" w:space="0" w:color="auto"/>
            <w:left w:val="none" w:sz="0" w:space="0" w:color="auto"/>
            <w:bottom w:val="none" w:sz="0" w:space="0" w:color="auto"/>
            <w:right w:val="none" w:sz="0" w:space="0" w:color="auto"/>
          </w:divBdr>
        </w:div>
        <w:div w:id="1410033372">
          <w:marLeft w:val="0"/>
          <w:marRight w:val="0"/>
          <w:marTop w:val="0"/>
          <w:marBottom w:val="160"/>
          <w:divBdr>
            <w:top w:val="none" w:sz="0" w:space="0" w:color="auto"/>
            <w:left w:val="none" w:sz="0" w:space="0" w:color="auto"/>
            <w:bottom w:val="none" w:sz="0" w:space="0" w:color="auto"/>
            <w:right w:val="none" w:sz="0" w:space="0" w:color="auto"/>
          </w:divBdr>
        </w:div>
        <w:div w:id="637340015">
          <w:marLeft w:val="0"/>
          <w:marRight w:val="0"/>
          <w:marTop w:val="0"/>
          <w:marBottom w:val="160"/>
          <w:divBdr>
            <w:top w:val="none" w:sz="0" w:space="0" w:color="auto"/>
            <w:left w:val="none" w:sz="0" w:space="0" w:color="auto"/>
            <w:bottom w:val="none" w:sz="0" w:space="0" w:color="auto"/>
            <w:right w:val="none" w:sz="0" w:space="0" w:color="auto"/>
          </w:divBdr>
        </w:div>
        <w:div w:id="1657106215">
          <w:marLeft w:val="0"/>
          <w:marRight w:val="0"/>
          <w:marTop w:val="0"/>
          <w:marBottom w:val="160"/>
          <w:divBdr>
            <w:top w:val="none" w:sz="0" w:space="0" w:color="auto"/>
            <w:left w:val="none" w:sz="0" w:space="0" w:color="auto"/>
            <w:bottom w:val="none" w:sz="0" w:space="0" w:color="auto"/>
            <w:right w:val="none" w:sz="0" w:space="0" w:color="auto"/>
          </w:divBdr>
        </w:div>
        <w:div w:id="1955359375">
          <w:marLeft w:val="0"/>
          <w:marRight w:val="0"/>
          <w:marTop w:val="0"/>
          <w:marBottom w:val="160"/>
          <w:divBdr>
            <w:top w:val="none" w:sz="0" w:space="0" w:color="auto"/>
            <w:left w:val="none" w:sz="0" w:space="0" w:color="auto"/>
            <w:bottom w:val="none" w:sz="0" w:space="0" w:color="auto"/>
            <w:right w:val="none" w:sz="0" w:space="0" w:color="auto"/>
          </w:divBdr>
        </w:div>
        <w:div w:id="857962199">
          <w:marLeft w:val="0"/>
          <w:marRight w:val="0"/>
          <w:marTop w:val="0"/>
          <w:marBottom w:val="160"/>
          <w:divBdr>
            <w:top w:val="none" w:sz="0" w:space="0" w:color="auto"/>
            <w:left w:val="none" w:sz="0" w:space="0" w:color="auto"/>
            <w:bottom w:val="none" w:sz="0" w:space="0" w:color="auto"/>
            <w:right w:val="none" w:sz="0" w:space="0" w:color="auto"/>
          </w:divBdr>
        </w:div>
        <w:div w:id="39402174">
          <w:marLeft w:val="0"/>
          <w:marRight w:val="0"/>
          <w:marTop w:val="0"/>
          <w:marBottom w:val="160"/>
          <w:divBdr>
            <w:top w:val="none" w:sz="0" w:space="0" w:color="auto"/>
            <w:left w:val="none" w:sz="0" w:space="0" w:color="auto"/>
            <w:bottom w:val="none" w:sz="0" w:space="0" w:color="auto"/>
            <w:right w:val="none" w:sz="0" w:space="0" w:color="auto"/>
          </w:divBdr>
        </w:div>
      </w:divsChild>
    </w:div>
    <w:div w:id="1149056956">
      <w:bodyDiv w:val="1"/>
      <w:marLeft w:val="0"/>
      <w:marRight w:val="0"/>
      <w:marTop w:val="0"/>
      <w:marBottom w:val="0"/>
      <w:divBdr>
        <w:top w:val="none" w:sz="0" w:space="0" w:color="auto"/>
        <w:left w:val="none" w:sz="0" w:space="0" w:color="auto"/>
        <w:bottom w:val="none" w:sz="0" w:space="0" w:color="auto"/>
        <w:right w:val="none" w:sz="0" w:space="0" w:color="auto"/>
      </w:divBdr>
      <w:divsChild>
        <w:div w:id="1481575718">
          <w:marLeft w:val="0"/>
          <w:marRight w:val="0"/>
          <w:marTop w:val="0"/>
          <w:marBottom w:val="0"/>
          <w:divBdr>
            <w:top w:val="none" w:sz="0" w:space="0" w:color="auto"/>
            <w:left w:val="none" w:sz="0" w:space="0" w:color="auto"/>
            <w:bottom w:val="none" w:sz="0" w:space="0" w:color="auto"/>
            <w:right w:val="none" w:sz="0" w:space="0" w:color="auto"/>
          </w:divBdr>
        </w:div>
        <w:div w:id="1731805576">
          <w:marLeft w:val="0"/>
          <w:marRight w:val="0"/>
          <w:marTop w:val="0"/>
          <w:marBottom w:val="0"/>
          <w:divBdr>
            <w:top w:val="none" w:sz="0" w:space="0" w:color="auto"/>
            <w:left w:val="none" w:sz="0" w:space="0" w:color="auto"/>
            <w:bottom w:val="none" w:sz="0" w:space="0" w:color="auto"/>
            <w:right w:val="none" w:sz="0" w:space="0" w:color="auto"/>
          </w:divBdr>
        </w:div>
        <w:div w:id="1973365101">
          <w:marLeft w:val="0"/>
          <w:marRight w:val="0"/>
          <w:marTop w:val="0"/>
          <w:marBottom w:val="0"/>
          <w:divBdr>
            <w:top w:val="none" w:sz="0" w:space="0" w:color="auto"/>
            <w:left w:val="none" w:sz="0" w:space="0" w:color="auto"/>
            <w:bottom w:val="none" w:sz="0" w:space="0" w:color="auto"/>
            <w:right w:val="none" w:sz="0" w:space="0" w:color="auto"/>
          </w:divBdr>
          <w:divsChild>
            <w:div w:id="13672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531237">
      <w:bodyDiv w:val="1"/>
      <w:marLeft w:val="0"/>
      <w:marRight w:val="0"/>
      <w:marTop w:val="0"/>
      <w:marBottom w:val="0"/>
      <w:divBdr>
        <w:top w:val="none" w:sz="0" w:space="0" w:color="auto"/>
        <w:left w:val="none" w:sz="0" w:space="0" w:color="auto"/>
        <w:bottom w:val="none" w:sz="0" w:space="0" w:color="auto"/>
        <w:right w:val="none" w:sz="0" w:space="0" w:color="auto"/>
      </w:divBdr>
    </w:div>
    <w:div w:id="1757751179">
      <w:bodyDiv w:val="1"/>
      <w:marLeft w:val="0"/>
      <w:marRight w:val="0"/>
      <w:marTop w:val="0"/>
      <w:marBottom w:val="0"/>
      <w:divBdr>
        <w:top w:val="none" w:sz="0" w:space="0" w:color="auto"/>
        <w:left w:val="none" w:sz="0" w:space="0" w:color="auto"/>
        <w:bottom w:val="none" w:sz="0" w:space="0" w:color="auto"/>
        <w:right w:val="none" w:sz="0" w:space="0" w:color="auto"/>
      </w:divBdr>
      <w:divsChild>
        <w:div w:id="1603682075">
          <w:marLeft w:val="0"/>
          <w:marRight w:val="0"/>
          <w:marTop w:val="0"/>
          <w:marBottom w:val="160"/>
          <w:divBdr>
            <w:top w:val="none" w:sz="0" w:space="0" w:color="auto"/>
            <w:left w:val="none" w:sz="0" w:space="0" w:color="auto"/>
            <w:bottom w:val="none" w:sz="0" w:space="0" w:color="auto"/>
            <w:right w:val="none" w:sz="0" w:space="0" w:color="auto"/>
          </w:divBdr>
        </w:div>
        <w:div w:id="497353768">
          <w:marLeft w:val="0"/>
          <w:marRight w:val="0"/>
          <w:marTop w:val="0"/>
          <w:marBottom w:val="160"/>
          <w:divBdr>
            <w:top w:val="none" w:sz="0" w:space="0" w:color="auto"/>
            <w:left w:val="none" w:sz="0" w:space="0" w:color="auto"/>
            <w:bottom w:val="none" w:sz="0" w:space="0" w:color="auto"/>
            <w:right w:val="none" w:sz="0" w:space="0" w:color="auto"/>
          </w:divBdr>
        </w:div>
        <w:div w:id="27343932">
          <w:marLeft w:val="0"/>
          <w:marRight w:val="0"/>
          <w:marTop w:val="0"/>
          <w:marBottom w:val="160"/>
          <w:divBdr>
            <w:top w:val="none" w:sz="0" w:space="0" w:color="auto"/>
            <w:left w:val="none" w:sz="0" w:space="0" w:color="auto"/>
            <w:bottom w:val="none" w:sz="0" w:space="0" w:color="auto"/>
            <w:right w:val="none" w:sz="0" w:space="0" w:color="auto"/>
          </w:divBdr>
        </w:div>
        <w:div w:id="1217352994">
          <w:marLeft w:val="0"/>
          <w:marRight w:val="0"/>
          <w:marTop w:val="0"/>
          <w:marBottom w:val="160"/>
          <w:divBdr>
            <w:top w:val="none" w:sz="0" w:space="0" w:color="auto"/>
            <w:left w:val="none" w:sz="0" w:space="0" w:color="auto"/>
            <w:bottom w:val="none" w:sz="0" w:space="0" w:color="auto"/>
            <w:right w:val="none" w:sz="0" w:space="0" w:color="auto"/>
          </w:divBdr>
        </w:div>
        <w:div w:id="834807313">
          <w:marLeft w:val="0"/>
          <w:marRight w:val="0"/>
          <w:marTop w:val="0"/>
          <w:marBottom w:val="160"/>
          <w:divBdr>
            <w:top w:val="none" w:sz="0" w:space="0" w:color="auto"/>
            <w:left w:val="none" w:sz="0" w:space="0" w:color="auto"/>
            <w:bottom w:val="none" w:sz="0" w:space="0" w:color="auto"/>
            <w:right w:val="none" w:sz="0" w:space="0" w:color="auto"/>
          </w:divBdr>
        </w:div>
        <w:div w:id="2146895597">
          <w:marLeft w:val="0"/>
          <w:marRight w:val="0"/>
          <w:marTop w:val="0"/>
          <w:marBottom w:val="160"/>
          <w:divBdr>
            <w:top w:val="none" w:sz="0" w:space="0" w:color="auto"/>
            <w:left w:val="none" w:sz="0" w:space="0" w:color="auto"/>
            <w:bottom w:val="none" w:sz="0" w:space="0" w:color="auto"/>
            <w:right w:val="none" w:sz="0" w:space="0" w:color="auto"/>
          </w:divBdr>
        </w:div>
        <w:div w:id="1638760077">
          <w:marLeft w:val="0"/>
          <w:marRight w:val="0"/>
          <w:marTop w:val="0"/>
          <w:marBottom w:val="160"/>
          <w:divBdr>
            <w:top w:val="none" w:sz="0" w:space="0" w:color="auto"/>
            <w:left w:val="none" w:sz="0" w:space="0" w:color="auto"/>
            <w:bottom w:val="none" w:sz="0" w:space="0" w:color="auto"/>
            <w:right w:val="none" w:sz="0" w:space="0" w:color="auto"/>
          </w:divBdr>
        </w:div>
        <w:div w:id="1066102766">
          <w:marLeft w:val="0"/>
          <w:marRight w:val="0"/>
          <w:marTop w:val="0"/>
          <w:marBottom w:val="160"/>
          <w:divBdr>
            <w:top w:val="none" w:sz="0" w:space="0" w:color="auto"/>
            <w:left w:val="none" w:sz="0" w:space="0" w:color="auto"/>
            <w:bottom w:val="none" w:sz="0" w:space="0" w:color="auto"/>
            <w:right w:val="none" w:sz="0" w:space="0" w:color="auto"/>
          </w:divBdr>
        </w:div>
        <w:div w:id="1049841228">
          <w:marLeft w:val="0"/>
          <w:marRight w:val="0"/>
          <w:marTop w:val="0"/>
          <w:marBottom w:val="160"/>
          <w:divBdr>
            <w:top w:val="none" w:sz="0" w:space="0" w:color="auto"/>
            <w:left w:val="none" w:sz="0" w:space="0" w:color="auto"/>
            <w:bottom w:val="none" w:sz="0" w:space="0" w:color="auto"/>
            <w:right w:val="none" w:sz="0" w:space="0" w:color="auto"/>
          </w:divBdr>
        </w:div>
      </w:divsChild>
    </w:div>
    <w:div w:id="1999842691">
      <w:bodyDiv w:val="1"/>
      <w:marLeft w:val="0"/>
      <w:marRight w:val="0"/>
      <w:marTop w:val="0"/>
      <w:marBottom w:val="0"/>
      <w:divBdr>
        <w:top w:val="none" w:sz="0" w:space="0" w:color="auto"/>
        <w:left w:val="none" w:sz="0" w:space="0" w:color="auto"/>
        <w:bottom w:val="none" w:sz="0" w:space="0" w:color="auto"/>
        <w:right w:val="none" w:sz="0" w:space="0" w:color="auto"/>
      </w:divBdr>
      <w:divsChild>
        <w:div w:id="613901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16</Pages>
  <Words>3491</Words>
  <Characters>19901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Andries, Alexandra</dc:creator>
  <cp:keywords/>
  <dc:description/>
  <cp:lastModifiedBy>Andries, Alexandra</cp:lastModifiedBy>
  <cp:revision>10</cp:revision>
  <dcterms:created xsi:type="dcterms:W3CDTF">2024-03-01T21:42:00Z</dcterms:created>
  <dcterms:modified xsi:type="dcterms:W3CDTF">2024-03-01T23:20:00Z</dcterms:modified>
</cp:coreProperties>
</file>