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1152525</wp:posOffset>
            </wp:positionH>
            <wp:positionV relativeFrom="paragraph">
              <wp:posOffset>114300</wp:posOffset>
            </wp:positionV>
            <wp:extent cx="3419475" cy="1333500"/>
            <wp:effectExtent b="0" l="0" r="0" t="0"/>
            <wp:wrapNone/>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419475" cy="1333500"/>
                    </a:xfrm>
                    <a:prstGeom prst="rect"/>
                    <a:ln/>
                  </pic:spPr>
                </pic:pic>
              </a:graphicData>
            </a:graphic>
          </wp:anchor>
        </w:drawing>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36"/>
          <w:szCs w:val="36"/>
          <w:rtl w:val="0"/>
        </w:rPr>
        <w:t xml:space="preserve">         </w:t>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36"/>
          <w:szCs w:val="36"/>
          <w:rtl w:val="0"/>
        </w:rPr>
        <w:t xml:space="preserve">                       DISSERTATION PROPOSAL</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7">
      <w:pPr>
        <w:spacing w:line="48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08">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8"/>
          <w:szCs w:val="28"/>
          <w:rtl w:val="0"/>
        </w:rPr>
        <w:t xml:space="preserve">RESEARCH TITLE</w:t>
      </w:r>
      <w:r w:rsidDel="00000000" w:rsidR="00000000" w:rsidRPr="00000000">
        <w:rPr>
          <w:rFonts w:ascii="Times New Roman" w:cs="Times New Roman" w:eastAsia="Times New Roman" w:hAnsi="Times New Roman"/>
          <w:b w:val="1"/>
          <w:sz w:val="24"/>
          <w:szCs w:val="24"/>
          <w:rtl w:val="0"/>
        </w:rPr>
        <w:t xml:space="preserve">: Impact of COVID19 on UK travel industry and British airline</w:t>
      </w:r>
    </w:p>
    <w:p w:rsidR="00000000" w:rsidDel="00000000" w:rsidP="00000000" w:rsidRDefault="00000000" w:rsidRPr="00000000" w14:paraId="0000000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:Albana Luzi</w:t>
      </w:r>
    </w:p>
    <w:p w:rsidR="00000000" w:rsidDel="00000000" w:rsidP="00000000" w:rsidRDefault="00000000" w:rsidRPr="00000000" w14:paraId="0000000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NUMBER:1922054</w:t>
      </w:r>
    </w:p>
    <w:p w:rsidR="00000000" w:rsidDel="00000000" w:rsidP="00000000" w:rsidRDefault="00000000" w:rsidRPr="00000000" w14:paraId="0000000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SUPERVISOR: Isaiah Oino</w:t>
      </w:r>
    </w:p>
    <w:p w:rsidR="00000000" w:rsidDel="00000000" w:rsidP="00000000" w:rsidRDefault="00000000" w:rsidRPr="00000000" w14:paraId="0000000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SUBMISSION DATE:21 JUNE</w:t>
      </w:r>
    </w:p>
    <w:p w:rsidR="00000000" w:rsidDel="00000000" w:rsidP="00000000" w:rsidRDefault="00000000" w:rsidRPr="00000000" w14:paraId="0000000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WORDCOUNT:2000</w:t>
      </w:r>
    </w:p>
    <w:p w:rsidR="00000000" w:rsidDel="00000000" w:rsidP="00000000" w:rsidRDefault="00000000" w:rsidRPr="00000000" w14:paraId="0000001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keepNext w:val="1"/>
        <w:keepLines w:val="1"/>
        <w:pBdr>
          <w:top w:space="0" w:sz="0" w:val="nil"/>
          <w:left w:space="0" w:sz="0" w:val="nil"/>
          <w:bottom w:space="0" w:sz="0" w:val="nil"/>
          <w:right w:space="0" w:sz="0" w:val="nil"/>
          <w:between w:space="0" w:sz="0" w:val="nil"/>
        </w:pBdr>
        <w:spacing w:after="0" w:before="240" w:line="480" w:lineRule="auto"/>
        <w:rPr>
          <w:rFonts w:ascii="Times New Roman" w:cs="Times New Roman" w:eastAsia="Times New Roman" w:hAnsi="Times New Roman"/>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color w:val="000000"/>
                <w:sz w:val="24"/>
                <w:szCs w:val="24"/>
                <w:rtl w:val="0"/>
              </w:rPr>
              <w:t xml:space="preserve">Research Title</w:t>
              <w:tab/>
              <w:t xml:space="preserve">3</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heading=h.30j0zll">
            <w:r w:rsidDel="00000000" w:rsidR="00000000" w:rsidRPr="00000000">
              <w:rPr>
                <w:rFonts w:ascii="Times New Roman" w:cs="Times New Roman" w:eastAsia="Times New Roman" w:hAnsi="Times New Roman"/>
                <w:color w:val="000000"/>
                <w:sz w:val="24"/>
                <w:szCs w:val="24"/>
                <w:rtl w:val="0"/>
              </w:rPr>
              <w:t xml:space="preserve">Introduction</w:t>
              <w:tab/>
              <w:t xml:space="preserve">3</w:t>
            </w:r>
          </w:hyperlink>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Rational/Justification                                                                                                                        3</w:t>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heading=h.1fob9te">
            <w:r w:rsidDel="00000000" w:rsidR="00000000" w:rsidRPr="00000000">
              <w:rPr>
                <w:rFonts w:ascii="Times New Roman" w:cs="Times New Roman" w:eastAsia="Times New Roman" w:hAnsi="Times New Roman"/>
                <w:color w:val="000000"/>
                <w:sz w:val="24"/>
                <w:szCs w:val="24"/>
                <w:rtl w:val="0"/>
              </w:rPr>
              <w:t xml:space="preserve">Aims</w:t>
              <w:tab/>
              <w:t xml:space="preserve">3</w:t>
            </w:r>
          </w:hyperlink>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heading=h.3znysh7">
            <w:r w:rsidDel="00000000" w:rsidR="00000000" w:rsidRPr="00000000">
              <w:rPr>
                <w:rFonts w:ascii="Times New Roman" w:cs="Times New Roman" w:eastAsia="Times New Roman" w:hAnsi="Times New Roman"/>
                <w:color w:val="000000"/>
                <w:sz w:val="24"/>
                <w:szCs w:val="24"/>
                <w:rtl w:val="0"/>
              </w:rPr>
              <w:t xml:space="preserve">Objectives</w:t>
              <w:tab/>
              <w:t xml:space="preserve"> 3</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sz w:val="24"/>
              <w:szCs w:val="24"/>
            </w:rPr>
          </w:pPr>
          <w:hyperlink w:anchor="_heading=h.2et92p0">
            <w:r w:rsidDel="00000000" w:rsidR="00000000" w:rsidRPr="00000000">
              <w:rPr>
                <w:rFonts w:ascii="Times New Roman" w:cs="Times New Roman" w:eastAsia="Times New Roman" w:hAnsi="Times New Roman"/>
                <w:color w:val="000000"/>
                <w:sz w:val="24"/>
                <w:szCs w:val="24"/>
                <w:rtl w:val="0"/>
              </w:rPr>
              <w:t xml:space="preserve">Research Question</w:t>
              <w:tab/>
            </w:r>
          </w:hyperlink>
          <w:r w:rsidDel="00000000" w:rsidR="00000000" w:rsidRPr="00000000">
            <w:rPr>
              <w:rFonts w:ascii="Times New Roman" w:cs="Times New Roman" w:eastAsia="Times New Roman" w:hAnsi="Times New Roman"/>
              <w:sz w:val="24"/>
              <w:szCs w:val="24"/>
              <w:rtl w:val="0"/>
            </w:rPr>
            <w:t xml:space="preserve">4</w:t>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Background                                                                                                                                      5</w:t>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Philosophy                                                                                                                        5</w:t>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analysis                                                                                                                                    6</w:t>
          </w:r>
        </w:p>
        <w:p w:rsidR="00000000" w:rsidDel="00000000" w:rsidP="00000000" w:rsidRDefault="00000000" w:rsidRPr="00000000" w14:paraId="0000001D">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Importance                                                                                                                                        8</w:t>
          </w:r>
        </w:p>
        <w:p w:rsidR="00000000" w:rsidDel="00000000" w:rsidP="00000000" w:rsidRDefault="00000000" w:rsidRPr="00000000" w14:paraId="0000001E">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r w:rsidDel="00000000" w:rsidR="00000000" w:rsidRPr="00000000">
            <w:rPr>
              <w:rtl w:val="0"/>
            </w:rPr>
            <w:t xml:space="preserve">Research approach                                                                                                                                                       8                                                                     </w:t>
          </w:r>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color w:val="000000"/>
              <w:sz w:val="24"/>
              <w:szCs w:val="24"/>
            </w:rPr>
          </w:pPr>
          <w:hyperlink w:anchor="_heading=h.1ksv4uv">
            <w:r w:rsidDel="00000000" w:rsidR="00000000" w:rsidRPr="00000000">
              <w:rPr>
                <w:rFonts w:ascii="Times New Roman" w:cs="Times New Roman" w:eastAsia="Times New Roman" w:hAnsi="Times New Roman"/>
                <w:color w:val="000000"/>
                <w:sz w:val="24"/>
                <w:szCs w:val="24"/>
                <w:rtl w:val="0"/>
              </w:rPr>
              <w:t xml:space="preserve">Limitations</w:t>
              <w:tab/>
            </w:r>
          </w:hyperlink>
          <w:r w:rsidDel="00000000" w:rsidR="00000000" w:rsidRPr="00000000">
            <w:rPr>
              <w:rFonts w:ascii="Times New Roman" w:cs="Times New Roman" w:eastAsia="Times New Roman" w:hAnsi="Times New Roman"/>
              <w:sz w:val="24"/>
              <w:szCs w:val="24"/>
              <w:rtl w:val="0"/>
            </w:rPr>
            <w:t xml:space="preserve">8</w:t>
          </w:r>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tabs>
              <w:tab w:val="right" w:pos="9350"/>
            </w:tabs>
            <w:spacing w:after="100" w:line="480" w:lineRule="auto"/>
            <w:rPr>
              <w:rFonts w:ascii="Times New Roman" w:cs="Times New Roman" w:eastAsia="Times New Roman" w:hAnsi="Times New Roman"/>
              <w:sz w:val="24"/>
              <w:szCs w:val="24"/>
            </w:rPr>
          </w:pPr>
          <w:hyperlink w:anchor="_heading=h.44sinio">
            <w:r w:rsidDel="00000000" w:rsidR="00000000" w:rsidRPr="00000000">
              <w:rPr>
                <w:rFonts w:ascii="Times New Roman" w:cs="Times New Roman" w:eastAsia="Times New Roman" w:hAnsi="Times New Roman"/>
                <w:color w:val="000000"/>
                <w:sz w:val="24"/>
                <w:szCs w:val="24"/>
                <w:rtl w:val="0"/>
              </w:rPr>
              <w:t xml:space="preserve">Ethical Consideration</w:t>
              <w:tab/>
            </w:r>
          </w:hyperlink>
          <w:r w:rsidDel="00000000" w:rsidR="00000000" w:rsidRPr="00000000">
            <w:rPr>
              <w:rFonts w:ascii="Times New Roman" w:cs="Times New Roman" w:eastAsia="Times New Roman" w:hAnsi="Times New Roman"/>
              <w:sz w:val="24"/>
              <w:szCs w:val="24"/>
              <w:rtl w:val="0"/>
            </w:rPr>
            <w:t xml:space="preserve">9</w:t>
          </w:r>
        </w:p>
        <w:p w:rsidR="00000000" w:rsidDel="00000000" w:rsidP="00000000" w:rsidRDefault="00000000" w:rsidRPr="00000000" w14:paraId="0000002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Australia vs British Travel Industry - Who took the bigger hit?                                                        9</w:t>
          </w:r>
        </w:p>
        <w:p w:rsidR="00000000" w:rsidDel="00000000" w:rsidP="00000000" w:rsidRDefault="00000000" w:rsidRPr="00000000" w14:paraId="00000022">
          <w:pPr>
            <w:spacing w:line="480" w:lineRule="auto"/>
            <w:rPr>
              <w:rFonts w:ascii="Times New Roman" w:cs="Times New Roman" w:eastAsia="Times New Roman" w:hAnsi="Times New Roman"/>
              <w:color w:val="000000"/>
              <w:sz w:val="24"/>
              <w:szCs w:val="24"/>
            </w:rPr>
          </w:pPr>
          <w:hyperlink w:anchor="_heading=h.2jxsxqh">
            <w:r w:rsidDel="00000000" w:rsidR="00000000" w:rsidRPr="00000000">
              <w:rPr>
                <w:rFonts w:ascii="Times New Roman" w:cs="Times New Roman" w:eastAsia="Times New Roman" w:hAnsi="Times New Roman"/>
                <w:color w:val="000000"/>
                <w:sz w:val="24"/>
                <w:szCs w:val="24"/>
                <w:rtl w:val="0"/>
              </w:rPr>
              <w:t xml:space="preserve">References</w:t>
              <w:tab/>
              <w:t xml:space="preserve">                                                                                                                                </w:t>
            </w:r>
          </w:hyperlink>
          <w:r w:rsidDel="00000000" w:rsidR="00000000" w:rsidRPr="00000000">
            <w:rPr>
              <w:rFonts w:ascii="Times New Roman" w:cs="Times New Roman" w:eastAsia="Times New Roman" w:hAnsi="Times New Roman"/>
              <w:sz w:val="24"/>
              <w:szCs w:val="24"/>
              <w:rtl w:val="0"/>
            </w:rPr>
            <w:t xml:space="preserve">10</w:t>
          </w:r>
          <w:r w:rsidDel="00000000" w:rsidR="00000000" w:rsidRPr="00000000">
            <w:rPr>
              <w:rtl w:val="0"/>
            </w:rPr>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pStyle w:val="Heading1"/>
        <w:spacing w:line="480" w:lineRule="auto"/>
        <w:jc w:val="both"/>
        <w:rPr/>
      </w:pPr>
      <w:bookmarkStart w:colFirst="0" w:colLast="0" w:name="_heading=h.gjdgxs" w:id="0"/>
      <w:bookmarkEnd w:id="0"/>
      <w:r w:rsidDel="00000000" w:rsidR="00000000" w:rsidRPr="00000000">
        <w:rPr>
          <w:rtl w:val="0"/>
        </w:rPr>
        <w:t xml:space="preserve">Research Title</w:t>
      </w:r>
    </w:p>
    <w:p w:rsidR="00000000" w:rsidDel="00000000" w:rsidP="00000000" w:rsidRDefault="00000000" w:rsidRPr="00000000" w14:paraId="00000025">
      <w:pPr>
        <w:pStyle w:val="Heading1"/>
        <w:spacing w:line="480" w:lineRule="auto"/>
        <w:jc w:val="both"/>
        <w:rPr/>
      </w:pPr>
      <w:bookmarkStart w:colFirst="0" w:colLast="0" w:name="_heading=h.570l1df00i8x" w:id="1"/>
      <w:bookmarkEnd w:id="1"/>
      <w:r w:rsidDel="00000000" w:rsidR="00000000" w:rsidRPr="00000000">
        <w:rPr>
          <w:rtl w:val="0"/>
        </w:rPr>
        <w:t xml:space="preserve">Impact of COVID19 on the UK travel industry and British airlines.</w:t>
      </w:r>
    </w:p>
    <w:p w:rsidR="00000000" w:rsidDel="00000000" w:rsidP="00000000" w:rsidRDefault="00000000" w:rsidRPr="00000000" w14:paraId="00000026">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2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indicated by the United Nation World Tourism Organization (UNWTO) the travel industry involves the development of individuals to nations or spots outside their standard climate for individual or business\professional purposes. These individuals are called guests. Generally, a guest is named as a day visitor. Britain's travel industry is a powerful productivity of public and private areas including little to medium - size endeavors (SMEs) global personal business. The movement and the travel industry contributed 6.7% all gross worth in the UK in 2018. (Office of National Statistics, n.d.). Since then the Covid 19 pandemic has affected the area hurling in 2020 and into 2021 with government limitation - both the UK and the overall travel industry for a significant amount of time. </w:t>
      </w:r>
    </w:p>
    <w:p w:rsidR="00000000" w:rsidDel="00000000" w:rsidP="00000000" w:rsidRDefault="00000000" w:rsidRPr="00000000" w14:paraId="00000028">
      <w:pPr>
        <w:pStyle w:val="Heading3"/>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Rational /Justification </w:t>
      </w:r>
    </w:p>
    <w:p w:rsidR="00000000" w:rsidDel="00000000" w:rsidP="00000000" w:rsidRDefault="00000000" w:rsidRPr="00000000" w14:paraId="00000029">
      <w:pPr>
        <w:pStyle w:val="Heading1"/>
        <w:rPr>
          <w:b w:val="0"/>
        </w:rPr>
      </w:pPr>
      <w:r w:rsidDel="00000000" w:rsidR="00000000" w:rsidRPr="00000000">
        <w:rPr>
          <w:rtl w:val="0"/>
        </w:rPr>
      </w:r>
    </w:p>
    <w:p w:rsidR="00000000" w:rsidDel="00000000" w:rsidP="00000000" w:rsidRDefault="00000000" w:rsidRPr="00000000" w14:paraId="0000002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results of the month period were significantly impacted by Covid 19, which has had a devastating impact on the British airline and travel sector particularly from late February 2020 (International Air Group, n.d.).Moreover the reason I chose to do the impact   of Covid 19 on UK travel and British airline is because I want to measure the potential effects of the Covid 19 pandemic on UK  travel industry. Another aspect is the economic impact of covid 19 in the UK travel industry since the pandemic started. The industry is set to lose £37bn this year according to VisitBritain with a sharp fall in visitor number both from overseas and domestic numbers (ICREW.COM, n.d.). Also, how British airline hits from Covid 19 on the financial sector and how the UK travel industry recover in the future. Impact of Covid 19 on Australian travel industry compared with  UK travel industry.</w:t>
      </w:r>
    </w:p>
    <w:p w:rsidR="00000000" w:rsidDel="00000000" w:rsidP="00000000" w:rsidRDefault="00000000" w:rsidRPr="00000000" w14:paraId="0000002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Aims </w:t>
      </w:r>
    </w:p>
    <w:p w:rsidR="00000000" w:rsidDel="00000000" w:rsidP="00000000" w:rsidRDefault="00000000" w:rsidRPr="00000000" w14:paraId="0000002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research proposal is to find how the Covid 19 impacts on the UK travel industry and British airline. </w:t>
      </w:r>
    </w:p>
    <w:p w:rsidR="00000000" w:rsidDel="00000000" w:rsidP="00000000" w:rsidRDefault="00000000" w:rsidRPr="00000000" w14:paraId="0000002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pStyle w:val="Heading1"/>
        <w:spacing w:line="480" w:lineRule="auto"/>
        <w:jc w:val="both"/>
        <w:rPr/>
      </w:pPr>
      <w:bookmarkStart w:colFirst="0" w:colLast="0" w:name="_heading=h.3znysh7" w:id="2"/>
      <w:bookmarkEnd w:id="2"/>
      <w:r w:rsidDel="00000000" w:rsidR="00000000" w:rsidRPr="00000000">
        <w:rPr>
          <w:rtl w:val="0"/>
        </w:rPr>
        <w:t xml:space="preserve">Objectives </w:t>
      </w:r>
    </w:p>
    <w:p w:rsidR="00000000" w:rsidDel="00000000" w:rsidP="00000000" w:rsidRDefault="00000000" w:rsidRPr="00000000" w14:paraId="0000003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objective of this research proposal is :</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1.to assess the impact of Covid 19 on the UK travel industry and British airline.</w:t>
      </w:r>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.Compare UK travel industry vs Australian travel industry during Covid 19</w:t>
      </w:r>
    </w:p>
    <w:p w:rsidR="00000000" w:rsidDel="00000000" w:rsidP="00000000" w:rsidRDefault="00000000" w:rsidRPr="00000000" w14:paraId="00000033">
      <w:pPr>
        <w:pStyle w:val="Heading1"/>
        <w:spacing w:line="480" w:lineRule="auto"/>
        <w:jc w:val="both"/>
        <w:rPr/>
      </w:pPr>
      <w:bookmarkStart w:colFirst="0" w:colLast="0" w:name="_heading=h.2et92p0" w:id="3"/>
      <w:bookmarkEnd w:id="3"/>
      <w:r w:rsidDel="00000000" w:rsidR="00000000" w:rsidRPr="00000000">
        <w:rPr>
          <w:rtl w:val="0"/>
        </w:rPr>
        <w:t xml:space="preserve">Research Question </w:t>
      </w:r>
    </w:p>
    <w:p w:rsidR="00000000" w:rsidDel="00000000" w:rsidP="00000000" w:rsidRDefault="00000000" w:rsidRPr="00000000" w14:paraId="0000003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is the impact of Covid 19 on the UK travel industry and British airline</w:t>
      </w:r>
    </w:p>
    <w:p w:rsidR="00000000" w:rsidDel="00000000" w:rsidP="00000000" w:rsidRDefault="00000000" w:rsidRPr="00000000" w14:paraId="0000003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 Which of the two-travel industry handled better during Covid 19 UK or Australian</w:t>
      </w:r>
    </w:p>
    <w:p w:rsidR="00000000" w:rsidDel="00000000" w:rsidP="00000000" w:rsidRDefault="00000000" w:rsidRPr="00000000" w14:paraId="00000036">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7">
      <w:pPr>
        <w:pStyle w:val="Heading2"/>
        <w:spacing w:line="480" w:lineRule="auto"/>
        <w:jc w:val="both"/>
        <w:rPr/>
      </w:pPr>
      <w:r w:rsidDel="00000000" w:rsidR="00000000" w:rsidRPr="00000000">
        <w:rPr>
          <w:rtl w:val="0"/>
        </w:rPr>
        <w:t xml:space="preserve">Background</w:t>
      </w:r>
    </w:p>
    <w:p w:rsidR="00000000" w:rsidDel="00000000" w:rsidP="00000000" w:rsidRDefault="00000000" w:rsidRPr="00000000" w14:paraId="0000003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Tourism initially started to increase during the seventeenth century when well off Europeans would follow the 'Excellent Tour' of Western Europe which generally began in the United Kingdom prior to going to Italy. Throughout the modern insurgency, the travel industry kept on spiking as individuals had more discretionary cash flow and innovative headways made vehicles more advantageous and moderate. In 1841, Thomas Cook, originator of Thomas Cook and Son, took 500 travelers via train on a return trip from Leicester to Loughborough. This was his first journey and is viewed as a critical achievement in the production of the British the travel industry. The universal conflicts hosed the development of the travel industry area, albeit after World War II the public authority started setting up measures to build the travel industry perceiving its political and financial influence. By 1987, the World Tourism Organization assessed 3.4% of the UK's GDP came from tourism. British aircraft on the 25th of August 1919, the main planned air administration left Hounslow Heath destined for Paris. Worked by the soonest harbinger of BA, Aircraft Transport and Travel Limited (AT&amp;T), and guided by Lt E H "Bill'' Lawford, the single-engined plane conveyed one traveler, a transfer of calfskin, a few support of grouse and a few containers of Devonshire smooth February 1933, Imperial Airways had effectively shrouded 10 million miles noticeable all around, and with Australia remembered for the courses for movement in 1935, travelers could book from London to Brisbane with an excursion season of 12 1/2 days. This was then merged with Imperial Airways in 1939 making the new British Overseas Airways Corporation (BOAC).</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spacing w:line="48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Research philosophy </w:t>
      </w:r>
    </w:p>
    <w:p w:rsidR="00000000" w:rsidDel="00000000" w:rsidP="00000000" w:rsidRDefault="00000000" w:rsidRPr="00000000" w14:paraId="0000003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philosophy deals with the source nature and development of knowledge. In another way</w:t>
      </w:r>
    </w:p>
    <w:p w:rsidR="00000000" w:rsidDel="00000000" w:rsidP="00000000" w:rsidRDefault="00000000" w:rsidRPr="00000000" w14:paraId="0000003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 research philosophy is belief about the ways which about the data should be collected and</w:t>
      </w:r>
    </w:p>
    <w:p w:rsidR="00000000" w:rsidDel="00000000" w:rsidP="00000000" w:rsidRDefault="00000000" w:rsidRPr="00000000" w14:paraId="0000003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used the choice of specific resources. There are important philosophical differences between studies that focus on facts and numbers. Moreover, positivism depend on quantifiable observation that led </w:t>
      </w:r>
    </w:p>
    <w:p w:rsidR="00000000" w:rsidDel="00000000" w:rsidP="00000000" w:rsidRDefault="00000000" w:rsidRPr="00000000" w14:paraId="0000003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statistical analyses. Positivism relates to the viewpoint that needs concentrate on facts</w:t>
      </w:r>
    </w:p>
    <w:p w:rsidR="00000000" w:rsidDel="00000000" w:rsidP="00000000" w:rsidRDefault="00000000" w:rsidRPr="00000000" w14:paraId="0000003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whereas phenomenology concentrates of meaning and has provision on human interest</w:t>
      </w:r>
    </w:p>
    <w:p w:rsidR="00000000" w:rsidDel="00000000" w:rsidP="00000000" w:rsidRDefault="00000000" w:rsidRPr="00000000" w14:paraId="0000004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research philosophy , n.d.).</w:t>
      </w:r>
    </w:p>
    <w:p w:rsidR="00000000" w:rsidDel="00000000" w:rsidP="00000000" w:rsidRDefault="00000000" w:rsidRPr="00000000" w14:paraId="0000004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pStyle w:val="Heading2"/>
        <w:spacing w:line="480" w:lineRule="auto"/>
        <w:jc w:val="both"/>
        <w:rPr/>
      </w:pPr>
      <w:bookmarkStart w:colFirst="0" w:colLast="0" w:name="_heading=h.rqqz9966bj3l" w:id="4"/>
      <w:bookmarkEnd w:id="4"/>
      <w:r w:rsidDel="00000000" w:rsidR="00000000" w:rsidRPr="00000000">
        <w:rPr>
          <w:rtl w:val="0"/>
        </w:rPr>
        <w:t xml:space="preserve">Data analysis</w:t>
      </w:r>
    </w:p>
    <w:p w:rsidR="00000000" w:rsidDel="00000000" w:rsidP="00000000" w:rsidRDefault="00000000" w:rsidRPr="00000000" w14:paraId="0000004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 Airways saw a substantial decline of 66.9% in its total revenue in the year 2020 compared to 2019. Such decline, however, shall come as no surprise, since the outbreak of COVID19 served as an automatic and strict barrier against international (and national) travel. On 31 December 2020, £630 million was offered in appreciation of these observations. Likewise, there is an outstanding disability cost of £399 million identified with armada and different resources, along with a related stock hindrance cost of £18 million. An outstanding cost of £226 million has been recorded according to the rebuilding program. A further outstanding cost of £20 million has been recorded in regard to a fine given on 16 October 2020 comparable to the robbery of client information at British Airways in 2018.</w:t>
      </w:r>
    </w:p>
    <w:p w:rsidR="00000000" w:rsidDel="00000000" w:rsidP="00000000" w:rsidRDefault="00000000" w:rsidRPr="00000000" w14:paraId="0000004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decrease in liquidity during 2020 was in part moderated by, among different activities, getting to the UK's Coronavirus Corporate Finance Facility ('CCFF') This activity raised an extra £298 million, of which everything developed inside a year from the date of this report. The Group's offices don't contain monetary pledges, however there are various non-monetary contracts to secure the situation of the banks, including limitations on the upstreaming of money to IAG or loaning to other Group organizations.</w:t>
      </w:r>
    </w:p>
    <w:p w:rsidR="00000000" w:rsidDel="00000000" w:rsidP="00000000" w:rsidRDefault="00000000" w:rsidRPr="00000000" w14:paraId="0000004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2020, British Airways chose to offer more noteworthy booking adaptability to its anything but a consequence of COVID19. It likewise assessed and made changes to its client experience considering COVID-19 including its cleaning program for airplanes and its installed cooking suggestion.</w:t>
      </w:r>
    </w:p>
    <w:p w:rsidR="00000000" w:rsidDel="00000000" w:rsidP="00000000" w:rsidRDefault="00000000" w:rsidRPr="00000000" w14:paraId="0000004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Given the critical effect of COVID-19 on the Company, British Airways has utilized the Government vacation plan to stay away from, lessen or relieve redundancies that would somehow have been required. Resources are accessible to associates to help psychological wellness and positive prosperity, which has been especially significant all through the pandemic with associates on leave and telecommuting. </w:t>
      </w:r>
    </w:p>
    <w:p w:rsidR="00000000" w:rsidDel="00000000" w:rsidP="00000000" w:rsidRDefault="00000000" w:rsidRPr="00000000" w14:paraId="0000004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2020, the Board and Management Committee needed to make a fundamental move to rebuild the business, participating in an exceptionally broad discussion measure with workers and worker agents taking into account the portrayals and reshaping recommendations as fitting.</w:t>
      </w:r>
    </w:p>
    <w:p w:rsidR="00000000" w:rsidDel="00000000" w:rsidP="00000000" w:rsidRDefault="00000000" w:rsidRPr="00000000" w14:paraId="0000004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effect of COVID-19 has required limited changes, including armada changes and new working systems to recommence flying. The Group is supportive of effectively working with providers to guarantee tasks are kept up with and the effect on their business is perceived, with alleviations executed were vital.</w:t>
      </w:r>
    </w:p>
    <w:p w:rsidR="00000000" w:rsidDel="00000000" w:rsidP="00000000" w:rsidRDefault="00000000" w:rsidRPr="00000000" w14:paraId="0000004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Following the quick spread of COVID-19, and related government travel limitations contrarily affecting the client interest for worldwide air traffic, choices were taken that affected clients and associates, remembering a huge decrease for the number of seats limits, dropping flights and evolving plans. </w:t>
      </w:r>
    </w:p>
    <w:p w:rsidR="00000000" w:rsidDel="00000000" w:rsidP="00000000" w:rsidRDefault="00000000" w:rsidRPr="00000000" w14:paraId="0000004D">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Importance </w:t>
      </w:r>
    </w:p>
    <w:p w:rsidR="00000000" w:rsidDel="00000000" w:rsidP="00000000" w:rsidRDefault="00000000" w:rsidRPr="00000000" w14:paraId="0000004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 Airways has a grounded structure set up to guarantee that representatives are addressed and their right to aggregate dealing is regarded. The COVID-19 pandemic has had a significant effect upon the business and the industry all in all. This has come about in wide scale aggregate discussions influencing all workgroups.</w:t>
      </w:r>
    </w:p>
    <w:p w:rsidR="00000000" w:rsidDel="00000000" w:rsidP="00000000" w:rsidRDefault="00000000" w:rsidRPr="00000000" w14:paraId="0000004F">
      <w:pPr>
        <w:spacing w:line="480" w:lineRule="auto"/>
        <w:jc w:val="both"/>
        <w:rPr>
          <w:rFonts w:ascii="Times New Roman" w:cs="Times New Roman" w:eastAsia="Times New Roman" w:hAnsi="Times New Roman"/>
          <w:b w:val="1"/>
          <w:sz w:val="24"/>
          <w:szCs w:val="24"/>
        </w:rPr>
      </w:pPr>
      <w:bookmarkStart w:colFirst="0" w:colLast="0" w:name="_heading=h.2s8eyo1" w:id="5"/>
      <w:bookmarkEnd w:id="5"/>
      <w:r w:rsidDel="00000000" w:rsidR="00000000" w:rsidRPr="00000000">
        <w:rPr>
          <w:rFonts w:ascii="Times New Roman" w:cs="Times New Roman" w:eastAsia="Times New Roman" w:hAnsi="Times New Roman"/>
          <w:b w:val="1"/>
          <w:sz w:val="24"/>
          <w:szCs w:val="24"/>
          <w:rtl w:val="0"/>
        </w:rPr>
        <w:t xml:space="preserve">Research approach </w:t>
      </w:r>
    </w:p>
    <w:p w:rsidR="00000000" w:rsidDel="00000000" w:rsidP="00000000" w:rsidRDefault="00000000" w:rsidRPr="00000000" w14:paraId="0000005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reviewed used different research approaches and focused on various related data to UK travel </w:t>
      </w:r>
    </w:p>
    <w:p w:rsidR="00000000" w:rsidDel="00000000" w:rsidP="00000000" w:rsidRDefault="00000000" w:rsidRPr="00000000" w14:paraId="0000005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industry and British airline during the Covid 19 impact. However, in that case have been classified. </w:t>
      </w:r>
    </w:p>
    <w:p w:rsidR="00000000" w:rsidDel="00000000" w:rsidP="00000000" w:rsidRDefault="00000000" w:rsidRPr="00000000" w14:paraId="0000005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follow: (1) reporting impact Covid (2) comparing the UK travel industry with Australian during </w:t>
      </w:r>
    </w:p>
    <w:p w:rsidR="00000000" w:rsidDel="00000000" w:rsidP="00000000" w:rsidRDefault="00000000" w:rsidRPr="00000000" w14:paraId="0000005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Covid 19 pandemic (3) measuring impacts Covid 19 pandemic in items of economics and (4) </w:t>
      </w:r>
    </w:p>
    <w:p w:rsidR="00000000" w:rsidDel="00000000" w:rsidP="00000000" w:rsidRDefault="00000000" w:rsidRPr="00000000" w14:paraId="0000005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future recovering, </w:t>
      </w:r>
    </w:p>
    <w:p w:rsidR="00000000" w:rsidDel="00000000" w:rsidP="00000000" w:rsidRDefault="00000000" w:rsidRPr="00000000" w14:paraId="00000055">
      <w:pPr>
        <w:pStyle w:val="Heading2"/>
        <w:spacing w:line="480" w:lineRule="auto"/>
        <w:jc w:val="both"/>
        <w:rPr/>
      </w:pPr>
      <w:bookmarkStart w:colFirst="0" w:colLast="0" w:name="_heading=h.3rdcrjn" w:id="6"/>
      <w:bookmarkEnd w:id="6"/>
      <w:r w:rsidDel="00000000" w:rsidR="00000000" w:rsidRPr="00000000">
        <w:rPr>
          <w:rtl w:val="0"/>
        </w:rPr>
      </w:r>
    </w:p>
    <w:p w:rsidR="00000000" w:rsidDel="00000000" w:rsidP="00000000" w:rsidRDefault="00000000" w:rsidRPr="00000000" w14:paraId="00000056">
      <w:pPr>
        <w:pStyle w:val="Heading2"/>
        <w:spacing w:line="480" w:lineRule="auto"/>
        <w:jc w:val="both"/>
        <w:rPr/>
      </w:pPr>
      <w:bookmarkStart w:colFirst="0" w:colLast="0" w:name="_heading=h.68inw5s26v4y" w:id="7"/>
      <w:bookmarkEnd w:id="7"/>
      <w:r w:rsidDel="00000000" w:rsidR="00000000" w:rsidRPr="00000000">
        <w:rPr>
          <w:rtl w:val="0"/>
        </w:rPr>
        <w:t xml:space="preserve">Limitations </w:t>
      </w:r>
    </w:p>
    <w:p w:rsidR="00000000" w:rsidDel="00000000" w:rsidP="00000000" w:rsidRDefault="00000000" w:rsidRPr="00000000" w14:paraId="00000057">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sz w:val="24"/>
          <w:szCs w:val="24"/>
          <w:rtl w:val="0"/>
        </w:rPr>
        <w:t xml:space="preserve">The secondary sources which involve journals, articles, blogs and so on might not be accurate; in order to overcome this dilemma, the source of data should be checked and ensured that it is valid. In other cases, the secondary data can be outdated and old which means that the data which is being gathered should be up to date and relevant. The companies or sources which are posting the secondary data might not be reputable and the data itself can be of no use. There might be biasness of the source publishing the secondary data, so it is important to ensure that the data being collected from the secondary source is up to date, relevant and unbiased </w:t>
      </w:r>
      <w:r w:rsidDel="00000000" w:rsidR="00000000" w:rsidRPr="00000000">
        <w:rPr>
          <w:rFonts w:ascii="Times New Roman" w:cs="Times New Roman" w:eastAsia="Times New Roman" w:hAnsi="Times New Roman"/>
          <w:color w:val="222222"/>
          <w:sz w:val="24"/>
          <w:szCs w:val="24"/>
          <w:highlight w:val="white"/>
          <w:rtl w:val="0"/>
        </w:rPr>
        <w:t xml:space="preserve">(Zubair et al., 2020)</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58">
      <w:pPr>
        <w:pStyle w:val="Heading1"/>
        <w:spacing w:line="480" w:lineRule="auto"/>
        <w:jc w:val="both"/>
        <w:rPr/>
      </w:pPr>
      <w:bookmarkStart w:colFirst="0" w:colLast="0" w:name="_heading=h.44sinio" w:id="8"/>
      <w:bookmarkEnd w:id="8"/>
      <w:r w:rsidDel="00000000" w:rsidR="00000000" w:rsidRPr="00000000">
        <w:rPr>
          <w:rtl w:val="0"/>
        </w:rPr>
        <w:t xml:space="preserve">Ethical Consideration</w:t>
      </w:r>
    </w:p>
    <w:p w:rsidR="00000000" w:rsidDel="00000000" w:rsidP="00000000" w:rsidRDefault="00000000" w:rsidRPr="00000000" w14:paraId="0000005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 element which should be taken into consideration is that the data being utilized has to be de-identified before sending it to the researcher. It is important for this research to cite the sources from which the secondary is obtained. The outcome which is derived from the analysis should not re-identify participants. In some cases, it is important to take the consent of the source from which the data is being taken </w:t>
      </w:r>
      <w:r w:rsidDel="00000000" w:rsidR="00000000" w:rsidRPr="00000000">
        <w:rPr>
          <w:rFonts w:ascii="Times New Roman" w:cs="Times New Roman" w:eastAsia="Times New Roman" w:hAnsi="Times New Roman"/>
          <w:color w:val="222222"/>
          <w:sz w:val="24"/>
          <w:szCs w:val="24"/>
          <w:highlight w:val="white"/>
          <w:rtl w:val="0"/>
        </w:rPr>
        <w:t xml:space="preserve">(Tahat and Alhadab, 2017)</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A">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Australia vs British Travel Industry - Who took the bigger hit?</w:t>
      </w:r>
    </w:p>
    <w:p w:rsidR="00000000" w:rsidDel="00000000" w:rsidP="00000000" w:rsidRDefault="00000000" w:rsidRPr="00000000" w14:paraId="0000005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Across the globe organizations in the movement and the travel industry area have been left faltering from Coronavirus, and Australia is no special case. The travel industry contained 3.1% of the country's GDP—and 8.2% of fare profit—in 2018/2019, with a yearly financial worth of A$60.8b (US$40.2b). With planes grounded, traveler settings covered, voyage ships isolated and all insignificant homegrown and global travel restricted since the finish of March, it is hard to recognize an Australian monetary area all the more seriously affected by the pandemic. Some are calling Coronavirus the main emergency in the historical backdrop of worldwide travel. The Economist shows that the more prominent a country's Coronavirus scene, the more noteworthy its shift is away from new travel. At the hour of dispersion, travel limits inside solitary states and spaces have been lifted and Australians would now be able to participate in an excursion as long as it's inside their own lines.</w:t>
      </w:r>
    </w:p>
    <w:p w:rsidR="00000000" w:rsidDel="00000000" w:rsidP="00000000" w:rsidRDefault="00000000" w:rsidRPr="00000000" w14:paraId="0000005C">
      <w:pPr>
        <w:pStyle w:val="Heading1"/>
        <w:spacing w:line="480" w:lineRule="auto"/>
        <w:jc w:val="both"/>
        <w:rPr/>
      </w:pPr>
      <w:bookmarkStart w:colFirst="0" w:colLast="0" w:name="_heading=h.2jxsxqh" w:id="9"/>
      <w:bookmarkEnd w:id="9"/>
      <w:r w:rsidDel="00000000" w:rsidR="00000000" w:rsidRPr="00000000">
        <w:rPr>
          <w:rtl w:val="0"/>
        </w:rPr>
        <w:t xml:space="preserve">Reference</w:t>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Brown, J.R., Gustafson, M. and Ivanov, I., 2020. Weathering cash flow shocks. </w:t>
      </w:r>
      <w:r w:rsidDel="00000000" w:rsidR="00000000" w:rsidRPr="00000000">
        <w:rPr>
          <w:rFonts w:ascii="Times New Roman" w:cs="Times New Roman" w:eastAsia="Times New Roman" w:hAnsi="Times New Roman"/>
          <w:i w:val="1"/>
          <w:color w:val="222222"/>
          <w:sz w:val="24"/>
          <w:szCs w:val="24"/>
          <w:highlight w:val="white"/>
          <w:rtl w:val="0"/>
        </w:rPr>
        <w:t xml:space="preserve">Available at SSRN 2963444</w:t>
      </w:r>
      <w:r w:rsidDel="00000000" w:rsidR="00000000" w:rsidRPr="00000000">
        <w:rPr>
          <w:rFonts w:ascii="Times New Roman" w:cs="Times New Roman" w:eastAsia="Times New Roman" w:hAnsi="Times New Roman"/>
          <w:color w:val="222222"/>
          <w:sz w:val="24"/>
          <w:szCs w:val="24"/>
          <w:highlight w:val="white"/>
          <w:rtl w:val="0"/>
        </w:rPr>
        <w:t xml:space="preserve">.</w:t>
      </w:r>
      <w:r w:rsidDel="00000000" w:rsidR="00000000" w:rsidRPr="00000000">
        <w:rPr>
          <w:rtl w:val="0"/>
        </w:rPr>
      </w:r>
    </w:p>
    <w:p w:rsidR="00000000" w:rsidDel="00000000" w:rsidP="00000000" w:rsidRDefault="00000000" w:rsidRPr="00000000" w14:paraId="0000005F">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Gül, S. and Taştan, H., 2020. The impact of monetary policy stance, financial conditions, and the GFC on investment-cash flow sensitivity.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Review of Economics &amp; Finance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69</w:t>
      </w:r>
      <w:r w:rsidDel="00000000" w:rsidR="00000000" w:rsidRPr="00000000">
        <w:rPr>
          <w:rFonts w:ascii="Times New Roman" w:cs="Times New Roman" w:eastAsia="Times New Roman" w:hAnsi="Times New Roman"/>
          <w:color w:val="222222"/>
          <w:sz w:val="24"/>
          <w:szCs w:val="24"/>
          <w:highlight w:val="white"/>
          <w:rtl w:val="0"/>
        </w:rPr>
        <w:t xml:space="preserve">, pp.692-707.</w:t>
      </w:r>
    </w:p>
    <w:p w:rsidR="00000000" w:rsidDel="00000000" w:rsidP="00000000" w:rsidRDefault="00000000" w:rsidRPr="00000000" w14:paraId="00000060">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Gupta, G. and Mahakud, J., 2019. Alternative measure of financial development and investment-cash flow sensitivity: evidence from an emerging economy. </w:t>
      </w:r>
      <w:r w:rsidDel="00000000" w:rsidR="00000000" w:rsidRPr="00000000">
        <w:rPr>
          <w:rFonts w:ascii="Times New Roman" w:cs="Times New Roman" w:eastAsia="Times New Roman" w:hAnsi="Times New Roman"/>
          <w:i w:val="1"/>
          <w:color w:val="222222"/>
          <w:sz w:val="24"/>
          <w:szCs w:val="24"/>
          <w:highlight w:val="white"/>
          <w:rtl w:val="0"/>
        </w:rPr>
        <w:t xml:space="preserve">Financial Innovation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 pp.1-28.</w:t>
      </w:r>
    </w:p>
    <w:p w:rsidR="00000000" w:rsidDel="00000000" w:rsidP="00000000" w:rsidRDefault="00000000" w:rsidRPr="00000000" w14:paraId="00000061">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Guizani, M., 2019. Sharia-compliance and investment-cash flow sensitivity in oil rich countries. </w:t>
      </w:r>
      <w:r w:rsidDel="00000000" w:rsidR="00000000" w:rsidRPr="00000000">
        <w:rPr>
          <w:rFonts w:ascii="Times New Roman" w:cs="Times New Roman" w:eastAsia="Times New Roman" w:hAnsi="Times New Roman"/>
          <w:i w:val="1"/>
          <w:color w:val="222222"/>
          <w:sz w:val="24"/>
          <w:szCs w:val="24"/>
          <w:highlight w:val="white"/>
          <w:rtl w:val="0"/>
        </w:rPr>
        <w:t xml:space="preserve">Review of Behavioral Finance</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62">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Joseph, A., Kneer, C., Van Horen, N. and Saleheen, J., 2020. </w:t>
      </w:r>
      <w:r w:rsidDel="00000000" w:rsidR="00000000" w:rsidRPr="00000000">
        <w:rPr>
          <w:rFonts w:ascii="Times New Roman" w:cs="Times New Roman" w:eastAsia="Times New Roman" w:hAnsi="Times New Roman"/>
          <w:i w:val="1"/>
          <w:color w:val="222222"/>
          <w:sz w:val="24"/>
          <w:szCs w:val="24"/>
          <w:highlight w:val="white"/>
          <w:rtl w:val="0"/>
        </w:rPr>
        <w:t xml:space="preserve">All you need is cash</w:t>
      </w:r>
      <w:r w:rsidDel="00000000" w:rsidR="00000000" w:rsidRPr="00000000">
        <w:rPr>
          <w:rFonts w:ascii="Times New Roman" w:cs="Times New Roman" w:eastAsia="Times New Roman" w:hAnsi="Times New Roman"/>
          <w:color w:val="222222"/>
          <w:sz w:val="24"/>
          <w:szCs w:val="24"/>
          <w:highlight w:val="white"/>
          <w:rtl w:val="0"/>
        </w:rPr>
        <w:t xml:space="preserve">: Corporate cash holdings and investment after the financial crisis.</w:t>
      </w:r>
    </w:p>
    <w:p w:rsidR="00000000" w:rsidDel="00000000" w:rsidP="00000000" w:rsidRDefault="00000000" w:rsidRPr="00000000" w14:paraId="00000063">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Männasoo, K., Maripuu, P. and Hazak, A., 2018. Investments, credit, and corporate financial distress: Evidence from Central and Eastern Europe. </w:t>
      </w:r>
      <w:r w:rsidDel="00000000" w:rsidR="00000000" w:rsidRPr="00000000">
        <w:rPr>
          <w:rFonts w:ascii="Times New Roman" w:cs="Times New Roman" w:eastAsia="Times New Roman" w:hAnsi="Times New Roman"/>
          <w:i w:val="1"/>
          <w:color w:val="222222"/>
          <w:sz w:val="24"/>
          <w:szCs w:val="24"/>
          <w:highlight w:val="white"/>
          <w:rtl w:val="0"/>
        </w:rPr>
        <w:t xml:space="preserve">Emerging Markets Finance and Trade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54</w:t>
      </w:r>
      <w:r w:rsidDel="00000000" w:rsidR="00000000" w:rsidRPr="00000000">
        <w:rPr>
          <w:rFonts w:ascii="Times New Roman" w:cs="Times New Roman" w:eastAsia="Times New Roman" w:hAnsi="Times New Roman"/>
          <w:color w:val="222222"/>
          <w:sz w:val="24"/>
          <w:szCs w:val="24"/>
          <w:highlight w:val="white"/>
          <w:rtl w:val="0"/>
        </w:rPr>
        <w:t xml:space="preserve">(3), pp.677-689.</w:t>
      </w:r>
    </w:p>
    <w:p w:rsidR="00000000" w:rsidDel="00000000" w:rsidP="00000000" w:rsidRDefault="00000000" w:rsidRPr="00000000" w14:paraId="00000064">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Serrasqueiro, Z., Leitão, J. and Smallbone, D., 2018. Small-and medium-sized enterprises (SME) growth and financing sources: Before and after the financial crisis.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Management &amp; Organization</w:t>
      </w:r>
      <w:r w:rsidDel="00000000" w:rsidR="00000000" w:rsidRPr="00000000">
        <w:rPr>
          <w:rFonts w:ascii="Times New Roman" w:cs="Times New Roman" w:eastAsia="Times New Roman" w:hAnsi="Times New Roman"/>
          <w:color w:val="222222"/>
          <w:sz w:val="24"/>
          <w:szCs w:val="24"/>
          <w:highlight w:val="white"/>
          <w:rtl w:val="0"/>
        </w:rPr>
        <w:t xml:space="preserve">, pp.1-16.</w:t>
      </w:r>
    </w:p>
    <w:p w:rsidR="00000000" w:rsidDel="00000000" w:rsidP="00000000" w:rsidRDefault="00000000" w:rsidRPr="00000000" w14:paraId="00000065">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Tahat, Y.A. and Alhadab, M., 2017. Have accounting numbers lost their value relevance during the recent financial credit crisis?. </w:t>
      </w:r>
      <w:r w:rsidDel="00000000" w:rsidR="00000000" w:rsidRPr="00000000">
        <w:rPr>
          <w:rFonts w:ascii="Times New Roman" w:cs="Times New Roman" w:eastAsia="Times New Roman" w:hAnsi="Times New Roman"/>
          <w:i w:val="1"/>
          <w:color w:val="222222"/>
          <w:sz w:val="24"/>
          <w:szCs w:val="24"/>
          <w:highlight w:val="white"/>
          <w:rtl w:val="0"/>
        </w:rPr>
        <w:t xml:space="preserve">The Quarterly Review of Economics and Finance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66</w:t>
      </w:r>
      <w:r w:rsidDel="00000000" w:rsidR="00000000" w:rsidRPr="00000000">
        <w:rPr>
          <w:rFonts w:ascii="Times New Roman" w:cs="Times New Roman" w:eastAsia="Times New Roman" w:hAnsi="Times New Roman"/>
          <w:color w:val="222222"/>
          <w:sz w:val="24"/>
          <w:szCs w:val="24"/>
          <w:highlight w:val="white"/>
          <w:rtl w:val="0"/>
        </w:rPr>
        <w:t xml:space="preserve">, pp.182-191.</w:t>
      </w:r>
    </w:p>
    <w:p w:rsidR="00000000" w:rsidDel="00000000" w:rsidP="00000000" w:rsidRDefault="00000000" w:rsidRPr="00000000" w14:paraId="00000066">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Tran, Q.T., 2019. Corporate cash holdings and financial crisis: new evidence from an emerging market. </w:t>
      </w:r>
      <w:r w:rsidDel="00000000" w:rsidR="00000000" w:rsidRPr="00000000">
        <w:rPr>
          <w:rFonts w:ascii="Times New Roman" w:cs="Times New Roman" w:eastAsia="Times New Roman" w:hAnsi="Times New Roman"/>
          <w:i w:val="1"/>
          <w:color w:val="222222"/>
          <w:sz w:val="24"/>
          <w:szCs w:val="24"/>
          <w:highlight w:val="white"/>
          <w:rtl w:val="0"/>
        </w:rPr>
        <w:t xml:space="preserve">Eurasian Business Review</w:t>
      </w:r>
      <w:r w:rsidDel="00000000" w:rsidR="00000000" w:rsidRPr="00000000">
        <w:rPr>
          <w:rFonts w:ascii="Times New Roman" w:cs="Times New Roman" w:eastAsia="Times New Roman" w:hAnsi="Times New Roman"/>
          <w:color w:val="222222"/>
          <w:sz w:val="24"/>
          <w:szCs w:val="24"/>
          <w:highlight w:val="white"/>
          <w:rtl w:val="0"/>
        </w:rPr>
        <w:t xml:space="preserve">, pp.1-15.</w:t>
      </w:r>
    </w:p>
    <w:p w:rsidR="00000000" w:rsidDel="00000000" w:rsidP="00000000" w:rsidRDefault="00000000" w:rsidRPr="00000000" w14:paraId="00000067">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Tran, Q.T., 2020. Financial crisis, shareholder protection and cash holdings. </w:t>
      </w:r>
      <w:r w:rsidDel="00000000" w:rsidR="00000000" w:rsidRPr="00000000">
        <w:rPr>
          <w:rFonts w:ascii="Times New Roman" w:cs="Times New Roman" w:eastAsia="Times New Roman" w:hAnsi="Times New Roman"/>
          <w:i w:val="1"/>
          <w:color w:val="222222"/>
          <w:sz w:val="24"/>
          <w:szCs w:val="24"/>
          <w:highlight w:val="white"/>
          <w:rtl w:val="0"/>
        </w:rPr>
        <w:t xml:space="preserve">Research in International Business and Finance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52</w:t>
      </w:r>
      <w:r w:rsidDel="00000000" w:rsidR="00000000" w:rsidRPr="00000000">
        <w:rPr>
          <w:rFonts w:ascii="Times New Roman" w:cs="Times New Roman" w:eastAsia="Times New Roman" w:hAnsi="Times New Roman"/>
          <w:color w:val="222222"/>
          <w:sz w:val="24"/>
          <w:szCs w:val="24"/>
          <w:highlight w:val="white"/>
          <w:rtl w:val="0"/>
        </w:rPr>
        <w:t xml:space="preserve">, p.101131.</w:t>
      </w:r>
    </w:p>
    <w:p w:rsidR="00000000" w:rsidDel="00000000" w:rsidP="00000000" w:rsidRDefault="00000000" w:rsidRPr="00000000" w14:paraId="00000068">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Tsai, C.Y., 2017. The impact of cost structure on supply chain cash flow risk.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Production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55</w:t>
      </w:r>
      <w:r w:rsidDel="00000000" w:rsidR="00000000" w:rsidRPr="00000000">
        <w:rPr>
          <w:rFonts w:ascii="Times New Roman" w:cs="Times New Roman" w:eastAsia="Times New Roman" w:hAnsi="Times New Roman"/>
          <w:color w:val="222222"/>
          <w:sz w:val="24"/>
          <w:szCs w:val="24"/>
          <w:highlight w:val="white"/>
          <w:rtl w:val="0"/>
        </w:rPr>
        <w:t xml:space="preserve">(22), pp.6624-6637.</w:t>
      </w:r>
    </w:p>
    <w:p w:rsidR="00000000" w:rsidDel="00000000" w:rsidP="00000000" w:rsidRDefault="00000000" w:rsidRPr="00000000" w14:paraId="00000069">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(Tsai, 2017)</w:t>
      </w:r>
    </w:p>
    <w:p w:rsidR="00000000" w:rsidDel="00000000" w:rsidP="00000000" w:rsidRDefault="00000000" w:rsidRPr="00000000" w14:paraId="0000006A">
      <w:pPr>
        <w:spacing w:line="48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Zubair, S., Kabir, R  and Huang, X., 2020. Does the financial crisis change the effect of financing on investment? Evidence from private SMEs.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110</w:t>
      </w:r>
      <w:r w:rsidDel="00000000" w:rsidR="00000000" w:rsidRPr="00000000">
        <w:rPr>
          <w:rFonts w:ascii="Times New Roman" w:cs="Times New Roman" w:eastAsia="Times New Roman" w:hAnsi="Times New Roman"/>
          <w:color w:val="222222"/>
          <w:sz w:val="24"/>
          <w:szCs w:val="24"/>
          <w:highlight w:val="white"/>
          <w:rtl w:val="0"/>
        </w:rPr>
        <w:t xml:space="preserve">, pp.456-463.</w:t>
      </w:r>
      <w:r w:rsidDel="00000000" w:rsidR="00000000" w:rsidRPr="00000000">
        <w:rPr>
          <w:rtl w:val="0"/>
        </w:rPr>
      </w:r>
    </w:p>
    <w:p w:rsidR="00000000" w:rsidDel="00000000" w:rsidP="00000000" w:rsidRDefault="00000000" w:rsidRPr="00000000" w14:paraId="0000006B">
      <w:pPr>
        <w:pStyle w:val="Heading1"/>
        <w:jc w:val="both"/>
        <w:rPr>
          <w:b w:val="0"/>
        </w:rPr>
      </w:pPr>
      <w:r w:rsidDel="00000000" w:rsidR="00000000" w:rsidRPr="00000000">
        <w:rPr>
          <w:rtl w:val="0"/>
        </w:rPr>
      </w:r>
    </w:p>
    <w:p w:rsidR="00000000" w:rsidDel="00000000" w:rsidP="00000000" w:rsidRDefault="00000000" w:rsidRPr="00000000" w14:paraId="0000006C">
      <w:pPr>
        <w:pStyle w:val="Heading1"/>
        <w:jc w:val="both"/>
        <w:rPr>
          <w:b w:val="0"/>
        </w:rPr>
      </w:pPr>
      <w:r w:rsidDel="00000000" w:rsidR="00000000" w:rsidRPr="00000000">
        <w:rPr>
          <w:b w:val="0"/>
          <w:rtl w:val="0"/>
        </w:rPr>
        <w:t xml:space="preserve">Business  reasearch  philosophy  , n.d. </w:t>
      </w:r>
      <w:r w:rsidDel="00000000" w:rsidR="00000000" w:rsidRPr="00000000">
        <w:rPr>
          <w:b w:val="0"/>
          <w:i w:val="1"/>
          <w:rtl w:val="0"/>
        </w:rPr>
        <w:t xml:space="preserve">Business  reasearch  philosophy .  </w:t>
      </w:r>
      <w:r w:rsidDel="00000000" w:rsidR="00000000" w:rsidRPr="00000000">
        <w:rPr>
          <w:b w:val="0"/>
          <w:rtl w:val="0"/>
        </w:rPr>
        <w:t xml:space="preserve">[Online] </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Available  at :  https://research - methodology . net/research - philosophy /</w:t>
      </w:r>
    </w:p>
    <w:p w:rsidR="00000000" w:rsidDel="00000000" w:rsidP="00000000" w:rsidRDefault="00000000" w:rsidRPr="00000000" w14:paraId="0000006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ICREW . COM ,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ICREW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Available  at :  https://www.icaew.com/technical/business-and-management/business-</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and-management-faculty/business-and-management-magazine/bam-july-august-</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2020/tourism-in-the-uk-post-covid</w:t>
      </w:r>
    </w:p>
    <w:p w:rsidR="00000000" w:rsidDel="00000000" w:rsidP="00000000" w:rsidRDefault="00000000" w:rsidRPr="00000000" w14:paraId="0000007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International  Air  Group ,  n . d .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Intrnational  Air  Group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 </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 Available at  : https://www.iairgroup.com/en/site-services/disclaimer</w:t>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480" w:lineRule="auto"/>
        <w:jc w:val="both"/>
        <w:rPr>
          <w:rFonts w:ascii="Times New Roman" w:cs="Times New Roman" w:eastAsia="Times New Roman" w:hAnsi="Times New Roman"/>
          <w:sz w:val="24"/>
          <w:szCs w:val="24"/>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0" w:before="40" w:lineRule="auto"/>
    </w:pPr>
    <w:rPr>
      <w:rFonts w:ascii="Times New Roman" w:cs="Times New Roman" w:eastAsia="Times New Roman" w:hAnsi="Times New Roman"/>
      <w:b w:val="1"/>
      <w:i w:val="1"/>
      <w:sz w:val="24"/>
      <w:szCs w:val="24"/>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73616A"/>
    <w:pPr>
      <w:keepNext w:val="1"/>
      <w:keepLines w:val="1"/>
      <w:spacing w:after="0" w:before="240"/>
      <w:outlineLvl w:val="0"/>
    </w:pPr>
    <w:rPr>
      <w:rFonts w:ascii="Times New Roman" w:hAnsi="Times New Roman" w:cstheme="majorBidi" w:eastAsiaTheme="majorEastAsia"/>
      <w:b w:val="1"/>
      <w:sz w:val="24"/>
      <w:szCs w:val="32"/>
    </w:rPr>
  </w:style>
  <w:style w:type="paragraph" w:styleId="Heading2">
    <w:name w:val="heading 2"/>
    <w:basedOn w:val="Normal"/>
    <w:next w:val="Normal"/>
    <w:link w:val="Heading2Char"/>
    <w:uiPriority w:val="9"/>
    <w:unhideWhenUsed w:val="1"/>
    <w:qFormat w:val="1"/>
    <w:rsid w:val="0073616A"/>
    <w:pPr>
      <w:keepNext w:val="1"/>
      <w:keepLines w:val="1"/>
      <w:spacing w:after="0" w:before="40"/>
      <w:outlineLvl w:val="1"/>
    </w:pPr>
    <w:rPr>
      <w:rFonts w:ascii="Times New Roman" w:hAnsi="Times New Roman" w:cstheme="majorBidi" w:eastAsiaTheme="majorEastAsia"/>
      <w:b w:val="1"/>
      <w:i w:val="1"/>
      <w:sz w:val="24"/>
      <w:szCs w:val="2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character" w:styleId="Heading2Char" w:customStyle="1">
    <w:name w:val="Heading 2 Char"/>
    <w:basedOn w:val="DefaultParagraphFont"/>
    <w:link w:val="Heading2"/>
    <w:uiPriority w:val="9"/>
    <w:rsid w:val="0073616A"/>
    <w:rPr>
      <w:rFonts w:ascii="Times New Roman" w:hAnsi="Times New Roman" w:cstheme="majorBidi" w:eastAsiaTheme="majorEastAsia"/>
      <w:b w:val="1"/>
      <w:i w:val="1"/>
      <w:sz w:val="24"/>
      <w:szCs w:val="26"/>
    </w:rPr>
  </w:style>
  <w:style w:type="character" w:styleId="Heading1Char" w:customStyle="1">
    <w:name w:val="Heading 1 Char"/>
    <w:basedOn w:val="DefaultParagraphFont"/>
    <w:link w:val="Heading1"/>
    <w:uiPriority w:val="9"/>
    <w:rsid w:val="0073616A"/>
    <w:rPr>
      <w:rFonts w:ascii="Times New Roman" w:hAnsi="Times New Roman" w:cstheme="majorBidi" w:eastAsiaTheme="majorEastAsia"/>
      <w:b w:val="1"/>
      <w:sz w:val="24"/>
      <w:szCs w:val="32"/>
    </w:rPr>
  </w:style>
  <w:style w:type="paragraph" w:styleId="TOCHeading">
    <w:name w:val="TOC Heading"/>
    <w:basedOn w:val="Heading1"/>
    <w:next w:val="Normal"/>
    <w:uiPriority w:val="39"/>
    <w:unhideWhenUsed w:val="1"/>
    <w:qFormat w:val="1"/>
    <w:rsid w:val="00EB3465"/>
    <w:pPr>
      <w:outlineLvl w:val="9"/>
    </w:pPr>
    <w:rPr>
      <w:rFonts w:asciiTheme="majorHAnsi" w:hAnsiTheme="majorHAnsi"/>
      <w:b w:val="0"/>
      <w:color w:val="2f5496" w:themeColor="accent1" w:themeShade="0000BF"/>
      <w:sz w:val="32"/>
    </w:rPr>
  </w:style>
  <w:style w:type="paragraph" w:styleId="TOC1">
    <w:name w:val="toc 1"/>
    <w:basedOn w:val="Normal"/>
    <w:next w:val="Normal"/>
    <w:autoRedefine w:val="1"/>
    <w:uiPriority w:val="39"/>
    <w:unhideWhenUsed w:val="1"/>
    <w:rsid w:val="00EB3465"/>
    <w:pPr>
      <w:spacing w:after="100"/>
    </w:pPr>
  </w:style>
  <w:style w:type="paragraph" w:styleId="TOC2">
    <w:name w:val="toc 2"/>
    <w:basedOn w:val="Normal"/>
    <w:next w:val="Normal"/>
    <w:autoRedefine w:val="1"/>
    <w:uiPriority w:val="39"/>
    <w:unhideWhenUsed w:val="1"/>
    <w:rsid w:val="00EB3465"/>
    <w:pPr>
      <w:spacing w:after="100"/>
      <w:ind w:left="220"/>
    </w:pPr>
  </w:style>
  <w:style w:type="character" w:styleId="Hyperlink">
    <w:name w:val="Hyperlink"/>
    <w:basedOn w:val="DefaultParagraphFont"/>
    <w:uiPriority w:val="99"/>
    <w:unhideWhenUsed w:val="1"/>
    <w:rsid w:val="00EB3465"/>
    <w:rPr>
      <w:color w:val="0563c1" w:themeColor="hyperlink"/>
      <w:u w:val="single"/>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paragraph" w:styleId="ListParagraph">
    <w:name w:val="List Paragraph"/>
    <w:basedOn w:val="Normal"/>
    <w:uiPriority w:val="34"/>
    <w:qFormat w:val="1"/>
    <w:rsid w:val="009B6E45"/>
    <w:pPr>
      <w:ind w:left="720"/>
      <w:contextualSpacing w:val="1"/>
    </w:pPr>
  </w:style>
  <w:style w:type="character" w:styleId="Strong">
    <w:name w:val="Strong"/>
    <w:basedOn w:val="DefaultParagraphFont"/>
    <w:uiPriority w:val="22"/>
    <w:qFormat w:val="1"/>
    <w:rsid w:val="00FC2E69"/>
    <w:rPr>
      <w:b w:val="1"/>
      <w:bCs w:val="1"/>
    </w:rPr>
  </w:style>
  <w:style w:type="paragraph" w:styleId="Bibliography">
    <w:name w:val="Bibliography"/>
    <w:basedOn w:val="Normal"/>
    <w:next w:val="Normal"/>
    <w:uiPriority w:val="37"/>
    <w:unhideWhenUsed w:val="1"/>
    <w:rsid w:val="00FE45F1"/>
  </w:style>
  <w:style w:type="paragraph" w:styleId="TOC3">
    <w:name w:val="toc 3"/>
    <w:basedOn w:val="Normal"/>
    <w:next w:val="Normal"/>
    <w:autoRedefine w:val="1"/>
    <w:uiPriority w:val="39"/>
    <w:unhideWhenUsed w:val="1"/>
    <w:rsid w:val="00057894"/>
    <w:pPr>
      <w:spacing w:after="100"/>
      <w:ind w:left="440"/>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T349+Yp3yy4hQase9vmzlzXPArQ==">AMUW2mVwXZb6QDzR2J8FiJWnPT3D6g48boJh1QMQwy6PrBRtwDIo4pOO1BO6kUFilL2gnB/fL1McAXPIFHgIU3iVqhzyYxnPJfeSaag9oY1ewApZq2guoltUHjgp2X6NbBZqc003FaZvbvPycm87dl472nL9RfmjoKXlimHHDcMnIzYgrYxrXUSIj3H55V3QWALb4G9fbUSTZQhLndXULNHVaYbEISykOl60YudrWFHCZX1yiP2/yaVYMc4OxGiVzrrwXixmR2egJkZhncYQtLpnYugEDH9BJ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2021-07-13T19:55:00Z</dcterms:created>
  <dc:creator>Usama Yasin</dc:creator>
</cp:coreProperties>
</file>