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2898F" w14:textId="77777777" w:rsidR="00075C04" w:rsidRDefault="00075C04">
      <w:pPr>
        <w:spacing w:line="480" w:lineRule="auto"/>
        <w:jc w:val="center"/>
        <w:rPr>
          <w:rFonts w:ascii="Times New Roman" w:hAnsi="Times New Roman" w:cs="Times New Roman"/>
          <w:b/>
          <w:bCs/>
          <w:color w:val="FF0000"/>
          <w:sz w:val="44"/>
        </w:rPr>
      </w:pPr>
    </w:p>
    <w:p w14:paraId="44D3EE4B" w14:textId="77777777" w:rsidR="00075C04" w:rsidRDefault="00000000">
      <w:pPr>
        <w:spacing w:line="480" w:lineRule="auto"/>
        <w:jc w:val="center"/>
        <w:rPr>
          <w:color w:val="FF0000"/>
          <w:sz w:val="36"/>
        </w:rPr>
      </w:pPr>
      <w:r>
        <w:rPr>
          <w:rFonts w:ascii="Times New Roman" w:hAnsi="Times New Roman" w:cs="Times New Roman"/>
          <w:b/>
          <w:bCs/>
          <w:color w:val="FF0000"/>
          <w:sz w:val="40"/>
          <w:szCs w:val="40"/>
        </w:rPr>
        <w:t>Critical Analysis of Change Management of Beijing Bestway Exhibition Co., Ltd</w:t>
      </w:r>
    </w:p>
    <w:p w14:paraId="116987B2" w14:textId="77777777" w:rsidR="00075C04" w:rsidRDefault="00000000">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3B1ED09A" wp14:editId="28358A4D">
            <wp:extent cx="4737735" cy="5264150"/>
            <wp:effectExtent l="0" t="0" r="1905"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4751327" cy="5279314"/>
                    </a:xfrm>
                    <a:prstGeom prst="rect">
                      <a:avLst/>
                    </a:prstGeom>
                  </pic:spPr>
                </pic:pic>
              </a:graphicData>
            </a:graphic>
          </wp:inline>
        </w:drawing>
      </w:r>
    </w:p>
    <w:p w14:paraId="188776FB" w14:textId="77777777" w:rsidR="00075C04" w:rsidRDefault="00000000">
      <w:pPr>
        <w:spacing w:line="360" w:lineRule="auto"/>
        <w:jc w:val="center"/>
        <w:rPr>
          <w:rFonts w:ascii="Times New Roman" w:hAnsi="Times New Roman" w:cs="Times New Roman"/>
          <w:b/>
          <w:color w:val="FF0000"/>
          <w:sz w:val="40"/>
          <w:szCs w:val="40"/>
        </w:rPr>
      </w:pPr>
      <w:r>
        <w:rPr>
          <w:rFonts w:ascii="Times New Roman" w:hAnsi="Times New Roman" w:cs="Times New Roman" w:hint="eastAsia"/>
          <w:b/>
          <w:color w:val="FF0000"/>
          <w:sz w:val="40"/>
          <w:szCs w:val="40"/>
        </w:rPr>
        <w:t>March</w:t>
      </w:r>
      <w:r>
        <w:rPr>
          <w:rFonts w:ascii="Times New Roman" w:hAnsi="Times New Roman" w:cs="Times New Roman"/>
          <w:b/>
          <w:color w:val="FF0000"/>
          <w:sz w:val="40"/>
          <w:szCs w:val="40"/>
        </w:rPr>
        <w:t xml:space="preserve"> 202</w:t>
      </w:r>
      <w:r>
        <w:rPr>
          <w:rFonts w:ascii="Times New Roman" w:hAnsi="Times New Roman" w:cs="Times New Roman" w:hint="eastAsia"/>
          <w:b/>
          <w:color w:val="FF0000"/>
          <w:sz w:val="40"/>
          <w:szCs w:val="40"/>
        </w:rPr>
        <w:t>3</w:t>
      </w:r>
    </w:p>
    <w:p w14:paraId="1FEC4152" w14:textId="77777777" w:rsidR="00075C04" w:rsidRDefault="00075C04">
      <w:pPr>
        <w:spacing w:line="360" w:lineRule="auto"/>
        <w:jc w:val="center"/>
        <w:rPr>
          <w:rFonts w:ascii="Times New Roman" w:hAnsi="Times New Roman" w:cs="Times New Roman"/>
          <w:sz w:val="24"/>
        </w:rPr>
      </w:pPr>
    </w:p>
    <w:p w14:paraId="45929ADD" w14:textId="77777777" w:rsidR="00075C04" w:rsidRDefault="00075C04">
      <w:pPr>
        <w:spacing w:line="360" w:lineRule="auto"/>
        <w:jc w:val="center"/>
        <w:rPr>
          <w:rFonts w:ascii="Times New Roman" w:hAnsi="Times New Roman" w:cs="Times New Roman"/>
          <w:sz w:val="24"/>
        </w:rPr>
      </w:pPr>
    </w:p>
    <w:p w14:paraId="244BF358" w14:textId="77777777" w:rsidR="00075C04" w:rsidRPr="00704DBA" w:rsidRDefault="00000000">
      <w:pPr>
        <w:widowControl/>
        <w:jc w:val="left"/>
        <w:rPr>
          <w:rFonts w:ascii="Times New Roman" w:hAnsi="Times New Roman" w:cs="Times New Roman"/>
          <w:b/>
          <w:sz w:val="24"/>
        </w:rPr>
      </w:pPr>
      <w:r w:rsidRPr="00A83DB3">
        <w:rPr>
          <w:rFonts w:ascii="Times New Roman" w:hAnsi="Times New Roman" w:cs="Times New Roman"/>
          <w:b/>
          <w:sz w:val="24"/>
        </w:rPr>
        <w:t>MODLE NAME:</w:t>
      </w:r>
      <w:r w:rsidRPr="00704DBA">
        <w:rPr>
          <w:rFonts w:ascii="Times New Roman" w:hAnsi="Times New Roman" w:cs="Times New Roman"/>
          <w:b/>
          <w:sz w:val="24"/>
        </w:rPr>
        <w:t xml:space="preserve"> </w:t>
      </w:r>
      <w:r w:rsidRPr="00704DBA">
        <w:rPr>
          <w:rFonts w:ascii="Times New Roman" w:hAnsi="Times New Roman" w:cs="Times New Roman"/>
          <w:b/>
          <w:sz w:val="24"/>
        </w:rPr>
        <w:fldChar w:fldCharType="begin"/>
      </w:r>
      <w:r w:rsidRPr="00704DBA">
        <w:rPr>
          <w:rFonts w:ascii="Times New Roman" w:hAnsi="Times New Roman" w:cs="Times New Roman"/>
          <w:b/>
          <w:sz w:val="24"/>
        </w:rPr>
        <w:instrText xml:space="preserve"> HYPERLINK "https://moodle.uwtsd.ac.uk/course/view.php?id=2703" </w:instrText>
      </w:r>
      <w:r w:rsidRPr="00704DBA">
        <w:rPr>
          <w:rFonts w:ascii="Times New Roman" w:hAnsi="Times New Roman" w:cs="Times New Roman"/>
          <w:b/>
          <w:sz w:val="24"/>
        </w:rPr>
      </w:r>
      <w:r w:rsidRPr="00704DBA">
        <w:rPr>
          <w:rFonts w:ascii="Times New Roman" w:hAnsi="Times New Roman" w:cs="Times New Roman"/>
          <w:b/>
          <w:sz w:val="24"/>
        </w:rPr>
        <w:fldChar w:fldCharType="separate"/>
      </w:r>
      <w:r w:rsidRPr="00704DBA">
        <w:rPr>
          <w:rFonts w:ascii="Times New Roman" w:hAnsi="Times New Roman" w:cs="Times New Roman"/>
          <w:b/>
          <w:sz w:val="24"/>
        </w:rPr>
        <w:t>Change and Stability Management (BMMB7000)</w:t>
      </w:r>
    </w:p>
    <w:p w14:paraId="10C32F65" w14:textId="77777777" w:rsidR="00075C04" w:rsidRPr="00A83DB3" w:rsidRDefault="00000000">
      <w:pPr>
        <w:widowControl/>
        <w:jc w:val="left"/>
        <w:rPr>
          <w:rFonts w:ascii="Times New Roman" w:hAnsi="Times New Roman" w:cs="Times New Roman"/>
          <w:b/>
          <w:sz w:val="24"/>
        </w:rPr>
      </w:pPr>
      <w:r w:rsidRPr="00704DBA">
        <w:rPr>
          <w:rFonts w:ascii="Times New Roman" w:hAnsi="Times New Roman" w:cs="Times New Roman"/>
          <w:b/>
          <w:sz w:val="24"/>
        </w:rPr>
        <w:fldChar w:fldCharType="end"/>
      </w:r>
      <w:r w:rsidRPr="00A83DB3">
        <w:rPr>
          <w:rFonts w:ascii="Times New Roman" w:hAnsi="Times New Roman" w:cs="Times New Roman"/>
          <w:b/>
          <w:sz w:val="24"/>
        </w:rPr>
        <w:t xml:space="preserve">NAME: </w:t>
      </w:r>
      <w:proofErr w:type="spellStart"/>
      <w:r w:rsidRPr="00A83DB3">
        <w:rPr>
          <w:rFonts w:ascii="Times New Roman" w:hAnsi="Times New Roman" w:cs="Times New Roman"/>
          <w:b/>
          <w:bCs/>
          <w:sz w:val="24"/>
        </w:rPr>
        <w:t>Weixuan</w:t>
      </w:r>
      <w:proofErr w:type="spellEnd"/>
      <w:r w:rsidRPr="00A83DB3">
        <w:rPr>
          <w:rFonts w:ascii="Times New Roman" w:hAnsi="Times New Roman" w:cs="Times New Roman"/>
          <w:b/>
          <w:bCs/>
          <w:sz w:val="24"/>
        </w:rPr>
        <w:t xml:space="preserve"> Yao</w:t>
      </w:r>
    </w:p>
    <w:p w14:paraId="2AFDE08D" w14:textId="77777777" w:rsidR="00075C04" w:rsidRPr="00A83DB3" w:rsidRDefault="00000000">
      <w:pPr>
        <w:spacing w:line="360" w:lineRule="auto"/>
        <w:jc w:val="left"/>
        <w:rPr>
          <w:rFonts w:ascii="Times New Roman" w:hAnsi="Times New Roman" w:cs="Times New Roman"/>
          <w:b/>
          <w:sz w:val="24"/>
        </w:rPr>
        <w:sectPr w:rsidR="00075C04" w:rsidRPr="00A83DB3">
          <w:footerReference w:type="default" r:id="rId9"/>
          <w:pgSz w:w="11906" w:h="16838"/>
          <w:pgMar w:top="1440" w:right="1800" w:bottom="1440" w:left="1800" w:header="851" w:footer="992" w:gutter="0"/>
          <w:cols w:space="425"/>
          <w:docGrid w:type="lines" w:linePitch="312"/>
        </w:sectPr>
      </w:pPr>
      <w:r w:rsidRPr="00A83DB3">
        <w:rPr>
          <w:rFonts w:ascii="Times New Roman" w:hAnsi="Times New Roman" w:cs="Times New Roman"/>
          <w:b/>
          <w:sz w:val="24"/>
        </w:rPr>
        <w:t xml:space="preserve">STUDENT NUMBER: </w:t>
      </w:r>
      <w:r w:rsidRPr="00A83DB3">
        <w:rPr>
          <w:rFonts w:ascii="Times New Roman" w:hAnsi="Times New Roman" w:cs="Times New Roman"/>
          <w:b/>
          <w:bCs/>
          <w:sz w:val="24"/>
        </w:rPr>
        <w:t>2218241</w:t>
      </w:r>
    </w:p>
    <w:p w14:paraId="689C572A" w14:textId="77777777" w:rsidR="00075C04" w:rsidRDefault="00000000">
      <w:pPr>
        <w:jc w:val="center"/>
        <w:rPr>
          <w:rFonts w:ascii="Times New Roman" w:hAnsi="Times New Roman" w:cs="Times New Roman"/>
          <w:b/>
          <w:bCs/>
          <w:sz w:val="24"/>
        </w:rPr>
      </w:pPr>
      <w:r>
        <w:rPr>
          <w:rFonts w:ascii="Times New Roman" w:hAnsi="Times New Roman" w:cs="Times New Roman"/>
          <w:b/>
          <w:bCs/>
          <w:color w:val="000000" w:themeColor="text1"/>
          <w:sz w:val="24"/>
        </w:rPr>
        <w:lastRenderedPageBreak/>
        <w:t>Table of content</w:t>
      </w:r>
    </w:p>
    <w:sdt>
      <w:sdtPr>
        <w:rPr>
          <w:rFonts w:ascii="宋体" w:eastAsia="宋体" w:hAnsi="宋体"/>
        </w:rPr>
        <w:id w:val="147454748"/>
        <w15:color w:val="DBDBDB"/>
        <w:docPartObj>
          <w:docPartGallery w:val="Table of Contents"/>
          <w:docPartUnique/>
        </w:docPartObj>
      </w:sdtPr>
      <w:sdtEndPr>
        <w:rPr>
          <w:rFonts w:ascii="Times New Roman" w:eastAsiaTheme="minorEastAsia" w:hAnsi="Times New Roman" w:cs="Times New Roman"/>
          <w:b/>
          <w:bCs/>
        </w:rPr>
      </w:sdtEndPr>
      <w:sdtContent>
        <w:p w14:paraId="50C8CD35" w14:textId="77777777" w:rsidR="00075C04" w:rsidRDefault="00075C04">
          <w:pPr>
            <w:jc w:val="center"/>
          </w:pPr>
        </w:p>
        <w:p w14:paraId="42755A1F" w14:textId="77777777" w:rsidR="00075C04" w:rsidRDefault="00000000">
          <w:pPr>
            <w:pStyle w:val="TOC1"/>
            <w:tabs>
              <w:tab w:val="right" w:leader="dot" w:pos="9026"/>
            </w:tabs>
            <w:spacing w:line="480" w:lineRule="auto"/>
            <w:rPr>
              <w:rFonts w:ascii="Times New Roman" w:hAnsi="Times New Roman" w:cs="Times New Roman"/>
              <w:sz w:val="24"/>
            </w:rPr>
          </w:pPr>
          <w:r>
            <w:rPr>
              <w:rFonts w:ascii="Times New Roman" w:hAnsi="Times New Roman" w:cs="Times New Roman"/>
              <w:b/>
              <w:bCs/>
              <w:sz w:val="24"/>
            </w:rPr>
            <w:fldChar w:fldCharType="begin"/>
          </w:r>
          <w:r>
            <w:rPr>
              <w:rFonts w:ascii="Times New Roman" w:hAnsi="Times New Roman" w:cs="Times New Roman"/>
              <w:b/>
              <w:bCs/>
              <w:sz w:val="24"/>
            </w:rPr>
            <w:instrText xml:space="preserve">TOC \o "1-2" \h \u </w:instrText>
          </w:r>
          <w:r>
            <w:rPr>
              <w:rFonts w:ascii="Times New Roman" w:hAnsi="Times New Roman" w:cs="Times New Roman"/>
              <w:b/>
              <w:bCs/>
              <w:sz w:val="24"/>
            </w:rPr>
            <w:fldChar w:fldCharType="separate"/>
          </w:r>
          <w:hyperlink w:anchor="_Toc21999" w:history="1">
            <w:r>
              <w:rPr>
                <w:rFonts w:ascii="Times New Roman" w:hAnsi="Times New Roman" w:cs="Times New Roman"/>
                <w:bCs/>
                <w:sz w:val="24"/>
              </w:rPr>
              <w:t>Executive Summary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_Toc21999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hyperlink>
        </w:p>
        <w:p w14:paraId="2B0F385F" w14:textId="77777777" w:rsidR="00075C04" w:rsidRDefault="00000000">
          <w:pPr>
            <w:pStyle w:val="TOC1"/>
            <w:tabs>
              <w:tab w:val="right" w:leader="dot" w:pos="9026"/>
            </w:tabs>
            <w:spacing w:line="480" w:lineRule="auto"/>
            <w:rPr>
              <w:rFonts w:ascii="Times New Roman" w:hAnsi="Times New Roman" w:cs="Times New Roman"/>
              <w:sz w:val="24"/>
            </w:rPr>
          </w:pPr>
          <w:hyperlink w:anchor="_Toc7383" w:history="1">
            <w:r>
              <w:rPr>
                <w:rFonts w:ascii="Times New Roman" w:hAnsi="Times New Roman" w:cs="Times New Roman"/>
                <w:bCs/>
                <w:sz w:val="24"/>
              </w:rPr>
              <w:t>1. 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_Toc7383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hyperlink>
        </w:p>
        <w:p w14:paraId="01F25794" w14:textId="77777777" w:rsidR="00075C04" w:rsidRDefault="00000000">
          <w:pPr>
            <w:pStyle w:val="TOC1"/>
            <w:tabs>
              <w:tab w:val="right" w:leader="dot" w:pos="9026"/>
            </w:tabs>
            <w:spacing w:line="480" w:lineRule="auto"/>
            <w:rPr>
              <w:rFonts w:ascii="Times New Roman" w:hAnsi="Times New Roman" w:cs="Times New Roman"/>
              <w:sz w:val="24"/>
            </w:rPr>
          </w:pPr>
          <w:hyperlink w:anchor="_Toc21766" w:history="1">
            <w:r>
              <w:rPr>
                <w:rFonts w:ascii="Times New Roman" w:hAnsi="Times New Roman" w:cs="Times New Roman"/>
                <w:bCs/>
                <w:sz w:val="24"/>
              </w:rPr>
              <w:t>2. Internal and External Factors Driving Organizational Change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_Toc21766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hyperlink>
        </w:p>
        <w:p w14:paraId="49166BAF" w14:textId="77777777" w:rsidR="00075C04" w:rsidRDefault="00000000">
          <w:pPr>
            <w:pStyle w:val="TOC2"/>
            <w:tabs>
              <w:tab w:val="right" w:leader="dot" w:pos="9026"/>
            </w:tabs>
            <w:spacing w:line="480" w:lineRule="auto"/>
            <w:rPr>
              <w:rFonts w:ascii="Times New Roman" w:hAnsi="Times New Roman" w:cs="Times New Roman"/>
              <w:sz w:val="24"/>
            </w:rPr>
          </w:pPr>
          <w:hyperlink w:anchor="_Toc3634" w:history="1">
            <w:r>
              <w:rPr>
                <w:rFonts w:ascii="Times New Roman" w:hAnsi="Times New Roman" w:cs="Times New Roman"/>
                <w:bCs/>
                <w:sz w:val="24"/>
              </w:rPr>
              <w:t>2.1 PESTLE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_Toc3634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hyperlink>
        </w:p>
        <w:p w14:paraId="7C2DE4C6" w14:textId="77777777" w:rsidR="00075C04" w:rsidRDefault="00000000">
          <w:pPr>
            <w:pStyle w:val="TOC2"/>
            <w:tabs>
              <w:tab w:val="right" w:leader="dot" w:pos="9026"/>
            </w:tabs>
            <w:spacing w:line="480" w:lineRule="auto"/>
            <w:rPr>
              <w:rFonts w:ascii="Times New Roman" w:hAnsi="Times New Roman" w:cs="Times New Roman"/>
              <w:sz w:val="24"/>
            </w:rPr>
          </w:pPr>
          <w:hyperlink w:anchor="_Toc25649" w:history="1">
            <w:r>
              <w:rPr>
                <w:rFonts w:ascii="Times New Roman" w:hAnsi="Times New Roman" w:cs="Times New Roman"/>
                <w:bCs/>
                <w:sz w:val="24"/>
              </w:rPr>
              <w:t>2.2 SWOT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_Toc25649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hyperlink>
        </w:p>
        <w:p w14:paraId="07AE8CB9" w14:textId="77777777" w:rsidR="00075C04" w:rsidRDefault="00000000">
          <w:pPr>
            <w:pStyle w:val="TOC2"/>
            <w:tabs>
              <w:tab w:val="right" w:leader="dot" w:pos="9026"/>
            </w:tabs>
            <w:spacing w:line="480" w:lineRule="auto"/>
            <w:rPr>
              <w:rFonts w:ascii="Times New Roman" w:hAnsi="Times New Roman" w:cs="Times New Roman"/>
              <w:sz w:val="24"/>
            </w:rPr>
          </w:pPr>
          <w:hyperlink w:anchor="_Toc10653" w:history="1">
            <w:r>
              <w:rPr>
                <w:rFonts w:ascii="Times New Roman" w:hAnsi="Times New Roman" w:cs="Times New Roman"/>
                <w:bCs/>
                <w:sz w:val="24"/>
              </w:rPr>
              <w:t>2.3 Stakeholder</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_Toc10653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hyperlink>
        </w:p>
        <w:p w14:paraId="4E59545F" w14:textId="77777777" w:rsidR="00075C04" w:rsidRDefault="00000000">
          <w:pPr>
            <w:pStyle w:val="TOC1"/>
            <w:tabs>
              <w:tab w:val="right" w:leader="dot" w:pos="9026"/>
            </w:tabs>
            <w:spacing w:line="480" w:lineRule="auto"/>
            <w:rPr>
              <w:rFonts w:ascii="Times New Roman" w:hAnsi="Times New Roman" w:cs="Times New Roman"/>
              <w:sz w:val="24"/>
            </w:rPr>
          </w:pPr>
          <w:hyperlink w:anchor="_Toc24399" w:history="1">
            <w:r>
              <w:rPr>
                <w:rFonts w:ascii="Times New Roman" w:hAnsi="Times New Roman" w:cs="Times New Roman"/>
                <w:bCs/>
                <w:sz w:val="24"/>
              </w:rPr>
              <w:t>3. Organizational Change Management Process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_Toc24399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hyperlink>
        </w:p>
        <w:p w14:paraId="54069F12" w14:textId="77777777" w:rsidR="00075C04" w:rsidRDefault="00000000">
          <w:pPr>
            <w:pStyle w:val="TOC2"/>
            <w:tabs>
              <w:tab w:val="right" w:leader="dot" w:pos="9026"/>
            </w:tabs>
            <w:spacing w:line="480" w:lineRule="auto"/>
            <w:rPr>
              <w:rFonts w:ascii="Times New Roman" w:hAnsi="Times New Roman" w:cs="Times New Roman"/>
              <w:sz w:val="24"/>
            </w:rPr>
          </w:pPr>
          <w:hyperlink w:anchor="_Toc22476" w:history="1">
            <w:r>
              <w:rPr>
                <w:rFonts w:ascii="Times New Roman" w:hAnsi="Times New Roman" w:cs="Times New Roman"/>
                <w:bCs/>
                <w:sz w:val="24"/>
              </w:rPr>
              <w:t>3.1 Unfreeze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_Toc22476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13</w:t>
            </w:r>
            <w:r>
              <w:rPr>
                <w:rFonts w:ascii="Times New Roman" w:hAnsi="Times New Roman" w:cs="Times New Roman"/>
                <w:sz w:val="24"/>
              </w:rPr>
              <w:fldChar w:fldCharType="end"/>
            </w:r>
          </w:hyperlink>
        </w:p>
        <w:p w14:paraId="1D115839" w14:textId="77777777" w:rsidR="00075C04" w:rsidRDefault="00000000">
          <w:pPr>
            <w:pStyle w:val="TOC2"/>
            <w:tabs>
              <w:tab w:val="right" w:leader="dot" w:pos="9026"/>
            </w:tabs>
            <w:spacing w:line="480" w:lineRule="auto"/>
            <w:rPr>
              <w:rFonts w:ascii="Times New Roman" w:hAnsi="Times New Roman" w:cs="Times New Roman"/>
              <w:sz w:val="24"/>
            </w:rPr>
          </w:pPr>
          <w:hyperlink w:anchor="_Toc24393" w:history="1">
            <w:r>
              <w:rPr>
                <w:rFonts w:ascii="Times New Roman" w:hAnsi="Times New Roman" w:cs="Times New Roman"/>
                <w:bCs/>
                <w:sz w:val="24"/>
              </w:rPr>
              <w:t>3.2 Change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_Toc24393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15</w:t>
            </w:r>
            <w:r>
              <w:rPr>
                <w:rFonts w:ascii="Times New Roman" w:hAnsi="Times New Roman" w:cs="Times New Roman"/>
                <w:sz w:val="24"/>
              </w:rPr>
              <w:fldChar w:fldCharType="end"/>
            </w:r>
          </w:hyperlink>
        </w:p>
        <w:p w14:paraId="3D723EA6" w14:textId="77777777" w:rsidR="00075C04" w:rsidRDefault="00000000">
          <w:pPr>
            <w:pStyle w:val="TOC2"/>
            <w:tabs>
              <w:tab w:val="right" w:leader="dot" w:pos="9026"/>
            </w:tabs>
            <w:spacing w:line="480" w:lineRule="auto"/>
            <w:rPr>
              <w:rFonts w:ascii="Times New Roman" w:hAnsi="Times New Roman" w:cs="Times New Roman"/>
              <w:sz w:val="24"/>
            </w:rPr>
          </w:pPr>
          <w:hyperlink w:anchor="_Toc31972" w:history="1">
            <w:r>
              <w:rPr>
                <w:rFonts w:ascii="Times New Roman" w:hAnsi="Times New Roman" w:cs="Times New Roman"/>
                <w:bCs/>
                <w:sz w:val="24"/>
              </w:rPr>
              <w:t>3.3 Refreeze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_Toc31972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17</w:t>
            </w:r>
            <w:r>
              <w:rPr>
                <w:rFonts w:ascii="Times New Roman" w:hAnsi="Times New Roman" w:cs="Times New Roman"/>
                <w:sz w:val="24"/>
              </w:rPr>
              <w:fldChar w:fldCharType="end"/>
            </w:r>
          </w:hyperlink>
        </w:p>
        <w:p w14:paraId="62DA4C21" w14:textId="77777777" w:rsidR="00075C04" w:rsidRDefault="00000000">
          <w:pPr>
            <w:pStyle w:val="TOC1"/>
            <w:tabs>
              <w:tab w:val="right" w:leader="dot" w:pos="9026"/>
            </w:tabs>
            <w:spacing w:line="480" w:lineRule="auto"/>
            <w:rPr>
              <w:rFonts w:ascii="Times New Roman" w:hAnsi="Times New Roman" w:cs="Times New Roman"/>
              <w:sz w:val="24"/>
            </w:rPr>
          </w:pPr>
          <w:hyperlink w:anchor="_Toc13073" w:history="1">
            <w:r>
              <w:rPr>
                <w:rFonts w:ascii="Times New Roman" w:hAnsi="Times New Roman" w:cs="Times New Roman"/>
                <w:bCs/>
                <w:sz w:val="24"/>
              </w:rPr>
              <w:t>4. Assessment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_Toc13073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17</w:t>
            </w:r>
            <w:r>
              <w:rPr>
                <w:rFonts w:ascii="Times New Roman" w:hAnsi="Times New Roman" w:cs="Times New Roman"/>
                <w:sz w:val="24"/>
              </w:rPr>
              <w:fldChar w:fldCharType="end"/>
            </w:r>
          </w:hyperlink>
        </w:p>
        <w:p w14:paraId="6BA7886B" w14:textId="77777777" w:rsidR="00075C04" w:rsidRDefault="00000000">
          <w:pPr>
            <w:pStyle w:val="TOC1"/>
            <w:tabs>
              <w:tab w:val="right" w:leader="dot" w:pos="9026"/>
            </w:tabs>
            <w:spacing w:line="480" w:lineRule="auto"/>
            <w:rPr>
              <w:rFonts w:ascii="Times New Roman" w:hAnsi="Times New Roman" w:cs="Times New Roman"/>
              <w:sz w:val="24"/>
            </w:rPr>
          </w:pPr>
          <w:hyperlink w:anchor="_Toc8706" w:history="1">
            <w:r>
              <w:rPr>
                <w:rFonts w:ascii="Times New Roman" w:hAnsi="Times New Roman" w:cs="Times New Roman"/>
                <w:bCs/>
                <w:sz w:val="24"/>
              </w:rPr>
              <w:t>5. Conclusions and Recommendations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_Toc8706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17</w:t>
            </w:r>
            <w:r>
              <w:rPr>
                <w:rFonts w:ascii="Times New Roman" w:hAnsi="Times New Roman" w:cs="Times New Roman"/>
                <w:sz w:val="24"/>
              </w:rPr>
              <w:fldChar w:fldCharType="end"/>
            </w:r>
          </w:hyperlink>
        </w:p>
        <w:p w14:paraId="1529696F" w14:textId="77777777" w:rsidR="00075C04" w:rsidRDefault="00000000">
          <w:pPr>
            <w:pStyle w:val="TOC2"/>
            <w:tabs>
              <w:tab w:val="right" w:leader="dot" w:pos="9026"/>
            </w:tabs>
            <w:spacing w:line="480" w:lineRule="auto"/>
            <w:rPr>
              <w:rFonts w:ascii="Times New Roman" w:hAnsi="Times New Roman" w:cs="Times New Roman"/>
              <w:sz w:val="24"/>
            </w:rPr>
          </w:pPr>
          <w:hyperlink w:anchor="_Toc9586" w:history="1">
            <w:r>
              <w:rPr>
                <w:rFonts w:ascii="Times New Roman" w:hAnsi="Times New Roman" w:cs="Times New Roman"/>
                <w:bCs/>
                <w:sz w:val="24"/>
              </w:rPr>
              <w:t>5.1 Conclusions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_Toc9586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17</w:t>
            </w:r>
            <w:r>
              <w:rPr>
                <w:rFonts w:ascii="Times New Roman" w:hAnsi="Times New Roman" w:cs="Times New Roman"/>
                <w:sz w:val="24"/>
              </w:rPr>
              <w:fldChar w:fldCharType="end"/>
            </w:r>
          </w:hyperlink>
        </w:p>
        <w:p w14:paraId="70BE84D6" w14:textId="77777777" w:rsidR="00075C04" w:rsidRDefault="00000000">
          <w:pPr>
            <w:pStyle w:val="TOC2"/>
            <w:tabs>
              <w:tab w:val="right" w:leader="dot" w:pos="9026"/>
            </w:tabs>
            <w:spacing w:line="480" w:lineRule="auto"/>
            <w:rPr>
              <w:rFonts w:ascii="Times New Roman" w:hAnsi="Times New Roman" w:cs="Times New Roman"/>
              <w:sz w:val="24"/>
            </w:rPr>
          </w:pPr>
          <w:hyperlink w:anchor="_Toc23624" w:history="1">
            <w:r>
              <w:rPr>
                <w:rFonts w:ascii="Times New Roman" w:hAnsi="Times New Roman" w:cs="Times New Roman"/>
                <w:bCs/>
                <w:sz w:val="24"/>
              </w:rPr>
              <w:t>5.2 Recommendations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_Toc23624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18</w:t>
            </w:r>
            <w:r>
              <w:rPr>
                <w:rFonts w:ascii="Times New Roman" w:hAnsi="Times New Roman" w:cs="Times New Roman"/>
                <w:sz w:val="24"/>
              </w:rPr>
              <w:fldChar w:fldCharType="end"/>
            </w:r>
          </w:hyperlink>
        </w:p>
        <w:p w14:paraId="57FB0AD0" w14:textId="77777777" w:rsidR="00075C04" w:rsidRDefault="00000000">
          <w:pPr>
            <w:pStyle w:val="TOC1"/>
            <w:tabs>
              <w:tab w:val="right" w:leader="dot" w:pos="9026"/>
            </w:tabs>
            <w:spacing w:line="480" w:lineRule="auto"/>
          </w:pPr>
          <w:hyperlink w:anchor="_Toc13200" w:history="1">
            <w:r>
              <w:rPr>
                <w:rFonts w:ascii="Times New Roman" w:hAnsi="Times New Roman" w:cs="Times New Roman"/>
                <w:bCs/>
                <w:sz w:val="24"/>
              </w:rPr>
              <w:t>References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_Toc13200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20</w:t>
            </w:r>
            <w:r>
              <w:rPr>
                <w:rFonts w:ascii="Times New Roman" w:hAnsi="Times New Roman" w:cs="Times New Roman"/>
                <w:sz w:val="24"/>
              </w:rPr>
              <w:fldChar w:fldCharType="end"/>
            </w:r>
          </w:hyperlink>
        </w:p>
        <w:p w14:paraId="54DABE2E" w14:textId="77777777" w:rsidR="00075C04" w:rsidRDefault="00000000">
          <w:pPr>
            <w:rPr>
              <w:rFonts w:ascii="Times New Roman" w:hAnsi="Times New Roman" w:cs="Times New Roman"/>
              <w:b/>
              <w:bCs/>
              <w:sz w:val="24"/>
            </w:rPr>
          </w:pPr>
          <w:r>
            <w:rPr>
              <w:rFonts w:ascii="Times New Roman" w:hAnsi="Times New Roman" w:cs="Times New Roman"/>
              <w:bCs/>
            </w:rPr>
            <w:fldChar w:fldCharType="end"/>
          </w:r>
        </w:p>
      </w:sdtContent>
    </w:sdt>
    <w:p w14:paraId="66BEC4C6" w14:textId="77777777" w:rsidR="00075C04" w:rsidRDefault="00075C04">
      <w:pPr>
        <w:rPr>
          <w:rFonts w:ascii="Times New Roman" w:hAnsi="Times New Roman" w:cs="Times New Roman"/>
          <w:b/>
          <w:bCs/>
          <w:sz w:val="24"/>
        </w:rPr>
      </w:pPr>
    </w:p>
    <w:p w14:paraId="3F8FC682" w14:textId="77777777" w:rsidR="00075C04" w:rsidRDefault="00075C04">
      <w:pPr>
        <w:rPr>
          <w:rFonts w:ascii="Times New Roman" w:hAnsi="Times New Roman" w:cs="Times New Roman"/>
          <w:b/>
          <w:bCs/>
          <w:sz w:val="24"/>
        </w:rPr>
      </w:pPr>
    </w:p>
    <w:p w14:paraId="09BF3642" w14:textId="77777777" w:rsidR="00075C04" w:rsidRDefault="00000000">
      <w:pPr>
        <w:rPr>
          <w:rFonts w:ascii="Times New Roman" w:hAnsi="Times New Roman" w:cs="Times New Roman"/>
          <w:b/>
          <w:bCs/>
          <w:sz w:val="24"/>
        </w:rPr>
      </w:pPr>
      <w:r>
        <w:rPr>
          <w:rFonts w:ascii="Times New Roman" w:hAnsi="Times New Roman" w:cs="Times New Roman"/>
          <w:b/>
          <w:bCs/>
          <w:sz w:val="24"/>
        </w:rPr>
        <w:br w:type="page"/>
      </w:r>
    </w:p>
    <w:p w14:paraId="07912AF7" w14:textId="77777777" w:rsidR="00075C04" w:rsidRDefault="00000000">
      <w:pPr>
        <w:spacing w:line="480" w:lineRule="auto"/>
        <w:outlineLvl w:val="0"/>
        <w:rPr>
          <w:b/>
          <w:bCs/>
          <w:sz w:val="24"/>
        </w:rPr>
      </w:pPr>
      <w:bookmarkStart w:id="0" w:name="_Toc21999"/>
      <w:bookmarkStart w:id="1" w:name="_Toc120367376"/>
      <w:r>
        <w:rPr>
          <w:rFonts w:ascii="Times New Roman" w:hAnsi="Times New Roman" w:cs="Times New Roman"/>
          <w:b/>
          <w:bCs/>
          <w:sz w:val="24"/>
        </w:rPr>
        <w:lastRenderedPageBreak/>
        <w:t>Executive Summary</w:t>
      </w:r>
      <w:bookmarkEnd w:id="0"/>
      <w:bookmarkEnd w:id="1"/>
    </w:p>
    <w:p w14:paraId="672A06EB"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This study uses Lewin's change model, PESTLE, SWOT and stakeholder analysis methods to critically analyze the change management of Beijing Bestway Exhibition Co., Ltd., discusses the resistance to change, and evaluates the change management process and change </w:t>
      </w:r>
      <w:proofErr w:type="spellStart"/>
      <w:proofErr w:type="gramStart"/>
      <w:r>
        <w:rPr>
          <w:rFonts w:ascii="Times New Roman" w:hAnsi="Times New Roman" w:cs="Times New Roman"/>
          <w:sz w:val="24"/>
        </w:rPr>
        <w:t>effect.</w:t>
      </w:r>
      <w:r>
        <w:rPr>
          <w:rFonts w:ascii="Times New Roman" w:hAnsi="Times New Roman" w:cs="Times New Roman" w:hint="eastAsia"/>
          <w:sz w:val="24"/>
        </w:rPr>
        <w:t>The</w:t>
      </w:r>
      <w:proofErr w:type="spellEnd"/>
      <w:proofErr w:type="gramEnd"/>
      <w:r>
        <w:rPr>
          <w:rFonts w:ascii="Times New Roman" w:hAnsi="Times New Roman" w:cs="Times New Roman" w:hint="eastAsia"/>
          <w:sz w:val="24"/>
        </w:rPr>
        <w:t xml:space="preserve"> result shows that Beijing Bestway's change management is successful. Beijing Bestway's digital change has gone through the process of unfreezing, changing and refreezing, from a traditional exhibition enterprise to a digital exhibition enterprise, from providing a single traditional exhibition service to providing comprehensive intelligent services. Through technology empowerment, the company's differentiated competitive advantage has been greatly improved.</w:t>
      </w:r>
    </w:p>
    <w:p w14:paraId="52584042" w14:textId="77777777" w:rsidR="00075C04" w:rsidRDefault="00075C04"/>
    <w:p w14:paraId="1EA60A7B" w14:textId="77777777" w:rsidR="00075C04" w:rsidRDefault="00075C04"/>
    <w:p w14:paraId="62ECD6BD" w14:textId="77777777" w:rsidR="00075C04" w:rsidRDefault="00075C04"/>
    <w:p w14:paraId="32F70A7F" w14:textId="77777777" w:rsidR="00075C04" w:rsidRDefault="00000000">
      <w:pPr>
        <w:rPr>
          <w:rFonts w:ascii="Times New Roman" w:hAnsi="Times New Roman" w:cs="Times New Roman"/>
          <w:sz w:val="24"/>
        </w:rPr>
      </w:pPr>
      <w:r>
        <w:rPr>
          <w:rFonts w:ascii="Times New Roman" w:hAnsi="Times New Roman" w:cs="Times New Roman"/>
          <w:b/>
          <w:bCs/>
          <w:sz w:val="24"/>
        </w:rPr>
        <w:br w:type="page"/>
      </w:r>
    </w:p>
    <w:p w14:paraId="4A5A6AF3" w14:textId="77777777" w:rsidR="00075C04" w:rsidRDefault="00000000">
      <w:pPr>
        <w:spacing w:line="480" w:lineRule="auto"/>
        <w:outlineLvl w:val="0"/>
        <w:rPr>
          <w:rFonts w:ascii="Times New Roman" w:hAnsi="Times New Roman" w:cs="Times New Roman"/>
          <w:b/>
          <w:bCs/>
          <w:sz w:val="24"/>
        </w:rPr>
      </w:pPr>
      <w:bookmarkStart w:id="2" w:name="_Toc7383"/>
      <w:r>
        <w:rPr>
          <w:rFonts w:ascii="Times New Roman" w:hAnsi="Times New Roman" w:cs="Times New Roman"/>
          <w:b/>
          <w:bCs/>
          <w:sz w:val="24"/>
        </w:rPr>
        <w:lastRenderedPageBreak/>
        <w:t>1</w:t>
      </w:r>
      <w:r>
        <w:rPr>
          <w:rFonts w:ascii="Times New Roman" w:hAnsi="Times New Roman" w:cs="Times New Roman" w:hint="eastAsia"/>
          <w:b/>
          <w:bCs/>
          <w:sz w:val="24"/>
        </w:rPr>
        <w:t>.</w:t>
      </w:r>
      <w:r>
        <w:rPr>
          <w:rFonts w:ascii="Times New Roman" w:hAnsi="Times New Roman" w:cs="Times New Roman"/>
          <w:b/>
          <w:bCs/>
          <w:sz w:val="24"/>
        </w:rPr>
        <w:t xml:space="preserve"> Introduction</w:t>
      </w:r>
      <w:bookmarkEnd w:id="2"/>
    </w:p>
    <w:p w14:paraId="09C5CAB1"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 Exhibition Co., Ltd. (hereinafter referred to as Beijing Bestway), founded in 2009, is a professional exhibition company with high professional quality and popularity in the exhibition industry. Its main business is to host, undertake and jointly hold various large international exhibitions in China. The exhibition venues are located in Shanghai, Beijing, Guangzhou, Shenzhen, Xi'an, Chengdu and other large and medium-sized cities in China. It also organizes Chinese enterprises to participate in overseas exhibitions and overseas visits, undertake large-scale international conferences and cultural activities, and design and build exhibition projects. Beijing Bestway has a professional team at home and abroad with rich experience in exhibition planning and organization, and has refined a set of characteristic marketing models that conform to the development laws of the exhibition industry. It also has extensive and stable customer resources. Under the influence of digital transformation of exhibition enterprises and COVID-19, Beijing Bestway began to change at the end of 2019, and now has formed the core business value of digital intelligence empowerment.</w:t>
      </w:r>
    </w:p>
    <w:p w14:paraId="03FD96AF" w14:textId="77777777" w:rsidR="00075C04" w:rsidRDefault="00000000">
      <w:pPr>
        <w:spacing w:line="480" w:lineRule="auto"/>
        <w:outlineLvl w:val="0"/>
        <w:rPr>
          <w:rFonts w:ascii="Times New Roman" w:hAnsi="Times New Roman" w:cs="Times New Roman"/>
          <w:b/>
          <w:bCs/>
          <w:sz w:val="24"/>
        </w:rPr>
      </w:pPr>
      <w:bookmarkStart w:id="3" w:name="_Toc21766"/>
      <w:r>
        <w:rPr>
          <w:rFonts w:ascii="Times New Roman" w:hAnsi="Times New Roman" w:cs="Times New Roman" w:hint="eastAsia"/>
          <w:b/>
          <w:bCs/>
          <w:sz w:val="24"/>
        </w:rPr>
        <w:t>2. Internal and External Factors Driving Organizational Change</w:t>
      </w:r>
      <w:bookmarkEnd w:id="3"/>
    </w:p>
    <w:p w14:paraId="328A7BC3" w14:textId="77777777" w:rsidR="00075C04" w:rsidRDefault="00000000">
      <w:pPr>
        <w:spacing w:line="480" w:lineRule="auto"/>
        <w:outlineLvl w:val="1"/>
        <w:rPr>
          <w:rFonts w:ascii="Times New Roman" w:hAnsi="Times New Roman" w:cs="Times New Roman"/>
          <w:b/>
          <w:bCs/>
          <w:sz w:val="24"/>
        </w:rPr>
      </w:pPr>
      <w:bookmarkStart w:id="4" w:name="_Toc3634"/>
      <w:r>
        <w:rPr>
          <w:rFonts w:ascii="Times New Roman" w:hAnsi="Times New Roman" w:cs="Times New Roman" w:hint="eastAsia"/>
          <w:b/>
          <w:bCs/>
          <w:sz w:val="24"/>
        </w:rPr>
        <w:t>2.1 PESTLE</w:t>
      </w:r>
      <w:bookmarkEnd w:id="4"/>
    </w:p>
    <w:p w14:paraId="05BAA68F"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Political</w:t>
      </w:r>
    </w:p>
    <w:p w14:paraId="649470B2"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The Chinese government has introduced a policy system to support the development of exhibition enterprises, such as tax incentives, financial support, etc. (Zeng, et al., 2022). Since the outbreak of COVID-19, the Chinese government has encouraged enterprises to change their offline activities to online ones, providing a good policy environment for </w:t>
      </w:r>
      <w:r>
        <w:rPr>
          <w:rFonts w:ascii="Times New Roman" w:hAnsi="Times New Roman" w:cs="Times New Roman"/>
          <w:sz w:val="24"/>
        </w:rPr>
        <w:lastRenderedPageBreak/>
        <w:t>exhibition enterprises.</w:t>
      </w:r>
    </w:p>
    <w:p w14:paraId="2DB45813"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Economic</w:t>
      </w:r>
    </w:p>
    <w:p w14:paraId="7AA38A98"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development of digitalization has pushed China into the era of digital economy. Science and technology have enabled the economy. All industries have actively realized the digital transformation at the strategic level (</w:t>
      </w:r>
      <w:proofErr w:type="spellStart"/>
      <w:r>
        <w:rPr>
          <w:rFonts w:ascii="Times New Roman" w:hAnsi="Times New Roman" w:cs="Times New Roman"/>
          <w:sz w:val="24"/>
        </w:rPr>
        <w:t>Wang&amp;Zhang</w:t>
      </w:r>
      <w:proofErr w:type="spellEnd"/>
      <w:r>
        <w:rPr>
          <w:rFonts w:ascii="Times New Roman" w:hAnsi="Times New Roman" w:cs="Times New Roman"/>
          <w:sz w:val="24"/>
        </w:rPr>
        <w:t>, 2022). At the same time, COVID-19 brings the demand related to the digitization of the exhibition industry.</w:t>
      </w:r>
    </w:p>
    <w:p w14:paraId="6F08E42C"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Socio-cultural</w:t>
      </w:r>
    </w:p>
    <w:p w14:paraId="43266F09"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The traditional convention and exhibition industry is dominated by offline industries, and the flow of people, logistics, and information is highly distributed. From investment invitation, construction, display, negotiation, and transaction, all aspects </w:t>
      </w:r>
      <w:proofErr w:type="spellStart"/>
      <w:r>
        <w:rPr>
          <w:rFonts w:ascii="Times New Roman" w:hAnsi="Times New Roman" w:cs="Times New Roman"/>
          <w:sz w:val="24"/>
        </w:rPr>
        <w:t>can not</w:t>
      </w:r>
      <w:proofErr w:type="spellEnd"/>
      <w:r>
        <w:rPr>
          <w:rFonts w:ascii="Times New Roman" w:hAnsi="Times New Roman" w:cs="Times New Roman"/>
          <w:sz w:val="24"/>
        </w:rPr>
        <w:t xml:space="preserve"> be separated from face-to-face interaction of relevant personnel. The outbreak of COVID-19 led to the cancellation or postponement of all kinds of exhibition activities, prompting exhibition enterprises to launch online marketing exhibitions (King, et al., 2021), and promoting the digital transformation of the exhibition industry.</w:t>
      </w:r>
    </w:p>
    <w:p w14:paraId="347E7A45"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Technological</w:t>
      </w:r>
    </w:p>
    <w:p w14:paraId="73258646"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Cloud computing, big data, 5G technology and other technologies promote the change of exhibition enterprises (</w:t>
      </w:r>
      <w:proofErr w:type="spellStart"/>
      <w:r>
        <w:rPr>
          <w:rFonts w:ascii="Times New Roman" w:hAnsi="Times New Roman" w:cs="Times New Roman"/>
          <w:sz w:val="24"/>
        </w:rPr>
        <w:t>Han&amp;Cui</w:t>
      </w:r>
      <w:proofErr w:type="spellEnd"/>
      <w:r>
        <w:rPr>
          <w:rFonts w:ascii="Times New Roman" w:hAnsi="Times New Roman" w:cs="Times New Roman"/>
          <w:sz w:val="24"/>
        </w:rPr>
        <w:t xml:space="preserve">, 2021). Technology-based change enterprises with high level of digital technology innovation and application have formed unique competitiveness by providing customers with high-quality digital products and services through independent innovation and research and development, such as exhibition enterprise cloud conference platform companies, live broadcast companies, etc. However, enterprises with low level of digital technology innovation and application, such as Beijing Bestway, need to receive </w:t>
      </w:r>
      <w:r>
        <w:rPr>
          <w:rFonts w:ascii="Times New Roman" w:hAnsi="Times New Roman" w:cs="Times New Roman"/>
          <w:sz w:val="24"/>
        </w:rPr>
        <w:lastRenderedPageBreak/>
        <w:t>external technical support, such as virtual studios.</w:t>
      </w:r>
    </w:p>
    <w:p w14:paraId="019D2A23"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Legal</w:t>
      </w:r>
    </w:p>
    <w:p w14:paraId="05663A30"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19th National Congress of the Communist Party of China proposed to speed up the construction of a powerful network country, a digital China and a smart society. The Outline of the Fourteenth Five-Year Plan proposes to accelerate the development of digitalization and build a digital China. In addition, China's Anti-monopoly Law, Anti-unfair Competition Law and Network Security Law supervise the digital change of exhibition enterprises.</w:t>
      </w:r>
    </w:p>
    <w:p w14:paraId="3DD30321"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Eco-environmental</w:t>
      </w:r>
    </w:p>
    <w:p w14:paraId="632BD718"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Digital technology is conducive to promoting the green transformation of the development mode, and has a driving role in energy conservation and environmental protection, clean production, clean energy, ecological environment, green upgrading of infrastructure, green services and other aspects (Zhang, et al., 2023). The integration of digital economy and green economy is an important measure to solve the ecological crisis.</w:t>
      </w:r>
    </w:p>
    <w:p w14:paraId="23E7A6F6"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In general, Beijing Bestway has seized the good opportunities brought by the political, economic and technological environment, carried out digital change, and created new service and business models.</w:t>
      </w:r>
    </w:p>
    <w:p w14:paraId="08FCECC9" w14:textId="77777777" w:rsidR="00075C04" w:rsidRDefault="00000000">
      <w:pPr>
        <w:spacing w:line="480" w:lineRule="auto"/>
        <w:outlineLvl w:val="1"/>
        <w:rPr>
          <w:rFonts w:ascii="Times New Roman" w:hAnsi="Times New Roman" w:cs="Times New Roman"/>
          <w:b/>
          <w:bCs/>
          <w:sz w:val="24"/>
        </w:rPr>
      </w:pPr>
      <w:bookmarkStart w:id="5" w:name="_Toc25649"/>
      <w:r>
        <w:rPr>
          <w:rFonts w:ascii="Times New Roman" w:hAnsi="Times New Roman" w:cs="Times New Roman" w:hint="eastAsia"/>
          <w:b/>
          <w:bCs/>
          <w:sz w:val="24"/>
        </w:rPr>
        <w:t>2.2 SWOT</w:t>
      </w:r>
      <w:bookmarkEnd w:id="5"/>
    </w:p>
    <w:p w14:paraId="6A147E15"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Strengths</w:t>
      </w:r>
    </w:p>
    <w:p w14:paraId="2F35EC22"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Resource advantages</w:t>
      </w:r>
    </w:p>
    <w:p w14:paraId="42B09B89"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Beijing Bestway has the advantages of technical resources, customer resources, supplier resources, human resources and other resources. Beijing Bestway has signed strategic cooperation agreements with various leading enterprises to strengthen the construction of </w:t>
      </w:r>
      <w:r>
        <w:rPr>
          <w:rFonts w:ascii="Times New Roman" w:hAnsi="Times New Roman" w:cs="Times New Roman"/>
          <w:sz w:val="24"/>
        </w:rPr>
        <w:lastRenderedPageBreak/>
        <w:t>resource sharing platforms and win-win cooperation.</w:t>
      </w:r>
    </w:p>
    <w:p w14:paraId="0C4B9FAE"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Experience advantages</w:t>
      </w:r>
    </w:p>
    <w:p w14:paraId="4C397F92"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 has been focusing on providing "one-stop" solutions for enterprise customers for many years, with standardized operation process and rich experience. Through continuous change and innovation, it has become a leading enterprise serving institutional customers and constantly creating value for corporate customers.</w:t>
      </w:r>
    </w:p>
    <w:p w14:paraId="54DFE811"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Technical advantages</w:t>
      </w:r>
    </w:p>
    <w:p w14:paraId="2CD6C0D3"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 has been exploring the changes brought by technology to the industry for a long time, and actively carries out practical applications. Up to now, Beijing Bestway has developed its own cloud conference live broadcast platform, with integrated business system, and realized online inquiry and quotation.</w:t>
      </w:r>
    </w:p>
    <w:p w14:paraId="45B020AA"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hint="eastAsia"/>
          <w:b/>
          <w:bCs/>
          <w:i/>
          <w:iCs/>
          <w:sz w:val="24"/>
        </w:rPr>
        <w:t>W</w:t>
      </w:r>
      <w:r>
        <w:rPr>
          <w:rFonts w:ascii="Times New Roman" w:hAnsi="Times New Roman" w:cs="Times New Roman"/>
          <w:b/>
          <w:bCs/>
          <w:i/>
          <w:iCs/>
          <w:sz w:val="24"/>
        </w:rPr>
        <w:t>eaknesses</w:t>
      </w:r>
    </w:p>
    <w:p w14:paraId="10E1F493"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Traditional services account for a large proportion</w:t>
      </w:r>
    </w:p>
    <w:p w14:paraId="47706493"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Most of the existing exhibition business of Beijing Bestway belongs to the traditional offline service model. This mature business model is difficult to change, making change subject to certain resistance.</w:t>
      </w:r>
    </w:p>
    <w:p w14:paraId="3DCF2595"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Lack of digital talents</w:t>
      </w:r>
    </w:p>
    <w:p w14:paraId="4EE19839"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In the past, Beijing Bestway's talents were mainly traditional convention and exhibition elites, who lacked the concept of digital marketing and core capabilities related to digital. If we recruit digital professionals from the time we decide to change, we still need a certain period of adaptation. Therefore, the lack of digital talents is a serious disadvantage of Beijing Bestway's digital change.</w:t>
      </w:r>
    </w:p>
    <w:p w14:paraId="3F99AD68"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lastRenderedPageBreak/>
        <w:t>·</w:t>
      </w:r>
      <w:r>
        <w:rPr>
          <w:rFonts w:ascii="Times New Roman" w:hAnsi="Times New Roman" w:cs="Times New Roman"/>
          <w:sz w:val="24"/>
        </w:rPr>
        <w:t>The business platform for digital transformation has not been completed</w:t>
      </w:r>
    </w:p>
    <w:p w14:paraId="059E3B70"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Bestway's business integration platform has not been fully opened, making it difficult for data to play a role. Therefore, Beijing Bestway is still in the state of information island (</w:t>
      </w:r>
      <w:proofErr w:type="spellStart"/>
      <w:r>
        <w:rPr>
          <w:rFonts w:ascii="Times New Roman" w:hAnsi="Times New Roman" w:cs="Times New Roman"/>
          <w:sz w:val="24"/>
        </w:rPr>
        <w:t>Bhimani</w:t>
      </w:r>
      <w:proofErr w:type="spellEnd"/>
      <w:r>
        <w:rPr>
          <w:rFonts w:ascii="Times New Roman" w:hAnsi="Times New Roman" w:cs="Times New Roman"/>
          <w:sz w:val="24"/>
        </w:rPr>
        <w:t>, 2020), and it is difficult to carry out intelligent analysis and prediction.</w:t>
      </w:r>
    </w:p>
    <w:p w14:paraId="225AE432"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hint="eastAsia"/>
          <w:b/>
          <w:bCs/>
          <w:i/>
          <w:iCs/>
          <w:sz w:val="24"/>
        </w:rPr>
        <w:t>Opportunities</w:t>
      </w:r>
    </w:p>
    <w:p w14:paraId="13F127F6"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Policy opportunities</w:t>
      </w:r>
    </w:p>
    <w:p w14:paraId="2596BB05"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At the policy level, China has guided and strongly supported exhibition enterprises to carry out digital transformation, and encouraged these enterprises to improve their work efficiency and promote economic development through innovative business models and change management.</w:t>
      </w:r>
    </w:p>
    <w:p w14:paraId="22918091"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Market opportunities</w:t>
      </w:r>
    </w:p>
    <w:p w14:paraId="42FDF4AC"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outbreak of COVID-19 has led to the rapid development of the digital economy and stimulated people's demand for digital products. More and more enterprises have begun digital transformation (Markopoulos, et al., 2021), for example, online investment promotion, online exhibition, etc.</w:t>
      </w:r>
    </w:p>
    <w:p w14:paraId="23A03497"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Technical opportunities</w:t>
      </w:r>
    </w:p>
    <w:p w14:paraId="540E50FB"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Cloud computing, big data, 5G, artificial intelligence and other technologies have brought change opportunities for exhibition enterprises (</w:t>
      </w:r>
      <w:proofErr w:type="spellStart"/>
      <w:r>
        <w:rPr>
          <w:rFonts w:ascii="Times New Roman" w:hAnsi="Times New Roman" w:cs="Times New Roman"/>
          <w:sz w:val="24"/>
        </w:rPr>
        <w:t>Fletcher&amp;Griffiths</w:t>
      </w:r>
      <w:proofErr w:type="spellEnd"/>
      <w:r>
        <w:rPr>
          <w:rFonts w:ascii="Times New Roman" w:hAnsi="Times New Roman" w:cs="Times New Roman"/>
          <w:sz w:val="24"/>
        </w:rPr>
        <w:t xml:space="preserve">, 2020). Technology is the core and technology </w:t>
      </w:r>
      <w:proofErr w:type="gramStart"/>
      <w:r>
        <w:rPr>
          <w:rFonts w:ascii="Times New Roman" w:hAnsi="Times New Roman" w:cs="Times New Roman"/>
          <w:sz w:val="24"/>
        </w:rPr>
        <w:t>is</w:t>
      </w:r>
      <w:proofErr w:type="gramEnd"/>
      <w:r>
        <w:rPr>
          <w:rFonts w:ascii="Times New Roman" w:hAnsi="Times New Roman" w:cs="Times New Roman"/>
          <w:sz w:val="24"/>
        </w:rPr>
        <w:t xml:space="preserve"> the premise. Science and technology can promote the change management mode and operation mode of exhibition enterprises and gain new development vitality.</w:t>
      </w:r>
    </w:p>
    <w:p w14:paraId="44459C01"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Threats</w:t>
      </w:r>
    </w:p>
    <w:p w14:paraId="3D7E9EA4"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lastRenderedPageBreak/>
        <w:t>·</w:t>
      </w:r>
      <w:r>
        <w:rPr>
          <w:rFonts w:ascii="Times New Roman" w:hAnsi="Times New Roman" w:cs="Times New Roman"/>
          <w:sz w:val="24"/>
        </w:rPr>
        <w:t>The uncertainty of the arrival of COVID-19</w:t>
      </w:r>
    </w:p>
    <w:p w14:paraId="3D98CFF9"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With the comprehensive opening up of China, offline activities have resumed, and the preparation of Beijing Bestway for online exhibition activities may cause resource waste. COVID-19 will continue to affect people's behavior and market demand for a period of time, making the future business of Beijing Bestway face greater uncertainty.</w:t>
      </w:r>
    </w:p>
    <w:p w14:paraId="2A6F477E"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Data security</w:t>
      </w:r>
    </w:p>
    <w:p w14:paraId="0A1683EB"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digital change of exhibition enterprises needs to use the network to process a large amount of data, which involves the security and authority of data storage. Network security will inevitably pose a threat to the digital change of exhibition enterprises.</w:t>
      </w:r>
    </w:p>
    <w:p w14:paraId="1CCF8B5D"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In general, the internal environment of Beijing Bestway is shown in Table 1:</w:t>
      </w:r>
    </w:p>
    <w:p w14:paraId="61224314" w14:textId="77777777" w:rsidR="00075C04" w:rsidRDefault="00000000">
      <w:pPr>
        <w:spacing w:line="480" w:lineRule="auto"/>
        <w:rPr>
          <w:rFonts w:ascii="Times New Roman" w:hAnsi="Times New Roman" w:cs="Times New Roman"/>
          <w:sz w:val="24"/>
        </w:rPr>
      </w:pPr>
      <w:r>
        <w:rPr>
          <w:rFonts w:ascii="Times New Roman" w:hAnsi="Times New Roman" w:cs="Times New Roman"/>
          <w:sz w:val="24"/>
        </w:rPr>
        <w:t>Table 1</w:t>
      </w:r>
      <w:r>
        <w:rPr>
          <w:rFonts w:ascii="Times New Roman" w:hAnsi="Times New Roman" w:cs="Times New Roman" w:hint="eastAsia"/>
          <w:sz w:val="24"/>
        </w:rPr>
        <w:t>:</w:t>
      </w:r>
      <w:r>
        <w:rPr>
          <w:rFonts w:ascii="Times New Roman" w:hAnsi="Times New Roman" w:cs="Times New Roman"/>
          <w:sz w:val="24"/>
        </w:rPr>
        <w:t xml:space="preserve"> SWOT analysis</w:t>
      </w:r>
    </w:p>
    <w:tbl>
      <w:tblPr>
        <w:tblStyle w:val="a5"/>
        <w:tblW w:w="5000" w:type="pct"/>
        <w:tblLook w:val="04A0" w:firstRow="1" w:lastRow="0" w:firstColumn="1" w:lastColumn="0" w:noHBand="0" w:noVBand="1"/>
      </w:tblPr>
      <w:tblGrid>
        <w:gridCol w:w="4621"/>
        <w:gridCol w:w="4621"/>
      </w:tblGrid>
      <w:tr w:rsidR="00075C04" w14:paraId="734545D7" w14:textId="77777777">
        <w:tc>
          <w:tcPr>
            <w:tcW w:w="2500" w:type="pct"/>
            <w:shd w:val="clear" w:color="auto" w:fill="FFF2CD" w:themeFill="accent4" w:themeFillTint="32"/>
          </w:tcPr>
          <w:p w14:paraId="7A743D5D"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29076418" wp14:editId="1B97C86F">
                      <wp:simplePos x="0" y="0"/>
                      <wp:positionH relativeFrom="column">
                        <wp:posOffset>627380</wp:posOffset>
                      </wp:positionH>
                      <wp:positionV relativeFrom="paragraph">
                        <wp:posOffset>-212090</wp:posOffset>
                      </wp:positionV>
                      <wp:extent cx="1250315" cy="1751965"/>
                      <wp:effectExtent l="0" t="0" r="0" b="0"/>
                      <wp:wrapNone/>
                      <wp:docPr id="44" name="矩形 44"/>
                      <wp:cNvGraphicFramePr/>
                      <a:graphic xmlns:a="http://schemas.openxmlformats.org/drawingml/2006/main">
                        <a:graphicData uri="http://schemas.microsoft.com/office/word/2010/wordprocessingShape">
                          <wps:wsp>
                            <wps:cNvSpPr/>
                            <wps:spPr>
                              <a:xfrm>
                                <a:off x="0" y="0"/>
                                <a:ext cx="1250315" cy="175196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57635B" w14:textId="77777777" w:rsidR="00075C04" w:rsidRDefault="00000000">
                                  <w:pPr>
                                    <w:jc w:val="center"/>
                                    <w:rPr>
                                      <w:b/>
                                      <w:bCs/>
                                      <w:sz w:val="220"/>
                                      <w:szCs w:val="220"/>
                                    </w:rPr>
                                  </w:pPr>
                                  <w:r>
                                    <w:rPr>
                                      <w:rFonts w:hint="eastAsia"/>
                                      <w:b/>
                                      <w:bCs/>
                                      <w:sz w:val="96"/>
                                      <w:szCs w:val="96"/>
                                    </w:rPr>
                                    <w:t>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_x0000_s1026" o:spid="_x0000_s1026" o:spt="1" style="position:absolute;left:0pt;margin-left:49.4pt;margin-top:-16.7pt;height:137.95pt;width:98.45pt;z-index:251662336;v-text-anchor:middle;mso-width-relative:page;mso-height-relative:page;" filled="f" stroked="f" coordsize="21600,21600" o:gfxdata="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Aybgc12QAAAAoBAAAPAAAAAAAAAAEAIAAAACIAAABkcnMvZG93bnJldi54bWxQSwECFAAU&#10;AAAACACHTuJAa7ryw2ICAACwBAAADgAAAAAAAAABACAAAAAoAQAAZHJzL2Uyb0RvYy54bWxQSwUG&#10;AAAAAAYABgBZAQAA/AUAAAAA&#10;">
                      <v:fill on="f" focussize="0,0"/>
                      <v:stroke on="f" weight="1pt" miterlimit="8" joinstyle="miter"/>
                      <v:imagedata o:title=""/>
                      <o:lock v:ext="edit" aspectratio="f"/>
                      <v:textbox>
                        <w:txbxContent>
                          <w:p>
                            <w:pPr>
                              <w:jc w:val="center"/>
                              <w:rPr>
                                <w:b/>
                                <w:bCs/>
                                <w:sz w:val="220"/>
                                <w:szCs w:val="220"/>
                              </w:rPr>
                            </w:pPr>
                            <w:r>
                              <w:rPr>
                                <w:rFonts w:hint="eastAsia"/>
                                <w:b/>
                                <w:bCs/>
                                <w:sz w:val="96"/>
                                <w:szCs w:val="96"/>
                              </w:rPr>
                              <w:t>S</w:t>
                            </w:r>
                          </w:p>
                        </w:txbxContent>
                      </v:textbox>
                    </v:rect>
                  </w:pict>
                </mc:Fallback>
              </mc:AlternateContent>
            </w:r>
            <w:r>
              <w:rPr>
                <w:rFonts w:ascii="Times New Roman" w:hAnsi="Times New Roman" w:cs="Times New Roman"/>
              </w:rPr>
              <w:t>Fundamentals of digital technology</w:t>
            </w:r>
          </w:p>
          <w:p w14:paraId="58631697"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Exhibition business experience</w:t>
            </w:r>
          </w:p>
          <w:p w14:paraId="6C6677CB"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Supplier accumulation (including new technology)</w:t>
            </w:r>
          </w:p>
          <w:p w14:paraId="320E97E4"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Rich customer resources</w:t>
            </w:r>
          </w:p>
          <w:p w14:paraId="74E5C417" w14:textId="77777777" w:rsidR="00075C04" w:rsidRDefault="0000000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8F10A64" wp14:editId="42285D6B">
                      <wp:simplePos x="0" y="0"/>
                      <wp:positionH relativeFrom="column">
                        <wp:posOffset>735330</wp:posOffset>
                      </wp:positionH>
                      <wp:positionV relativeFrom="paragraph">
                        <wp:posOffset>325120</wp:posOffset>
                      </wp:positionV>
                      <wp:extent cx="1054100" cy="1181100"/>
                      <wp:effectExtent l="0" t="0" r="0" b="0"/>
                      <wp:wrapNone/>
                      <wp:docPr id="46" name="矩形 46"/>
                      <wp:cNvGraphicFramePr/>
                      <a:graphic xmlns:a="http://schemas.openxmlformats.org/drawingml/2006/main">
                        <a:graphicData uri="http://schemas.microsoft.com/office/word/2010/wordprocessingShape">
                          <wps:wsp>
                            <wps:cNvSpPr/>
                            <wps:spPr>
                              <a:xfrm>
                                <a:off x="0" y="0"/>
                                <a:ext cx="1054100" cy="11811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84C6B7" w14:textId="77777777" w:rsidR="00075C04" w:rsidRDefault="00000000">
                                  <w:pPr>
                                    <w:jc w:val="center"/>
                                    <w:rPr>
                                      <w:b/>
                                      <w:bCs/>
                                      <w:sz w:val="48"/>
                                      <w:szCs w:val="48"/>
                                    </w:rPr>
                                  </w:pPr>
                                  <w:r>
                                    <w:rPr>
                                      <w:rFonts w:hint="eastAsia"/>
                                      <w:b/>
                                      <w:bCs/>
                                      <w:sz w:val="96"/>
                                      <w:szCs w:val="96"/>
                                    </w:rPr>
                                    <w:t>O</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_x0000_s1026" o:spid="_x0000_s1026" o:spt="1" style="position:absolute;left:0pt;margin-left:57.9pt;margin-top:25.6pt;height:93pt;width:83pt;z-index:251660288;v-text-anchor:middle;mso-width-relative:page;mso-height-relative:page;" filled="f" stroked="f" coordsize="21600,21600" o:gfxdata="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Mkh&#10;O0XWAAAACgEAAA8AAAAAAAAAAQAgAAAAIgAAAGRycy9kb3ducmV2LnhtbFBLAQIUABQAAAAIAIdO&#10;4kA5eii8XgIAALAEAAAOAAAAAAAAAAEAIAAAACUBAABkcnMvZTJvRG9jLnhtbFBLBQYAAAAABgAG&#10;AFkBAAD1BQAAAAA=&#10;">
                      <v:fill on="f" focussize="0,0"/>
                      <v:stroke on="f" weight="1pt" miterlimit="8" joinstyle="miter"/>
                      <v:imagedata o:title=""/>
                      <o:lock v:ext="edit" aspectratio="f"/>
                      <v:textbox>
                        <w:txbxContent>
                          <w:p>
                            <w:pPr>
                              <w:jc w:val="center"/>
                              <w:rPr>
                                <w:b/>
                                <w:bCs/>
                                <w:sz w:val="48"/>
                                <w:szCs w:val="48"/>
                              </w:rPr>
                            </w:pPr>
                            <w:r>
                              <w:rPr>
                                <w:rFonts w:hint="eastAsia"/>
                                <w:b/>
                                <w:bCs/>
                                <w:sz w:val="96"/>
                                <w:szCs w:val="96"/>
                              </w:rPr>
                              <w:t>O</w:t>
                            </w:r>
                          </w:p>
                        </w:txbxContent>
                      </v:textbox>
                    </v:rect>
                  </w:pict>
                </mc:Fallback>
              </mc:AlternateContent>
            </w:r>
            <w:r>
              <w:rPr>
                <w:rFonts w:ascii="Times New Roman" w:hAnsi="Times New Roman" w:cs="Times New Roman" w:hint="eastAsia"/>
                <w:szCs w:val="21"/>
              </w:rPr>
              <w:t>·</w:t>
            </w:r>
            <w:r>
              <w:rPr>
                <w:rFonts w:ascii="Times New Roman" w:hAnsi="Times New Roman" w:cs="Times New Roman"/>
              </w:rPr>
              <w:t>Financial capacity guarantee</w:t>
            </w:r>
          </w:p>
        </w:tc>
        <w:tc>
          <w:tcPr>
            <w:tcW w:w="2500" w:type="pct"/>
            <w:shd w:val="clear" w:color="auto" w:fill="F4B083" w:themeFill="accent2" w:themeFillTint="99"/>
          </w:tcPr>
          <w:p w14:paraId="2DA0A463"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194A977" wp14:editId="5F35FAAB">
                      <wp:simplePos x="0" y="0"/>
                      <wp:positionH relativeFrom="column">
                        <wp:posOffset>766445</wp:posOffset>
                      </wp:positionH>
                      <wp:positionV relativeFrom="paragraph">
                        <wp:posOffset>82550</wp:posOffset>
                      </wp:positionV>
                      <wp:extent cx="1002665" cy="1162050"/>
                      <wp:effectExtent l="0" t="0" r="0" b="0"/>
                      <wp:wrapNone/>
                      <wp:docPr id="45" name="矩形 45"/>
                      <wp:cNvGraphicFramePr/>
                      <a:graphic xmlns:a="http://schemas.openxmlformats.org/drawingml/2006/main">
                        <a:graphicData uri="http://schemas.microsoft.com/office/word/2010/wordprocessingShape">
                          <wps:wsp>
                            <wps:cNvSpPr/>
                            <wps:spPr>
                              <a:xfrm>
                                <a:off x="0" y="0"/>
                                <a:ext cx="1002665" cy="11620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B7A00E" w14:textId="77777777" w:rsidR="00075C04" w:rsidRDefault="00000000">
                                  <w:pPr>
                                    <w:jc w:val="center"/>
                                    <w:rPr>
                                      <w:b/>
                                      <w:bCs/>
                                      <w:sz w:val="200"/>
                                      <w:szCs w:val="200"/>
                                    </w:rPr>
                                  </w:pPr>
                                  <w:r>
                                    <w:rPr>
                                      <w:rFonts w:hint="eastAsia"/>
                                      <w:b/>
                                      <w:bCs/>
                                      <w:sz w:val="72"/>
                                      <w:szCs w:val="72"/>
                                    </w:rPr>
                                    <w:t>W</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_x0000_s1026" o:spid="_x0000_s1026" o:spt="1" style="position:absolute;left:0pt;margin-left:60.35pt;margin-top:6.5pt;height:91.5pt;width:78.95pt;z-index:251663360;v-text-anchor:middle;mso-width-relative:page;mso-height-relative:page;" filled="f" stroked="f" coordsize="21600,21600" o:gfxdata="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DDY20/1wAAAAoBAAAPAAAAAAAAAAEAIAAAACIAAABkcnMvZG93bnJldi54bWxQSwECFAAUAAAA&#10;CACHTuJA/P1bs2ECAACwBAAADgAAAAAAAAABACAAAAAmAQAAZHJzL2Uyb0RvYy54bWxQSwUGAAAA&#10;AAYABgBZAQAA+QUAAAAA&#10;">
                      <v:fill on="f" focussize="0,0"/>
                      <v:stroke on="f" weight="1pt" miterlimit="8" joinstyle="miter"/>
                      <v:imagedata o:title=""/>
                      <o:lock v:ext="edit" aspectratio="f"/>
                      <v:textbox>
                        <w:txbxContent>
                          <w:p>
                            <w:pPr>
                              <w:jc w:val="center"/>
                              <w:rPr>
                                <w:b/>
                                <w:bCs/>
                                <w:sz w:val="200"/>
                                <w:szCs w:val="200"/>
                              </w:rPr>
                            </w:pPr>
                            <w:r>
                              <w:rPr>
                                <w:rFonts w:hint="eastAsia"/>
                                <w:b/>
                                <w:bCs/>
                                <w:sz w:val="72"/>
                                <w:szCs w:val="72"/>
                              </w:rPr>
                              <w:t>W</w:t>
                            </w:r>
                          </w:p>
                        </w:txbxContent>
                      </v:textbox>
                    </v:rect>
                  </w:pict>
                </mc:Fallback>
              </mc:AlternateContent>
            </w:r>
            <w:r>
              <w:rPr>
                <w:rFonts w:ascii="Times New Roman" w:hAnsi="Times New Roman" w:cs="Times New Roman"/>
              </w:rPr>
              <w:t>The concept of digitalization and the shortage of digitalized talents</w:t>
            </w:r>
          </w:p>
          <w:p w14:paraId="06CF3186"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Insufficient digital pioneering power</w:t>
            </w:r>
          </w:p>
          <w:p w14:paraId="55ABA710"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The industrial chain platform is not connected</w:t>
            </w:r>
          </w:p>
          <w:p w14:paraId="3534F24C"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Data dispersion is not effective</w:t>
            </w:r>
          </w:p>
          <w:p w14:paraId="4B400D26"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The transformation plan is not clear</w:t>
            </w:r>
          </w:p>
        </w:tc>
      </w:tr>
      <w:tr w:rsidR="00075C04" w14:paraId="06965C3B" w14:textId="77777777">
        <w:tc>
          <w:tcPr>
            <w:tcW w:w="2500" w:type="pct"/>
            <w:shd w:val="clear" w:color="auto" w:fill="C5E0B3" w:themeFill="accent6" w:themeFillTint="66"/>
          </w:tcPr>
          <w:p w14:paraId="43953D8B"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National encouragement and policy support</w:t>
            </w:r>
          </w:p>
          <w:p w14:paraId="4F66E1D3"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Digital economy, application increase</w:t>
            </w:r>
          </w:p>
          <w:p w14:paraId="38F23DCF"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Promotion of COVID-19</w:t>
            </w:r>
          </w:p>
          <w:p w14:paraId="403A0617"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Technology development drives change</w:t>
            </w:r>
          </w:p>
          <w:p w14:paraId="0D087CAC"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Change of industrial chain enterprises</w:t>
            </w:r>
          </w:p>
        </w:tc>
        <w:tc>
          <w:tcPr>
            <w:tcW w:w="2500" w:type="pct"/>
            <w:shd w:val="clear" w:color="auto" w:fill="E096CC"/>
          </w:tcPr>
          <w:p w14:paraId="19A37D92"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34DE540E" wp14:editId="504B6012">
                      <wp:simplePos x="0" y="0"/>
                      <wp:positionH relativeFrom="column">
                        <wp:posOffset>798195</wp:posOffset>
                      </wp:positionH>
                      <wp:positionV relativeFrom="paragraph">
                        <wp:posOffset>3810</wp:posOffset>
                      </wp:positionV>
                      <wp:extent cx="1066165" cy="971550"/>
                      <wp:effectExtent l="0" t="0" r="0" b="0"/>
                      <wp:wrapNone/>
                      <wp:docPr id="47" name="矩形 47"/>
                      <wp:cNvGraphicFramePr/>
                      <a:graphic xmlns:a="http://schemas.openxmlformats.org/drawingml/2006/main">
                        <a:graphicData uri="http://schemas.microsoft.com/office/word/2010/wordprocessingShape">
                          <wps:wsp>
                            <wps:cNvSpPr/>
                            <wps:spPr>
                              <a:xfrm>
                                <a:off x="0" y="0"/>
                                <a:ext cx="1066165" cy="9715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6D5E1B" w14:textId="77777777" w:rsidR="00075C04" w:rsidRDefault="00000000">
                                  <w:pPr>
                                    <w:jc w:val="center"/>
                                    <w:rPr>
                                      <w:b/>
                                      <w:bCs/>
                                      <w:sz w:val="96"/>
                                      <w:szCs w:val="96"/>
                                    </w:rPr>
                                  </w:pPr>
                                  <w:r>
                                    <w:rPr>
                                      <w:rFonts w:hint="eastAsia"/>
                                      <w:b/>
                                      <w:bCs/>
                                      <w:sz w:val="96"/>
                                      <w:szCs w:val="96"/>
                                    </w:rPr>
                                    <w:t>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_x0000_s1026" o:spid="_x0000_s1026" o:spt="1" style="position:absolute;left:0pt;margin-left:62.85pt;margin-top:0.3pt;height:76.5pt;width:83.95pt;z-index:251661312;v-text-anchor:middle;mso-width-relative:page;mso-height-relative:page;" filled="f" stroked="f" coordsize="21600,21600" o:gfxdata="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AAAAAZHJzL1BLAQIUABQAAAAIAIdO4kDx&#10;oZnd1AAAAAgBAAAPAAAAAAAAAAEAIAAAACIAAABkcnMvZG93bnJldi54bWxQSwECFAAUAAAACACH&#10;TuJACCFxe2ECAACvBAAADgAAAAAAAAABACAAAAAjAQAAZHJzL2Uyb0RvYy54bWxQSwUGAAAAAAYA&#10;BgBZAQAA9gUAAAAA&#10;">
                      <v:fill on="f" focussize="0,0"/>
                      <v:stroke on="f" weight="1pt" miterlimit="8" joinstyle="miter"/>
                      <v:imagedata o:title=""/>
                      <o:lock v:ext="edit" aspectratio="f"/>
                      <v:textbox>
                        <w:txbxContent>
                          <w:p>
                            <w:pPr>
                              <w:jc w:val="center"/>
                              <w:rPr>
                                <w:b/>
                                <w:bCs/>
                                <w:sz w:val="96"/>
                                <w:szCs w:val="96"/>
                              </w:rPr>
                            </w:pPr>
                            <w:r>
                              <w:rPr>
                                <w:rFonts w:hint="eastAsia"/>
                                <w:b/>
                                <w:bCs/>
                                <w:sz w:val="96"/>
                                <w:szCs w:val="96"/>
                              </w:rPr>
                              <w:t>T</w:t>
                            </w:r>
                          </w:p>
                        </w:txbxContent>
                      </v:textbox>
                    </v:rect>
                  </w:pict>
                </mc:Fallback>
              </mc:AlternateContent>
            </w:r>
            <w:r>
              <w:rPr>
                <w:rFonts w:ascii="Times New Roman" w:hAnsi="Times New Roman" w:cs="Times New Roman"/>
              </w:rPr>
              <w:t>Uncertainty of COVID-19</w:t>
            </w:r>
          </w:p>
          <w:p w14:paraId="30150E86"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Economic environment affects development</w:t>
            </w:r>
          </w:p>
          <w:p w14:paraId="32DB0545"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Data and network security threats</w:t>
            </w:r>
          </w:p>
          <w:p w14:paraId="1765F2B3"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Competitor transformation threat</w:t>
            </w:r>
          </w:p>
          <w:p w14:paraId="3D1C6D35" w14:textId="77777777" w:rsidR="00075C04" w:rsidRDefault="00000000">
            <w:pPr>
              <w:rPr>
                <w:rFonts w:ascii="Times New Roman" w:hAnsi="Times New Roman" w:cs="Times New Roman"/>
              </w:rPr>
            </w:pPr>
            <w:r>
              <w:rPr>
                <w:rFonts w:ascii="Times New Roman" w:hAnsi="Times New Roman" w:cs="Times New Roman" w:hint="eastAsia"/>
                <w:szCs w:val="21"/>
              </w:rPr>
              <w:t>·</w:t>
            </w:r>
            <w:r>
              <w:rPr>
                <w:rFonts w:ascii="Times New Roman" w:hAnsi="Times New Roman" w:cs="Times New Roman"/>
              </w:rPr>
              <w:t>Threats from cross-border competitors</w:t>
            </w:r>
          </w:p>
        </w:tc>
      </w:tr>
    </w:tbl>
    <w:p w14:paraId="515CEBF8" w14:textId="77777777" w:rsidR="00075C04" w:rsidRDefault="00000000">
      <w:pPr>
        <w:spacing w:line="480" w:lineRule="auto"/>
        <w:outlineLvl w:val="1"/>
        <w:rPr>
          <w:rFonts w:ascii="Times New Roman" w:hAnsi="Times New Roman" w:cs="Times New Roman"/>
          <w:b/>
          <w:bCs/>
          <w:sz w:val="24"/>
        </w:rPr>
      </w:pPr>
      <w:bookmarkStart w:id="6" w:name="_Toc10653"/>
      <w:r>
        <w:rPr>
          <w:rFonts w:ascii="Times New Roman" w:hAnsi="Times New Roman" w:cs="Times New Roman" w:hint="eastAsia"/>
          <w:b/>
          <w:bCs/>
          <w:sz w:val="24"/>
        </w:rPr>
        <w:t>2.3 S</w:t>
      </w:r>
      <w:r>
        <w:rPr>
          <w:rFonts w:ascii="Times New Roman" w:hAnsi="Times New Roman" w:cs="Times New Roman"/>
          <w:b/>
          <w:bCs/>
          <w:sz w:val="24"/>
        </w:rPr>
        <w:t>takeholder</w:t>
      </w:r>
      <w:bookmarkEnd w:id="6"/>
    </w:p>
    <w:p w14:paraId="74D56D32"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The exhibition elements include exhibitors, exhibitors, trading platforms and commodity information platforms, and its main body is exhibitors, exhibitors and exhibition halls. Exhibition activities are formed by the cooperation of the government, exhibition organizers, exhibitors, exhibitors and exhibition enterprises. Therefore, they are all stakeholders of exhibition </w:t>
      </w:r>
      <w:proofErr w:type="spellStart"/>
      <w:proofErr w:type="gramStart"/>
      <w:r>
        <w:rPr>
          <w:rFonts w:ascii="Times New Roman" w:hAnsi="Times New Roman" w:cs="Times New Roman"/>
          <w:sz w:val="24"/>
        </w:rPr>
        <w:t>enterprises.The</w:t>
      </w:r>
      <w:proofErr w:type="spellEnd"/>
      <w:proofErr w:type="gramEnd"/>
      <w:r>
        <w:rPr>
          <w:rFonts w:ascii="Times New Roman" w:hAnsi="Times New Roman" w:cs="Times New Roman"/>
          <w:sz w:val="24"/>
        </w:rPr>
        <w:t xml:space="preserve"> stakeholders of Beijing Bestway are shown in Table </w:t>
      </w:r>
      <w:r>
        <w:rPr>
          <w:rFonts w:ascii="Times New Roman" w:hAnsi="Times New Roman" w:cs="Times New Roman" w:hint="eastAsia"/>
          <w:sz w:val="24"/>
        </w:rPr>
        <w:t>2</w:t>
      </w:r>
      <w:r>
        <w:rPr>
          <w:rFonts w:ascii="Times New Roman" w:hAnsi="Times New Roman" w:cs="Times New Roman"/>
          <w:sz w:val="24"/>
        </w:rPr>
        <w:t>:</w:t>
      </w:r>
    </w:p>
    <w:p w14:paraId="3ACB0AC7" w14:textId="77777777" w:rsidR="00075C04" w:rsidRDefault="00000000">
      <w:pPr>
        <w:spacing w:line="480" w:lineRule="auto"/>
        <w:rPr>
          <w:rFonts w:ascii="Times New Roman" w:hAnsi="Times New Roman" w:cs="Times New Roman"/>
          <w:sz w:val="24"/>
        </w:rPr>
      </w:pPr>
      <w:r>
        <w:rPr>
          <w:rFonts w:ascii="Times New Roman" w:hAnsi="Times New Roman" w:cs="Times New Roman"/>
          <w:sz w:val="24"/>
        </w:rPr>
        <w:lastRenderedPageBreak/>
        <w:t xml:space="preserve">Table </w:t>
      </w:r>
      <w:r>
        <w:rPr>
          <w:rFonts w:ascii="Times New Roman" w:hAnsi="Times New Roman" w:cs="Times New Roman" w:hint="eastAsia"/>
          <w:sz w:val="24"/>
        </w:rPr>
        <w:t>2</w:t>
      </w:r>
      <w:r>
        <w:rPr>
          <w:rFonts w:ascii="Times New Roman" w:hAnsi="Times New Roman" w:cs="Times New Roman" w:hint="eastAsia"/>
          <w:sz w:val="24"/>
        </w:rPr>
        <w:t>：</w:t>
      </w:r>
      <w:r>
        <w:rPr>
          <w:rFonts w:ascii="Times New Roman" w:hAnsi="Times New Roman" w:cs="Times New Roman"/>
          <w:sz w:val="24"/>
        </w:rPr>
        <w:t>Organizational stakeholders</w:t>
      </w:r>
    </w:p>
    <w:tbl>
      <w:tblPr>
        <w:tblStyle w:val="a5"/>
        <w:tblW w:w="4999" w:type="pct"/>
        <w:tblLook w:val="04A0" w:firstRow="1" w:lastRow="0" w:firstColumn="1" w:lastColumn="0" w:noHBand="0" w:noVBand="1"/>
      </w:tblPr>
      <w:tblGrid>
        <w:gridCol w:w="2260"/>
        <w:gridCol w:w="6980"/>
      </w:tblGrid>
      <w:tr w:rsidR="00075C04" w14:paraId="1511E844" w14:textId="77777777">
        <w:tc>
          <w:tcPr>
            <w:tcW w:w="1223" w:type="pct"/>
            <w:tcBorders>
              <w:left w:val="nil"/>
            </w:tcBorders>
            <w:shd w:val="clear" w:color="auto" w:fill="F7CAAC" w:themeFill="accent2" w:themeFillTint="66"/>
          </w:tcPr>
          <w:p w14:paraId="1A6958A0"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Stakeholder categories</w:t>
            </w:r>
          </w:p>
        </w:tc>
        <w:tc>
          <w:tcPr>
            <w:tcW w:w="3776" w:type="pct"/>
            <w:tcBorders>
              <w:right w:val="nil"/>
            </w:tcBorders>
            <w:shd w:val="clear" w:color="auto" w:fill="F7CAAC" w:themeFill="accent2" w:themeFillTint="66"/>
          </w:tcPr>
          <w:p w14:paraId="5679ADEB"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Specific stakeholders</w:t>
            </w:r>
          </w:p>
        </w:tc>
      </w:tr>
      <w:tr w:rsidR="00075C04" w14:paraId="7B42D974" w14:textId="77777777">
        <w:tc>
          <w:tcPr>
            <w:tcW w:w="1223" w:type="pct"/>
            <w:tcBorders>
              <w:left w:val="nil"/>
            </w:tcBorders>
            <w:shd w:val="clear" w:color="auto" w:fill="E7E6E6" w:themeFill="background2"/>
          </w:tcPr>
          <w:p w14:paraId="6B082EA6"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Core stakeholders</w:t>
            </w:r>
          </w:p>
        </w:tc>
        <w:tc>
          <w:tcPr>
            <w:tcW w:w="3776" w:type="pct"/>
            <w:tcBorders>
              <w:right w:val="nil"/>
            </w:tcBorders>
            <w:shd w:val="clear" w:color="auto" w:fill="E7E6E6" w:themeFill="background2"/>
          </w:tcPr>
          <w:p w14:paraId="33F28E1E"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Government, exhibition companies, exhibitors and exhibitors</w:t>
            </w:r>
          </w:p>
        </w:tc>
      </w:tr>
      <w:tr w:rsidR="00075C04" w14:paraId="02235374" w14:textId="77777777">
        <w:tc>
          <w:tcPr>
            <w:tcW w:w="1223" w:type="pct"/>
            <w:tcBorders>
              <w:left w:val="nil"/>
            </w:tcBorders>
            <w:shd w:val="clear" w:color="auto" w:fill="E7E6E6" w:themeFill="background2"/>
          </w:tcPr>
          <w:p w14:paraId="4E9D3F0F"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Sub-core stakeholders</w:t>
            </w:r>
          </w:p>
        </w:tc>
        <w:tc>
          <w:tcPr>
            <w:tcW w:w="3776" w:type="pct"/>
            <w:tcBorders>
              <w:right w:val="nil"/>
            </w:tcBorders>
            <w:shd w:val="clear" w:color="auto" w:fill="E7E6E6" w:themeFill="background2"/>
          </w:tcPr>
          <w:p w14:paraId="01890F79"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Venue enterprises</w:t>
            </w:r>
          </w:p>
        </w:tc>
      </w:tr>
      <w:tr w:rsidR="00075C04" w14:paraId="3F7C90B8" w14:textId="77777777">
        <w:tc>
          <w:tcPr>
            <w:tcW w:w="1223" w:type="pct"/>
            <w:tcBorders>
              <w:left w:val="nil"/>
            </w:tcBorders>
            <w:shd w:val="clear" w:color="auto" w:fill="E7E6E6" w:themeFill="background2"/>
          </w:tcPr>
          <w:p w14:paraId="204528FD"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Supporting stakeholders</w:t>
            </w:r>
          </w:p>
        </w:tc>
        <w:tc>
          <w:tcPr>
            <w:tcW w:w="3776" w:type="pct"/>
            <w:tcBorders>
              <w:right w:val="nil"/>
            </w:tcBorders>
            <w:shd w:val="clear" w:color="auto" w:fill="E7E6E6" w:themeFill="background2"/>
          </w:tcPr>
          <w:p w14:paraId="18423875"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Exhibition-related enterprises (exhibition stand design, transportation and construction enterprises) exhibition industry association</w:t>
            </w:r>
          </w:p>
        </w:tc>
      </w:tr>
      <w:tr w:rsidR="00075C04" w14:paraId="53A3069E" w14:textId="77777777">
        <w:tc>
          <w:tcPr>
            <w:tcW w:w="1223" w:type="pct"/>
            <w:tcBorders>
              <w:left w:val="nil"/>
            </w:tcBorders>
            <w:shd w:val="clear" w:color="auto" w:fill="E7E6E6" w:themeFill="background2"/>
          </w:tcPr>
          <w:p w14:paraId="28C8CB7C"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Marginal stakeholders</w:t>
            </w:r>
          </w:p>
        </w:tc>
        <w:tc>
          <w:tcPr>
            <w:tcW w:w="3776" w:type="pct"/>
            <w:tcBorders>
              <w:right w:val="nil"/>
            </w:tcBorders>
            <w:shd w:val="clear" w:color="auto" w:fill="E7E6E6" w:themeFill="background2"/>
          </w:tcPr>
          <w:p w14:paraId="3A330DBE" w14:textId="77777777" w:rsidR="00075C04" w:rsidRDefault="00000000">
            <w:pPr>
              <w:rPr>
                <w:rFonts w:ascii="Times New Roman" w:eastAsia="宋体" w:hAnsi="Times New Roman" w:cs="Times New Roman"/>
                <w:color w:val="333333"/>
                <w:szCs w:val="21"/>
                <w:shd w:val="clear" w:color="auto" w:fill="FFFFFF"/>
              </w:rPr>
            </w:pPr>
            <w:r>
              <w:rPr>
                <w:rFonts w:ascii="Times New Roman" w:eastAsia="宋体" w:hAnsi="Times New Roman" w:cs="Times New Roman"/>
                <w:color w:val="333333"/>
                <w:szCs w:val="21"/>
                <w:shd w:val="clear" w:color="auto" w:fill="FFFFFF"/>
              </w:rPr>
              <w:t>Public, hotel, catering, transportation and tourism</w:t>
            </w:r>
          </w:p>
        </w:tc>
      </w:tr>
    </w:tbl>
    <w:p w14:paraId="3041B803"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holding of exhibition activities can promote the performance of hotels, catering, transportation and tourism to a certain extent, and the harm of exhibition activities to the ecology will affect the public. The government has played a vital role in the development of the exhibition economy, especially the support of government policies, which has promoted the development of Beijing Bestway, and also coordinated the relationship between various stakeholders, so that the entire exhibition industry can develop healthily.</w:t>
      </w:r>
    </w:p>
    <w:p w14:paraId="643D120C"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In order to more clearly evaluate the situation of stakeholders in Beijing Bestway, we can use Porter's five forces model to analyze:</w:t>
      </w:r>
    </w:p>
    <w:p w14:paraId="15EA30BA"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Existing competitors</w:t>
      </w:r>
    </w:p>
    <w:p w14:paraId="545C054B"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existing competitors are the core stakeholders of Beijing Bestway. Beijing Bestway's existing competitors are mainly traditional exhibition enterprises. Before the outbreak of COVID-19, the increasing frequency of conference activities in China led to many traditional exhibition enterprises entering the market, forming a fierce competition pattern, and cost leadership has become the main competitive advantage of exhibition enterprises. After the outbreak of COVID-19, these traditional exhibition enterprises are exploring digital change (</w:t>
      </w:r>
      <w:proofErr w:type="spellStart"/>
      <w:r>
        <w:rPr>
          <w:rFonts w:ascii="Times New Roman" w:hAnsi="Times New Roman" w:cs="Times New Roman"/>
          <w:sz w:val="24"/>
        </w:rPr>
        <w:t>Giannini&amp;Bowen</w:t>
      </w:r>
      <w:proofErr w:type="spellEnd"/>
      <w:r>
        <w:rPr>
          <w:rFonts w:ascii="Times New Roman" w:hAnsi="Times New Roman" w:cs="Times New Roman"/>
          <w:sz w:val="24"/>
        </w:rPr>
        <w:t>, 2022), so Beijing Bestway is still in fierce market competition.</w:t>
      </w:r>
    </w:p>
    <w:p w14:paraId="6943F126"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New entrants</w:t>
      </w:r>
    </w:p>
    <w:p w14:paraId="6E873603"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lastRenderedPageBreak/>
        <w:t>New entrants are the core stakeholders of Beijing Bestway. Digitalization has brought about the subversion of traditional technologies and the emergence of new business models. For example, Alibaba and Tencent originally did not belong to the exhibition industry, but also competed with exhibition enterprises through online conferences and virtual exhibitions. In addition, there are also science and technology enterprises. Because of their strong innovation ability and excellent technical personnel, disruptive innovation continues to emerge (</w:t>
      </w:r>
      <w:proofErr w:type="spellStart"/>
      <w:r>
        <w:rPr>
          <w:rFonts w:ascii="Times New Roman" w:hAnsi="Times New Roman" w:cs="Times New Roman"/>
          <w:sz w:val="24"/>
        </w:rPr>
        <w:t>Samaroudi</w:t>
      </w:r>
      <w:proofErr w:type="spellEnd"/>
      <w:r>
        <w:rPr>
          <w:rFonts w:ascii="Times New Roman" w:hAnsi="Times New Roman" w:cs="Times New Roman"/>
          <w:sz w:val="24"/>
        </w:rPr>
        <w:t>, et al., 2020), such as virtual anchors. Such new entrants will bring huge impact to exhibition enterprises.</w:t>
      </w:r>
    </w:p>
    <w:p w14:paraId="543010EB"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Substitutes</w:t>
      </w:r>
    </w:p>
    <w:p w14:paraId="5305DCB7"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substitute is a secondary stakeholder of Beijing Bestway. New alternatives have emerged in the exhibition industry, such as cloud conference, virtual anchor, etc. For more than two years, online mode has become an important link in the exhibition industry chain, which will not only divert traditional exhibitions (Tabrizi, et al., 2019), but also affect the profit space of other service providers.</w:t>
      </w:r>
    </w:p>
    <w:p w14:paraId="22F12E0D"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Supplier</w:t>
      </w:r>
    </w:p>
    <w:p w14:paraId="19806CD6"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supplier is the secondary core stakeholder and supportive stakeholder of Beijing Bestway. The suppliers of exhibition enterprises include major hotels, builders, logistics providers, advertisers, etc. With the development of the digital economy, the number of science and technology suppliers has gradually increased (</w:t>
      </w:r>
      <w:proofErr w:type="spellStart"/>
      <w:r>
        <w:rPr>
          <w:rFonts w:ascii="Times New Roman" w:hAnsi="Times New Roman" w:cs="Times New Roman"/>
          <w:sz w:val="24"/>
        </w:rPr>
        <w:t>Chien&amp;Chi</w:t>
      </w:r>
      <w:proofErr w:type="spellEnd"/>
      <w:r>
        <w:rPr>
          <w:rFonts w:ascii="Times New Roman" w:hAnsi="Times New Roman" w:cs="Times New Roman"/>
          <w:sz w:val="24"/>
        </w:rPr>
        <w:t>, 2019), and the two characteristics of innovation and resource scarcity make their bargaining power generally higher than traditional suppliers.</w:t>
      </w:r>
    </w:p>
    <w:p w14:paraId="6EDC057C"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Customers</w:t>
      </w:r>
    </w:p>
    <w:p w14:paraId="09CB6BA6"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lastRenderedPageBreak/>
        <w:t>Customers are the core stakeholders of Beijing Bestway. The customers of exhibition enterprises are their service objects. In order to improve the effect of the event or conference and save the budget, these customers have set up professional docking and procurement departments to negotiate and communicate with exhibition enterprises, so their bargaining power is strong.</w:t>
      </w:r>
    </w:p>
    <w:p w14:paraId="5BED6DAF" w14:textId="77777777" w:rsidR="00075C04" w:rsidRDefault="00000000">
      <w:pPr>
        <w:spacing w:line="480" w:lineRule="auto"/>
        <w:outlineLvl w:val="0"/>
        <w:rPr>
          <w:rFonts w:ascii="Times New Roman" w:hAnsi="Times New Roman" w:cs="Times New Roman"/>
          <w:b/>
          <w:bCs/>
          <w:sz w:val="24"/>
        </w:rPr>
      </w:pPr>
      <w:bookmarkStart w:id="7" w:name="_Toc24399"/>
      <w:r>
        <w:rPr>
          <w:rFonts w:ascii="Times New Roman" w:hAnsi="Times New Roman" w:cs="Times New Roman"/>
          <w:b/>
          <w:bCs/>
          <w:sz w:val="24"/>
        </w:rPr>
        <w:t>3</w:t>
      </w:r>
      <w:r>
        <w:rPr>
          <w:rFonts w:ascii="Times New Roman" w:hAnsi="Times New Roman" w:cs="Times New Roman" w:hint="eastAsia"/>
          <w:b/>
          <w:bCs/>
          <w:sz w:val="24"/>
        </w:rPr>
        <w:t>.</w:t>
      </w:r>
      <w:r>
        <w:rPr>
          <w:rFonts w:ascii="Times New Roman" w:hAnsi="Times New Roman" w:cs="Times New Roman"/>
          <w:b/>
          <w:bCs/>
          <w:sz w:val="24"/>
        </w:rPr>
        <w:t xml:space="preserve"> Organizational </w:t>
      </w:r>
      <w:r>
        <w:rPr>
          <w:rFonts w:ascii="Times New Roman" w:hAnsi="Times New Roman" w:cs="Times New Roman" w:hint="eastAsia"/>
          <w:b/>
          <w:bCs/>
          <w:sz w:val="24"/>
        </w:rPr>
        <w:t>C</w:t>
      </w:r>
      <w:r>
        <w:rPr>
          <w:rFonts w:ascii="Times New Roman" w:hAnsi="Times New Roman" w:cs="Times New Roman"/>
          <w:b/>
          <w:bCs/>
          <w:sz w:val="24"/>
        </w:rPr>
        <w:t xml:space="preserve">hange </w:t>
      </w:r>
      <w:r>
        <w:rPr>
          <w:rFonts w:ascii="Times New Roman" w:hAnsi="Times New Roman" w:cs="Times New Roman" w:hint="eastAsia"/>
          <w:b/>
          <w:bCs/>
          <w:sz w:val="24"/>
        </w:rPr>
        <w:t>M</w:t>
      </w:r>
      <w:r>
        <w:rPr>
          <w:rFonts w:ascii="Times New Roman" w:hAnsi="Times New Roman" w:cs="Times New Roman"/>
          <w:b/>
          <w:bCs/>
          <w:sz w:val="24"/>
        </w:rPr>
        <w:t xml:space="preserve">anagement </w:t>
      </w:r>
      <w:r>
        <w:rPr>
          <w:rFonts w:ascii="Times New Roman" w:hAnsi="Times New Roman" w:cs="Times New Roman" w:hint="eastAsia"/>
          <w:b/>
          <w:bCs/>
          <w:sz w:val="24"/>
        </w:rPr>
        <w:t>P</w:t>
      </w:r>
      <w:r>
        <w:rPr>
          <w:rFonts w:ascii="Times New Roman" w:hAnsi="Times New Roman" w:cs="Times New Roman"/>
          <w:b/>
          <w:bCs/>
          <w:sz w:val="24"/>
        </w:rPr>
        <w:t>rocess</w:t>
      </w:r>
      <w:bookmarkEnd w:id="7"/>
    </w:p>
    <w:p w14:paraId="3E95BD1F"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Bestway's change management process conforms to Lewin's change model. Lewin believes that an enterprise is a balance composed of driving force and control force (Burnes, 2020). Among them, "driving force" is the pressure of change, and "restricting force" is the resistance of change (</w:t>
      </w:r>
      <w:proofErr w:type="spellStart"/>
      <w:r>
        <w:rPr>
          <w:rFonts w:ascii="Times New Roman" w:hAnsi="Times New Roman" w:cs="Times New Roman"/>
          <w:sz w:val="24"/>
        </w:rPr>
        <w:t>Hamdo</w:t>
      </w:r>
      <w:proofErr w:type="spellEnd"/>
      <w:r>
        <w:rPr>
          <w:rFonts w:ascii="Times New Roman" w:hAnsi="Times New Roman" w:cs="Times New Roman"/>
          <w:sz w:val="24"/>
        </w:rPr>
        <w:t>, 2021). As the environment changes, these two forces will play games with each other and eventually become the driving force to promote enterprise change, while enterprises seek a balance between these two forces. Lewin believes that change means that an enterprise reaches the desired equilibrium state from its current equilibrium state.</w:t>
      </w:r>
    </w:p>
    <w:p w14:paraId="11853358"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In Lewin's change mode, change is divided into three stages: Unfreeze - Change - Refresh (Ro ş Ca, 2020), as shown in Figure </w:t>
      </w:r>
      <w:r>
        <w:rPr>
          <w:rFonts w:ascii="Times New Roman" w:hAnsi="Times New Roman" w:cs="Times New Roman" w:hint="eastAsia"/>
          <w:sz w:val="24"/>
        </w:rPr>
        <w:t>1</w:t>
      </w:r>
      <w:r>
        <w:rPr>
          <w:rFonts w:ascii="Times New Roman" w:hAnsi="Times New Roman" w:cs="Times New Roman"/>
          <w:sz w:val="24"/>
        </w:rPr>
        <w:t xml:space="preserve"> Among them, "unfreezing" is to break the balance between the driving force and the restricting force at the current stage of the enterprise, so that the previous rules and vision of the enterprise lose their binding force and guiding significance; "Change" refers to the process of changing the behavior of enterprises. In this process, enterprises will seek new visions, new development models, etc. (Ro ş ca,2020)</w:t>
      </w:r>
      <w:r>
        <w:rPr>
          <w:rFonts w:ascii="Times New Roman" w:hAnsi="Times New Roman" w:cs="Times New Roman"/>
          <w:sz w:val="24"/>
        </w:rPr>
        <w:t>。</w:t>
      </w:r>
      <w:r>
        <w:rPr>
          <w:rFonts w:ascii="Times New Roman" w:hAnsi="Times New Roman" w:cs="Times New Roman"/>
          <w:sz w:val="24"/>
        </w:rPr>
        <w:t xml:space="preserve"> "Refreezing" is to make the driving force and control force reach a balance again, and make the newly formed state stable for a long time.</w:t>
      </w:r>
    </w:p>
    <w:p w14:paraId="3E0F6BB8" w14:textId="77777777" w:rsidR="00075C04" w:rsidRDefault="00000000">
      <w:pPr>
        <w:spacing w:line="480" w:lineRule="auto"/>
        <w:ind w:firstLineChars="200" w:firstLine="480"/>
        <w:rPr>
          <w:rFonts w:ascii="Times New Roman" w:hAnsi="Times New Roman" w:cs="Times New Roman"/>
          <w:sz w:val="24"/>
        </w:rPr>
      </w:pPr>
      <w:r>
        <w:rPr>
          <w:noProof/>
          <w:sz w:val="24"/>
        </w:rPr>
        <w:lastRenderedPageBreak/>
        <mc:AlternateContent>
          <mc:Choice Requires="wpg">
            <w:drawing>
              <wp:anchor distT="0" distB="0" distL="114300" distR="114300" simplePos="0" relativeHeight="251659264" behindDoc="0" locked="0" layoutInCell="1" allowOverlap="1" wp14:anchorId="76B17B36" wp14:editId="11D0BD4F">
                <wp:simplePos x="0" y="0"/>
                <wp:positionH relativeFrom="column">
                  <wp:posOffset>265430</wp:posOffset>
                </wp:positionH>
                <wp:positionV relativeFrom="paragraph">
                  <wp:posOffset>174625</wp:posOffset>
                </wp:positionV>
                <wp:extent cx="4692650" cy="1379855"/>
                <wp:effectExtent l="4445" t="6350" r="12065" b="15875"/>
                <wp:wrapNone/>
                <wp:docPr id="17" name="组合 17"/>
                <wp:cNvGraphicFramePr/>
                <a:graphic xmlns:a="http://schemas.openxmlformats.org/drawingml/2006/main">
                  <a:graphicData uri="http://schemas.microsoft.com/office/word/2010/wordprocessingGroup">
                    <wpg:wgp>
                      <wpg:cNvGrpSpPr/>
                      <wpg:grpSpPr>
                        <a:xfrm>
                          <a:off x="0" y="0"/>
                          <a:ext cx="4692650" cy="1379855"/>
                          <a:chOff x="5260" y="178447"/>
                          <a:chExt cx="7390" cy="2173"/>
                        </a:xfrm>
                      </wpg:grpSpPr>
                      <wps:wsp>
                        <wps:cNvPr id="6" name="文本框 6"/>
                        <wps:cNvSpPr txBox="1"/>
                        <wps:spPr>
                          <a:xfrm>
                            <a:off x="5260" y="178980"/>
                            <a:ext cx="1550" cy="10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3532C07F" w14:textId="77777777" w:rsidR="00075C04" w:rsidRDefault="00000000">
                              <w:pPr>
                                <w:rPr>
                                  <w:rFonts w:ascii="Times New Roman" w:hAnsi="Times New Roman" w:cs="Times New Roman"/>
                                  <w:sz w:val="24"/>
                                </w:rPr>
                              </w:pPr>
                              <w:r>
                                <w:rPr>
                                  <w:rFonts w:ascii="Times New Roman" w:hAnsi="Times New Roman" w:cs="Times New Roman"/>
                                  <w:sz w:val="24"/>
                                </w:rPr>
                                <w:t>Prepare for change</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7" name="矩形 7"/>
                        <wps:cNvSpPr/>
                        <wps:spPr>
                          <a:xfrm>
                            <a:off x="6020" y="179670"/>
                            <a:ext cx="1270" cy="4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138D83" w14:textId="77777777" w:rsidR="00075C04" w:rsidRDefault="00000000">
                              <w:pPr>
                                <w:rPr>
                                  <w:rFonts w:ascii="Times New Roman" w:hAnsi="Times New Roman" w:cs="Times New Roman"/>
                                </w:rPr>
                              </w:pPr>
                              <w:r>
                                <w:rPr>
                                  <w:rFonts w:ascii="Times New Roman" w:eastAsia="宋体" w:hAnsi="Times New Roman" w:cs="Times New Roman"/>
                                  <w:sz w:val="24"/>
                                </w:rPr>
                                <w:t>Unfreeze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 name="文本框 8"/>
                        <wps:cNvSpPr txBox="1"/>
                        <wps:spPr>
                          <a:xfrm>
                            <a:off x="7870" y="178990"/>
                            <a:ext cx="1550" cy="10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4C9948E9" w14:textId="77777777" w:rsidR="00075C04" w:rsidRDefault="00075C04">
                              <w:pPr>
                                <w:rPr>
                                  <w:rFonts w:ascii="Times New Roman" w:hAnsi="Times New Roman" w:cs="Times New Roman"/>
                                  <w:sz w:val="24"/>
                                </w:rPr>
                              </w:pPr>
                            </w:p>
                            <w:p w14:paraId="2F8EF8EC" w14:textId="77777777" w:rsidR="00075C04" w:rsidRDefault="00000000">
                              <w:pPr>
                                <w:rPr>
                                  <w:rFonts w:ascii="Times New Roman" w:hAnsi="Times New Roman" w:cs="Times New Roman"/>
                                  <w:sz w:val="24"/>
                                </w:rPr>
                              </w:pPr>
                              <w:r>
                                <w:rPr>
                                  <w:rFonts w:ascii="Times New Roman" w:hAnsi="Times New Roman" w:cs="Times New Roman"/>
                                  <w:sz w:val="24"/>
                                </w:rPr>
                                <w:t>Implement change</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9" name="文本框 9"/>
                        <wps:cNvSpPr txBox="1"/>
                        <wps:spPr>
                          <a:xfrm>
                            <a:off x="10470" y="178980"/>
                            <a:ext cx="1550" cy="10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0FD07016" w14:textId="77777777" w:rsidR="00075C04" w:rsidRDefault="00000000">
                              <w:pPr>
                                <w:rPr>
                                  <w:rFonts w:ascii="Times New Roman" w:hAnsi="Times New Roman" w:cs="Times New Roman"/>
                                  <w:sz w:val="24"/>
                                </w:rPr>
                              </w:pPr>
                              <w:r>
                                <w:rPr>
                                  <w:rFonts w:ascii="Times New Roman" w:hAnsi="Times New Roman" w:cs="Times New Roman"/>
                                  <w:sz w:val="24"/>
                                </w:rPr>
                                <w:t>Consolidate the results of change</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0" name="矩形 10"/>
                        <wps:cNvSpPr/>
                        <wps:spPr>
                          <a:xfrm>
                            <a:off x="8830" y="178770"/>
                            <a:ext cx="1270" cy="4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F4EB30" w14:textId="77777777" w:rsidR="00075C04" w:rsidRDefault="00000000">
                              <w:pPr>
                                <w:rPr>
                                  <w:rFonts w:ascii="Times New Roman" w:hAnsi="Times New Roman" w:cs="Times New Roman"/>
                                </w:rPr>
                              </w:pPr>
                              <w:r>
                                <w:rPr>
                                  <w:rFonts w:ascii="Times New Roman" w:eastAsia="宋体" w:hAnsi="Times New Roman" w:cs="Times New Roman"/>
                                  <w:sz w:val="24"/>
                                </w:rPr>
                                <w:t>Change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1" name="矩形 11"/>
                        <wps:cNvSpPr/>
                        <wps:spPr>
                          <a:xfrm>
                            <a:off x="11380" y="179730"/>
                            <a:ext cx="1270" cy="4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CD79FE" w14:textId="77777777" w:rsidR="00075C04" w:rsidRDefault="00000000">
                              <w:pPr>
                                <w:rPr>
                                  <w:rFonts w:ascii="Times New Roman" w:hAnsi="Times New Roman" w:cs="Times New Roman"/>
                                </w:rPr>
                              </w:pPr>
                              <w:r>
                                <w:rPr>
                                  <w:rFonts w:ascii="Times New Roman" w:eastAsia="宋体" w:hAnsi="Times New Roman" w:cs="Times New Roman"/>
                                  <w:sz w:val="24"/>
                                </w:rPr>
                                <w:t>Refreeze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3" name="下弧形箭头 13"/>
                        <wps:cNvSpPr/>
                        <wps:spPr>
                          <a:xfrm>
                            <a:off x="6490" y="180130"/>
                            <a:ext cx="2110" cy="490"/>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6" name="上弧形箭头 16"/>
                        <wps:cNvSpPr/>
                        <wps:spPr>
                          <a:xfrm>
                            <a:off x="9751" y="178447"/>
                            <a:ext cx="1489" cy="52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xmlns:wpsCustomData="http://www.wps.cn/officeDocument/2013/wpsCustomData">
            <w:pict>
              <v:group id="_x0000_s1026" o:spid="_x0000_s1026" o:spt="203" style="position:absolute;left:0pt;margin-left:20.9pt;margin-top:13.75pt;height:108.65pt;width:369.5pt;z-index:251659264;mso-width-relative:page;mso-height-relative:page;" coordorigin="5260,178447" coordsize="7390,2173" o:gfxdata="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">
                <o:lock v:ext="edit" aspectratio="f"/>
                <v:shape id="_x0000_s1026" o:spid="_x0000_s1026" o:spt="202" type="#_x0000_t202" style="position:absolute;left:5260;top:178980;height:1050;width:1550;" fillcolor="#FFFFFF [3201]" filled="t" stroked="t" coordsize="21600,21600" o:gfxdata="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OnLMBy2AAAA2gAAAA8A&#10;AAAAAAAAAQAgAAAAIgAAAGRycy9kb3ducmV2LnhtbFBLAQIUABQAAAAIAIdO4kAzLwWeOwAAADkA&#10;AAAQAAAAAAAAAAEAIAAAAAUBAABkcnMvc2hhcGV4bWwueG1sUEsFBgAAAAAGAAYAWwEAAK8DAAAA&#10;AA==&#10;">
                  <v:fill on="t" focussize="0,0"/>
                  <v:stroke weight="0.5pt" color="#000000 [3204]" joinstyle="round"/>
                  <v:imagedata o:title=""/>
                  <o:lock v:ext="edit" aspectratio="f"/>
                  <v:textbox>
                    <w:txbxContent>
                      <w:p>
                        <w:pPr>
                          <w:rPr>
                            <w:rFonts w:ascii="Times New Roman" w:hAnsi="Times New Roman" w:cs="Times New Roman"/>
                            <w:sz w:val="24"/>
                          </w:rPr>
                        </w:pPr>
                        <w:r>
                          <w:rPr>
                            <w:rFonts w:ascii="Times New Roman" w:hAnsi="Times New Roman" w:cs="Times New Roman"/>
                            <w:sz w:val="24"/>
                          </w:rPr>
                          <w:t>Prepare for change</w:t>
                        </w:r>
                      </w:p>
                    </w:txbxContent>
                  </v:textbox>
                </v:shape>
                <v:rect id="_x0000_s1026" o:spid="_x0000_s1026" o:spt="1" style="position:absolute;left:6020;top:179670;height:490;width:1270;v-text-anchor:middle;" fillcolor="#5B9BD5 [3204]" filled="t" stroked="t" coordsize="21600,21600" o:gfxdata="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MWbfeb4A&#10;AADaAAAADwAAAAAAAAABACAAAAAiAAAAZHJzL2Rvd25yZXYueG1sUEsBAhQAFAAAAAgAh07iQDMv&#10;BZ47AAAAOQAAABAAAAAAAAAAAQAgAAAADQEAAGRycy9zaGFwZXhtbC54bWxQSwUGAAAAAAYABgBb&#10;AQAAtwMAAAAA&#10;">
                  <v:fill on="t" focussize="0,0"/>
                  <v:stroke weight="1pt" color="#41719C [3204]" miterlimit="8" joinstyle="miter"/>
                  <v:imagedata o:title=""/>
                  <o:lock v:ext="edit" aspectratio="f"/>
                  <v:textbox>
                    <w:txbxContent>
                      <w:p>
                        <w:pPr>
                          <w:rPr>
                            <w:rFonts w:ascii="Times New Roman" w:hAnsi="Times New Roman" w:cs="Times New Roman"/>
                          </w:rPr>
                        </w:pPr>
                        <w:r>
                          <w:rPr>
                            <w:rFonts w:ascii="Times New Roman" w:hAnsi="Times New Roman" w:eastAsia="宋体" w:cs="Times New Roman"/>
                            <w:sz w:val="24"/>
                          </w:rPr>
                          <w:t>Unfreeze</w:t>
                        </w:r>
                      </w:p>
                    </w:txbxContent>
                  </v:textbox>
                </v:rect>
                <v:shape id="_x0000_s1026" o:spid="_x0000_s1026" o:spt="202" type="#_x0000_t202" style="position:absolute;left:7870;top:178990;height:1050;width:1550;" fillcolor="#FFFFFF [3201]" filled="t" stroked="t" coordsize="21600,21600" o:gfxdata="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">
                  <v:fill on="t" focussize="0,0"/>
                  <v:stroke weight="0.5pt" color="#000000 [3204]" joinstyle="round"/>
                  <v:imagedata o:title=""/>
                  <o:lock v:ext="edit" aspectratio="f"/>
                  <v:textbox>
                    <w:txbxContent>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Implement change</w:t>
                        </w:r>
                      </w:p>
                    </w:txbxContent>
                  </v:textbox>
                </v:shape>
                <v:shape id="_x0000_s1026" o:spid="_x0000_s1026" o:spt="202" type="#_x0000_t202" style="position:absolute;left:10470;top:178980;height:1050;width:1550;" fillcolor="#FFFFFF [3201]" filled="t" stroked="t" coordsize="21600,21600" o:gfxdata="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JhUpG62AAAA2gAAAA8A&#10;AAAAAAAAAQAgAAAAIgAAAGRycy9kb3ducmV2LnhtbFBLAQIUABQAAAAIAIdO4kAzLwWeOwAAADkA&#10;AAAQAAAAAAAAAAEAIAAAAAUBAABkcnMvc2hhcGV4bWwueG1sUEsFBgAAAAAGAAYAWwEAAK8DAAAA&#10;AA==&#10;">
                  <v:fill on="t" focussize="0,0"/>
                  <v:stroke weight="0.5pt" color="#000000 [3204]" joinstyle="round"/>
                  <v:imagedata o:title=""/>
                  <o:lock v:ext="edit" aspectratio="f"/>
                  <v:textbox>
                    <w:txbxContent>
                      <w:p>
                        <w:pPr>
                          <w:rPr>
                            <w:rFonts w:ascii="Times New Roman" w:hAnsi="Times New Roman" w:cs="Times New Roman"/>
                            <w:sz w:val="24"/>
                          </w:rPr>
                        </w:pPr>
                        <w:r>
                          <w:rPr>
                            <w:rFonts w:ascii="Times New Roman" w:hAnsi="Times New Roman" w:cs="Times New Roman"/>
                            <w:sz w:val="24"/>
                          </w:rPr>
                          <w:t>Consolidate the results of change</w:t>
                        </w:r>
                      </w:p>
                    </w:txbxContent>
                  </v:textbox>
                </v:shape>
                <v:rect id="_x0000_s1026" o:spid="_x0000_s1026" o:spt="1" style="position:absolute;left:8830;top:178770;height:490;width:1270;v-text-anchor:middle;" fillcolor="#5B9BD5 [3204]" filled="t" stroked="t" coordsize="21600,21600" o:gfxdata="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AymHlz&#10;wAAAANsAAAAPAAAAAAAAAAEAIAAAACIAAABkcnMvZG93bnJldi54bWxQSwECFAAUAAAACACHTuJA&#10;My8FnjsAAAA5AAAAEAAAAAAAAAABACAAAAAPAQAAZHJzL3NoYXBleG1sLnhtbFBLBQYAAAAABgAG&#10;AFsBAAC5AwAAAAA=&#10;">
                  <v:fill on="t" focussize="0,0"/>
                  <v:stroke weight="1pt" color="#41719C [3204]" miterlimit="8" joinstyle="miter"/>
                  <v:imagedata o:title=""/>
                  <o:lock v:ext="edit" aspectratio="f"/>
                  <v:textbox>
                    <w:txbxContent>
                      <w:p>
                        <w:pPr>
                          <w:rPr>
                            <w:rFonts w:ascii="Times New Roman" w:hAnsi="Times New Roman" w:cs="Times New Roman"/>
                          </w:rPr>
                        </w:pPr>
                        <w:r>
                          <w:rPr>
                            <w:rFonts w:ascii="Times New Roman" w:hAnsi="Times New Roman" w:eastAsia="宋体" w:cs="Times New Roman"/>
                            <w:sz w:val="24"/>
                          </w:rPr>
                          <w:t>Change</w:t>
                        </w:r>
                      </w:p>
                    </w:txbxContent>
                  </v:textbox>
                </v:rect>
                <v:rect id="_x0000_s1026" o:spid="_x0000_s1026" o:spt="1" style="position:absolute;left:11380;top:179730;height:490;width:1270;v-text-anchor:middle;" fillcolor="#5B9BD5 [3204]" filled="t" stroked="t" coordsize="21600,21600" o:gfxdata="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3U3Oi8AAAA&#10;2wAAAA8AAAAAAAAAAQAgAAAAIgAAAGRycy9kb3ducmV2LnhtbFBLAQIUABQAAAAIAIdO4kAzLwWe&#10;OwAAADkAAAAQAAAAAAAAAAEAIAAAAAsBAABkcnMvc2hhcGV4bWwueG1sUEsFBgAAAAAGAAYAWwEA&#10;ALUDAAAAAA==&#10;">
                  <v:fill on="t" focussize="0,0"/>
                  <v:stroke weight="1pt" color="#41719C [3204]" miterlimit="8" joinstyle="miter"/>
                  <v:imagedata o:title=""/>
                  <o:lock v:ext="edit" aspectratio="f"/>
                  <v:textbox>
                    <w:txbxContent>
                      <w:p>
                        <w:pPr>
                          <w:rPr>
                            <w:rFonts w:ascii="Times New Roman" w:hAnsi="Times New Roman" w:cs="Times New Roman"/>
                          </w:rPr>
                        </w:pPr>
                        <w:r>
                          <w:rPr>
                            <w:rFonts w:ascii="Times New Roman" w:hAnsi="Times New Roman" w:eastAsia="宋体" w:cs="Times New Roman"/>
                            <w:sz w:val="24"/>
                          </w:rPr>
                          <w:t>Refreeze</w:t>
                        </w:r>
                      </w:p>
                    </w:txbxContent>
                  </v:textbox>
                </v:rect>
                <v:shape id="_x0000_s1026" o:spid="_x0000_s1026" o:spt="104" type="#_x0000_t104" style="position:absolute;left:6490;top:180130;height:490;width:2110;v-text-anchor:middle;" fillcolor="#5B9BD5 [3204]" filled="t" stroked="t" coordsize="21600,21600" o:gfxdata="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dbym2LsAAADb&#10;AAAADwAAAAAAAAABACAAAAAiAAAAZHJzL2Rvd25yZXYueG1sUEsBAhQAFAAAAAgAh07iQDMvBZ47&#10;AAAAOQAAABAAAAAAAAAAAQAgAAAACgEAAGRycy9zaGFwZXhtbC54bWxQSwUGAAAAAAYABgBbAQAA&#10;tAMAAAAA&#10;" adj="19092,20973,5400">
                  <v:fill on="t" focussize="0,0"/>
                  <v:stroke weight="1pt" color="#41719C [3204]" miterlimit="8" joinstyle="miter"/>
                  <v:imagedata o:title=""/>
                  <o:lock v:ext="edit" aspectratio="f"/>
                </v:shape>
                <v:shape id="_x0000_s1026" o:spid="_x0000_s1026" o:spt="105" type="#_x0000_t105" style="position:absolute;left:9751;top:178447;height:520;width:1489;v-text-anchor:middle;" fillcolor="#5B9BD5 [3204]" filled="t" stroked="t" coordsize="21600,21600" o:gfxdata="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BSOA3i5AAAA2wAA&#10;AA8AAAAAAAAAAQAgAAAAIgAAAGRycy9kb3ducmV2LnhtbFBLAQIUABQAAAAIAIdO4kAzLwWeOwAA&#10;ADkAAAAQAAAAAAAAAAEAIAAAAAgBAABkcnMvc2hhcGV4bWwueG1sUEsFBgAAAAAGAAYAWwEAALID&#10;AAAAAA==&#10;" adj="17828,20657,16200">
                  <v:fill on="t" focussize="0,0"/>
                  <v:stroke weight="1pt" color="#41719C [3204]" miterlimit="8" joinstyle="miter"/>
                  <v:imagedata o:title=""/>
                  <o:lock v:ext="edit" aspectratio="f"/>
                </v:shape>
              </v:group>
            </w:pict>
          </mc:Fallback>
        </mc:AlternateContent>
      </w:r>
    </w:p>
    <w:p w14:paraId="70A446E2" w14:textId="77777777" w:rsidR="00075C04" w:rsidRDefault="00075C04">
      <w:pPr>
        <w:spacing w:line="480" w:lineRule="auto"/>
        <w:ind w:firstLineChars="200" w:firstLine="480"/>
        <w:rPr>
          <w:rFonts w:ascii="Times New Roman" w:hAnsi="Times New Roman" w:cs="Times New Roman"/>
          <w:sz w:val="24"/>
        </w:rPr>
      </w:pPr>
    </w:p>
    <w:p w14:paraId="69405285" w14:textId="77777777" w:rsidR="00075C04" w:rsidRDefault="00075C04">
      <w:pPr>
        <w:spacing w:line="480" w:lineRule="auto"/>
        <w:ind w:firstLineChars="200" w:firstLine="480"/>
        <w:rPr>
          <w:rFonts w:ascii="Times New Roman" w:hAnsi="Times New Roman" w:cs="Times New Roman"/>
          <w:sz w:val="24"/>
        </w:rPr>
      </w:pPr>
    </w:p>
    <w:p w14:paraId="63AAB36C" w14:textId="77777777" w:rsidR="00075C04" w:rsidRDefault="00075C04">
      <w:pPr>
        <w:spacing w:line="480" w:lineRule="auto"/>
        <w:rPr>
          <w:rFonts w:ascii="Times New Roman" w:hAnsi="Times New Roman" w:cs="Times New Roman"/>
          <w:sz w:val="24"/>
        </w:rPr>
      </w:pPr>
    </w:p>
    <w:p w14:paraId="26B220C9" w14:textId="77777777" w:rsidR="00075C04" w:rsidRDefault="00000000">
      <w:pPr>
        <w:spacing w:line="480" w:lineRule="auto"/>
        <w:rPr>
          <w:rFonts w:ascii="Times New Roman" w:hAnsi="Times New Roman" w:cs="Times New Roman"/>
          <w:sz w:val="24"/>
        </w:rPr>
      </w:pPr>
      <w:r>
        <w:rPr>
          <w:rFonts w:ascii="Times New Roman" w:hAnsi="Times New Roman" w:cs="Times New Roman"/>
          <w:sz w:val="24"/>
        </w:rPr>
        <w:t>Figure</w:t>
      </w:r>
      <w:r>
        <w:rPr>
          <w:rFonts w:hint="eastAsia"/>
        </w:rPr>
        <w:t>1</w:t>
      </w:r>
      <w:r>
        <w:rPr>
          <w:rFonts w:hint="eastAsia"/>
        </w:rPr>
        <w:t>：</w:t>
      </w:r>
      <w:r>
        <w:rPr>
          <w:rFonts w:ascii="Times New Roman" w:hAnsi="Times New Roman" w:cs="Times New Roman"/>
          <w:sz w:val="24"/>
        </w:rPr>
        <w:t>Lewin's change model</w:t>
      </w:r>
    </w:p>
    <w:p w14:paraId="1AA07DBD" w14:textId="77777777" w:rsidR="00075C04" w:rsidRDefault="00000000">
      <w:pPr>
        <w:spacing w:line="480" w:lineRule="auto"/>
        <w:outlineLvl w:val="1"/>
        <w:rPr>
          <w:rFonts w:ascii="Times New Roman" w:hAnsi="Times New Roman" w:cs="Times New Roman"/>
          <w:b/>
          <w:bCs/>
          <w:sz w:val="24"/>
        </w:rPr>
      </w:pPr>
      <w:bookmarkStart w:id="8" w:name="_Toc22476"/>
      <w:r>
        <w:rPr>
          <w:rFonts w:ascii="Times New Roman" w:hAnsi="Times New Roman" w:cs="Times New Roman" w:hint="eastAsia"/>
          <w:b/>
          <w:bCs/>
          <w:sz w:val="24"/>
        </w:rPr>
        <w:t xml:space="preserve">3.1 </w:t>
      </w:r>
      <w:r>
        <w:rPr>
          <w:rFonts w:ascii="Times New Roman" w:hAnsi="Times New Roman" w:cs="Times New Roman"/>
          <w:b/>
          <w:bCs/>
          <w:sz w:val="24"/>
        </w:rPr>
        <w:t>Unfreeze</w:t>
      </w:r>
      <w:bookmarkEnd w:id="8"/>
    </w:p>
    <w:p w14:paraId="1A04706A"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At this stage, Beijing Bestway identified the driving force and resistance of enterprise change and formed a preliminary change plan.</w:t>
      </w:r>
    </w:p>
    <w:p w14:paraId="37594130"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Identify the resistance of change</w:t>
      </w:r>
    </w:p>
    <w:p w14:paraId="7626AE7E"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Uncertainty after change</w:t>
      </w:r>
    </w:p>
    <w:p w14:paraId="450112BB"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Change will bring insecurity. Beijing Bestway's digital change requires employees to abandon the behavior of traditional convention and exhibition business. It is difficult to predict what the company will face after the digital change.</w:t>
      </w:r>
    </w:p>
    <w:p w14:paraId="55386C9E"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Employees' concerns</w:t>
      </w:r>
    </w:p>
    <w:p w14:paraId="70ABDDAF"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Bestway's digital change will lead to the destruction of the social relations established by employees in their previous work (Tang, 2019). For example, some employees may be transferred to a new department, which will not only make their previous experience useless, but also make them hardly understand digitalization. After being transferred to a new department, everything must start from scratch.</w:t>
      </w:r>
    </w:p>
    <w:p w14:paraId="0C647F2F"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In addition to the maladaptation of daily work, employees will also worry about the impact of digital change on their salary level (</w:t>
      </w:r>
      <w:proofErr w:type="spellStart"/>
      <w:r>
        <w:rPr>
          <w:rFonts w:ascii="Times New Roman" w:hAnsi="Times New Roman" w:cs="Times New Roman"/>
          <w:sz w:val="24"/>
        </w:rPr>
        <w:t>Nadkarni&amp;Pr</w:t>
      </w:r>
      <w:proofErr w:type="spellEnd"/>
      <w:r>
        <w:rPr>
          <w:rFonts w:ascii="Times New Roman" w:hAnsi="Times New Roman" w:cs="Times New Roman"/>
          <w:sz w:val="24"/>
        </w:rPr>
        <w:t xml:space="preserve"> ü </w:t>
      </w:r>
      <w:proofErr w:type="spellStart"/>
      <w:r>
        <w:rPr>
          <w:rFonts w:ascii="Times New Roman" w:hAnsi="Times New Roman" w:cs="Times New Roman"/>
          <w:sz w:val="24"/>
        </w:rPr>
        <w:t>gl</w:t>
      </w:r>
      <w:proofErr w:type="spellEnd"/>
      <w:r>
        <w:rPr>
          <w:rFonts w:ascii="Times New Roman" w:hAnsi="Times New Roman" w:cs="Times New Roman"/>
          <w:sz w:val="24"/>
        </w:rPr>
        <w:t xml:space="preserve">, 2021). For example, after digital change, the company may develop new performance evaluation methods, and they </w:t>
      </w:r>
      <w:r>
        <w:rPr>
          <w:rFonts w:ascii="Times New Roman" w:hAnsi="Times New Roman" w:cs="Times New Roman"/>
          <w:sz w:val="24"/>
        </w:rPr>
        <w:lastRenderedPageBreak/>
        <w:t>can't guarantee that they can complete the target task in areas they are not familiar with. Some employees will also worry about whether they don't understand digitalization at all (Kane, 2019) and will be laid off.</w:t>
      </w:r>
    </w:p>
    <w:p w14:paraId="066FE440"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Identify the driving force of change</w:t>
      </w:r>
    </w:p>
    <w:p w14:paraId="0D942B3E"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Negative impact of COVID-19</w:t>
      </w:r>
    </w:p>
    <w:p w14:paraId="084BA1A6"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outbreak of COVID-19 not only affected the entire economic environment, but also made many economic activities unable to carry out normally. As the exhibition industry is a highly crowded industry, it has been greatly impacted. In response to COVID-19, the Chinese government took preventive and control measures, which prevented the normal development of exhibition business for several consecutive months. In the special period, even if the exhibition activities were carried out, the number of people participating in the exhibition activities decreased sharply due to people's panic (</w:t>
      </w:r>
      <w:proofErr w:type="spellStart"/>
      <w:r>
        <w:rPr>
          <w:rFonts w:ascii="Times New Roman" w:hAnsi="Times New Roman" w:cs="Times New Roman"/>
          <w:sz w:val="24"/>
        </w:rPr>
        <w:t>Savi</w:t>
      </w:r>
      <w:proofErr w:type="spellEnd"/>
      <w:r>
        <w:rPr>
          <w:rFonts w:ascii="Times New Roman" w:hAnsi="Times New Roman" w:cs="Times New Roman"/>
          <w:sz w:val="24"/>
        </w:rPr>
        <w:t xml:space="preserve"> ć, 2020)</w:t>
      </w:r>
      <w:r>
        <w:rPr>
          <w:rFonts w:ascii="Times New Roman" w:hAnsi="Times New Roman" w:cs="Times New Roman"/>
          <w:sz w:val="24"/>
        </w:rPr>
        <w:t>。</w:t>
      </w:r>
      <w:r>
        <w:rPr>
          <w:rFonts w:ascii="Times New Roman" w:hAnsi="Times New Roman" w:cs="Times New Roman"/>
          <w:sz w:val="24"/>
        </w:rPr>
        <w:t xml:space="preserve"> However, the holding of a conference or event often requires a long preparation period and huge investment. The outbreak of COVID-19 has caused huge economic losses to Beijing Bestway.</w:t>
      </w:r>
    </w:p>
    <w:p w14:paraId="588512A7"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Industry competition continues to intensify</w:t>
      </w:r>
    </w:p>
    <w:p w14:paraId="04297719"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Before the outbreak of COVID-19, China's exhibition industry had a good momentum of development. Exhibitors, exhibition venue operators, builders and other upstream and downstream enterprises in the industry entered the market, triggering a price war between exhibition enterprises. The outbreak of COVID-19 has brought new exhibition enterprises and intensified the competitive pressure of exhibition enterprises (Soto-Acosta, 2020). Many traditional exhibition enterprises are seeking digital change. If Beijing Bestway does not change again, it will be eliminated by the market.</w:t>
      </w:r>
    </w:p>
    <w:p w14:paraId="45CAB92C"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lastRenderedPageBreak/>
        <w:t>·</w:t>
      </w:r>
      <w:r>
        <w:rPr>
          <w:rFonts w:ascii="Times New Roman" w:hAnsi="Times New Roman" w:cs="Times New Roman"/>
          <w:sz w:val="24"/>
        </w:rPr>
        <w:t>Seek common development</w:t>
      </w:r>
    </w:p>
    <w:p w14:paraId="0D2EA494"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In this change, Beijing Bestway established a common vision: build the future and seek common development. The idea of Beijing Bestway is to serve exhibitors wholeheartedly, create business opportunities and enhance the value of the exhibition; The mission is to build an international first-class exhibition with "high specification, high quality, high standard, high level and high effect", so as to become a professional exhibition organization in China and even in the pace of globalization. The common vision takes into account the common interests of enterprises, departments and individuals, and thus is recognized by stakeholders.</w:t>
      </w:r>
    </w:p>
    <w:p w14:paraId="516C8234" w14:textId="77777777" w:rsidR="00075C04" w:rsidRDefault="00000000">
      <w:pPr>
        <w:spacing w:line="480" w:lineRule="auto"/>
        <w:outlineLvl w:val="1"/>
        <w:rPr>
          <w:rFonts w:ascii="Times New Roman" w:hAnsi="Times New Roman" w:cs="Times New Roman"/>
          <w:b/>
          <w:bCs/>
          <w:sz w:val="24"/>
        </w:rPr>
      </w:pPr>
      <w:bookmarkStart w:id="9" w:name="_Toc24393"/>
      <w:r>
        <w:rPr>
          <w:rFonts w:ascii="Times New Roman" w:hAnsi="Times New Roman" w:cs="Times New Roman" w:hint="eastAsia"/>
          <w:b/>
          <w:bCs/>
          <w:sz w:val="24"/>
        </w:rPr>
        <w:t xml:space="preserve">3.2 </w:t>
      </w:r>
      <w:r>
        <w:rPr>
          <w:rFonts w:ascii="Times New Roman" w:hAnsi="Times New Roman" w:cs="Times New Roman"/>
          <w:b/>
          <w:bCs/>
          <w:sz w:val="24"/>
        </w:rPr>
        <w:t>Change</w:t>
      </w:r>
      <w:bookmarkEnd w:id="9"/>
    </w:p>
    <w:p w14:paraId="4ACBE6D2"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At this stage, Beijing Bestway took specific measures to change according to the proposed change plan.</w:t>
      </w:r>
    </w:p>
    <w:p w14:paraId="0B62EFA4"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Communication</w:t>
      </w:r>
    </w:p>
    <w:p w14:paraId="6D9028E3"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Through communication, Beijing Bestway won the support of employees for change (Jami </w:t>
      </w:r>
      <w:proofErr w:type="spellStart"/>
      <w:r>
        <w:rPr>
          <w:rFonts w:ascii="Times New Roman" w:hAnsi="Times New Roman" w:cs="Times New Roman"/>
          <w:sz w:val="24"/>
        </w:rPr>
        <w:t>Pour&amp;Hosseinzadeh</w:t>
      </w:r>
      <w:proofErr w:type="spellEnd"/>
      <w:r>
        <w:rPr>
          <w:rFonts w:ascii="Times New Roman" w:hAnsi="Times New Roman" w:cs="Times New Roman"/>
          <w:sz w:val="24"/>
        </w:rPr>
        <w:t>, 2021). First of all, through communication, Beijing Bestway provides employees with detailed information about the reason, purpose and plan of change, so as to promote employees to better understand change. Secondly, through communication, Beijing Bestway also let employees express their demands in change, let employees participate more in digital change, make employees realize the urgency and importance of Beijing Bestway digital change (Vial, 2021), and reduce the resistance to change.</w:t>
      </w:r>
    </w:p>
    <w:p w14:paraId="4E7D8327"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Training</w:t>
      </w:r>
    </w:p>
    <w:p w14:paraId="401D3E38"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In the process of this change, the training provided by Beijing Bestway is mainly about the training of employees' digital concepts and digital application skills, so that employees </w:t>
      </w:r>
      <w:r>
        <w:rPr>
          <w:rFonts w:ascii="Times New Roman" w:hAnsi="Times New Roman" w:cs="Times New Roman"/>
          <w:sz w:val="24"/>
        </w:rPr>
        <w:lastRenderedPageBreak/>
        <w:t>have a basic understanding of digital concepts (Merge, et al., 2019). Through the training, some employees realized the importance of this digital change, and actively started learning about digital, actively participated in this change, and promoted the smooth progress of the company's digital change.</w:t>
      </w:r>
    </w:p>
    <w:p w14:paraId="3CE8B606" w14:textId="77777777" w:rsidR="00075C04" w:rsidRDefault="00000000">
      <w:pPr>
        <w:spacing w:line="480" w:lineRule="auto"/>
        <w:rPr>
          <w:rFonts w:ascii="Times New Roman" w:hAnsi="Times New Roman" w:cs="Times New Roman"/>
          <w:b/>
          <w:bCs/>
          <w:i/>
          <w:iCs/>
          <w:sz w:val="24"/>
        </w:rPr>
      </w:pPr>
      <w:r>
        <w:rPr>
          <w:rFonts w:ascii="Times New Roman" w:hAnsi="Times New Roman" w:cs="Times New Roman"/>
          <w:b/>
          <w:bCs/>
          <w:i/>
          <w:iCs/>
          <w:sz w:val="24"/>
        </w:rPr>
        <w:t xml:space="preserve">Implementation </w:t>
      </w:r>
      <w:r>
        <w:rPr>
          <w:rFonts w:ascii="Times New Roman" w:hAnsi="Times New Roman" w:cs="Times New Roman" w:hint="eastAsia"/>
          <w:b/>
          <w:bCs/>
          <w:i/>
          <w:iCs/>
          <w:sz w:val="24"/>
        </w:rPr>
        <w:t>M</w:t>
      </w:r>
      <w:r>
        <w:rPr>
          <w:rFonts w:ascii="Times New Roman" w:hAnsi="Times New Roman" w:cs="Times New Roman"/>
          <w:b/>
          <w:bCs/>
          <w:i/>
          <w:iCs/>
          <w:sz w:val="24"/>
        </w:rPr>
        <w:t>easures</w:t>
      </w:r>
    </w:p>
    <w:p w14:paraId="469BC930"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Fully implement digital intelligence</w:t>
      </w:r>
    </w:p>
    <w:p w14:paraId="61821B70"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 makes use of new technologies to build a one-stop digital service platform, namely "Digital Smart Exhibition Cloud Platform", which integrates digitalization into daily work and gradually adapts to improve work efficiency and competitiveness of the company through digitalization of management processes, data storage and analysis, and business processes (</w:t>
      </w:r>
      <w:proofErr w:type="spellStart"/>
      <w:r>
        <w:rPr>
          <w:rFonts w:ascii="Times New Roman" w:hAnsi="Times New Roman" w:cs="Times New Roman"/>
          <w:sz w:val="24"/>
        </w:rPr>
        <w:t>Hanelt</w:t>
      </w:r>
      <w:proofErr w:type="spellEnd"/>
      <w:r>
        <w:rPr>
          <w:rFonts w:ascii="Times New Roman" w:hAnsi="Times New Roman" w:cs="Times New Roman"/>
          <w:sz w:val="24"/>
        </w:rPr>
        <w:t>, et al., 2021).</w:t>
      </w:r>
    </w:p>
    <w:p w14:paraId="57639232"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Implement integration</w:t>
      </w:r>
    </w:p>
    <w:p w14:paraId="21EC6155"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 has innovatively implemented integration by using digital technology, such as double-line integration, virtual and real integration, cross-border integration, organizational integration, etc., thus gaining differentiated competitive advantages.</w:t>
      </w:r>
    </w:p>
    <w:p w14:paraId="045EB334" w14:textId="77777777" w:rsidR="00075C04" w:rsidRDefault="00000000">
      <w:pPr>
        <w:spacing w:line="480" w:lineRule="auto"/>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Implement "greening"</w:t>
      </w:r>
    </w:p>
    <w:p w14:paraId="400D83A5"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In response to China's "double carbon" policy, Beijing Bestway has created a "green exhibition". For example, Beijing Bestway has carried out system change to achieve online office, and all office documents are uploaded to the system in electronic form, achieving paperless office, which not only saves costs, but also is an important part of the company's digital change. For another example, Beijing Bestway uses digital technology to count and analyze the carbon footprint of conferences or events, and develops carbon neutral solutions </w:t>
      </w:r>
      <w:r>
        <w:rPr>
          <w:rFonts w:ascii="Times New Roman" w:hAnsi="Times New Roman" w:cs="Times New Roman"/>
          <w:sz w:val="24"/>
        </w:rPr>
        <w:lastRenderedPageBreak/>
        <w:t>(Gao, et al., 2022), so as to achieve "green exhibition".</w:t>
      </w:r>
    </w:p>
    <w:p w14:paraId="61801BCB" w14:textId="77777777" w:rsidR="00075C04" w:rsidRDefault="00000000">
      <w:pPr>
        <w:spacing w:line="480" w:lineRule="auto"/>
        <w:outlineLvl w:val="1"/>
        <w:rPr>
          <w:rFonts w:ascii="Times New Roman" w:hAnsi="Times New Roman" w:cs="Times New Roman"/>
          <w:b/>
          <w:bCs/>
          <w:sz w:val="24"/>
        </w:rPr>
      </w:pPr>
      <w:bookmarkStart w:id="10" w:name="_Toc31972"/>
      <w:r>
        <w:rPr>
          <w:rFonts w:ascii="Times New Roman" w:hAnsi="Times New Roman" w:cs="Times New Roman" w:hint="eastAsia"/>
          <w:b/>
          <w:bCs/>
          <w:sz w:val="24"/>
        </w:rPr>
        <w:t xml:space="preserve">3.3 </w:t>
      </w:r>
      <w:r>
        <w:rPr>
          <w:rFonts w:ascii="Times New Roman" w:hAnsi="Times New Roman" w:cs="Times New Roman"/>
          <w:b/>
          <w:bCs/>
          <w:sz w:val="24"/>
        </w:rPr>
        <w:t>Refreeze</w:t>
      </w:r>
      <w:bookmarkEnd w:id="10"/>
    </w:p>
    <w:p w14:paraId="0AB72632"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After the enterprise changes, there is still a risk of returning to the original habits and behavior (</w:t>
      </w:r>
      <w:proofErr w:type="spellStart"/>
      <w:r>
        <w:rPr>
          <w:rFonts w:ascii="Times New Roman" w:hAnsi="Times New Roman" w:cs="Times New Roman"/>
          <w:sz w:val="24"/>
        </w:rPr>
        <w:t>Errida&amp;Lotfi</w:t>
      </w:r>
      <w:proofErr w:type="spellEnd"/>
      <w:r>
        <w:rPr>
          <w:rFonts w:ascii="Times New Roman" w:hAnsi="Times New Roman" w:cs="Times New Roman"/>
          <w:sz w:val="24"/>
        </w:rPr>
        <w:t>, 2021). Therefore, Beijing Bestway has taken many stabilization measures, including institutionalized measures, to stabilize the change results. For example, Beijing Bestway redesigned the performance measurement index, that is, taking the attitude and behavior expected by the enterprise in change as the evaluation standard, and combining incentive measures to reward the new behavior in change. In addition, it also integrates digital change into the corporate culture through institutional means, ensuring the stability of the organization after change.</w:t>
      </w:r>
    </w:p>
    <w:p w14:paraId="2F4111C6" w14:textId="77777777" w:rsidR="00075C04" w:rsidRDefault="00000000">
      <w:pPr>
        <w:numPr>
          <w:ilvl w:val="0"/>
          <w:numId w:val="1"/>
        </w:numPr>
        <w:spacing w:line="480" w:lineRule="auto"/>
        <w:outlineLvl w:val="0"/>
        <w:rPr>
          <w:rFonts w:ascii="Times New Roman" w:hAnsi="Times New Roman" w:cs="Times New Roman"/>
          <w:b/>
          <w:bCs/>
          <w:sz w:val="24"/>
        </w:rPr>
      </w:pPr>
      <w:bookmarkStart w:id="11" w:name="_Toc13073"/>
      <w:r>
        <w:rPr>
          <w:rFonts w:ascii="Times New Roman" w:hAnsi="Times New Roman" w:cs="Times New Roman" w:hint="eastAsia"/>
          <w:b/>
          <w:bCs/>
          <w:sz w:val="24"/>
        </w:rPr>
        <w:t>A</w:t>
      </w:r>
      <w:r>
        <w:rPr>
          <w:rFonts w:ascii="Times New Roman" w:hAnsi="Times New Roman" w:cs="Times New Roman"/>
          <w:b/>
          <w:bCs/>
          <w:sz w:val="24"/>
        </w:rPr>
        <w:t>ssessment</w:t>
      </w:r>
      <w:bookmarkEnd w:id="11"/>
    </w:p>
    <w:p w14:paraId="6E53A8F3"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In general, the change management of Beijing Bestway is successful. Beijing Bestway's digital change has gone through the process of unfreezing, changing and refreezing, from a traditional exhibition enterprise to a digital exhibition enterprise, from providing a single traditional exhibition service to providing comprehensive intelligent services. Through technology empowerment, the company's differentiated competitive advantage has been greatly improved.</w:t>
      </w:r>
    </w:p>
    <w:p w14:paraId="1A85722F" w14:textId="77777777" w:rsidR="00075C04" w:rsidRDefault="00000000">
      <w:pPr>
        <w:numPr>
          <w:ilvl w:val="0"/>
          <w:numId w:val="1"/>
        </w:numPr>
        <w:spacing w:line="480" w:lineRule="auto"/>
        <w:outlineLvl w:val="0"/>
        <w:rPr>
          <w:rFonts w:ascii="Times New Roman" w:hAnsi="Times New Roman" w:cs="Times New Roman"/>
          <w:b/>
          <w:bCs/>
          <w:sz w:val="24"/>
        </w:rPr>
      </w:pPr>
      <w:bookmarkStart w:id="12" w:name="_Toc8706"/>
      <w:r>
        <w:rPr>
          <w:rFonts w:ascii="Times New Roman" w:hAnsi="Times New Roman" w:cs="Times New Roman" w:hint="eastAsia"/>
          <w:b/>
          <w:bCs/>
          <w:sz w:val="24"/>
        </w:rPr>
        <w:t>Conclusions and Recommendations</w:t>
      </w:r>
      <w:bookmarkEnd w:id="12"/>
    </w:p>
    <w:p w14:paraId="0C7A2AF3" w14:textId="77777777" w:rsidR="00075C04" w:rsidRDefault="00000000">
      <w:pPr>
        <w:spacing w:line="480" w:lineRule="auto"/>
        <w:outlineLvl w:val="1"/>
        <w:rPr>
          <w:rFonts w:ascii="Times New Roman" w:hAnsi="Times New Roman" w:cs="Times New Roman"/>
          <w:sz w:val="24"/>
        </w:rPr>
      </w:pPr>
      <w:bookmarkStart w:id="13" w:name="_Toc9586"/>
      <w:r>
        <w:rPr>
          <w:rFonts w:ascii="Times New Roman" w:hAnsi="Times New Roman" w:cs="Times New Roman" w:hint="eastAsia"/>
          <w:b/>
          <w:bCs/>
          <w:sz w:val="24"/>
        </w:rPr>
        <w:t>5.1 Conclusions</w:t>
      </w:r>
      <w:bookmarkEnd w:id="13"/>
    </w:p>
    <w:p w14:paraId="45CE76C2"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 xml:space="preserve">Driven by the digital economy and the impact of COVID-19, Beijing Bestway opened the road of digital change. In the process of change, the uncertainty after the change and the concerns of employees </w:t>
      </w:r>
      <w:proofErr w:type="gramStart"/>
      <w:r>
        <w:rPr>
          <w:rFonts w:ascii="Times New Roman" w:hAnsi="Times New Roman" w:cs="Times New Roman"/>
          <w:sz w:val="24"/>
        </w:rPr>
        <w:t>hinder</w:t>
      </w:r>
      <w:proofErr w:type="gramEnd"/>
      <w:r>
        <w:rPr>
          <w:rFonts w:ascii="Times New Roman" w:hAnsi="Times New Roman" w:cs="Times New Roman"/>
          <w:sz w:val="24"/>
        </w:rPr>
        <w:t xml:space="preserve"> the implementation of the change, while the negative impact of </w:t>
      </w:r>
      <w:r>
        <w:rPr>
          <w:rFonts w:ascii="Times New Roman" w:hAnsi="Times New Roman" w:cs="Times New Roman"/>
          <w:sz w:val="24"/>
        </w:rPr>
        <w:lastRenderedPageBreak/>
        <w:t>COVID-19, the continued intensification of industry competition and the common vision of common development drive the implementation of the change. After the game between the two forces, Beijing Bestway finally completed the digital change and gained a certain competitive advantage.</w:t>
      </w:r>
    </w:p>
    <w:p w14:paraId="1CAEB916" w14:textId="77777777" w:rsidR="00075C04" w:rsidRDefault="00000000">
      <w:pPr>
        <w:spacing w:line="480" w:lineRule="auto"/>
        <w:outlineLvl w:val="1"/>
        <w:rPr>
          <w:rFonts w:ascii="Times New Roman" w:hAnsi="Times New Roman" w:cs="Times New Roman"/>
          <w:b/>
          <w:bCs/>
          <w:sz w:val="24"/>
        </w:rPr>
      </w:pPr>
      <w:bookmarkStart w:id="14" w:name="_Toc23624"/>
      <w:r>
        <w:rPr>
          <w:rFonts w:ascii="Times New Roman" w:hAnsi="Times New Roman" w:cs="Times New Roman" w:hint="eastAsia"/>
          <w:b/>
          <w:bCs/>
          <w:sz w:val="24"/>
        </w:rPr>
        <w:t>5.2 Recommendations</w:t>
      </w:r>
      <w:bookmarkEnd w:id="14"/>
    </w:p>
    <w:p w14:paraId="75FF34D7" w14:textId="77777777" w:rsidR="00075C04" w:rsidRDefault="00000000">
      <w:pPr>
        <w:spacing w:line="480" w:lineRule="auto"/>
        <w:outlineLvl w:val="0"/>
        <w:rPr>
          <w:rFonts w:ascii="Times New Roman" w:hAnsi="Times New Roman" w:cs="Times New Roman"/>
          <w:b/>
          <w:bCs/>
          <w:i/>
          <w:iCs/>
          <w:sz w:val="24"/>
        </w:rPr>
      </w:pPr>
      <w:bookmarkStart w:id="15" w:name="_Toc7815"/>
      <w:bookmarkStart w:id="16" w:name="_Toc1513"/>
      <w:r>
        <w:rPr>
          <w:rFonts w:ascii="Times New Roman" w:hAnsi="Times New Roman" w:cs="Times New Roman"/>
          <w:b/>
          <w:bCs/>
          <w:i/>
          <w:iCs/>
          <w:sz w:val="24"/>
        </w:rPr>
        <w:t xml:space="preserve">Strengthen </w:t>
      </w:r>
      <w:r>
        <w:rPr>
          <w:rFonts w:ascii="Times New Roman" w:hAnsi="Times New Roman" w:cs="Times New Roman" w:hint="eastAsia"/>
          <w:b/>
          <w:bCs/>
          <w:i/>
          <w:iCs/>
          <w:sz w:val="24"/>
        </w:rPr>
        <w:t>C</w:t>
      </w:r>
      <w:r>
        <w:rPr>
          <w:rFonts w:ascii="Times New Roman" w:hAnsi="Times New Roman" w:cs="Times New Roman"/>
          <w:b/>
          <w:bCs/>
          <w:i/>
          <w:iCs/>
          <w:sz w:val="24"/>
        </w:rPr>
        <w:t xml:space="preserve">hange </w:t>
      </w:r>
      <w:r>
        <w:rPr>
          <w:rFonts w:ascii="Times New Roman" w:hAnsi="Times New Roman" w:cs="Times New Roman" w:hint="eastAsia"/>
          <w:b/>
          <w:bCs/>
          <w:i/>
          <w:iCs/>
          <w:sz w:val="24"/>
        </w:rPr>
        <w:t>M</w:t>
      </w:r>
      <w:r>
        <w:rPr>
          <w:rFonts w:ascii="Times New Roman" w:hAnsi="Times New Roman" w:cs="Times New Roman"/>
          <w:b/>
          <w:bCs/>
          <w:i/>
          <w:iCs/>
          <w:sz w:val="24"/>
        </w:rPr>
        <w:t>anagement</w:t>
      </w:r>
      <w:bookmarkEnd w:id="15"/>
      <w:bookmarkEnd w:id="16"/>
    </w:p>
    <w:p w14:paraId="5A9B109E"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The stability of the organization after change is crucial (</w:t>
      </w:r>
      <w:proofErr w:type="spellStart"/>
      <w:r>
        <w:rPr>
          <w:rFonts w:ascii="Times New Roman" w:hAnsi="Times New Roman" w:cs="Times New Roman"/>
          <w:sz w:val="24"/>
        </w:rPr>
        <w:t>Maes&amp;Van</w:t>
      </w:r>
      <w:proofErr w:type="spellEnd"/>
      <w:r>
        <w:rPr>
          <w:rFonts w:ascii="Times New Roman" w:hAnsi="Times New Roman" w:cs="Times New Roman"/>
          <w:sz w:val="24"/>
        </w:rPr>
        <w:t xml:space="preserve"> </w:t>
      </w:r>
      <w:proofErr w:type="spellStart"/>
      <w:r>
        <w:rPr>
          <w:rFonts w:ascii="Times New Roman" w:hAnsi="Times New Roman" w:cs="Times New Roman"/>
          <w:sz w:val="24"/>
        </w:rPr>
        <w:t>Hootegem</w:t>
      </w:r>
      <w:proofErr w:type="spellEnd"/>
      <w:r>
        <w:rPr>
          <w:rFonts w:ascii="Times New Roman" w:hAnsi="Times New Roman" w:cs="Times New Roman"/>
          <w:sz w:val="24"/>
        </w:rPr>
        <w:t>, 2019). Beijing Bestway needs to correctly understand the significance of digital change from a strategic perspective to ensure that the enterprises after the change can achieve stable development. Therefore, the management of Beijing Bestway should strengthen the management of change, formulate a new development strategy for the organization after change (</w:t>
      </w:r>
      <w:proofErr w:type="spellStart"/>
      <w:r>
        <w:rPr>
          <w:rFonts w:ascii="Times New Roman" w:hAnsi="Times New Roman" w:cs="Times New Roman"/>
          <w:sz w:val="24"/>
        </w:rPr>
        <w:t>Sheninger</w:t>
      </w:r>
      <w:proofErr w:type="spellEnd"/>
      <w:r>
        <w:rPr>
          <w:rFonts w:ascii="Times New Roman" w:hAnsi="Times New Roman" w:cs="Times New Roman"/>
          <w:sz w:val="24"/>
        </w:rPr>
        <w:t>, 2019), and carry out the top-level design of digital transformation according to the characteristics of Beijing Bestway, so as to comprehensively, systematically and comprehensively carry out the digital change layout.</w:t>
      </w:r>
    </w:p>
    <w:p w14:paraId="09D968A0" w14:textId="77777777" w:rsidR="00075C04" w:rsidRDefault="00000000">
      <w:pPr>
        <w:spacing w:line="480" w:lineRule="auto"/>
        <w:outlineLvl w:val="0"/>
        <w:rPr>
          <w:rFonts w:ascii="Times New Roman" w:hAnsi="Times New Roman" w:cs="Times New Roman"/>
          <w:b/>
          <w:bCs/>
          <w:i/>
          <w:iCs/>
          <w:sz w:val="24"/>
        </w:rPr>
      </w:pPr>
      <w:bookmarkStart w:id="17" w:name="_Toc19687"/>
      <w:bookmarkStart w:id="18" w:name="_Toc25845"/>
      <w:r>
        <w:rPr>
          <w:rFonts w:ascii="Times New Roman" w:hAnsi="Times New Roman" w:cs="Times New Roman"/>
          <w:b/>
          <w:bCs/>
          <w:i/>
          <w:iCs/>
          <w:sz w:val="24"/>
        </w:rPr>
        <w:t xml:space="preserve">Improve </w:t>
      </w:r>
      <w:r>
        <w:rPr>
          <w:rFonts w:ascii="Times New Roman" w:hAnsi="Times New Roman" w:cs="Times New Roman" w:hint="eastAsia"/>
          <w:b/>
          <w:bCs/>
          <w:i/>
          <w:iCs/>
          <w:sz w:val="24"/>
        </w:rPr>
        <w:t>T</w:t>
      </w:r>
      <w:r>
        <w:rPr>
          <w:rFonts w:ascii="Times New Roman" w:hAnsi="Times New Roman" w:cs="Times New Roman"/>
          <w:b/>
          <w:bCs/>
          <w:i/>
          <w:iCs/>
          <w:sz w:val="24"/>
        </w:rPr>
        <w:t xml:space="preserve">echnical </w:t>
      </w:r>
      <w:r>
        <w:rPr>
          <w:rFonts w:ascii="Times New Roman" w:hAnsi="Times New Roman" w:cs="Times New Roman" w:hint="eastAsia"/>
          <w:b/>
          <w:bCs/>
          <w:i/>
          <w:iCs/>
          <w:sz w:val="24"/>
        </w:rPr>
        <w:t>L</w:t>
      </w:r>
      <w:r>
        <w:rPr>
          <w:rFonts w:ascii="Times New Roman" w:hAnsi="Times New Roman" w:cs="Times New Roman"/>
          <w:b/>
          <w:bCs/>
          <w:i/>
          <w:iCs/>
          <w:sz w:val="24"/>
        </w:rPr>
        <w:t>evel</w:t>
      </w:r>
      <w:bookmarkEnd w:id="17"/>
      <w:bookmarkEnd w:id="18"/>
    </w:p>
    <w:p w14:paraId="748F72D3"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Beijing Bestway's digital transformation is not only the change of system and platform, but also the reconstruction of business process through digital technology (Verhoef, et al., 2021). Beijing Bestway needs to increase the proportion of digital business and reduce the scale of traditional exhibition business to ensure the effectiveness of change. In addition, in order to improve the technical level, Beijing Bestway can also reach strategic cooperation with industry-leading technology-based enterprises to promote the effective application of emerging technologies in the exhibition business.</w:t>
      </w:r>
    </w:p>
    <w:p w14:paraId="3E350B67" w14:textId="77777777" w:rsidR="00075C04" w:rsidRDefault="00000000">
      <w:pPr>
        <w:spacing w:line="480" w:lineRule="auto"/>
        <w:outlineLvl w:val="0"/>
        <w:rPr>
          <w:rFonts w:ascii="Times New Roman" w:hAnsi="Times New Roman" w:cs="Times New Roman"/>
          <w:b/>
          <w:bCs/>
          <w:i/>
          <w:iCs/>
          <w:sz w:val="24"/>
        </w:rPr>
      </w:pPr>
      <w:bookmarkStart w:id="19" w:name="_Toc26074"/>
      <w:bookmarkStart w:id="20" w:name="_Toc18574"/>
      <w:r>
        <w:rPr>
          <w:rFonts w:ascii="Times New Roman" w:hAnsi="Times New Roman" w:cs="Times New Roman"/>
          <w:b/>
          <w:bCs/>
          <w:i/>
          <w:iCs/>
          <w:sz w:val="24"/>
        </w:rPr>
        <w:lastRenderedPageBreak/>
        <w:t xml:space="preserve">Absorb and </w:t>
      </w:r>
      <w:r>
        <w:rPr>
          <w:rFonts w:ascii="Times New Roman" w:hAnsi="Times New Roman" w:cs="Times New Roman" w:hint="eastAsia"/>
          <w:b/>
          <w:bCs/>
          <w:i/>
          <w:iCs/>
          <w:sz w:val="24"/>
        </w:rPr>
        <w:t>C</w:t>
      </w:r>
      <w:r>
        <w:rPr>
          <w:rFonts w:ascii="Times New Roman" w:hAnsi="Times New Roman" w:cs="Times New Roman"/>
          <w:b/>
          <w:bCs/>
          <w:i/>
          <w:iCs/>
          <w:sz w:val="24"/>
        </w:rPr>
        <w:t xml:space="preserve">ultivate </w:t>
      </w:r>
      <w:r>
        <w:rPr>
          <w:rFonts w:ascii="Times New Roman" w:hAnsi="Times New Roman" w:cs="Times New Roman" w:hint="eastAsia"/>
          <w:b/>
          <w:bCs/>
          <w:i/>
          <w:iCs/>
          <w:sz w:val="24"/>
        </w:rPr>
        <w:t>D</w:t>
      </w:r>
      <w:r>
        <w:rPr>
          <w:rFonts w:ascii="Times New Roman" w:hAnsi="Times New Roman" w:cs="Times New Roman"/>
          <w:b/>
          <w:bCs/>
          <w:i/>
          <w:iCs/>
          <w:sz w:val="24"/>
        </w:rPr>
        <w:t xml:space="preserve">igital </w:t>
      </w:r>
      <w:r>
        <w:rPr>
          <w:rFonts w:ascii="Times New Roman" w:hAnsi="Times New Roman" w:cs="Times New Roman" w:hint="eastAsia"/>
          <w:b/>
          <w:bCs/>
          <w:i/>
          <w:iCs/>
          <w:sz w:val="24"/>
        </w:rPr>
        <w:t>T</w:t>
      </w:r>
      <w:r>
        <w:rPr>
          <w:rFonts w:ascii="Times New Roman" w:hAnsi="Times New Roman" w:cs="Times New Roman"/>
          <w:b/>
          <w:bCs/>
          <w:i/>
          <w:iCs/>
          <w:sz w:val="24"/>
        </w:rPr>
        <w:t>alents</w:t>
      </w:r>
      <w:bookmarkEnd w:id="19"/>
      <w:bookmarkEnd w:id="20"/>
    </w:p>
    <w:p w14:paraId="140346E9" w14:textId="77777777" w:rsidR="00075C04" w:rsidRDefault="00000000">
      <w:pPr>
        <w:spacing w:line="480" w:lineRule="auto"/>
        <w:ind w:firstLineChars="200" w:firstLine="480"/>
        <w:rPr>
          <w:rFonts w:ascii="Times New Roman" w:hAnsi="Times New Roman" w:cs="Times New Roman"/>
          <w:sz w:val="24"/>
        </w:rPr>
      </w:pPr>
      <w:r>
        <w:rPr>
          <w:rFonts w:ascii="Times New Roman" w:hAnsi="Times New Roman" w:cs="Times New Roman"/>
          <w:sz w:val="24"/>
        </w:rPr>
        <w:t>In this change, digital talents are crucial (</w:t>
      </w:r>
      <w:proofErr w:type="spellStart"/>
      <w:r>
        <w:rPr>
          <w:rFonts w:ascii="Times New Roman" w:hAnsi="Times New Roman" w:cs="Times New Roman"/>
          <w:sz w:val="24"/>
        </w:rPr>
        <w:t>Zaki</w:t>
      </w:r>
      <w:proofErr w:type="spellEnd"/>
      <w:r>
        <w:rPr>
          <w:rFonts w:ascii="Times New Roman" w:hAnsi="Times New Roman" w:cs="Times New Roman"/>
          <w:sz w:val="24"/>
        </w:rPr>
        <w:t>, 2019). Due to the great difference between digital technology and traditional exhibition business, the original employees of Beijing Bestway are not competent for the work after the organization change. Therefore, Beijing Bestway needs to train its original employees, so that all employees can generally form digital awareness, and some employees can be competent for digital work. At the same time, Beijing Bestway also needs to introduce some digital talents from outside, especially digital technical talents and innovative talents. Only with the joint efforts of these talents can Beijing Bestway's digital change achieve real success.</w:t>
      </w:r>
    </w:p>
    <w:p w14:paraId="5CC41FFA" w14:textId="77777777" w:rsidR="00075C04" w:rsidRDefault="00075C04">
      <w:pPr>
        <w:spacing w:line="480" w:lineRule="auto"/>
        <w:ind w:firstLineChars="200" w:firstLine="480"/>
        <w:rPr>
          <w:rFonts w:ascii="Times New Roman" w:hAnsi="Times New Roman" w:cs="Times New Roman"/>
          <w:sz w:val="24"/>
        </w:rPr>
      </w:pPr>
    </w:p>
    <w:p w14:paraId="6B0B90A9" w14:textId="77777777" w:rsidR="00075C04" w:rsidRDefault="00000000">
      <w:pPr>
        <w:rPr>
          <w:rFonts w:ascii="Times New Roman" w:hAnsi="Times New Roman" w:cs="Times New Roman"/>
          <w:b/>
          <w:bCs/>
          <w:sz w:val="24"/>
        </w:rPr>
      </w:pPr>
      <w:r>
        <w:rPr>
          <w:rFonts w:ascii="Times New Roman" w:hAnsi="Times New Roman" w:cs="Times New Roman" w:hint="eastAsia"/>
          <w:b/>
          <w:bCs/>
          <w:sz w:val="24"/>
        </w:rPr>
        <w:br w:type="page"/>
      </w:r>
    </w:p>
    <w:p w14:paraId="35B9913E" w14:textId="77777777" w:rsidR="00075C04" w:rsidRDefault="00000000">
      <w:pPr>
        <w:spacing w:line="480" w:lineRule="auto"/>
        <w:outlineLvl w:val="0"/>
        <w:rPr>
          <w:rFonts w:ascii="Times New Roman" w:hAnsi="Times New Roman" w:cs="Times New Roman"/>
          <w:b/>
          <w:bCs/>
          <w:sz w:val="24"/>
        </w:rPr>
      </w:pPr>
      <w:bookmarkStart w:id="21" w:name="_Toc13200"/>
      <w:r>
        <w:rPr>
          <w:rFonts w:ascii="Times New Roman" w:hAnsi="Times New Roman" w:cs="Times New Roman" w:hint="eastAsia"/>
          <w:b/>
          <w:bCs/>
          <w:sz w:val="24"/>
        </w:rPr>
        <w:lastRenderedPageBreak/>
        <w:t>R</w:t>
      </w:r>
      <w:r>
        <w:rPr>
          <w:rFonts w:ascii="Times New Roman" w:hAnsi="Times New Roman" w:cs="Times New Roman"/>
          <w:b/>
          <w:bCs/>
          <w:sz w:val="24"/>
        </w:rPr>
        <w:t>eference</w:t>
      </w:r>
      <w:r>
        <w:rPr>
          <w:rFonts w:ascii="Times New Roman" w:hAnsi="Times New Roman" w:cs="Times New Roman" w:hint="eastAsia"/>
          <w:b/>
          <w:bCs/>
          <w:sz w:val="24"/>
        </w:rPr>
        <w:t>s</w:t>
      </w:r>
      <w:bookmarkEnd w:id="21"/>
    </w:p>
    <w:p w14:paraId="2B05B617" w14:textId="77777777" w:rsidR="00075C04" w:rsidRDefault="00000000">
      <w:pPr>
        <w:spacing w:line="480" w:lineRule="auto"/>
        <w:rPr>
          <w:rFonts w:ascii="Times New Roman" w:hAnsi="Times New Roman" w:cs="Times New Roman"/>
          <w:sz w:val="24"/>
        </w:rPr>
      </w:pPr>
      <w:proofErr w:type="spellStart"/>
      <w:r>
        <w:rPr>
          <w:rFonts w:ascii="Times New Roman" w:hAnsi="Times New Roman" w:cs="Times New Roman"/>
          <w:sz w:val="24"/>
        </w:rPr>
        <w:t>Andreyeva</w:t>
      </w:r>
      <w:proofErr w:type="spellEnd"/>
      <w:r>
        <w:rPr>
          <w:rFonts w:ascii="Times New Roman" w:hAnsi="Times New Roman" w:cs="Times New Roman"/>
          <w:sz w:val="24"/>
        </w:rPr>
        <w:t>, T., Long, M. W., &amp; Brownell, K. D. (2010). The impact of food prices on consumption: a systematic review of research on the price elasticity of demand for food. American journal of public health, 100(2), 216-222.</w:t>
      </w:r>
    </w:p>
    <w:p w14:paraId="15275D89" w14:textId="77777777" w:rsidR="00075C04" w:rsidRDefault="00000000">
      <w:pPr>
        <w:spacing w:line="480" w:lineRule="auto"/>
        <w:rPr>
          <w:rFonts w:ascii="Times New Roman" w:hAnsi="Times New Roman" w:cs="Times New Roman"/>
          <w:sz w:val="24"/>
        </w:rPr>
      </w:pPr>
      <w:r>
        <w:rPr>
          <w:rFonts w:ascii="Times New Roman" w:hAnsi="Times New Roman" w:cs="Times New Roman"/>
          <w:sz w:val="24"/>
        </w:rPr>
        <w:t xml:space="preserve">Anderson, P. L., McLellan, R. D., Overton, J. P., &amp; Wolfram, G. L. (1997). Price elasticity of demand. </w:t>
      </w:r>
      <w:proofErr w:type="spellStart"/>
      <w:r>
        <w:rPr>
          <w:rFonts w:ascii="Times New Roman" w:hAnsi="Times New Roman" w:cs="Times New Roman"/>
          <w:sz w:val="24"/>
        </w:rPr>
        <w:t>McKinac</w:t>
      </w:r>
      <w:proofErr w:type="spellEnd"/>
      <w:r>
        <w:rPr>
          <w:rFonts w:ascii="Times New Roman" w:hAnsi="Times New Roman" w:cs="Times New Roman"/>
          <w:sz w:val="24"/>
        </w:rPr>
        <w:t xml:space="preserve"> Center for Public Policy. Accessed October, 13(2).</w:t>
      </w:r>
    </w:p>
    <w:p w14:paraId="223C07B2" w14:textId="77777777" w:rsidR="00075C04" w:rsidRDefault="00000000">
      <w:pPr>
        <w:spacing w:line="480" w:lineRule="auto"/>
        <w:rPr>
          <w:rFonts w:ascii="Times New Roman" w:hAnsi="Times New Roman" w:cs="Times New Roman"/>
          <w:sz w:val="24"/>
        </w:rPr>
      </w:pPr>
      <w:r>
        <w:rPr>
          <w:rFonts w:ascii="Times New Roman" w:hAnsi="Times New Roman" w:cs="Times New Roman"/>
          <w:sz w:val="24"/>
        </w:rPr>
        <w:t>Byrnes, J. (2005). Nail customer service. Harvard Business School Working Knowledge.</w:t>
      </w:r>
    </w:p>
    <w:p w14:paraId="73FFF09B" w14:textId="77777777" w:rsidR="00075C04" w:rsidRDefault="00000000">
      <w:pPr>
        <w:spacing w:line="480" w:lineRule="auto"/>
        <w:rPr>
          <w:rFonts w:ascii="Times New Roman" w:hAnsi="Times New Roman" w:cs="Times New Roman"/>
          <w:sz w:val="24"/>
        </w:rPr>
      </w:pPr>
      <w:proofErr w:type="spellStart"/>
      <w:r>
        <w:rPr>
          <w:rFonts w:ascii="Times New Roman" w:hAnsi="Times New Roman" w:cs="Times New Roman"/>
          <w:sz w:val="24"/>
        </w:rPr>
        <w:t>Bhimani</w:t>
      </w:r>
      <w:proofErr w:type="spellEnd"/>
      <w:r>
        <w:rPr>
          <w:rFonts w:ascii="Times New Roman" w:hAnsi="Times New Roman" w:cs="Times New Roman"/>
          <w:sz w:val="24"/>
        </w:rPr>
        <w:t>, A. (2020). Digital data and management accounting: why we need to rethink research methods. Journal of Management Control, 31(1-2), 9-23.</w:t>
      </w:r>
    </w:p>
    <w:p w14:paraId="3CBE6C4F" w14:textId="77777777" w:rsidR="00075C04" w:rsidRDefault="00000000">
      <w:pPr>
        <w:spacing w:line="480" w:lineRule="auto"/>
        <w:rPr>
          <w:rFonts w:ascii="Times New Roman" w:hAnsi="Times New Roman" w:cs="Times New Roman"/>
          <w:sz w:val="24"/>
        </w:rPr>
      </w:pPr>
      <w:r>
        <w:rPr>
          <w:rFonts w:ascii="Times New Roman" w:hAnsi="Times New Roman" w:cs="Times New Roman"/>
          <w:sz w:val="24"/>
        </w:rPr>
        <w:t>Burnes, B. (2020). The origins of Lewin’s three-step model of change. The Journal of Applied Behavioral Science, 56(1), 32-59.</w:t>
      </w:r>
    </w:p>
    <w:p w14:paraId="704DF23B" w14:textId="77777777" w:rsidR="00075C04" w:rsidRPr="00A83DB3" w:rsidRDefault="00000000">
      <w:pPr>
        <w:spacing w:line="480" w:lineRule="auto"/>
        <w:rPr>
          <w:rFonts w:ascii="Times New Roman" w:hAnsi="Times New Roman" w:cs="Times New Roman"/>
          <w:sz w:val="24"/>
          <w:lang w:val="nl-NL"/>
        </w:rPr>
      </w:pPr>
      <w:proofErr w:type="spellStart"/>
      <w:r>
        <w:rPr>
          <w:rFonts w:ascii="Times New Roman" w:hAnsi="Times New Roman" w:cs="Times New Roman"/>
          <w:sz w:val="24"/>
        </w:rPr>
        <w:t>Chien</w:t>
      </w:r>
      <w:proofErr w:type="spellEnd"/>
      <w:r>
        <w:rPr>
          <w:rFonts w:ascii="Times New Roman" w:hAnsi="Times New Roman" w:cs="Times New Roman"/>
          <w:sz w:val="24"/>
        </w:rPr>
        <w:t xml:space="preserve">, L., &amp; Chi, S. (2019). Corporate image as a mediator between service quality and customer satisfaction: difference across categorized exhibitors. </w:t>
      </w:r>
      <w:proofErr w:type="spellStart"/>
      <w:r w:rsidRPr="00A83DB3">
        <w:rPr>
          <w:rFonts w:ascii="Times New Roman" w:hAnsi="Times New Roman" w:cs="Times New Roman"/>
          <w:sz w:val="24"/>
          <w:lang w:val="nl-NL"/>
        </w:rPr>
        <w:t>Heliyon</w:t>
      </w:r>
      <w:proofErr w:type="spellEnd"/>
      <w:r w:rsidRPr="00A83DB3">
        <w:rPr>
          <w:rFonts w:ascii="Times New Roman" w:hAnsi="Times New Roman" w:cs="Times New Roman"/>
          <w:sz w:val="24"/>
          <w:lang w:val="nl-NL"/>
        </w:rPr>
        <w:t>, 5(3).</w:t>
      </w:r>
    </w:p>
    <w:p w14:paraId="7952B1F9" w14:textId="77777777" w:rsidR="00075C04" w:rsidRDefault="00000000">
      <w:pPr>
        <w:spacing w:line="480" w:lineRule="auto"/>
        <w:rPr>
          <w:rFonts w:ascii="Times New Roman" w:hAnsi="Times New Roman" w:cs="Times New Roman"/>
          <w:sz w:val="24"/>
        </w:rPr>
      </w:pPr>
      <w:r w:rsidRPr="00A83DB3">
        <w:rPr>
          <w:rFonts w:ascii="Times New Roman" w:hAnsi="Times New Roman" w:cs="Times New Roman"/>
          <w:sz w:val="24"/>
          <w:lang w:val="nl-NL"/>
        </w:rPr>
        <w:t xml:space="preserve">Chen, M., </w:t>
      </w:r>
      <w:proofErr w:type="spellStart"/>
      <w:r w:rsidRPr="00A83DB3">
        <w:rPr>
          <w:rFonts w:ascii="Times New Roman" w:hAnsi="Times New Roman" w:cs="Times New Roman"/>
          <w:sz w:val="24"/>
          <w:lang w:val="nl-NL"/>
        </w:rPr>
        <w:t>Wakai</w:t>
      </w:r>
      <w:proofErr w:type="spellEnd"/>
      <w:r w:rsidRPr="00A83DB3">
        <w:rPr>
          <w:rFonts w:ascii="Times New Roman" w:hAnsi="Times New Roman" w:cs="Times New Roman"/>
          <w:sz w:val="24"/>
          <w:lang w:val="nl-NL"/>
        </w:rPr>
        <w:t xml:space="preserve">, R. T., &amp; Van Veen, B. D. (2000). </w:t>
      </w:r>
      <w:r>
        <w:rPr>
          <w:rFonts w:ascii="Times New Roman" w:hAnsi="Times New Roman" w:cs="Times New Roman"/>
          <w:sz w:val="24"/>
        </w:rPr>
        <w:t>Variance-based spatial filtering in FMCG. In Proceedings of the 22nd Annual International Conference of the IEEE Engineering in Medicine and Biology Society (Cat. No. 00CH37143) (Vol. 2, pp. 956-957). IEEE.</w:t>
      </w:r>
    </w:p>
    <w:p w14:paraId="74829710" w14:textId="77777777" w:rsidR="00075C04" w:rsidRDefault="00000000">
      <w:pPr>
        <w:spacing w:line="480" w:lineRule="auto"/>
        <w:rPr>
          <w:rFonts w:ascii="Times New Roman" w:hAnsi="Times New Roman" w:cs="Times New Roman"/>
          <w:sz w:val="24"/>
        </w:rPr>
      </w:pPr>
      <w:r>
        <w:rPr>
          <w:rFonts w:ascii="Times New Roman" w:hAnsi="Times New Roman" w:cs="Times New Roman"/>
          <w:sz w:val="24"/>
        </w:rPr>
        <w:t>Ding, Q., Dong, C., &amp; Pan, Z. (2016). A hierarchical pricing decision process on a dual-channel problem with one manufacturer and one retailer. International Journal of Production Economics, 175, 197-212.</w:t>
      </w:r>
    </w:p>
    <w:p w14:paraId="50EA3985" w14:textId="77777777" w:rsidR="00075C04" w:rsidRDefault="00000000">
      <w:pPr>
        <w:spacing w:line="480" w:lineRule="auto"/>
        <w:rPr>
          <w:rFonts w:ascii="Times New Roman" w:hAnsi="Times New Roman" w:cs="Times New Roman"/>
          <w:sz w:val="24"/>
        </w:rPr>
      </w:pPr>
      <w:proofErr w:type="spellStart"/>
      <w:r>
        <w:rPr>
          <w:rFonts w:ascii="Times New Roman" w:hAnsi="Times New Roman" w:cs="Times New Roman"/>
          <w:sz w:val="24"/>
        </w:rPr>
        <w:t>Errida</w:t>
      </w:r>
      <w:proofErr w:type="spellEnd"/>
      <w:r>
        <w:rPr>
          <w:rFonts w:ascii="Times New Roman" w:hAnsi="Times New Roman" w:cs="Times New Roman"/>
          <w:sz w:val="24"/>
        </w:rPr>
        <w:t xml:space="preserve">, A., &amp; </w:t>
      </w:r>
      <w:proofErr w:type="spellStart"/>
      <w:r>
        <w:rPr>
          <w:rFonts w:ascii="Times New Roman" w:hAnsi="Times New Roman" w:cs="Times New Roman"/>
          <w:sz w:val="24"/>
        </w:rPr>
        <w:t>Lotfi</w:t>
      </w:r>
      <w:proofErr w:type="spellEnd"/>
      <w:r>
        <w:rPr>
          <w:rFonts w:ascii="Times New Roman" w:hAnsi="Times New Roman" w:cs="Times New Roman"/>
          <w:sz w:val="24"/>
        </w:rPr>
        <w:t>, B. (2021). The determinants of organizational change management success: Literature review and case study. International Journal of Engineering Business Management, 13.</w:t>
      </w:r>
    </w:p>
    <w:p w14:paraId="44AD9522"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lastRenderedPageBreak/>
        <w:t>Fletcher, G., &amp; Griffiths, M. (2020). Digital transformation during a lockdown. International journal of information management, 55, 1.</w:t>
      </w:r>
    </w:p>
    <w:p w14:paraId="523F0FD1"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Gao, D., Li, G., &amp; Yu, J. (2022). Does digitization improve green total factor energy efficiency? Evidence from Chinese 213 cities. Energy, 247.</w:t>
      </w:r>
    </w:p>
    <w:p w14:paraId="584EB64B"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Giannini, T., &amp; Bowen, J. P. (2022). Museums and Digital Culture: From reality to digitality in the age of COVID-19. Heritage, 5(1), 192-214.</w:t>
      </w:r>
    </w:p>
    <w:p w14:paraId="5EB42E44"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t>Hamdo</w:t>
      </w:r>
      <w:proofErr w:type="spellEnd"/>
      <w:r>
        <w:rPr>
          <w:rFonts w:ascii="Times New Roman" w:hAnsi="Times New Roman" w:cs="Times New Roman"/>
          <w:sz w:val="24"/>
        </w:rPr>
        <w:t xml:space="preserve">, S. S. (2021). Change Management Models: A Comparative Review. Unpublished PhD thesis. Istanbul: Istanbul </w:t>
      </w:r>
      <w:proofErr w:type="spellStart"/>
      <w:r>
        <w:rPr>
          <w:rFonts w:ascii="Times New Roman" w:hAnsi="Times New Roman" w:cs="Times New Roman"/>
          <w:sz w:val="24"/>
        </w:rPr>
        <w:t>Okan</w:t>
      </w:r>
      <w:proofErr w:type="spellEnd"/>
      <w:r>
        <w:rPr>
          <w:rFonts w:ascii="Times New Roman" w:hAnsi="Times New Roman" w:cs="Times New Roman"/>
          <w:sz w:val="24"/>
        </w:rPr>
        <w:t xml:space="preserve"> University.</w:t>
      </w:r>
    </w:p>
    <w:p w14:paraId="415FCA6F"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 xml:space="preserve">Han, L., &amp; Cui, Y. (2021). The application of virtual reality technology in museum exhibition——Take the Han Dynasty </w:t>
      </w:r>
      <w:proofErr w:type="spellStart"/>
      <w:r>
        <w:rPr>
          <w:rFonts w:ascii="Times New Roman" w:hAnsi="Times New Roman" w:cs="Times New Roman"/>
          <w:sz w:val="24"/>
        </w:rPr>
        <w:t>Haihunhou</w:t>
      </w:r>
      <w:proofErr w:type="spellEnd"/>
      <w:r>
        <w:rPr>
          <w:rFonts w:ascii="Times New Roman" w:hAnsi="Times New Roman" w:cs="Times New Roman"/>
          <w:sz w:val="24"/>
        </w:rPr>
        <w:t xml:space="preserve"> Ruins Museum in Nanchang as an example. In E3S Web of Conferences. EDP Sciences, </w:t>
      </w:r>
      <w:proofErr w:type="gramStart"/>
      <w:r>
        <w:rPr>
          <w:rFonts w:ascii="Times New Roman" w:hAnsi="Times New Roman" w:cs="Times New Roman"/>
          <w:sz w:val="24"/>
        </w:rPr>
        <w:t>( 236</w:t>
      </w:r>
      <w:proofErr w:type="gramEnd"/>
      <w:r>
        <w:rPr>
          <w:rFonts w:ascii="Times New Roman" w:hAnsi="Times New Roman" w:cs="Times New Roman"/>
          <w:sz w:val="24"/>
        </w:rPr>
        <w:t>), 4.</w:t>
      </w:r>
    </w:p>
    <w:p w14:paraId="12E5D51A"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t>Hanelt</w:t>
      </w:r>
      <w:proofErr w:type="spellEnd"/>
      <w:r>
        <w:rPr>
          <w:rFonts w:ascii="Times New Roman" w:hAnsi="Times New Roman" w:cs="Times New Roman"/>
          <w:sz w:val="24"/>
        </w:rPr>
        <w:t xml:space="preserve">, A., </w:t>
      </w:r>
      <w:proofErr w:type="spellStart"/>
      <w:r>
        <w:rPr>
          <w:rFonts w:ascii="Times New Roman" w:hAnsi="Times New Roman" w:cs="Times New Roman"/>
          <w:sz w:val="24"/>
        </w:rPr>
        <w:t>Bohnsack</w:t>
      </w:r>
      <w:proofErr w:type="spellEnd"/>
      <w:r>
        <w:rPr>
          <w:rFonts w:ascii="Times New Roman" w:hAnsi="Times New Roman" w:cs="Times New Roman"/>
          <w:sz w:val="24"/>
        </w:rPr>
        <w:t xml:space="preserve">, R., </w:t>
      </w:r>
      <w:proofErr w:type="spellStart"/>
      <w:r>
        <w:rPr>
          <w:rFonts w:ascii="Times New Roman" w:hAnsi="Times New Roman" w:cs="Times New Roman"/>
          <w:sz w:val="24"/>
        </w:rPr>
        <w:t>Marz</w:t>
      </w:r>
      <w:proofErr w:type="spellEnd"/>
      <w:r>
        <w:rPr>
          <w:rFonts w:ascii="Times New Roman" w:hAnsi="Times New Roman" w:cs="Times New Roman"/>
          <w:sz w:val="24"/>
        </w:rPr>
        <w:t xml:space="preserve">, D., &amp; Antunes </w:t>
      </w:r>
      <w:proofErr w:type="spellStart"/>
      <w:r>
        <w:rPr>
          <w:rFonts w:ascii="Times New Roman" w:hAnsi="Times New Roman" w:cs="Times New Roman"/>
          <w:sz w:val="24"/>
        </w:rPr>
        <w:t>Marante</w:t>
      </w:r>
      <w:proofErr w:type="spellEnd"/>
      <w:r>
        <w:rPr>
          <w:rFonts w:ascii="Times New Roman" w:hAnsi="Times New Roman" w:cs="Times New Roman"/>
          <w:sz w:val="24"/>
        </w:rPr>
        <w:t>, C. (2021). A systematic review of the literature on digital transformation: Insights and implications for strategy and organizational change. Journal of Management Studies, 58(5), 1159-1197.</w:t>
      </w:r>
    </w:p>
    <w:p w14:paraId="162CF295"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 xml:space="preserve">Jami Pour, M., &amp; </w:t>
      </w:r>
      <w:proofErr w:type="spellStart"/>
      <w:r>
        <w:rPr>
          <w:rFonts w:ascii="Times New Roman" w:hAnsi="Times New Roman" w:cs="Times New Roman"/>
          <w:sz w:val="24"/>
        </w:rPr>
        <w:t>Hosseinzadeh</w:t>
      </w:r>
      <w:proofErr w:type="spellEnd"/>
      <w:r>
        <w:rPr>
          <w:rFonts w:ascii="Times New Roman" w:hAnsi="Times New Roman" w:cs="Times New Roman"/>
          <w:sz w:val="24"/>
        </w:rPr>
        <w:t>, M. (2021). An integrated framework of change management for social CRM implementation. Information Systems and e-Business Management, 19(1), 43-75.</w:t>
      </w:r>
    </w:p>
    <w:p w14:paraId="5562F114"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Kane, G. (2019). The technology fallacy: people are the real key to digital transformation. Research-Technology Management, 62(6), 44-49.</w:t>
      </w:r>
    </w:p>
    <w:p w14:paraId="4FC779E3"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King, E., Smith, M. P., Wilson, P. F., &amp; Williams, M. A. (2021). Digital Responses of UK Museum Exhibitions to the COVID‐19 Crisis, March–June 2020. Curator: The Museum Journal, 64(3), 487-504.</w:t>
      </w:r>
    </w:p>
    <w:p w14:paraId="329BC957"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lastRenderedPageBreak/>
        <w:t>Roşca</w:t>
      </w:r>
      <w:proofErr w:type="spellEnd"/>
      <w:r>
        <w:rPr>
          <w:rFonts w:ascii="Times New Roman" w:hAnsi="Times New Roman" w:cs="Times New Roman"/>
          <w:sz w:val="24"/>
        </w:rPr>
        <w:t>, V. I. (2020). Implications of Lewin’s field theory on social change. In Proceedings of the International Conference on Business Excellence 14(1</w:t>
      </w:r>
      <w:r>
        <w:rPr>
          <w:rFonts w:ascii="Times New Roman" w:hAnsi="Times New Roman" w:cs="Times New Roman"/>
          <w:sz w:val="24"/>
        </w:rPr>
        <w:t>）</w:t>
      </w:r>
      <w:r>
        <w:rPr>
          <w:rFonts w:ascii="Times New Roman" w:hAnsi="Times New Roman" w:cs="Times New Roman"/>
          <w:sz w:val="24"/>
        </w:rPr>
        <w:t>, 617-625.</w:t>
      </w:r>
    </w:p>
    <w:p w14:paraId="1D87DA36"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lang w:val="pt-BR"/>
        </w:rPr>
        <w:t>Samaroudi</w:t>
      </w:r>
      <w:proofErr w:type="spellEnd"/>
      <w:r>
        <w:rPr>
          <w:rFonts w:ascii="Times New Roman" w:hAnsi="Times New Roman" w:cs="Times New Roman"/>
          <w:sz w:val="24"/>
          <w:lang w:val="pt-BR"/>
        </w:rPr>
        <w:t xml:space="preserve">, M., </w:t>
      </w:r>
      <w:proofErr w:type="spellStart"/>
      <w:r>
        <w:rPr>
          <w:rFonts w:ascii="Times New Roman" w:hAnsi="Times New Roman" w:cs="Times New Roman"/>
          <w:sz w:val="24"/>
          <w:lang w:val="pt-BR"/>
        </w:rPr>
        <w:t>Echavarria</w:t>
      </w:r>
      <w:proofErr w:type="spellEnd"/>
      <w:r>
        <w:rPr>
          <w:rFonts w:ascii="Times New Roman" w:hAnsi="Times New Roman" w:cs="Times New Roman"/>
          <w:sz w:val="24"/>
          <w:lang w:val="pt-BR"/>
        </w:rPr>
        <w:t xml:space="preserve">, K. R., &amp; Perry, L. (2020). </w:t>
      </w:r>
      <w:r>
        <w:rPr>
          <w:rFonts w:ascii="Times New Roman" w:hAnsi="Times New Roman" w:cs="Times New Roman"/>
          <w:sz w:val="24"/>
        </w:rPr>
        <w:t>Heritage in lockdown: digital provision of memory institutions in the UK and US of America during the COVID-19 pandemic. Museum Management and Curatorship, 35(4), 337-361.</w:t>
      </w:r>
    </w:p>
    <w:p w14:paraId="7FCB07A7"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t>Savić</w:t>
      </w:r>
      <w:proofErr w:type="spellEnd"/>
      <w:r>
        <w:rPr>
          <w:rFonts w:ascii="Times New Roman" w:hAnsi="Times New Roman" w:cs="Times New Roman"/>
          <w:sz w:val="24"/>
        </w:rPr>
        <w:t>, D. (2020). COVID-19 and work from home: Digital transformation of the workforce. Grey Journal (TGJ), 16(2), 101-104.</w:t>
      </w:r>
    </w:p>
    <w:p w14:paraId="2AF1A128"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t>Sheninger</w:t>
      </w:r>
      <w:proofErr w:type="spellEnd"/>
      <w:r>
        <w:rPr>
          <w:rFonts w:ascii="Times New Roman" w:hAnsi="Times New Roman" w:cs="Times New Roman"/>
          <w:sz w:val="24"/>
        </w:rPr>
        <w:t>, E. (2019). Digital leadership: Changing paradigms for changing times. Corwin Press.</w:t>
      </w:r>
    </w:p>
    <w:p w14:paraId="12C04F61"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Soto-Acosta, P. (2020). COVID-19 pandemic: Shifting digital transformation to a high-speed gear. Information Systems Management, 37(4), 260-266.</w:t>
      </w:r>
    </w:p>
    <w:p w14:paraId="76B1F987"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Tabrizi, B., Lam, E., Girard, K., &amp; Irvin, V. (2019). Digital transformation is not about technology. Harvard business review, 13(March), 1-6.</w:t>
      </w:r>
    </w:p>
    <w:p w14:paraId="24BEA036"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Tang, K. N., &amp; Tang, K. N. (2019). Change management. Leadership and change management, 47-55.</w:t>
      </w:r>
    </w:p>
    <w:p w14:paraId="40150E4F"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lang w:val="nl-NL"/>
        </w:rPr>
        <w:t xml:space="preserve">Maes, G., &amp; Van </w:t>
      </w:r>
      <w:proofErr w:type="spellStart"/>
      <w:r>
        <w:rPr>
          <w:rFonts w:ascii="Times New Roman" w:hAnsi="Times New Roman" w:cs="Times New Roman"/>
          <w:sz w:val="24"/>
          <w:lang w:val="nl-NL"/>
        </w:rPr>
        <w:t>Hootegem</w:t>
      </w:r>
      <w:proofErr w:type="spellEnd"/>
      <w:r>
        <w:rPr>
          <w:rFonts w:ascii="Times New Roman" w:hAnsi="Times New Roman" w:cs="Times New Roman"/>
          <w:sz w:val="24"/>
          <w:lang w:val="nl-NL"/>
        </w:rPr>
        <w:t xml:space="preserve">, G. (2019). </w:t>
      </w:r>
      <w:r>
        <w:rPr>
          <w:rFonts w:ascii="Times New Roman" w:hAnsi="Times New Roman" w:cs="Times New Roman"/>
          <w:sz w:val="24"/>
        </w:rPr>
        <w:t>A systems model of organizational change. Journal of Organizational Change Management, 32(7), 725-738.</w:t>
      </w:r>
    </w:p>
    <w:p w14:paraId="02D2CC9D"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t>Meinken</w:t>
      </w:r>
      <w:proofErr w:type="spellEnd"/>
      <w:r>
        <w:rPr>
          <w:rFonts w:ascii="Times New Roman" w:hAnsi="Times New Roman" w:cs="Times New Roman"/>
          <w:sz w:val="24"/>
        </w:rPr>
        <w:t xml:space="preserve">, K. W., </w:t>
      </w:r>
      <w:proofErr w:type="spellStart"/>
      <w:r>
        <w:rPr>
          <w:rFonts w:ascii="Times New Roman" w:hAnsi="Times New Roman" w:cs="Times New Roman"/>
          <w:sz w:val="24"/>
        </w:rPr>
        <w:t>Rojko</w:t>
      </w:r>
      <w:proofErr w:type="spellEnd"/>
      <w:r>
        <w:rPr>
          <w:rFonts w:ascii="Times New Roman" w:hAnsi="Times New Roman" w:cs="Times New Roman"/>
          <w:sz w:val="24"/>
        </w:rPr>
        <w:t>, A. S., &amp; King, G. A. (1956). Measurement of Substitution in Demand from Time Series Data. A Synthesis of Three Approaches. Journal of Farm Economics, 38(3), 711-735.</w:t>
      </w:r>
    </w:p>
    <w:p w14:paraId="6C004354"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 xml:space="preserve">Markopoulos, E., Ye, C., Markopoulos, P., &amp; </w:t>
      </w:r>
      <w:proofErr w:type="spellStart"/>
      <w:r>
        <w:rPr>
          <w:rFonts w:ascii="Times New Roman" w:hAnsi="Times New Roman" w:cs="Times New Roman"/>
          <w:sz w:val="24"/>
        </w:rPr>
        <w:t>Luimula</w:t>
      </w:r>
      <w:proofErr w:type="spellEnd"/>
      <w:r>
        <w:rPr>
          <w:rFonts w:ascii="Times New Roman" w:hAnsi="Times New Roman" w:cs="Times New Roman"/>
          <w:sz w:val="24"/>
        </w:rPr>
        <w:t xml:space="preserve">, M. (2021). Digital museum transformation strategy against the Covid-19 pandemic crisis. In Advances in Creativity, </w:t>
      </w:r>
      <w:r>
        <w:rPr>
          <w:rFonts w:ascii="Times New Roman" w:hAnsi="Times New Roman" w:cs="Times New Roman"/>
          <w:sz w:val="24"/>
        </w:rPr>
        <w:lastRenderedPageBreak/>
        <w:t xml:space="preserve">Innovation, Entrepreneurship and Communication of Design: Proceedings of the AHFE 2021 Virtual Conferences on Creativity, Innovation and Entrepreneurship, and Human Factors in Communication of Design, 225-234. </w:t>
      </w:r>
    </w:p>
    <w:p w14:paraId="6123D25F"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lang w:val="de-DE"/>
        </w:rPr>
        <w:t xml:space="preserve">Mergel, I., Edelmann, N., &amp; Haug, N. (2019). </w:t>
      </w:r>
      <w:r>
        <w:rPr>
          <w:rFonts w:ascii="Times New Roman" w:hAnsi="Times New Roman" w:cs="Times New Roman"/>
          <w:sz w:val="24"/>
        </w:rPr>
        <w:t>Defining digital transformation: Results from expert interviews. Government information quarterly, 36(4), 1.</w:t>
      </w:r>
    </w:p>
    <w:p w14:paraId="364A63CC"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lang w:val="pl-PL"/>
        </w:rPr>
        <w:t>Nadkarni</w:t>
      </w:r>
      <w:proofErr w:type="spellEnd"/>
      <w:r>
        <w:rPr>
          <w:rFonts w:ascii="Times New Roman" w:hAnsi="Times New Roman" w:cs="Times New Roman"/>
          <w:sz w:val="24"/>
          <w:lang w:val="pl-PL"/>
        </w:rPr>
        <w:t xml:space="preserve">, S., &amp; </w:t>
      </w:r>
      <w:proofErr w:type="spellStart"/>
      <w:r>
        <w:rPr>
          <w:rFonts w:ascii="Times New Roman" w:hAnsi="Times New Roman" w:cs="Times New Roman"/>
          <w:sz w:val="24"/>
          <w:lang w:val="pl-PL"/>
        </w:rPr>
        <w:t>Prügl</w:t>
      </w:r>
      <w:proofErr w:type="spellEnd"/>
      <w:r>
        <w:rPr>
          <w:rFonts w:ascii="Times New Roman" w:hAnsi="Times New Roman" w:cs="Times New Roman"/>
          <w:sz w:val="24"/>
          <w:lang w:val="pl-PL"/>
        </w:rPr>
        <w:t xml:space="preserve">, R. (2021). </w:t>
      </w:r>
      <w:r>
        <w:rPr>
          <w:rFonts w:ascii="Times New Roman" w:hAnsi="Times New Roman" w:cs="Times New Roman"/>
          <w:sz w:val="24"/>
        </w:rPr>
        <w:t>Digital transformation: a review, synthesis and opportunities for future research. Management Review Quarterly, 71, 233-341.</w:t>
      </w:r>
    </w:p>
    <w:p w14:paraId="5EE3686B"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 xml:space="preserve">Verhoef, P. C., </w:t>
      </w:r>
      <w:proofErr w:type="spellStart"/>
      <w:r>
        <w:rPr>
          <w:rFonts w:ascii="Times New Roman" w:hAnsi="Times New Roman" w:cs="Times New Roman"/>
          <w:sz w:val="24"/>
        </w:rPr>
        <w:t>Broekhuizen</w:t>
      </w:r>
      <w:proofErr w:type="spellEnd"/>
      <w:r>
        <w:rPr>
          <w:rFonts w:ascii="Times New Roman" w:hAnsi="Times New Roman" w:cs="Times New Roman"/>
          <w:sz w:val="24"/>
        </w:rPr>
        <w:t xml:space="preserve">, T., Bart, Y., Bhattacharya, A., Dong, J. Q., Fabian, N., &amp; </w:t>
      </w:r>
      <w:proofErr w:type="spellStart"/>
      <w:r>
        <w:rPr>
          <w:rFonts w:ascii="Times New Roman" w:hAnsi="Times New Roman" w:cs="Times New Roman"/>
          <w:sz w:val="24"/>
        </w:rPr>
        <w:t>Haenlein</w:t>
      </w:r>
      <w:proofErr w:type="spellEnd"/>
      <w:r>
        <w:rPr>
          <w:rFonts w:ascii="Times New Roman" w:hAnsi="Times New Roman" w:cs="Times New Roman"/>
          <w:sz w:val="24"/>
        </w:rPr>
        <w:t>, M. (2021). Digital transformation: A multidisciplinary reflection and research agenda. Journal of business research, 122, 889-901.</w:t>
      </w:r>
    </w:p>
    <w:p w14:paraId="5529AC82"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Vial, G. (2021). Understanding digital transformation: A review and a research agenda. Managing Digital Transformation, 13-66.</w:t>
      </w:r>
    </w:p>
    <w:p w14:paraId="3ACBD6B0"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t>Sarker</w:t>
      </w:r>
      <w:proofErr w:type="spellEnd"/>
      <w:r>
        <w:rPr>
          <w:rFonts w:ascii="Times New Roman" w:hAnsi="Times New Roman" w:cs="Times New Roman"/>
          <w:sz w:val="24"/>
        </w:rPr>
        <w:t>, M. A. H., &amp; Rahman, M. (2017). Consumers’ purchasing decision toward Fast Moving Consumer Goods (FMCGs): An empirical study. The Comilla University Journal of Business Studies, 4(1).</w:t>
      </w:r>
    </w:p>
    <w:p w14:paraId="38F7E126"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 xml:space="preserve">Wang, L., Fan, H., &amp; Gong, T. (2018). The consumer demand estimating and purchasing strategies optimizing of </w:t>
      </w:r>
      <w:proofErr w:type="spellStart"/>
      <w:r>
        <w:rPr>
          <w:rFonts w:ascii="Times New Roman" w:hAnsi="Times New Roman" w:cs="Times New Roman"/>
          <w:sz w:val="24"/>
        </w:rPr>
        <w:t>fmcg</w:t>
      </w:r>
      <w:proofErr w:type="spellEnd"/>
      <w:r>
        <w:rPr>
          <w:rFonts w:ascii="Times New Roman" w:hAnsi="Times New Roman" w:cs="Times New Roman"/>
          <w:sz w:val="24"/>
        </w:rPr>
        <w:t xml:space="preserve"> retailers based on geographic methods. Sustainability, 10(2), 466.</w:t>
      </w:r>
    </w:p>
    <w:p w14:paraId="18854606"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t>Wasonga</w:t>
      </w:r>
      <w:proofErr w:type="spellEnd"/>
      <w:r>
        <w:rPr>
          <w:rFonts w:ascii="Times New Roman" w:hAnsi="Times New Roman" w:cs="Times New Roman"/>
          <w:sz w:val="24"/>
        </w:rPr>
        <w:t>, A. A. P. (2012). Factors affecting consumer perception of Kenyan manufactured fast moving consumer goods in the East African community. a case of laundry detergents products _ (Doctoral dissertation).</w:t>
      </w:r>
    </w:p>
    <w:p w14:paraId="4BDC1824"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 xml:space="preserve">Wang, C., &amp; Zhang, M. (2022). The road to change: Broadband China strategy and </w:t>
      </w:r>
      <w:r>
        <w:rPr>
          <w:rFonts w:ascii="Times New Roman" w:hAnsi="Times New Roman" w:cs="Times New Roman"/>
          <w:sz w:val="24"/>
        </w:rPr>
        <w:lastRenderedPageBreak/>
        <w:t xml:space="preserve">enterprise digitization. </w:t>
      </w:r>
      <w:proofErr w:type="spellStart"/>
      <w:r>
        <w:rPr>
          <w:rFonts w:ascii="Times New Roman" w:hAnsi="Times New Roman" w:cs="Times New Roman"/>
          <w:sz w:val="24"/>
        </w:rPr>
        <w:t>Plos</w:t>
      </w:r>
      <w:proofErr w:type="spellEnd"/>
      <w:r>
        <w:rPr>
          <w:rFonts w:ascii="Times New Roman" w:hAnsi="Times New Roman" w:cs="Times New Roman"/>
          <w:sz w:val="24"/>
        </w:rPr>
        <w:t xml:space="preserve"> one, 17(5),3.</w:t>
      </w:r>
    </w:p>
    <w:p w14:paraId="5596ED40" w14:textId="77777777" w:rsidR="00075C04" w:rsidRDefault="00000000">
      <w:pPr>
        <w:spacing w:line="480" w:lineRule="auto"/>
        <w:ind w:left="480"/>
        <w:rPr>
          <w:rFonts w:ascii="Times New Roman" w:hAnsi="Times New Roman" w:cs="Times New Roman"/>
          <w:sz w:val="24"/>
        </w:rPr>
      </w:pPr>
      <w:proofErr w:type="spellStart"/>
      <w:r>
        <w:rPr>
          <w:rFonts w:ascii="Times New Roman" w:hAnsi="Times New Roman" w:cs="Times New Roman"/>
          <w:sz w:val="24"/>
        </w:rPr>
        <w:t>Zaki</w:t>
      </w:r>
      <w:proofErr w:type="spellEnd"/>
      <w:r>
        <w:rPr>
          <w:rFonts w:ascii="Times New Roman" w:hAnsi="Times New Roman" w:cs="Times New Roman"/>
          <w:sz w:val="24"/>
        </w:rPr>
        <w:t>, M. (2019). Digital transformation: harnessing digital technologies for the next generation of services. Journal of Services Marketing</w:t>
      </w:r>
    </w:p>
    <w:p w14:paraId="1A1897BB"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 xml:space="preserve">Zeng, H., Ran, H., Zhou, Q., </w:t>
      </w:r>
      <w:proofErr w:type="spellStart"/>
      <w:r>
        <w:rPr>
          <w:rFonts w:ascii="Times New Roman" w:hAnsi="Times New Roman" w:cs="Times New Roman"/>
          <w:sz w:val="24"/>
        </w:rPr>
        <w:t>Jin</w:t>
      </w:r>
      <w:proofErr w:type="spellEnd"/>
      <w:r>
        <w:rPr>
          <w:rFonts w:ascii="Times New Roman" w:hAnsi="Times New Roman" w:cs="Times New Roman"/>
          <w:sz w:val="24"/>
        </w:rPr>
        <w:t>, Y., &amp; Cheng, X. (2022). The financial effect of firm digitalization: evidence from China. Technological Forecasting and Social Change, 183.</w:t>
      </w:r>
    </w:p>
    <w:p w14:paraId="3C818E7E" w14:textId="77777777" w:rsidR="00075C04" w:rsidRDefault="00000000">
      <w:pPr>
        <w:spacing w:line="480" w:lineRule="auto"/>
        <w:ind w:left="480"/>
        <w:rPr>
          <w:rFonts w:ascii="Times New Roman" w:hAnsi="Times New Roman" w:cs="Times New Roman"/>
          <w:sz w:val="24"/>
        </w:rPr>
      </w:pPr>
      <w:r>
        <w:rPr>
          <w:rFonts w:ascii="Times New Roman" w:hAnsi="Times New Roman" w:cs="Times New Roman"/>
          <w:sz w:val="24"/>
        </w:rPr>
        <w:t>Zhang, H., Gao, S., &amp; Zhou, P. (2023). Role of digitalization in energy storage technological innovation: Evidence from China. Renewable and Sustainable Energy Reviews, 171.</w:t>
      </w:r>
    </w:p>
    <w:p w14:paraId="51443C08" w14:textId="77777777" w:rsidR="00075C04" w:rsidRDefault="00075C04">
      <w:pPr>
        <w:spacing w:line="480" w:lineRule="auto"/>
        <w:ind w:left="480"/>
        <w:rPr>
          <w:rFonts w:ascii="Times New Roman" w:hAnsi="Times New Roman" w:cs="Times New Roman"/>
          <w:sz w:val="24"/>
        </w:rPr>
      </w:pPr>
    </w:p>
    <w:p w14:paraId="41BFEAF4" w14:textId="77777777" w:rsidR="00075C04" w:rsidRDefault="00075C04">
      <w:pPr>
        <w:spacing w:line="480" w:lineRule="auto"/>
        <w:rPr>
          <w:sz w:val="24"/>
        </w:rPr>
      </w:pPr>
    </w:p>
    <w:p w14:paraId="7AA569A1" w14:textId="77777777" w:rsidR="00075C04" w:rsidRDefault="00075C04">
      <w:pPr>
        <w:spacing w:line="480" w:lineRule="auto"/>
        <w:rPr>
          <w:rFonts w:ascii="Times New Roman" w:hAnsi="Times New Roman" w:cs="Times New Roman"/>
          <w:sz w:val="24"/>
        </w:rPr>
      </w:pPr>
    </w:p>
    <w:p w14:paraId="36D24145" w14:textId="77777777" w:rsidR="00075C04" w:rsidRDefault="00075C04">
      <w:pPr>
        <w:spacing w:line="480" w:lineRule="auto"/>
        <w:ind w:firstLineChars="200" w:firstLine="480"/>
        <w:rPr>
          <w:rFonts w:ascii="Times New Roman" w:hAnsi="Times New Roman" w:cs="Times New Roman"/>
          <w:sz w:val="24"/>
        </w:rPr>
      </w:pPr>
    </w:p>
    <w:sectPr w:rsidR="00075C04">
      <w:headerReference w:type="default" r:id="rId10"/>
      <w:footerReference w:type="default" r:id="rId11"/>
      <w:pgSz w:w="11906" w:h="16838"/>
      <w:pgMar w:top="1440" w:right="1440" w:bottom="1440" w:left="1440" w:header="851" w:footer="992" w:gutter="0"/>
      <w:pgNumType w:start="2"/>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90AE8" w14:textId="77777777" w:rsidR="009D7F1F" w:rsidRDefault="009D7F1F">
      <w:r>
        <w:separator/>
      </w:r>
    </w:p>
  </w:endnote>
  <w:endnote w:type="continuationSeparator" w:id="0">
    <w:p w14:paraId="3BC6FB72" w14:textId="77777777" w:rsidR="009D7F1F" w:rsidRDefault="009D7F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927277"/>
    </w:sdtPr>
    <w:sdtContent>
      <w:p w14:paraId="7797A8D6" w14:textId="77777777" w:rsidR="00075C04" w:rsidRDefault="00000000">
        <w:pPr>
          <w:pStyle w:val="a3"/>
          <w:jc w:val="center"/>
        </w:pPr>
        <w:r>
          <w:fldChar w:fldCharType="begin"/>
        </w:r>
        <w:r>
          <w:instrText>PAGE   \* MERGEFORMAT</w:instrText>
        </w:r>
        <w:r>
          <w:fldChar w:fldCharType="separate"/>
        </w:r>
        <w:r>
          <w:rPr>
            <w:lang w:val="zh-CN"/>
          </w:rPr>
          <w:t>1</w:t>
        </w:r>
        <w:r>
          <w:fldChar w:fldCharType="end"/>
        </w:r>
      </w:p>
    </w:sdtContent>
  </w:sdt>
  <w:p w14:paraId="10350531" w14:textId="77777777" w:rsidR="00075C04" w:rsidRDefault="00075C04">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624570"/>
    </w:sdtPr>
    <w:sdtContent>
      <w:p w14:paraId="7AEE7275" w14:textId="77777777" w:rsidR="00075C04" w:rsidRDefault="00000000">
        <w:pPr>
          <w:pStyle w:val="a3"/>
          <w:jc w:val="center"/>
        </w:pPr>
        <w:r>
          <w:fldChar w:fldCharType="begin"/>
        </w:r>
        <w:r>
          <w:instrText>PAGE   \* MERGEFORMAT</w:instrText>
        </w:r>
        <w:r>
          <w:fldChar w:fldCharType="separate"/>
        </w:r>
        <w:r>
          <w:rPr>
            <w:lang w:val="zh-CN"/>
          </w:rPr>
          <w:t>1</w:t>
        </w:r>
        <w:r>
          <w:fldChar w:fldCharType="end"/>
        </w:r>
      </w:p>
    </w:sdtContent>
  </w:sdt>
  <w:p w14:paraId="28A9FBB3" w14:textId="77777777" w:rsidR="00075C04" w:rsidRDefault="00075C04">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A78EE" w14:textId="77777777" w:rsidR="009D7F1F" w:rsidRDefault="009D7F1F">
      <w:r>
        <w:separator/>
      </w:r>
    </w:p>
  </w:footnote>
  <w:footnote w:type="continuationSeparator" w:id="0">
    <w:p w14:paraId="5247C8D3" w14:textId="77777777" w:rsidR="009D7F1F" w:rsidRDefault="009D7F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0C1EA" w14:textId="77777777" w:rsidR="00075C04" w:rsidRDefault="00075C04">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95698E3"/>
    <w:multiLevelType w:val="singleLevel"/>
    <w:tmpl w:val="895698E3"/>
    <w:lvl w:ilvl="0">
      <w:start w:val="4"/>
      <w:numFmt w:val="decimal"/>
      <w:suff w:val="space"/>
      <w:lvlText w:val="%1."/>
      <w:lvlJc w:val="left"/>
    </w:lvl>
  </w:abstractNum>
  <w:num w:numId="1" w16cid:durableId="2095667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embedSystemFonts/>
  <w:bordersDoNotSurroundHeader/>
  <w:bordersDoNotSurroundFooter/>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ZTE5MTJjMTY4Mzg0ZmU3M2EzMzhkNGY5Yzk3NGM1NTIifQ=="/>
  </w:docVars>
  <w:rsids>
    <w:rsidRoot w:val="00253BBF"/>
    <w:rsid w:val="00075C04"/>
    <w:rsid w:val="00253BBF"/>
    <w:rsid w:val="00486BAA"/>
    <w:rsid w:val="006C029F"/>
    <w:rsid w:val="00704DBA"/>
    <w:rsid w:val="0073653A"/>
    <w:rsid w:val="008F02FB"/>
    <w:rsid w:val="009D7F1F"/>
    <w:rsid w:val="00A83DB3"/>
    <w:rsid w:val="00AD4D79"/>
    <w:rsid w:val="00BB554D"/>
    <w:rsid w:val="00EA438C"/>
    <w:rsid w:val="0ABF4250"/>
    <w:rsid w:val="16692350"/>
    <w:rsid w:val="1C072352"/>
    <w:rsid w:val="20FB06F0"/>
    <w:rsid w:val="2B0B4232"/>
    <w:rsid w:val="2C295231"/>
    <w:rsid w:val="3F9C76B8"/>
    <w:rsid w:val="4C664A17"/>
    <w:rsid w:val="4DD74341"/>
    <w:rsid w:val="55384AA3"/>
    <w:rsid w:val="5D4D10AC"/>
    <w:rsid w:val="60B82348"/>
    <w:rsid w:val="6C78605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E3488A5"/>
  <w15:docId w15:val="{D458EB49-639A-5F42-8B6E-71DD343D5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header" w:qFormat="1"/>
    <w:lsdException w:name="footer" w:qFormat="1"/>
    <w:lsdException w:name="caption" w:semiHidden="1" w:unhideWhenUsed="1" w:qFormat="1"/>
    <w:lsdException w:name="page number" w:semiHidden="1" w:uiPriority="99" w:unhideWhenUsed="1"/>
    <w:lsdException w:name="Title" w:qFormat="1"/>
    <w:lsdException w:name="Default Paragraph Font" w:semiHidden="1" w:uiPriority="1" w:unhideWhenUsed="1"/>
    <w:lsdException w:name="Subtitle" w:qFormat="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link w:val="10"/>
    <w:uiPriority w:val="9"/>
    <w:qFormat/>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qFormat/>
    <w:pPr>
      <w:tabs>
        <w:tab w:val="center" w:pos="4153"/>
        <w:tab w:val="right" w:pos="8306"/>
      </w:tabs>
      <w:snapToGrid w:val="0"/>
      <w:jc w:val="left"/>
    </w:pPr>
    <w:rPr>
      <w:sz w:val="18"/>
    </w:rPr>
  </w:style>
  <w:style w:type="paragraph" w:styleId="a4">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qFormat/>
  </w:style>
  <w:style w:type="paragraph" w:styleId="TOC2">
    <w:name w:val="toc 2"/>
    <w:basedOn w:val="a"/>
    <w:next w:val="a"/>
    <w:pPr>
      <w:ind w:leftChars="200" w:left="420"/>
    </w:pPr>
  </w:style>
  <w:style w:type="table" w:styleId="a5">
    <w:name w:val="Table Grid"/>
    <w:basedOn w:val="a1"/>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page number"/>
    <w:basedOn w:val="a0"/>
    <w:uiPriority w:val="99"/>
    <w:semiHidden/>
    <w:unhideWhenUsed/>
  </w:style>
  <w:style w:type="character" w:styleId="a7">
    <w:name w:val="Hyperlink"/>
    <w:basedOn w:val="a0"/>
    <w:uiPriority w:val="99"/>
    <w:unhideWhenUsed/>
    <w:rPr>
      <w:color w:val="0000FF"/>
      <w:u w:val="single"/>
    </w:rPr>
  </w:style>
  <w:style w:type="paragraph" w:customStyle="1" w:styleId="WPSOffice1">
    <w:name w:val="WPSOffice手动目录 1"/>
    <w:qFormat/>
  </w:style>
  <w:style w:type="paragraph" w:customStyle="1" w:styleId="WPSOffice2">
    <w:name w:val="WPSOffice手动目录 2"/>
    <w:qFormat/>
    <w:pPr>
      <w:ind w:leftChars="200" w:left="200"/>
    </w:pPr>
  </w:style>
  <w:style w:type="character" w:customStyle="1" w:styleId="10">
    <w:name w:val="标题 1 字符"/>
    <w:basedOn w:val="a0"/>
    <w:link w:val="1"/>
    <w:uiPriority w:val="9"/>
    <w:rPr>
      <w:rFonts w:ascii="宋体" w:hAnsi="宋体" w:cs="宋体"/>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24</Pages>
  <Words>4985</Words>
  <Characters>28421</Characters>
  <Application>Microsoft Office Word</Application>
  <DocSecurity>0</DocSecurity>
  <Lines>236</Lines>
  <Paragraphs>66</Paragraphs>
  <ScaleCrop>false</ScaleCrop>
  <Company/>
  <LinksUpToDate>false</LinksUpToDate>
  <CharactersWithSpaces>33340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wanga</dc:creator>
  <cp:lastModifiedBy>Microsoft Office User</cp:lastModifiedBy>
  <cp:revision>5</cp:revision>
  <cp:lastPrinted>2023-04-26T10:41:00Z</cp:lastPrinted>
  <dcterms:created xsi:type="dcterms:W3CDTF">2023-04-26T10:41:00Z</dcterms:created>
  <dcterms:modified xsi:type="dcterms:W3CDTF">2023-04-28T10:07:00Z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6D6453754F1248D4951D85ECAA516966_13</vt:lpwstr>
  </property>
</Properties>
</file>