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5F88" w:rsidRDefault="00C46796">
      <w:pPr>
        <w:spacing w:before="280"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noProof/>
          <w:sz w:val="40"/>
          <w:szCs w:val="40"/>
          <w:lang w:val="ru-RU" w:eastAsia="ru-RU"/>
        </w:rPr>
        <w:drawing>
          <wp:inline distT="114300" distB="114300" distL="114300" distR="114300">
            <wp:extent cx="2752725" cy="13430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752725" cy="1343025"/>
                    </a:xfrm>
                    <a:prstGeom prst="rect">
                      <a:avLst/>
                    </a:prstGeom>
                    <a:ln/>
                  </pic:spPr>
                </pic:pic>
              </a:graphicData>
            </a:graphic>
          </wp:inline>
        </w:drawing>
      </w:r>
    </w:p>
    <w:p w:rsidR="00205F88" w:rsidRDefault="00C46796">
      <w:pPr>
        <w:spacing w:before="280"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Programme: BSc Health and Social Care</w:t>
      </w:r>
    </w:p>
    <w:p w:rsidR="00205F88" w:rsidRDefault="00C46796">
      <w:pPr>
        <w:spacing w:before="280"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 Principles of Health and Social Care Practice</w:t>
      </w:r>
    </w:p>
    <w:p w:rsidR="00205F88" w:rsidRDefault="00C46796">
      <w:pPr>
        <w:spacing w:before="280"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Module code: BMHP5016</w:t>
      </w:r>
    </w:p>
    <w:p w:rsidR="007A69AE" w:rsidRDefault="007A69AE">
      <w:pPr>
        <w:spacing w:before="280" w:line="360" w:lineRule="auto"/>
        <w:jc w:val="center"/>
        <w:rPr>
          <w:rFonts w:ascii="Times New Roman" w:eastAsia="Times New Roman" w:hAnsi="Times New Roman" w:cs="Times New Roman"/>
          <w:b/>
          <w:bCs/>
          <w:sz w:val="40"/>
          <w:szCs w:val="40"/>
        </w:rPr>
      </w:pPr>
    </w:p>
    <w:p w:rsidR="007A69AE" w:rsidRPr="007A69AE" w:rsidRDefault="007A69AE">
      <w:pPr>
        <w:spacing w:before="280" w:line="360" w:lineRule="auto"/>
        <w:jc w:val="center"/>
        <w:rPr>
          <w:rFonts w:ascii="Times New Roman" w:eastAsia="Times New Roman" w:hAnsi="Times New Roman" w:cs="Times New Roman"/>
          <w:b/>
          <w:bCs/>
          <w:sz w:val="36"/>
          <w:szCs w:val="36"/>
        </w:rPr>
      </w:pPr>
      <w:r w:rsidRPr="007A69AE">
        <w:rPr>
          <w:rFonts w:ascii="Times New Roman" w:eastAsia="Times New Roman" w:hAnsi="Times New Roman" w:cs="Times New Roman"/>
          <w:b/>
          <w:bCs/>
          <w:sz w:val="36"/>
          <w:szCs w:val="36"/>
        </w:rPr>
        <w:t>Lecturer's name:</w:t>
      </w:r>
      <w:r>
        <w:rPr>
          <w:rFonts w:ascii="Times New Roman" w:eastAsia="Times New Roman" w:hAnsi="Times New Roman" w:cs="Times New Roman"/>
          <w:b/>
          <w:bCs/>
          <w:sz w:val="36"/>
          <w:szCs w:val="36"/>
        </w:rPr>
        <w:t xml:space="preserve"> </w:t>
      </w:r>
      <w:r w:rsidRPr="007A69AE">
        <w:rPr>
          <w:rFonts w:ascii="Times New Roman" w:eastAsia="Times New Roman" w:hAnsi="Times New Roman" w:cs="Times New Roman"/>
          <w:b/>
          <w:bCs/>
          <w:sz w:val="36"/>
          <w:szCs w:val="36"/>
        </w:rPr>
        <w:t xml:space="preserve">Dr </w:t>
      </w:r>
      <w:proofErr w:type="spellStart"/>
      <w:r w:rsidRPr="007A69AE">
        <w:rPr>
          <w:rFonts w:ascii="Times New Roman" w:eastAsia="Times New Roman" w:hAnsi="Times New Roman" w:cs="Times New Roman"/>
          <w:b/>
          <w:bCs/>
          <w:sz w:val="36"/>
          <w:szCs w:val="36"/>
        </w:rPr>
        <w:t>Itse</w:t>
      </w:r>
      <w:proofErr w:type="spellEnd"/>
      <w:r w:rsidRPr="007A69AE">
        <w:rPr>
          <w:rFonts w:ascii="Times New Roman" w:eastAsia="Times New Roman" w:hAnsi="Times New Roman" w:cs="Times New Roman"/>
          <w:b/>
          <w:bCs/>
          <w:sz w:val="36"/>
          <w:szCs w:val="36"/>
        </w:rPr>
        <w:t xml:space="preserve"> </w:t>
      </w:r>
      <w:proofErr w:type="spellStart"/>
      <w:r w:rsidRPr="007A69AE">
        <w:rPr>
          <w:rFonts w:ascii="Times New Roman" w:eastAsia="Times New Roman" w:hAnsi="Times New Roman" w:cs="Times New Roman"/>
          <w:b/>
          <w:bCs/>
          <w:sz w:val="36"/>
          <w:szCs w:val="36"/>
        </w:rPr>
        <w:t>Olaoye</w:t>
      </w:r>
      <w:proofErr w:type="spellEnd"/>
    </w:p>
    <w:p w:rsidR="00205F88" w:rsidRPr="00AE15C3" w:rsidRDefault="00C46796">
      <w:pPr>
        <w:spacing w:before="280" w:line="360" w:lineRule="auto"/>
        <w:jc w:val="center"/>
        <w:rPr>
          <w:rFonts w:ascii="Times New Roman" w:eastAsia="Times New Roman" w:hAnsi="Times New Roman" w:cs="Times New Roman"/>
          <w:b/>
          <w:bCs/>
          <w:iCs/>
          <w:sz w:val="36"/>
          <w:szCs w:val="36"/>
        </w:rPr>
      </w:pPr>
      <w:r w:rsidRPr="00AE15C3">
        <w:rPr>
          <w:rFonts w:ascii="Times New Roman" w:eastAsia="Times New Roman" w:hAnsi="Times New Roman" w:cs="Times New Roman"/>
          <w:b/>
          <w:bCs/>
          <w:iCs/>
          <w:sz w:val="36"/>
          <w:szCs w:val="36"/>
        </w:rPr>
        <w:t>Student Name:</w:t>
      </w:r>
      <w:r w:rsidR="00AE15C3">
        <w:rPr>
          <w:rFonts w:ascii="Times New Roman" w:eastAsia="Times New Roman" w:hAnsi="Times New Roman" w:cs="Times New Roman"/>
          <w:b/>
          <w:bCs/>
          <w:iCs/>
          <w:sz w:val="36"/>
          <w:szCs w:val="36"/>
        </w:rPr>
        <w:t xml:space="preserve"> </w:t>
      </w:r>
      <w:proofErr w:type="spellStart"/>
      <w:r w:rsidR="00AE15C3" w:rsidRPr="00AE15C3">
        <w:rPr>
          <w:rFonts w:ascii="Times New Roman" w:eastAsia="Times New Roman" w:hAnsi="Times New Roman" w:cs="Times New Roman"/>
          <w:b/>
          <w:bCs/>
          <w:iCs/>
          <w:sz w:val="36"/>
          <w:szCs w:val="36"/>
        </w:rPr>
        <w:t>Vitalina</w:t>
      </w:r>
      <w:proofErr w:type="spellEnd"/>
      <w:r w:rsidR="00AE15C3" w:rsidRPr="00AE15C3">
        <w:rPr>
          <w:rFonts w:ascii="Times New Roman" w:eastAsia="Times New Roman" w:hAnsi="Times New Roman" w:cs="Times New Roman"/>
          <w:b/>
          <w:bCs/>
          <w:iCs/>
          <w:sz w:val="36"/>
          <w:szCs w:val="36"/>
        </w:rPr>
        <w:t xml:space="preserve"> </w:t>
      </w:r>
      <w:proofErr w:type="spellStart"/>
      <w:r w:rsidR="00AE15C3" w:rsidRPr="00AE15C3">
        <w:rPr>
          <w:rFonts w:ascii="Times New Roman" w:eastAsia="Times New Roman" w:hAnsi="Times New Roman" w:cs="Times New Roman"/>
          <w:b/>
          <w:bCs/>
          <w:iCs/>
          <w:sz w:val="36"/>
          <w:szCs w:val="36"/>
        </w:rPr>
        <w:t>Kraievska</w:t>
      </w:r>
      <w:proofErr w:type="spellEnd"/>
    </w:p>
    <w:p w:rsidR="00205F88" w:rsidRPr="00AE15C3" w:rsidRDefault="00C46796">
      <w:pPr>
        <w:spacing w:before="280" w:line="360" w:lineRule="auto"/>
        <w:jc w:val="center"/>
        <w:rPr>
          <w:rFonts w:ascii="Times New Roman" w:eastAsia="Times New Roman" w:hAnsi="Times New Roman" w:cs="Times New Roman"/>
          <w:b/>
          <w:bCs/>
          <w:iCs/>
          <w:sz w:val="36"/>
          <w:szCs w:val="36"/>
        </w:rPr>
      </w:pPr>
      <w:r w:rsidRPr="00AE15C3">
        <w:rPr>
          <w:rFonts w:ascii="Times New Roman" w:eastAsia="Times New Roman" w:hAnsi="Times New Roman" w:cs="Times New Roman"/>
          <w:b/>
          <w:bCs/>
          <w:iCs/>
          <w:sz w:val="36"/>
          <w:szCs w:val="36"/>
        </w:rPr>
        <w:t>Student ID:</w:t>
      </w:r>
      <w:r w:rsidR="00AE15C3" w:rsidRPr="00AE15C3">
        <w:rPr>
          <w:rFonts w:ascii="Times New Roman" w:eastAsia="Times New Roman" w:hAnsi="Times New Roman" w:cs="Times New Roman"/>
          <w:b/>
          <w:bCs/>
          <w:iCs/>
          <w:sz w:val="36"/>
          <w:szCs w:val="36"/>
        </w:rPr>
        <w:t xml:space="preserve"> 2411153</w:t>
      </w:r>
    </w:p>
    <w:p w:rsidR="00205F88" w:rsidRPr="00AE15C3" w:rsidRDefault="00C46796">
      <w:pPr>
        <w:spacing w:before="280" w:line="360" w:lineRule="auto"/>
        <w:jc w:val="center"/>
        <w:rPr>
          <w:rFonts w:ascii="Times New Roman" w:eastAsia="Times New Roman" w:hAnsi="Times New Roman" w:cs="Times New Roman"/>
          <w:b/>
          <w:bCs/>
          <w:iCs/>
          <w:sz w:val="36"/>
          <w:szCs w:val="36"/>
        </w:rPr>
      </w:pPr>
      <w:r w:rsidRPr="00AE15C3">
        <w:rPr>
          <w:rFonts w:ascii="Times New Roman" w:eastAsia="Times New Roman" w:hAnsi="Times New Roman" w:cs="Times New Roman"/>
          <w:b/>
          <w:bCs/>
          <w:iCs/>
          <w:sz w:val="36"/>
          <w:szCs w:val="36"/>
        </w:rPr>
        <w:t>Year: 2025</w:t>
      </w:r>
    </w:p>
    <w:p w:rsidR="00205F88" w:rsidRDefault="00205F88"/>
    <w:p w:rsidR="00205F88" w:rsidRDefault="00C46796">
      <w:pPr>
        <w:pStyle w:val="1"/>
        <w:keepNext w:val="0"/>
        <w:keepLines w:val="0"/>
        <w:spacing w:before="280"/>
      </w:pPr>
      <w:bookmarkStart w:id="0" w:name="_heading=h.l88bfq2ojxhy" w:colFirst="0" w:colLast="0"/>
      <w:bookmarkEnd w:id="0"/>
      <w:r>
        <w:br w:type="page"/>
      </w:r>
    </w:p>
    <w:bookmarkStart w:id="1" w:name="_heading=h.9xljapo0yg8k" w:colFirst="0" w:colLast="0" w:displacedByCustomXml="next"/>
    <w:bookmarkEnd w:id="1" w:displacedByCustomXml="next"/>
    <w:sdt>
      <w:sdtPr>
        <w:rPr>
          <w:rFonts w:ascii="Arial" w:eastAsia="Arial" w:hAnsi="Arial" w:cs="Arial"/>
          <w:b w:val="0"/>
          <w:bCs w:val="0"/>
          <w:color w:val="auto"/>
          <w:sz w:val="22"/>
          <w:szCs w:val="22"/>
          <w:lang w:val="en-IN" w:eastAsia="en-IN"/>
        </w:rPr>
        <w:id w:val="1080178337"/>
        <w:docPartObj>
          <w:docPartGallery w:val="Table of Contents"/>
          <w:docPartUnique/>
        </w:docPartObj>
      </w:sdtPr>
      <w:sdtEndPr>
        <w:rPr>
          <w:noProof/>
        </w:rPr>
      </w:sdtEndPr>
      <w:sdtContent>
        <w:p w:rsidR="00B848B2" w:rsidRPr="00B848B2" w:rsidRDefault="00B848B2" w:rsidP="00B848B2">
          <w:pPr>
            <w:pStyle w:val="aa"/>
            <w:jc w:val="center"/>
            <w:rPr>
              <w:rFonts w:ascii="Times New Roman" w:hAnsi="Times New Roman" w:cs="Times New Roman"/>
              <w:color w:val="000000" w:themeColor="text1"/>
            </w:rPr>
          </w:pPr>
          <w:r w:rsidRPr="00B848B2">
            <w:rPr>
              <w:rFonts w:ascii="Times New Roman" w:hAnsi="Times New Roman" w:cs="Times New Roman"/>
              <w:color w:val="000000" w:themeColor="text1"/>
            </w:rPr>
            <w:t>Table of Contents</w:t>
          </w:r>
        </w:p>
        <w:p w:rsidR="00B848B2" w:rsidRPr="00B848B2" w:rsidRDefault="00B848B2">
          <w:pPr>
            <w:pStyle w:val="10"/>
            <w:tabs>
              <w:tab w:val="right" w:leader="dot" w:pos="9019"/>
            </w:tabs>
            <w:rPr>
              <w:rFonts w:ascii="Times New Roman" w:eastAsiaTheme="minorEastAsia" w:hAnsi="Times New Roman" w:cs="Times New Roman"/>
              <w:noProof/>
              <w:sz w:val="24"/>
              <w:szCs w:val="24"/>
            </w:rPr>
          </w:pPr>
          <w:r w:rsidRPr="00B848B2">
            <w:rPr>
              <w:rFonts w:ascii="Times New Roman" w:hAnsi="Times New Roman" w:cs="Times New Roman"/>
              <w:sz w:val="24"/>
              <w:szCs w:val="24"/>
            </w:rPr>
            <w:fldChar w:fldCharType="begin"/>
          </w:r>
          <w:r w:rsidRPr="00B848B2">
            <w:rPr>
              <w:rFonts w:ascii="Times New Roman" w:hAnsi="Times New Roman" w:cs="Times New Roman"/>
              <w:sz w:val="24"/>
              <w:szCs w:val="24"/>
            </w:rPr>
            <w:instrText xml:space="preserve"> TOC \o "1-3" \h \z \u </w:instrText>
          </w:r>
          <w:r w:rsidRPr="00B848B2">
            <w:rPr>
              <w:rFonts w:ascii="Times New Roman" w:hAnsi="Times New Roman" w:cs="Times New Roman"/>
              <w:sz w:val="24"/>
              <w:szCs w:val="24"/>
            </w:rPr>
            <w:fldChar w:fldCharType="separate"/>
          </w:r>
          <w:hyperlink w:anchor="_Toc213687353" w:history="1">
            <w:r w:rsidRPr="00B848B2">
              <w:rPr>
                <w:rStyle w:val="ab"/>
                <w:rFonts w:ascii="Times New Roman" w:hAnsi="Times New Roman" w:cs="Times New Roman"/>
                <w:noProof/>
                <w:sz w:val="24"/>
                <w:szCs w:val="24"/>
              </w:rPr>
              <w:t>Task 1 – Reflection on the Importance of Principles of Health and Social Care</w:t>
            </w:r>
            <w:r w:rsidRPr="00B848B2">
              <w:rPr>
                <w:rFonts w:ascii="Times New Roman" w:hAnsi="Times New Roman" w:cs="Times New Roman"/>
                <w:noProof/>
                <w:webHidden/>
                <w:sz w:val="24"/>
                <w:szCs w:val="24"/>
              </w:rPr>
              <w:tab/>
            </w:r>
            <w:r w:rsidRPr="00B848B2">
              <w:rPr>
                <w:rFonts w:ascii="Times New Roman" w:hAnsi="Times New Roman" w:cs="Times New Roman"/>
                <w:noProof/>
                <w:webHidden/>
                <w:sz w:val="24"/>
                <w:szCs w:val="24"/>
              </w:rPr>
              <w:fldChar w:fldCharType="begin"/>
            </w:r>
            <w:r w:rsidRPr="00B848B2">
              <w:rPr>
                <w:rFonts w:ascii="Times New Roman" w:hAnsi="Times New Roman" w:cs="Times New Roman"/>
                <w:noProof/>
                <w:webHidden/>
                <w:sz w:val="24"/>
                <w:szCs w:val="24"/>
              </w:rPr>
              <w:instrText xml:space="preserve"> PAGEREF _Toc213687353 \h </w:instrText>
            </w:r>
            <w:r w:rsidRPr="00B848B2">
              <w:rPr>
                <w:rFonts w:ascii="Times New Roman" w:hAnsi="Times New Roman" w:cs="Times New Roman"/>
                <w:noProof/>
                <w:webHidden/>
                <w:sz w:val="24"/>
                <w:szCs w:val="24"/>
              </w:rPr>
            </w:r>
            <w:r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3</w:t>
            </w:r>
            <w:r w:rsidRPr="00B848B2">
              <w:rPr>
                <w:rFonts w:ascii="Times New Roman" w:hAnsi="Times New Roman" w:cs="Times New Roman"/>
                <w:noProof/>
                <w:webHidden/>
                <w:sz w:val="24"/>
                <w:szCs w:val="24"/>
              </w:rPr>
              <w:fldChar w:fldCharType="end"/>
            </w:r>
          </w:hyperlink>
        </w:p>
        <w:p w:rsidR="00B848B2" w:rsidRPr="00B848B2" w:rsidRDefault="00840824">
          <w:pPr>
            <w:pStyle w:val="10"/>
            <w:tabs>
              <w:tab w:val="right" w:leader="dot" w:pos="9019"/>
            </w:tabs>
            <w:rPr>
              <w:rFonts w:ascii="Times New Roman" w:eastAsiaTheme="minorEastAsia" w:hAnsi="Times New Roman" w:cs="Times New Roman"/>
              <w:noProof/>
              <w:sz w:val="24"/>
              <w:szCs w:val="24"/>
            </w:rPr>
          </w:pPr>
          <w:hyperlink w:anchor="_Toc213687354" w:history="1">
            <w:r w:rsidR="00B848B2" w:rsidRPr="00B848B2">
              <w:rPr>
                <w:rStyle w:val="ab"/>
                <w:rFonts w:ascii="Times New Roman" w:hAnsi="Times New Roman" w:cs="Times New Roman"/>
                <w:noProof/>
                <w:sz w:val="24"/>
                <w:szCs w:val="24"/>
              </w:rPr>
              <w:t>Task 2 – Practical Examples of Concepts in Practice</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_Toc213687354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4</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55" w:history="1">
            <w:r w:rsidR="00B848B2" w:rsidRPr="00B848B2">
              <w:rPr>
                <w:rStyle w:val="ab"/>
                <w:rFonts w:ascii="Times New Roman" w:hAnsi="Times New Roman" w:cs="Times New Roman"/>
                <w:noProof/>
                <w:sz w:val="24"/>
                <w:szCs w:val="24"/>
              </w:rPr>
              <w:t>Context</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_Toc213687355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4</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56" w:history="1">
            <w:r w:rsidR="00B848B2" w:rsidRPr="00B848B2">
              <w:rPr>
                <w:rStyle w:val="ab"/>
                <w:rFonts w:ascii="Times New Roman" w:hAnsi="Times New Roman" w:cs="Times New Roman"/>
                <w:noProof/>
                <w:sz w:val="24"/>
                <w:szCs w:val="24"/>
              </w:rPr>
              <w:t>Person-centred care applied</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_Toc213687356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4</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57" w:history="1">
            <w:r w:rsidR="00B848B2" w:rsidRPr="00B848B2">
              <w:rPr>
                <w:rStyle w:val="ab"/>
                <w:rFonts w:ascii="Times New Roman" w:hAnsi="Times New Roman" w:cs="Times New Roman"/>
                <w:noProof/>
                <w:sz w:val="24"/>
                <w:szCs w:val="24"/>
              </w:rPr>
              <w:t>Partnership working was used.</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_Toc213687357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5</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58" w:history="1">
            <w:r w:rsidR="00B848B2" w:rsidRPr="00B848B2">
              <w:rPr>
                <w:rStyle w:val="ab"/>
                <w:rFonts w:ascii="Times New Roman" w:hAnsi="Times New Roman" w:cs="Times New Roman"/>
                <w:noProof/>
                <w:sz w:val="24"/>
                <w:szCs w:val="24"/>
              </w:rPr>
              <w:t>Ethical considerations</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_Toc213687358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5</w:t>
            </w:r>
            <w:r w:rsidR="00B848B2" w:rsidRPr="00B848B2">
              <w:rPr>
                <w:rFonts w:ascii="Times New Roman" w:hAnsi="Times New Roman" w:cs="Times New Roman"/>
                <w:noProof/>
                <w:webHidden/>
                <w:sz w:val="24"/>
                <w:szCs w:val="24"/>
              </w:rPr>
              <w:fldChar w:fldCharType="end"/>
            </w:r>
          </w:hyperlink>
        </w:p>
        <w:p w:rsidR="00B848B2" w:rsidRPr="00B848B2" w:rsidRDefault="00840824" w:rsidP="00FD43D1">
          <w:pPr>
            <w:pStyle w:val="20"/>
            <w:tabs>
              <w:tab w:val="right" w:leader="dot" w:pos="9019"/>
            </w:tabs>
            <w:rPr>
              <w:rFonts w:ascii="Times New Roman" w:eastAsiaTheme="minorEastAsia" w:hAnsi="Times New Roman" w:cs="Times New Roman"/>
              <w:noProof/>
              <w:sz w:val="24"/>
              <w:szCs w:val="24"/>
            </w:rPr>
          </w:pPr>
          <w:hyperlink w:anchor="_Toc213687359" w:history="1">
            <w:r w:rsidR="00B848B2" w:rsidRPr="00B848B2">
              <w:rPr>
                <w:rStyle w:val="ab"/>
                <w:rFonts w:ascii="Times New Roman" w:hAnsi="Times New Roman" w:cs="Times New Roman"/>
                <w:noProof/>
                <w:sz w:val="24"/>
                <w:szCs w:val="24"/>
              </w:rPr>
              <w:t>Measuring: consequences and issues</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_Toc213687359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5</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10"/>
            <w:tabs>
              <w:tab w:val="right" w:leader="dot" w:pos="9019"/>
            </w:tabs>
            <w:rPr>
              <w:rFonts w:ascii="Times New Roman" w:eastAsiaTheme="minorEastAsia" w:hAnsi="Times New Roman" w:cs="Times New Roman"/>
              <w:noProof/>
              <w:sz w:val="24"/>
              <w:szCs w:val="24"/>
            </w:rPr>
          </w:pPr>
          <w:hyperlink w:anchor="_Toc213687361" w:history="1">
            <w:r w:rsidR="00B848B2" w:rsidRPr="00B848B2">
              <w:rPr>
                <w:rStyle w:val="ab"/>
                <w:rFonts w:ascii="Times New Roman" w:hAnsi="Times New Roman" w:cs="Times New Roman"/>
                <w:noProof/>
                <w:sz w:val="24"/>
                <w:szCs w:val="24"/>
              </w:rPr>
              <w:t>Task 3 – Self-Reflection as a Health and Social Care Professional</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_Toc213687361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6</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2" w:history="1">
            <w:r w:rsidR="00B848B2" w:rsidRPr="00B848B2">
              <w:rPr>
                <w:rStyle w:val="ab"/>
                <w:rFonts w:ascii="Times New Roman" w:hAnsi="Times New Roman" w:cs="Times New Roman"/>
                <w:noProof/>
                <w:sz w:val="24"/>
                <w:szCs w:val="24"/>
              </w:rPr>
              <w:t>Description</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_Toc213687362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6</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3" w:history="1">
            <w:r w:rsidR="00B848B2" w:rsidRPr="00B848B2">
              <w:rPr>
                <w:rStyle w:val="ab"/>
                <w:rFonts w:ascii="Times New Roman" w:hAnsi="Times New Roman" w:cs="Times New Roman"/>
                <w:noProof/>
                <w:sz w:val="24"/>
                <w:szCs w:val="24"/>
              </w:rPr>
              <w:t>Feelings</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_Toc213687363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6</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4" w:history="1">
            <w:r w:rsidR="00B848B2" w:rsidRPr="00B848B2">
              <w:rPr>
                <w:rStyle w:val="ab"/>
                <w:rFonts w:ascii="Times New Roman" w:hAnsi="Times New Roman" w:cs="Times New Roman"/>
                <w:noProof/>
                <w:sz w:val="24"/>
                <w:szCs w:val="24"/>
              </w:rPr>
              <w:t>Evaluation</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_Toc213687364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7</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5" w:history="1">
            <w:r w:rsidR="00B848B2" w:rsidRPr="00B848B2">
              <w:rPr>
                <w:rStyle w:val="ab"/>
                <w:rFonts w:ascii="Times New Roman" w:hAnsi="Times New Roman" w:cs="Times New Roman"/>
                <w:noProof/>
                <w:sz w:val="24"/>
                <w:szCs w:val="24"/>
              </w:rPr>
              <w:t>Analysis</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_Toc213687365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7</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6" w:history="1">
            <w:r w:rsidR="00B848B2" w:rsidRPr="00B848B2">
              <w:rPr>
                <w:rStyle w:val="ab"/>
                <w:rFonts w:ascii="Times New Roman" w:hAnsi="Times New Roman" w:cs="Times New Roman"/>
                <w:noProof/>
                <w:sz w:val="24"/>
                <w:szCs w:val="24"/>
              </w:rPr>
              <w:t>Conclusion</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_Toc213687366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8</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20"/>
            <w:tabs>
              <w:tab w:val="right" w:leader="dot" w:pos="9019"/>
            </w:tabs>
            <w:rPr>
              <w:rFonts w:ascii="Times New Roman" w:eastAsiaTheme="minorEastAsia" w:hAnsi="Times New Roman" w:cs="Times New Roman"/>
              <w:noProof/>
              <w:sz w:val="24"/>
              <w:szCs w:val="24"/>
            </w:rPr>
          </w:pPr>
          <w:hyperlink w:anchor="_Toc213687367" w:history="1">
            <w:r w:rsidR="00B848B2" w:rsidRPr="00B848B2">
              <w:rPr>
                <w:rStyle w:val="ab"/>
                <w:rFonts w:ascii="Times New Roman" w:hAnsi="Times New Roman" w:cs="Times New Roman"/>
                <w:noProof/>
                <w:sz w:val="24"/>
                <w:szCs w:val="24"/>
              </w:rPr>
              <w:t>Action Plan</w:t>
            </w:r>
            <w:r w:rsidR="00B848B2" w:rsidRPr="00B848B2">
              <w:rPr>
                <w:rFonts w:ascii="Times New Roman" w:hAnsi="Times New Roman" w:cs="Times New Roman"/>
                <w:noProof/>
                <w:webHidden/>
                <w:sz w:val="24"/>
                <w:szCs w:val="24"/>
              </w:rPr>
              <w:tab/>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_Toc213687367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8</w:t>
            </w:r>
            <w:r w:rsidR="00B848B2" w:rsidRPr="00B848B2">
              <w:rPr>
                <w:rFonts w:ascii="Times New Roman" w:hAnsi="Times New Roman" w:cs="Times New Roman"/>
                <w:noProof/>
                <w:webHidden/>
                <w:sz w:val="24"/>
                <w:szCs w:val="24"/>
              </w:rPr>
              <w:fldChar w:fldCharType="end"/>
            </w:r>
          </w:hyperlink>
        </w:p>
        <w:p w:rsidR="00B848B2" w:rsidRPr="00B848B2" w:rsidRDefault="00840824">
          <w:pPr>
            <w:pStyle w:val="10"/>
            <w:tabs>
              <w:tab w:val="right" w:leader="dot" w:pos="9019"/>
            </w:tabs>
            <w:rPr>
              <w:rFonts w:ascii="Times New Roman" w:eastAsiaTheme="minorEastAsia" w:hAnsi="Times New Roman" w:cs="Times New Roman"/>
              <w:noProof/>
              <w:sz w:val="24"/>
              <w:szCs w:val="24"/>
            </w:rPr>
          </w:pPr>
          <w:hyperlink w:anchor="_Toc213687368" w:history="1">
            <w:r w:rsidR="00B848B2" w:rsidRPr="00B848B2">
              <w:rPr>
                <w:rStyle w:val="ab"/>
                <w:rFonts w:ascii="Times New Roman" w:hAnsi="Times New Roman" w:cs="Times New Roman"/>
                <w:noProof/>
                <w:sz w:val="24"/>
                <w:szCs w:val="24"/>
              </w:rPr>
              <w:t>Reference List</w:t>
            </w:r>
            <w:r w:rsidR="00F90D5C">
              <w:rPr>
                <w:rFonts w:ascii="Times New Roman" w:hAnsi="Times New Roman" w:cs="Times New Roman"/>
                <w:noProof/>
                <w:webHidden/>
                <w:sz w:val="24"/>
                <w:szCs w:val="24"/>
              </w:rPr>
              <w:t>…………………………………………………………………………….</w:t>
            </w:r>
            <w:r w:rsidR="00B848B2" w:rsidRPr="00B848B2">
              <w:rPr>
                <w:rFonts w:ascii="Times New Roman" w:hAnsi="Times New Roman" w:cs="Times New Roman"/>
                <w:noProof/>
                <w:webHidden/>
                <w:sz w:val="24"/>
                <w:szCs w:val="24"/>
              </w:rPr>
              <w:fldChar w:fldCharType="begin"/>
            </w:r>
            <w:r w:rsidR="00B848B2" w:rsidRPr="00B848B2">
              <w:rPr>
                <w:rFonts w:ascii="Times New Roman" w:hAnsi="Times New Roman" w:cs="Times New Roman"/>
                <w:noProof/>
                <w:webHidden/>
                <w:sz w:val="24"/>
                <w:szCs w:val="24"/>
              </w:rPr>
              <w:instrText xml:space="preserve"> PAGEREF _Toc213687368 \h </w:instrText>
            </w:r>
            <w:r w:rsidR="00B848B2" w:rsidRPr="00B848B2">
              <w:rPr>
                <w:rFonts w:ascii="Times New Roman" w:hAnsi="Times New Roman" w:cs="Times New Roman"/>
                <w:noProof/>
                <w:webHidden/>
                <w:sz w:val="24"/>
                <w:szCs w:val="24"/>
              </w:rPr>
            </w:r>
            <w:r w:rsidR="00B848B2" w:rsidRPr="00B848B2">
              <w:rPr>
                <w:rFonts w:ascii="Times New Roman" w:hAnsi="Times New Roman" w:cs="Times New Roman"/>
                <w:noProof/>
                <w:webHidden/>
                <w:sz w:val="24"/>
                <w:szCs w:val="24"/>
              </w:rPr>
              <w:fldChar w:fldCharType="separate"/>
            </w:r>
            <w:r w:rsidR="00F90D5C">
              <w:rPr>
                <w:rFonts w:ascii="Times New Roman" w:hAnsi="Times New Roman" w:cs="Times New Roman"/>
                <w:noProof/>
                <w:webHidden/>
                <w:sz w:val="24"/>
                <w:szCs w:val="24"/>
              </w:rPr>
              <w:t>9</w:t>
            </w:r>
            <w:r w:rsidR="00B848B2" w:rsidRPr="00B848B2">
              <w:rPr>
                <w:rFonts w:ascii="Times New Roman" w:hAnsi="Times New Roman" w:cs="Times New Roman"/>
                <w:noProof/>
                <w:webHidden/>
                <w:sz w:val="24"/>
                <w:szCs w:val="24"/>
              </w:rPr>
              <w:fldChar w:fldCharType="end"/>
            </w:r>
          </w:hyperlink>
          <w:r w:rsidR="00F90D5C">
            <w:rPr>
              <w:rFonts w:ascii="Times New Roman" w:hAnsi="Times New Roman" w:cs="Times New Roman"/>
              <w:noProof/>
              <w:sz w:val="24"/>
              <w:szCs w:val="24"/>
            </w:rPr>
            <w:t>-10</w:t>
          </w:r>
        </w:p>
        <w:p w:rsidR="00B848B2" w:rsidRDefault="00B848B2">
          <w:r w:rsidRPr="00B848B2">
            <w:rPr>
              <w:rFonts w:ascii="Times New Roman" w:hAnsi="Times New Roman" w:cs="Times New Roman"/>
              <w:b/>
              <w:bCs/>
              <w:noProof/>
              <w:sz w:val="24"/>
              <w:szCs w:val="24"/>
            </w:rPr>
            <w:fldChar w:fldCharType="end"/>
          </w:r>
        </w:p>
      </w:sdtContent>
    </w:sdt>
    <w:p w:rsidR="00B848B2" w:rsidRDefault="00B848B2">
      <w:pPr>
        <w:rPr>
          <w:rFonts w:ascii="Times New Roman" w:eastAsia="Times New Roman" w:hAnsi="Times New Roman" w:cs="Times New Roman"/>
          <w:b/>
          <w:bCs/>
          <w:sz w:val="28"/>
          <w:szCs w:val="28"/>
        </w:rPr>
      </w:pPr>
      <w:bookmarkStart w:id="2" w:name="_Toc213687353"/>
      <w:r>
        <w:br w:type="page"/>
      </w:r>
    </w:p>
    <w:p w:rsidR="00205F88" w:rsidRDefault="00C46796">
      <w:pPr>
        <w:pStyle w:val="1"/>
        <w:keepNext w:val="0"/>
        <w:keepLines w:val="0"/>
        <w:spacing w:before="280"/>
      </w:pPr>
      <w:r>
        <w:lastRenderedPageBreak/>
        <w:t>Task 1 – Reflection on the Importance of Principles of Health and Social Care</w:t>
      </w:r>
      <w:bookmarkEnd w:id="2"/>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person-centred care, collaboration in practice, and ethical principles are several key principles that shape effective and compassionate practice in health and social care. These values are reflected in UK professional standards, such as the NHS Constitution (2021), the NICE guidelines (2023), and the NMC Code (2018), which focus on respect, collaboration, and ethical accountability. Thinking about these values, it is possible to outline that they have a positive impact on the quality of care, empower service users, and enhance professional integrity. Person-centred care is an approach that is concerned with dignity, respect, and compassion when making decisions. The Health Foundation (2021) states that person-centred care focuses on making people central to their care, and so they become active participants in the process of receiving care. Based on the Hierarchy of Needs presented by Maslow (1943), the practitioners are able to realise that comprehensive care should address not only the physical needs but also the psychological ones, i.e., safety and belonging up to self-esteem and self-actualisation. As an example, a patient with dementia will need not just medication (physiological need) but also emotional support and reassurance. The model assists the practitioners in designing interventions that encourage independence and well-being.</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Partnership working denotes the collaboration of professionals, service users, families as well and agencies in accomplishing common care objectives. An effective partnership assures the combination of various spheres of expertise and the elimination of fragmentation and enhancement of results. The Care Quality Commission places particular emphasis on the idea of the harmonious working of the health and social care sectors as resulting in safer and more responsive services (CQC, 2022). The stages of team development proposed by </w:t>
      </w:r>
      <w:proofErr w:type="spellStart"/>
      <w:r>
        <w:rPr>
          <w:rFonts w:ascii="Times New Roman" w:eastAsia="Times New Roman" w:hAnsi="Times New Roman" w:cs="Times New Roman"/>
          <w:sz w:val="24"/>
          <w:szCs w:val="24"/>
        </w:rPr>
        <w:t>Tuckman</w:t>
      </w:r>
      <w:proofErr w:type="spellEnd"/>
      <w:r>
        <w:rPr>
          <w:rFonts w:ascii="Times New Roman" w:eastAsia="Times New Roman" w:hAnsi="Times New Roman" w:cs="Times New Roman"/>
          <w:sz w:val="24"/>
          <w:szCs w:val="24"/>
        </w:rPr>
        <w:t xml:space="preserve"> (1965), forming, storming, and norming, can be used to explain the development of </w:t>
      </w:r>
      <w:bookmarkStart w:id="3" w:name="_GoBack"/>
      <w:bookmarkEnd w:id="3"/>
      <w:r>
        <w:rPr>
          <w:rFonts w:ascii="Times New Roman" w:eastAsia="Times New Roman" w:hAnsi="Times New Roman" w:cs="Times New Roman"/>
          <w:sz w:val="24"/>
          <w:szCs w:val="24"/>
        </w:rPr>
        <w:t>collaboration based on communication, trust-building, and shared responsibility. As an example, interdisciplinary team meetings of nurses, social workers and therapists can help improve communications and avoid duplication and integration of care plans based on holistic needs.</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 and social care ethics are certain that there is respect for human rights, fairness and accountability in the decisions being made. Practice has a moral framework through the four </w:t>
      </w:r>
      <w:r>
        <w:rPr>
          <w:rFonts w:ascii="Times New Roman" w:eastAsia="Times New Roman" w:hAnsi="Times New Roman" w:cs="Times New Roman"/>
          <w:sz w:val="24"/>
          <w:szCs w:val="24"/>
        </w:rPr>
        <w:lastRenderedPageBreak/>
        <w:t xml:space="preserve">key ethics principles, which include autonomy, beneficence, non-maleficence, and justice (Beauchamp and Childress, 2019). Those of autonomy enforce the right of an individual who has informed choices, beneficence, and non-maleficence direct professionals to help in the best interest of the patient and prevent harm. Equality and fairness in care access </w:t>
      </w:r>
      <w:proofErr w:type="gramStart"/>
      <w:r>
        <w:rPr>
          <w:rFonts w:ascii="Times New Roman" w:eastAsia="Times New Roman" w:hAnsi="Times New Roman" w:cs="Times New Roman"/>
          <w:sz w:val="24"/>
          <w:szCs w:val="24"/>
        </w:rPr>
        <w:t>a concepts</w:t>
      </w:r>
      <w:proofErr w:type="gramEnd"/>
      <w:r>
        <w:rPr>
          <w:rFonts w:ascii="Times New Roman" w:eastAsia="Times New Roman" w:hAnsi="Times New Roman" w:cs="Times New Roman"/>
          <w:sz w:val="24"/>
          <w:szCs w:val="24"/>
        </w:rPr>
        <w:t xml:space="preserve"> of justice. </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three principles are closely related. Person-centred care is based on ethical respect of autonomy and beneficence, and partnership working is the collaborative framework that is required to offer this care to the best of their abilities. Moral values support the manner in which professionals relate with each other in a partnership- transparency, respect and accountability. To use the example of an elderly patient and his discharge plan, the practitioners have to act ethically with respect to the decisions made by the patient (person-centred), collaborate effectively across agencies (partnership), and make sure that the decisions made do not harm the patient (non-maleficence).</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professional, safe, and equitable practice of health and social care is based on person-centred care, partnership working and ethics. They guarantee the observance of the rights of people, encourage wellbeing, and build trust between the professionals and service users. </w:t>
      </w:r>
    </w:p>
    <w:p w:rsidR="00205F88" w:rsidRDefault="00C46796">
      <w:pPr>
        <w:pStyle w:val="1"/>
        <w:keepNext w:val="0"/>
        <w:keepLines w:val="0"/>
        <w:spacing w:before="280"/>
      </w:pPr>
      <w:bookmarkStart w:id="4" w:name="_heading=h.grnolengyuyo" w:colFirst="0" w:colLast="0"/>
      <w:bookmarkStart w:id="5" w:name="_Toc213687354"/>
      <w:bookmarkEnd w:id="4"/>
      <w:r>
        <w:t>Task 2 – Practical Examples of Concepts in Practice</w:t>
      </w:r>
      <w:bookmarkEnd w:id="5"/>
      <w:r>
        <w:t xml:space="preserve"> </w:t>
      </w:r>
    </w:p>
    <w:p w:rsidR="00205F88" w:rsidRDefault="00C46796">
      <w:pPr>
        <w:pStyle w:val="2"/>
        <w:spacing w:before="240" w:after="240"/>
      </w:pPr>
      <w:bookmarkStart w:id="6" w:name="_heading=h.uqig40intori" w:colFirst="0" w:colLast="0"/>
      <w:bookmarkStart w:id="7" w:name="_Toc213687355"/>
      <w:bookmarkEnd w:id="6"/>
      <w:r>
        <w:t>Context</w:t>
      </w:r>
      <w:bookmarkEnd w:id="7"/>
      <w:r>
        <w:t xml:space="preserve"> </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a supervised placement in a 60-bed residential care home, a manager dealt with the treatment of an 82-year-old man with moderate dementia and frequent urinary tract infections and limited mobility after a fall, Mr Adam (pseudonym). The problem at hand was to organise a safe release back to his own house after a brief stay at a hospital without violating his desire to be self-reliant and his daughter, who thought his father was too unsafe on his own. </w:t>
      </w:r>
    </w:p>
    <w:p w:rsidR="00205F88" w:rsidRDefault="00C46796">
      <w:pPr>
        <w:pStyle w:val="2"/>
        <w:spacing w:before="240" w:after="240"/>
      </w:pPr>
      <w:bookmarkStart w:id="8" w:name="_heading=h.793mq8ifugpx" w:colFirst="0" w:colLast="0"/>
      <w:bookmarkStart w:id="9" w:name="_Toc213687356"/>
      <w:bookmarkEnd w:id="8"/>
      <w:r>
        <w:t>Person-centred care applied</w:t>
      </w:r>
      <w:bookmarkEnd w:id="9"/>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Person-centred approach was initiated with a strengths-based assessment where routines, hobbies, and preferences of Mr Adam were logged (daily tea ritual, likes to sleep in his own bed). The adaptations involved in care planning were straightforward and pragmatic (raised toilet seat, grab rails, re-arrangement of a single room), and the reintroduction to home </w:t>
      </w:r>
      <w:r>
        <w:rPr>
          <w:rFonts w:ascii="Times New Roman" w:eastAsia="Times New Roman" w:hAnsi="Times New Roman" w:cs="Times New Roman"/>
          <w:sz w:val="24"/>
          <w:szCs w:val="24"/>
        </w:rPr>
        <w:lastRenderedPageBreak/>
        <w:t xml:space="preserve">activities was gradual as opposed to immediate. Mr Adam was engaged in decision-making through communication that was easily understood (short sentences, reminiscence prompts), which did not violate his dignity and helped alleviate agitation. </w:t>
      </w:r>
    </w:p>
    <w:p w:rsidR="00205F88" w:rsidRDefault="00C46796">
      <w:pPr>
        <w:pStyle w:val="2"/>
        <w:spacing w:before="240" w:after="240"/>
      </w:pPr>
      <w:bookmarkStart w:id="10" w:name="_heading=h.8lx8bbie73mf" w:colFirst="0" w:colLast="0"/>
      <w:bookmarkStart w:id="11" w:name="_Toc213687357"/>
      <w:bookmarkEnd w:id="10"/>
      <w:r>
        <w:t>Partnership working was used.</w:t>
      </w:r>
      <w:bookmarkEnd w:id="11"/>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Its central point was partnership working. The nurse of the care-home arranged a case conference with the physiotherapist (to discuss the mobility plan), social worker (to discuss the home-care needs assessment) and the daughter of Mr Adam</w:t>
      </w:r>
      <w:r w:rsidR="00ED491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Every specialist provided their knowledge. The physiotherapist identified mobility objectives and equipment requirements; the social worker described domiciliary packages that were available under a care-needs assessment; the GP was equalising medication to minimise the risk of falls (</w:t>
      </w:r>
      <w:proofErr w:type="spellStart"/>
      <w:r>
        <w:rPr>
          <w:rFonts w:ascii="Times New Roman" w:eastAsia="Times New Roman" w:hAnsi="Times New Roman" w:cs="Times New Roman"/>
          <w:color w:val="222222"/>
          <w:sz w:val="24"/>
          <w:szCs w:val="24"/>
          <w:highlight w:val="white"/>
        </w:rPr>
        <w:t>Remawi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rsidR="00205F88" w:rsidRDefault="00C46796">
      <w:pPr>
        <w:pStyle w:val="2"/>
        <w:spacing w:before="240" w:after="240"/>
      </w:pPr>
      <w:bookmarkStart w:id="12" w:name="_heading=h.9wq3mylonb8p" w:colFirst="0" w:colLast="0"/>
      <w:bookmarkStart w:id="13" w:name="_Toc213687358"/>
      <w:bookmarkEnd w:id="12"/>
      <w:r>
        <w:t>Ethical considerations</w:t>
      </w:r>
      <w:bookmarkEnd w:id="13"/>
    </w:p>
    <w:p w:rsidR="00205F88" w:rsidRDefault="00C46796">
      <w:pPr>
        <w:spacing w:before="240" w:after="240" w:line="360" w:lineRule="auto"/>
        <w:jc w:val="both"/>
      </w:pPr>
      <w:r>
        <w:rPr>
          <w:rFonts w:ascii="Times New Roman" w:eastAsia="Times New Roman" w:hAnsi="Times New Roman" w:cs="Times New Roman"/>
          <w:sz w:val="24"/>
          <w:szCs w:val="24"/>
        </w:rPr>
        <w:t xml:space="preserve"> The Moral thought centred on autonomy and safety. A Mental Capacity Act (2005) test found Mr A had the capacity to make decisions about his desired place of residence, which needed assistance to comprehend risks. Practitioners utilised the best-interest framework of the MCA in thinking about the covert interventions (increased supervision) and the least restrictive ones. Information-sharing was confidential, and the daughter was only involved with the consent of Mr Adam, unless there was a need to disclose information to protect thresholds. An ethical negotiation that was continuing was balancing beneficence (prevention of harm) with respect to autonomy.  </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Decision-making cases involved the Care Act 2014 requirement to promote well-being and engage the person in care planning, the Mental Capacity Act 2005 on capacity assessment and best-interests decision-making and professional codes (NMC/HCPC) on the need to practise person-centred and collaboratively care (</w:t>
      </w:r>
      <w:r>
        <w:rPr>
          <w:rFonts w:ascii="Times New Roman" w:eastAsia="Times New Roman" w:hAnsi="Times New Roman" w:cs="Times New Roman"/>
          <w:color w:val="222222"/>
          <w:sz w:val="24"/>
          <w:szCs w:val="24"/>
          <w:highlight w:val="white"/>
        </w:rPr>
        <w:t>Chard, 2022)</w:t>
      </w:r>
      <w:r>
        <w:rPr>
          <w:rFonts w:ascii="Times New Roman" w:eastAsia="Times New Roman" w:hAnsi="Times New Roman" w:cs="Times New Roman"/>
          <w:sz w:val="24"/>
          <w:szCs w:val="24"/>
        </w:rPr>
        <w:t>.</w:t>
      </w:r>
    </w:p>
    <w:p w:rsidR="00205F88" w:rsidRDefault="00C46796">
      <w:pPr>
        <w:pStyle w:val="2"/>
        <w:spacing w:before="240" w:after="240"/>
      </w:pPr>
      <w:bookmarkStart w:id="14" w:name="_heading=h.itcbxss2nwar" w:colFirst="0" w:colLast="0"/>
      <w:bookmarkStart w:id="15" w:name="_Toc213687359"/>
      <w:bookmarkEnd w:id="14"/>
      <w:r>
        <w:t>Measuring: consequences and issues</w:t>
      </w:r>
      <w:bookmarkEnd w:id="15"/>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application of these principles led to quantifiable results, namely, Mr Adam </w:t>
      </w:r>
      <w:r w:rsidR="00FD43D1">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ent home with a staged support package, in a three-month period, fewer falls, and more reported satisfaction by both Mr Adam and his daughter. Collaborative work minimised duplication and accelerated equipment delivery. Delays could have been mitigated by having a more </w:t>
      </w:r>
      <w:r>
        <w:rPr>
          <w:rFonts w:ascii="Times New Roman" w:eastAsia="Times New Roman" w:hAnsi="Times New Roman" w:cs="Times New Roman"/>
          <w:sz w:val="24"/>
          <w:szCs w:val="24"/>
        </w:rPr>
        <w:lastRenderedPageBreak/>
        <w:t>proactive contingency plan and the involvement of the social care commissioning earlier.</w:t>
      </w:r>
      <w:bookmarkStart w:id="16" w:name="_heading=h.g0hyjhhpajz" w:colFirst="0" w:colLast="0"/>
      <w:bookmarkEnd w:id="16"/>
      <w:r w:rsidR="00FD43D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 is demonstrated in this case, the concept of person-centred care, effective partnership working, and ethical practice are creating a reinforcing effe</w:t>
      </w:r>
      <w:r w:rsidR="00FD43D1">
        <w:rPr>
          <w:rFonts w:ascii="Times New Roman" w:eastAsia="Times New Roman" w:hAnsi="Times New Roman" w:cs="Times New Roman"/>
          <w:sz w:val="24"/>
          <w:szCs w:val="24"/>
        </w:rPr>
        <w:t xml:space="preserve">ct: by centring the individual </w:t>
      </w:r>
      <w:r>
        <w:rPr>
          <w:rFonts w:ascii="Times New Roman" w:eastAsia="Times New Roman" w:hAnsi="Times New Roman" w:cs="Times New Roman"/>
          <w:sz w:val="24"/>
          <w:szCs w:val="24"/>
        </w:rPr>
        <w:t xml:space="preserve">goals become clearer, partnerships offer the means, and ethical practice aids in making difficult trade-offs. </w:t>
      </w:r>
    </w:p>
    <w:p w:rsidR="00205F88" w:rsidRDefault="00205F88">
      <w:pPr>
        <w:spacing w:before="240" w:after="240" w:line="360" w:lineRule="auto"/>
        <w:jc w:val="both"/>
        <w:rPr>
          <w:rFonts w:ascii="Times New Roman" w:eastAsia="Times New Roman" w:hAnsi="Times New Roman" w:cs="Times New Roman"/>
          <w:sz w:val="24"/>
          <w:szCs w:val="24"/>
        </w:rPr>
      </w:pPr>
    </w:p>
    <w:p w:rsidR="00205F88" w:rsidRDefault="00C46796">
      <w:pPr>
        <w:pStyle w:val="1"/>
        <w:keepNext w:val="0"/>
        <w:keepLines w:val="0"/>
      </w:pPr>
      <w:bookmarkStart w:id="17" w:name="_heading=h.da6eyj4u0acu" w:colFirst="0" w:colLast="0"/>
      <w:bookmarkStart w:id="18" w:name="_Toc213687361"/>
      <w:bookmarkEnd w:id="17"/>
      <w:r>
        <w:t>Task 3 – Self-Reflection as a Health and Social Care Professional</w:t>
      </w:r>
      <w:bookmarkEnd w:id="18"/>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course of my studies and practice experience, I have been taught that these three principles of person-centred care, partnership working, and ethics are the core aspects of effective professional practice. This reflection takes the Gibbs Reflective Cycle (1988) as its structure and identifies how these principles affect my professional identity now and in the future, and provides a picture of my strengths and weaknesses, and how I will improve.</w:t>
      </w:r>
    </w:p>
    <w:p w:rsidR="00205F88" w:rsidRDefault="00C46796">
      <w:pPr>
        <w:pStyle w:val="2"/>
        <w:spacing w:before="240" w:after="240"/>
      </w:pPr>
      <w:bookmarkStart w:id="19" w:name="_heading=h.9139mbuby1bc" w:colFirst="0" w:colLast="0"/>
      <w:bookmarkStart w:id="20" w:name="_Toc213687362"/>
      <w:bookmarkEnd w:id="19"/>
      <w:r>
        <w:t>Description</w:t>
      </w:r>
      <w:bookmarkEnd w:id="20"/>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my recent experience of a community-based residential care facility among elderly people, I attended to those with dementia, physical disabilities, and chronic diseases. My primary roles were to support the activities of daily living, observation registration, and communication with the members of the multidisciplinary team and families. I noted that the quality of care to which we could adhere was highly dependent on the quality of person-centred methods, the ability to work as a team, and the ability to maintain the ethical standards in our daily activities.</w:t>
      </w:r>
    </w:p>
    <w:p w:rsidR="00205F88" w:rsidRDefault="00C46796">
      <w:pPr>
        <w:pStyle w:val="2"/>
        <w:spacing w:before="240" w:after="240"/>
      </w:pPr>
      <w:bookmarkStart w:id="21" w:name="_heading=h.myj6dbp9r5ed" w:colFirst="0" w:colLast="0"/>
      <w:bookmarkStart w:id="22" w:name="_Toc213687363"/>
      <w:bookmarkEnd w:id="21"/>
      <w:r>
        <w:t>Feelings</w:t>
      </w:r>
      <w:bookmarkEnd w:id="22"/>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beginning of my journey, I was quite confident in my ability to deliver basic care activities, but I was less confident in my ability to apply theoretical knowledge in practice. I also wanted to ensure that every service user felt valued and honoured, but at times I had a problem connecting personal interests with organisational traditions. Another strength centred around the experience of being challenged when team members went in different directions over decisions, or also the awareness of an ethical dilemma, like changing an issue with consent or confidentiality. As time progressed, I learned that it was necessary to critically reflect on these situations to become more competent and confident.</w:t>
      </w:r>
    </w:p>
    <w:p w:rsidR="00205F88" w:rsidRDefault="00C46796">
      <w:pPr>
        <w:pStyle w:val="2"/>
        <w:spacing w:before="240" w:after="240"/>
      </w:pPr>
      <w:bookmarkStart w:id="23" w:name="_heading=h.dmi4dnasunv0" w:colFirst="0" w:colLast="0"/>
      <w:bookmarkStart w:id="24" w:name="_Toc213687364"/>
      <w:bookmarkEnd w:id="23"/>
      <w:r>
        <w:lastRenderedPageBreak/>
        <w:t>Evaluation</w:t>
      </w:r>
      <w:bookmarkEnd w:id="24"/>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also realised that the model of person-centred care means that one needs to know a story of a person, his or her preferences and abilities, instead of using only the diagnosis. I can use the example of a resident with dementia who required support in choosing her meals and clothes instead of deciding on her behalf while I supported her. Such trifles made her feel better and cooperative. It was like NICE (2023) and NMC (2018) recommendations that prioritise dignity, communication and mutual decision-making.  I learnt the importance of teamwork during collaboration with nurses, physiotherapists and social workers to assist a client in developing a mobility plan. Open communication and respect toward each other helped to maintain consistency in care. Based on the teamwork model created by </w:t>
      </w:r>
      <w:proofErr w:type="spellStart"/>
      <w:r>
        <w:rPr>
          <w:rFonts w:ascii="Times New Roman" w:eastAsia="Times New Roman" w:hAnsi="Times New Roman" w:cs="Times New Roman"/>
          <w:sz w:val="24"/>
          <w:szCs w:val="24"/>
        </w:rPr>
        <w:t>Tuckman</w:t>
      </w:r>
      <w:proofErr w:type="spellEnd"/>
      <w:r>
        <w:rPr>
          <w:rFonts w:ascii="Times New Roman" w:eastAsia="Times New Roman" w:hAnsi="Times New Roman" w:cs="Times New Roman"/>
          <w:sz w:val="24"/>
          <w:szCs w:val="24"/>
        </w:rPr>
        <w:t xml:space="preserve"> (1965), I was able to follow the formation, storming, norming, and performing stages of our team as we gained cohesion and common objectives as time went on.   Each care delivery was ethically practised. My application of the principle of autonomy, beneficence, non-maleficence, and justice in helping residents reside on the principles of autonomy, beneficenc</w:t>
      </w:r>
      <w:r w:rsidR="00C54CB1">
        <w:rPr>
          <w:rFonts w:ascii="Times New Roman" w:eastAsia="Times New Roman" w:hAnsi="Times New Roman" w:cs="Times New Roman"/>
          <w:sz w:val="24"/>
          <w:szCs w:val="24"/>
        </w:rPr>
        <w:t>e, non-maleficence, and justice</w:t>
      </w:r>
      <w:r>
        <w:rPr>
          <w:rFonts w:ascii="Times New Roman" w:eastAsia="Times New Roman" w:hAnsi="Times New Roman" w:cs="Times New Roman"/>
          <w:sz w:val="24"/>
          <w:szCs w:val="24"/>
        </w:rPr>
        <w:t xml:space="preserve"> (Beauchamp and Childress, 2019). As an example, on the one hand, I needed to address a health issue of a resident with a nurse when they did not want to address the matter, yet they had to be informed of it. Upon reflection and supervision, I realised my duty of care and appropriately disseminated the information, weighing confidentiality and duty of care responsibilities. This ruling was consistent with the Mental Capacity Act (2005) and Care Act (2014), which focus on empowerment, protection, and best-interest decision-making.</w:t>
      </w:r>
    </w:p>
    <w:p w:rsidR="00205F88" w:rsidRDefault="00C46796">
      <w:pPr>
        <w:pStyle w:val="2"/>
        <w:spacing w:before="240" w:after="240"/>
      </w:pPr>
      <w:bookmarkStart w:id="25" w:name="_heading=h.e76716jm4uup" w:colFirst="0" w:colLast="0"/>
      <w:bookmarkStart w:id="26" w:name="_Toc213687365"/>
      <w:bookmarkEnd w:id="25"/>
      <w:r>
        <w:t>Analysis</w:t>
      </w:r>
      <w:bookmarkEnd w:id="26"/>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experiences contributed to my learning experience in understanding the interconnection between the three principles. Partnership is effective in implementing person-centred care, which should be based on ethical reasoning. Indicatively, teamwork enables professionals to generate collective meanings of ethical dilemmas and make informed decisions. I further understood that reflective practise is one of the crucial points that can help me incorporate these principles, as by doubting what I do and believe I can perform, I can harmonise my work with such professional standards as the NMC Code (2018) that states that nurses and carers treat people as individuals, collaborate with others, and act with integrity in their work.  I have the following strengths, namely, empathy, listening, and rapport-building with service users. These competencies assist me in identifying the special needs and </w:t>
      </w:r>
      <w:r>
        <w:rPr>
          <w:rFonts w:ascii="Times New Roman" w:eastAsia="Times New Roman" w:hAnsi="Times New Roman" w:cs="Times New Roman"/>
          <w:sz w:val="24"/>
          <w:szCs w:val="24"/>
        </w:rPr>
        <w:lastRenderedPageBreak/>
        <w:t xml:space="preserve">encourage inclusion. My interaction with other professionals in multidisciplinary teams is also effective, as I am reliable and respectful of the expertise of other people.  I should also improve my self-esteem when handling an ethical issue and understanding legal standards, including the consent and confidentiality provisions of the Data Protection Act 2018. </w:t>
      </w:r>
    </w:p>
    <w:p w:rsidR="00205F88" w:rsidRDefault="00C46796">
      <w:pPr>
        <w:pStyle w:val="2"/>
        <w:spacing w:before="240" w:after="240"/>
      </w:pPr>
      <w:bookmarkStart w:id="27" w:name="_heading=h.hzlwl99mfa00" w:colFirst="0" w:colLast="0"/>
      <w:bookmarkStart w:id="28" w:name="_Toc213687366"/>
      <w:bookmarkEnd w:id="27"/>
      <w:r>
        <w:t>Conclusion</w:t>
      </w:r>
      <w:bookmarkEnd w:id="28"/>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Thinking of these experiences, I was able to understand that the ability to provide high-quality care relies not only on technical abilities but also on emotional intelligence, ethical judgment and collaboration. According to CQC (2022), caring, responsive, and well-led practices are all found in effective services and are based on the following foundational values. I have now gained better self-understanding of the ways through which I influence service outcome by my attitudes, communication and ethical reasoning.</w:t>
      </w:r>
    </w:p>
    <w:p w:rsidR="00205F88" w:rsidRDefault="00C46796">
      <w:pPr>
        <w:pStyle w:val="2"/>
        <w:spacing w:before="240" w:after="240"/>
      </w:pPr>
      <w:bookmarkStart w:id="29" w:name="_heading=h.padg51ov1jvu" w:colFirst="0" w:colLast="0"/>
      <w:bookmarkStart w:id="30" w:name="_Toc213687367"/>
      <w:bookmarkEnd w:id="29"/>
      <w:r>
        <w:t>Action Plan</w:t>
      </w:r>
      <w:bookmarkEnd w:id="30"/>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deepen my current practice and address the requirements of the NMC Code (2018) and CQC Key Lines of Enquiry (KLOEs), I have come up with the following objectives:</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person-based practice:</w:t>
      </w:r>
    </w:p>
    <w:p w:rsidR="00205F88" w:rsidRDefault="00C46796">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Officially enrolled CPD: person-centred communication with dementia care.</w:t>
      </w:r>
    </w:p>
    <w:p w:rsidR="00205F88" w:rsidRDefault="00C4679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 in reflective journals once a week and assess how I uphold the spirit of choice, dignity and independence in everyday practice.</w:t>
      </w:r>
    </w:p>
    <w:p w:rsidR="00205F88" w:rsidRDefault="00C46796">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 suggestions and recommendations on how to benefit others and guide Spurlock.</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 to cooperate and work in a team:</w:t>
      </w:r>
    </w:p>
    <w:p w:rsidR="00205F88" w:rsidRDefault="00C46796">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Engage in </w:t>
      </w:r>
      <w:proofErr w:type="spellStart"/>
      <w:r>
        <w:rPr>
          <w:rFonts w:ascii="Times New Roman" w:eastAsia="Times New Roman" w:hAnsi="Times New Roman" w:cs="Times New Roman"/>
          <w:sz w:val="24"/>
          <w:szCs w:val="24"/>
        </w:rPr>
        <w:t>interprofessional</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meetings,</w:t>
      </w:r>
      <w:proofErr w:type="gramEnd"/>
      <w:r>
        <w:rPr>
          <w:rFonts w:ascii="Times New Roman" w:eastAsia="Times New Roman" w:hAnsi="Times New Roman" w:cs="Times New Roman"/>
          <w:sz w:val="24"/>
          <w:szCs w:val="24"/>
        </w:rPr>
        <w:t xml:space="preserve"> be engaged and assertive in communication.</w:t>
      </w:r>
    </w:p>
    <w:p w:rsidR="00205F88" w:rsidRDefault="00C46796">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requires completing an online course about effective </w:t>
      </w:r>
      <w:proofErr w:type="spellStart"/>
      <w:r>
        <w:rPr>
          <w:rFonts w:ascii="Times New Roman" w:eastAsia="Times New Roman" w:hAnsi="Times New Roman" w:cs="Times New Roman"/>
          <w:sz w:val="24"/>
          <w:szCs w:val="24"/>
        </w:rPr>
        <w:t>interprofessional</w:t>
      </w:r>
      <w:proofErr w:type="spellEnd"/>
      <w:r>
        <w:rPr>
          <w:rFonts w:ascii="Times New Roman" w:eastAsia="Times New Roman" w:hAnsi="Times New Roman" w:cs="Times New Roman"/>
          <w:sz w:val="24"/>
          <w:szCs w:val="24"/>
        </w:rPr>
        <w:t xml:space="preserve"> collaboration (NHS Learning Hub).</w:t>
      </w:r>
    </w:p>
    <w:p w:rsidR="00205F88" w:rsidRDefault="00C4679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ethical consciousness:</w:t>
      </w:r>
    </w:p>
    <w:p w:rsidR="00205F88" w:rsidRDefault="00C46796">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Introduce yourself to major legal points (Care Act 2014, Mental Capacity Act 2005, </w:t>
      </w:r>
      <w:proofErr w:type="gramStart"/>
      <w:r>
        <w:rPr>
          <w:rFonts w:ascii="Times New Roman" w:eastAsia="Times New Roman" w:hAnsi="Times New Roman" w:cs="Times New Roman"/>
          <w:sz w:val="24"/>
          <w:szCs w:val="24"/>
        </w:rPr>
        <w:t>Data</w:t>
      </w:r>
      <w:proofErr w:type="gramEnd"/>
      <w:r>
        <w:rPr>
          <w:rFonts w:ascii="Times New Roman" w:eastAsia="Times New Roman" w:hAnsi="Times New Roman" w:cs="Times New Roman"/>
          <w:sz w:val="24"/>
          <w:szCs w:val="24"/>
        </w:rPr>
        <w:t xml:space="preserve"> Protection Act 2018) by engaging in self-study.</w:t>
      </w:r>
    </w:p>
    <w:p w:rsidR="00205F88" w:rsidRDefault="00C46796">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 in frequent supervision visits in order to ask questions about ethical dilemmas and get mentored by other professionals.</w:t>
      </w:r>
    </w:p>
    <w:p w:rsidR="00205F88" w:rsidRPr="00FD43D1" w:rsidRDefault="00C46796" w:rsidP="00FD43D1">
      <w:pPr>
        <w:rPr>
          <w:rFonts w:ascii="Times New Roman" w:eastAsia="Times New Roman" w:hAnsi="Times New Roman" w:cs="Times New Roman"/>
          <w:b/>
          <w:bCs/>
          <w:sz w:val="28"/>
          <w:szCs w:val="28"/>
        </w:rPr>
      </w:pPr>
      <w:bookmarkStart w:id="31" w:name="_heading=h.34a4wz5rjamy" w:colFirst="0" w:colLast="0"/>
      <w:bookmarkStart w:id="32" w:name="_Toc213687368"/>
      <w:bookmarkEnd w:id="31"/>
      <w:r w:rsidRPr="00FD43D1">
        <w:rPr>
          <w:b/>
          <w:sz w:val="28"/>
          <w:szCs w:val="28"/>
        </w:rPr>
        <w:lastRenderedPageBreak/>
        <w:t>Reference List</w:t>
      </w:r>
      <w:bookmarkEnd w:id="32"/>
    </w:p>
    <w:p w:rsidR="00B848B2" w:rsidRDefault="00B848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Beauchamp, T.L. and Childress, J.F. (2019) </w:t>
      </w:r>
      <w:r>
        <w:rPr>
          <w:rFonts w:ascii="Times New Roman" w:eastAsia="Times New Roman" w:hAnsi="Times New Roman" w:cs="Times New Roman"/>
          <w:i/>
          <w:iCs/>
          <w:color w:val="222222"/>
          <w:sz w:val="24"/>
          <w:szCs w:val="24"/>
          <w:highlight w:val="white"/>
        </w:rPr>
        <w:t>Principles of Biomedical Ethics.</w:t>
      </w:r>
      <w:r>
        <w:rPr>
          <w:rFonts w:ascii="Times New Roman" w:eastAsia="Times New Roman" w:hAnsi="Times New Roman" w:cs="Times New Roman"/>
          <w:color w:val="222222"/>
          <w:sz w:val="24"/>
          <w:szCs w:val="24"/>
          <w:highlight w:val="white"/>
        </w:rPr>
        <w:t xml:space="preserve"> 8th </w:t>
      </w:r>
      <w:proofErr w:type="gramStart"/>
      <w:r>
        <w:rPr>
          <w:rFonts w:ascii="Times New Roman" w:eastAsia="Times New Roman" w:hAnsi="Times New Roman" w:cs="Times New Roman"/>
          <w:color w:val="222222"/>
          <w:sz w:val="24"/>
          <w:szCs w:val="24"/>
          <w:highlight w:val="white"/>
        </w:rPr>
        <w:t>ed</w:t>
      </w:r>
      <w:proofErr w:type="gramEnd"/>
      <w:r>
        <w:rPr>
          <w:rFonts w:ascii="Times New Roman" w:eastAsia="Times New Roman" w:hAnsi="Times New Roman" w:cs="Times New Roman"/>
          <w:color w:val="222222"/>
          <w:sz w:val="24"/>
          <w:szCs w:val="24"/>
          <w:highlight w:val="white"/>
        </w:rPr>
        <w:t>. New York: Oxford University Press.</w:t>
      </w:r>
      <w:hyperlink r:id="rId11">
        <w:r>
          <w:rPr>
            <w:rFonts w:ascii="Times New Roman" w:eastAsia="Times New Roman" w:hAnsi="Times New Roman" w:cs="Times New Roman"/>
            <w:color w:val="1155CC"/>
            <w:sz w:val="24"/>
            <w:szCs w:val="24"/>
            <w:highlight w:val="white"/>
            <w:u w:val="single"/>
          </w:rPr>
          <w:t>https://www.allisonkrilethornton.com/wp-content/uploads/Medical_Ethics_Readings/BandC-Moral-Dilemmas.pdf</w:t>
        </w:r>
      </w:hyperlink>
      <w:r>
        <w:rPr>
          <w:rFonts w:ascii="Times New Roman" w:eastAsia="Times New Roman" w:hAnsi="Times New Roman" w:cs="Times New Roman"/>
          <w:color w:val="222222"/>
          <w:sz w:val="24"/>
          <w:szCs w:val="24"/>
          <w:highlight w:val="white"/>
        </w:rPr>
        <w:t xml:space="preserve"> </w:t>
      </w:r>
    </w:p>
    <w:p w:rsidR="00B848B2" w:rsidRDefault="00B848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Beauchamp, T.L. and Childress, J.F. (2019) </w:t>
      </w:r>
      <w:r>
        <w:rPr>
          <w:rFonts w:ascii="Times New Roman" w:eastAsia="Times New Roman" w:hAnsi="Times New Roman" w:cs="Times New Roman"/>
          <w:i/>
          <w:iCs/>
          <w:color w:val="222222"/>
          <w:sz w:val="24"/>
          <w:szCs w:val="24"/>
          <w:highlight w:val="white"/>
        </w:rPr>
        <w:t>Principles of Biomedical Ethics.</w:t>
      </w:r>
      <w:r>
        <w:rPr>
          <w:rFonts w:ascii="Times New Roman" w:eastAsia="Times New Roman" w:hAnsi="Times New Roman" w:cs="Times New Roman"/>
          <w:color w:val="222222"/>
          <w:sz w:val="24"/>
          <w:szCs w:val="24"/>
          <w:highlight w:val="white"/>
        </w:rPr>
        <w:t xml:space="preserve"> 8th ed. Oxford: Oxford University Press.</w:t>
      </w:r>
    </w:p>
    <w:p w:rsidR="00B848B2" w:rsidRDefault="00B848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Care Act (2014) </w:t>
      </w:r>
      <w:r>
        <w:rPr>
          <w:rFonts w:ascii="Times New Roman" w:eastAsia="Times New Roman" w:hAnsi="Times New Roman" w:cs="Times New Roman"/>
          <w:i/>
          <w:iCs/>
          <w:color w:val="222222"/>
          <w:sz w:val="24"/>
          <w:szCs w:val="24"/>
          <w:highlight w:val="white"/>
        </w:rPr>
        <w:t>Care Act 2014</w:t>
      </w:r>
      <w:r>
        <w:rPr>
          <w:rFonts w:ascii="Times New Roman" w:eastAsia="Times New Roman" w:hAnsi="Times New Roman" w:cs="Times New Roman"/>
          <w:color w:val="222222"/>
          <w:sz w:val="24"/>
          <w:szCs w:val="24"/>
          <w:highlight w:val="white"/>
        </w:rPr>
        <w:t>. Available at:</w:t>
      </w:r>
      <w:hyperlink r:id="rId12">
        <w:r>
          <w:rPr>
            <w:rFonts w:ascii="Times New Roman" w:eastAsia="Times New Roman" w:hAnsi="Times New Roman" w:cs="Times New Roman"/>
            <w:color w:val="222222"/>
            <w:sz w:val="24"/>
            <w:szCs w:val="24"/>
            <w:highlight w:val="white"/>
          </w:rPr>
          <w:t xml:space="preserve"> </w:t>
        </w:r>
      </w:hyperlink>
      <w:hyperlink r:id="rId13">
        <w:r>
          <w:rPr>
            <w:rFonts w:ascii="Times New Roman" w:eastAsia="Times New Roman" w:hAnsi="Times New Roman" w:cs="Times New Roman"/>
            <w:color w:val="1155CC"/>
            <w:sz w:val="24"/>
            <w:szCs w:val="24"/>
            <w:highlight w:val="white"/>
            <w:u w:val="single"/>
          </w:rPr>
          <w:t>https://www.legislation.gov.uk/ukpga/2014/23/contents</w:t>
        </w:r>
      </w:hyperlink>
      <w:r>
        <w:rPr>
          <w:rFonts w:ascii="Times New Roman" w:eastAsia="Times New Roman" w:hAnsi="Times New Roman" w:cs="Times New Roman"/>
          <w:color w:val="222222"/>
          <w:sz w:val="24"/>
          <w:szCs w:val="24"/>
          <w:highlight w:val="white"/>
        </w:rPr>
        <w:t xml:space="preserve"> (Accessed: date).</w:t>
      </w:r>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Care Act (2014) </w:t>
      </w:r>
      <w:r>
        <w:rPr>
          <w:rFonts w:ascii="Times New Roman" w:eastAsia="Times New Roman" w:hAnsi="Times New Roman" w:cs="Times New Roman"/>
          <w:i/>
          <w:iCs/>
          <w:color w:val="222222"/>
          <w:sz w:val="24"/>
          <w:szCs w:val="24"/>
          <w:highlight w:val="white"/>
        </w:rPr>
        <w:t>Care Act 2014.</w:t>
      </w:r>
      <w:r>
        <w:rPr>
          <w:rFonts w:ascii="Times New Roman" w:eastAsia="Times New Roman" w:hAnsi="Times New Roman" w:cs="Times New Roman"/>
          <w:color w:val="222222"/>
          <w:sz w:val="24"/>
          <w:szCs w:val="24"/>
          <w:highlight w:val="white"/>
        </w:rPr>
        <w:t xml:space="preserve"> Available at:</w:t>
      </w:r>
      <w:hyperlink r:id="rId14">
        <w:r>
          <w:rPr>
            <w:rFonts w:ascii="Times New Roman" w:eastAsia="Times New Roman" w:hAnsi="Times New Roman" w:cs="Times New Roman"/>
            <w:color w:val="222222"/>
            <w:sz w:val="24"/>
            <w:szCs w:val="24"/>
            <w:highlight w:val="white"/>
          </w:rPr>
          <w:t xml:space="preserve"> </w:t>
        </w:r>
      </w:hyperlink>
      <w:hyperlink r:id="rId15">
        <w:r>
          <w:rPr>
            <w:rFonts w:ascii="Times New Roman" w:eastAsia="Times New Roman" w:hAnsi="Times New Roman" w:cs="Times New Roman"/>
            <w:color w:val="1155CC"/>
            <w:sz w:val="24"/>
            <w:szCs w:val="24"/>
            <w:highlight w:val="white"/>
            <w:u w:val="single"/>
          </w:rPr>
          <w:t>https://www.legislation.gov.uk/ukpga/2014/23/contents</w:t>
        </w:r>
      </w:hyperlink>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Care Quality Commission (CQC) (2022) </w:t>
      </w:r>
      <w:r>
        <w:rPr>
          <w:rFonts w:ascii="Times New Roman" w:eastAsia="Times New Roman" w:hAnsi="Times New Roman" w:cs="Times New Roman"/>
          <w:i/>
          <w:iCs/>
          <w:color w:val="222222"/>
          <w:sz w:val="24"/>
          <w:szCs w:val="24"/>
          <w:highlight w:val="white"/>
        </w:rPr>
        <w:t>Key Lines of Enquiry (KLOEs).</w:t>
      </w:r>
      <w:r>
        <w:rPr>
          <w:rFonts w:ascii="Times New Roman" w:eastAsia="Times New Roman" w:hAnsi="Times New Roman" w:cs="Times New Roman"/>
          <w:color w:val="222222"/>
          <w:sz w:val="24"/>
          <w:szCs w:val="24"/>
          <w:highlight w:val="white"/>
        </w:rPr>
        <w:t xml:space="preserve"> Available at:</w:t>
      </w:r>
      <w:hyperlink r:id="rId16">
        <w:r>
          <w:rPr>
            <w:rFonts w:ascii="Times New Roman" w:eastAsia="Times New Roman" w:hAnsi="Times New Roman" w:cs="Times New Roman"/>
            <w:color w:val="222222"/>
            <w:sz w:val="24"/>
            <w:szCs w:val="24"/>
            <w:highlight w:val="white"/>
          </w:rPr>
          <w:t xml:space="preserve"> </w:t>
        </w:r>
      </w:hyperlink>
      <w:hyperlink r:id="rId17">
        <w:r>
          <w:rPr>
            <w:rFonts w:ascii="Times New Roman" w:eastAsia="Times New Roman" w:hAnsi="Times New Roman" w:cs="Times New Roman"/>
            <w:color w:val="1155CC"/>
            <w:sz w:val="24"/>
            <w:szCs w:val="24"/>
            <w:highlight w:val="white"/>
            <w:u w:val="single"/>
          </w:rPr>
          <w:t>https://www.cqc.org.uk</w:t>
        </w:r>
      </w:hyperlink>
    </w:p>
    <w:p w:rsidR="00B848B2" w:rsidRDefault="00B848B2">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Chard, K.A., 2022.</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Exploring social inclusion and participation: assessing the impact of the Care Act (2014) on the social experience of caring</w:t>
      </w:r>
      <w:r>
        <w:rPr>
          <w:rFonts w:ascii="Times New Roman" w:eastAsia="Times New Roman" w:hAnsi="Times New Roman" w:cs="Times New Roman"/>
          <w:color w:val="222222"/>
          <w:sz w:val="24"/>
          <w:szCs w:val="24"/>
          <w:highlight w:val="white"/>
        </w:rPr>
        <w:t xml:space="preserve"> (Doctoral dissertation, University of Essex).</w:t>
      </w:r>
      <w:hyperlink r:id="rId18">
        <w:r>
          <w:rPr>
            <w:rFonts w:ascii="Times New Roman" w:eastAsia="Times New Roman" w:hAnsi="Times New Roman" w:cs="Times New Roman"/>
            <w:color w:val="1155CC"/>
            <w:sz w:val="24"/>
            <w:szCs w:val="24"/>
            <w:highlight w:val="white"/>
            <w:u w:val="single"/>
          </w:rPr>
          <w:t>https://repository.essex.ac.uk/33644/</w:t>
        </w:r>
      </w:hyperlink>
      <w:r>
        <w:rPr>
          <w:rFonts w:ascii="Times New Roman" w:eastAsia="Times New Roman" w:hAnsi="Times New Roman" w:cs="Times New Roman"/>
          <w:color w:val="222222"/>
          <w:sz w:val="24"/>
          <w:szCs w:val="24"/>
          <w:highlight w:val="white"/>
        </w:rPr>
        <w:t xml:space="preserve"> </w:t>
      </w:r>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proofErr w:type="gramStart"/>
      <w:r>
        <w:rPr>
          <w:rFonts w:ascii="Times New Roman" w:eastAsia="Times New Roman" w:hAnsi="Times New Roman" w:cs="Times New Roman"/>
          <w:color w:val="222222"/>
          <w:sz w:val="24"/>
          <w:szCs w:val="24"/>
          <w:highlight w:val="white"/>
        </w:rPr>
        <w:t xml:space="preserve">CQC (2022) </w:t>
      </w:r>
      <w:r>
        <w:rPr>
          <w:rFonts w:ascii="Times New Roman" w:eastAsia="Times New Roman" w:hAnsi="Times New Roman" w:cs="Times New Roman"/>
          <w:i/>
          <w:iCs/>
          <w:color w:val="222222"/>
          <w:sz w:val="24"/>
          <w:szCs w:val="24"/>
          <w:highlight w:val="white"/>
        </w:rPr>
        <w:t>Quality of care in England 2022.</w:t>
      </w:r>
      <w:proofErr w:type="gramEnd"/>
      <w:r>
        <w:rPr>
          <w:rFonts w:ascii="Times New Roman" w:eastAsia="Times New Roman" w:hAnsi="Times New Roman" w:cs="Times New Roman"/>
          <w:color w:val="222222"/>
          <w:sz w:val="24"/>
          <w:szCs w:val="24"/>
          <w:highlight w:val="white"/>
        </w:rPr>
        <w:t xml:space="preserve"> Available at:</w:t>
      </w:r>
      <w:hyperlink r:id="rId19">
        <w:r>
          <w:rPr>
            <w:rFonts w:ascii="Times New Roman" w:eastAsia="Times New Roman" w:hAnsi="Times New Roman" w:cs="Times New Roman"/>
            <w:color w:val="222222"/>
            <w:sz w:val="24"/>
            <w:szCs w:val="24"/>
            <w:highlight w:val="white"/>
          </w:rPr>
          <w:t xml:space="preserve"> </w:t>
        </w:r>
      </w:hyperlink>
      <w:hyperlink r:id="rId20">
        <w:r>
          <w:rPr>
            <w:rFonts w:ascii="Times New Roman" w:eastAsia="Times New Roman" w:hAnsi="Times New Roman" w:cs="Times New Roman"/>
            <w:color w:val="1155CC"/>
            <w:sz w:val="24"/>
            <w:szCs w:val="24"/>
            <w:highlight w:val="white"/>
            <w:u w:val="single"/>
          </w:rPr>
          <w:t>https://www.cqc.org.uk</w:t>
        </w:r>
      </w:hyperlink>
    </w:p>
    <w:p w:rsidR="00B848B2" w:rsidRDefault="00B848B2">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Data Protection Act (2018) </w:t>
      </w:r>
      <w:r>
        <w:rPr>
          <w:rFonts w:ascii="Times New Roman" w:eastAsia="Times New Roman" w:hAnsi="Times New Roman" w:cs="Times New Roman"/>
          <w:i/>
          <w:iCs/>
          <w:color w:val="222222"/>
          <w:sz w:val="24"/>
          <w:szCs w:val="24"/>
          <w:highlight w:val="white"/>
        </w:rPr>
        <w:t>Data Protection Act 2018.</w:t>
      </w:r>
      <w:proofErr w:type="gramEnd"/>
      <w:r>
        <w:rPr>
          <w:rFonts w:ascii="Times New Roman" w:eastAsia="Times New Roman" w:hAnsi="Times New Roman" w:cs="Times New Roman"/>
          <w:color w:val="222222"/>
          <w:sz w:val="24"/>
          <w:szCs w:val="24"/>
          <w:highlight w:val="white"/>
        </w:rPr>
        <w:t xml:space="preserve"> Available at:</w:t>
      </w:r>
      <w:hyperlink r:id="rId21">
        <w:r>
          <w:rPr>
            <w:rFonts w:ascii="Times New Roman" w:eastAsia="Times New Roman" w:hAnsi="Times New Roman" w:cs="Times New Roman"/>
            <w:color w:val="222222"/>
            <w:sz w:val="24"/>
            <w:szCs w:val="24"/>
            <w:highlight w:val="white"/>
          </w:rPr>
          <w:t xml:space="preserve"> </w:t>
        </w:r>
      </w:hyperlink>
      <w:hyperlink r:id="rId22">
        <w:r>
          <w:rPr>
            <w:rFonts w:ascii="Times New Roman" w:eastAsia="Times New Roman" w:hAnsi="Times New Roman" w:cs="Times New Roman"/>
            <w:color w:val="1155CC"/>
            <w:sz w:val="24"/>
            <w:szCs w:val="24"/>
            <w:highlight w:val="white"/>
            <w:u w:val="single"/>
          </w:rPr>
          <w:t>https://www.legislation.gov.uk/ukpga/2018/12/contents</w:t>
        </w:r>
      </w:hyperlink>
    </w:p>
    <w:p w:rsidR="00B848B2" w:rsidRDefault="00B848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Health Foundation (2021) </w:t>
      </w:r>
      <w:r>
        <w:rPr>
          <w:rFonts w:ascii="Times New Roman" w:eastAsia="Times New Roman" w:hAnsi="Times New Roman" w:cs="Times New Roman"/>
          <w:i/>
          <w:iCs/>
          <w:color w:val="222222"/>
          <w:sz w:val="24"/>
          <w:szCs w:val="24"/>
          <w:highlight w:val="white"/>
        </w:rPr>
        <w:t>Person-centred care made simple.</w:t>
      </w:r>
      <w:r>
        <w:rPr>
          <w:rFonts w:ascii="Times New Roman" w:eastAsia="Times New Roman" w:hAnsi="Times New Roman" w:cs="Times New Roman"/>
          <w:color w:val="222222"/>
          <w:sz w:val="24"/>
          <w:szCs w:val="24"/>
          <w:highlight w:val="white"/>
        </w:rPr>
        <w:t xml:space="preserve"> Available at:</w:t>
      </w:r>
      <w:hyperlink r:id="rId23">
        <w:r>
          <w:rPr>
            <w:rFonts w:ascii="Times New Roman" w:eastAsia="Times New Roman" w:hAnsi="Times New Roman" w:cs="Times New Roman"/>
            <w:color w:val="222222"/>
            <w:sz w:val="24"/>
            <w:szCs w:val="24"/>
            <w:highlight w:val="white"/>
          </w:rPr>
          <w:t xml:space="preserve"> </w:t>
        </w:r>
      </w:hyperlink>
      <w:hyperlink r:id="rId24">
        <w:r>
          <w:rPr>
            <w:rFonts w:ascii="Times New Roman" w:eastAsia="Times New Roman" w:hAnsi="Times New Roman" w:cs="Times New Roman"/>
            <w:color w:val="1155CC"/>
            <w:sz w:val="24"/>
            <w:szCs w:val="24"/>
            <w:highlight w:val="white"/>
            <w:u w:val="single"/>
          </w:rPr>
          <w:t>https://www.health.org.uk</w:t>
        </w:r>
      </w:hyperlink>
    </w:p>
    <w:p w:rsidR="00B848B2" w:rsidRDefault="00B848B2">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Mental Capacity Act (2005) </w:t>
      </w:r>
      <w:r>
        <w:rPr>
          <w:rFonts w:ascii="Times New Roman" w:eastAsia="Times New Roman" w:hAnsi="Times New Roman" w:cs="Times New Roman"/>
          <w:i/>
          <w:iCs/>
          <w:color w:val="222222"/>
          <w:sz w:val="24"/>
          <w:szCs w:val="24"/>
          <w:highlight w:val="white"/>
        </w:rPr>
        <w:t>Mental Capacity Act 2005</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Available at:</w:t>
      </w:r>
      <w:hyperlink r:id="rId25">
        <w:r>
          <w:rPr>
            <w:rFonts w:ascii="Times New Roman" w:eastAsia="Times New Roman" w:hAnsi="Times New Roman" w:cs="Times New Roman"/>
            <w:color w:val="222222"/>
            <w:sz w:val="24"/>
            <w:szCs w:val="24"/>
            <w:highlight w:val="white"/>
          </w:rPr>
          <w:t xml:space="preserve"> </w:t>
        </w:r>
      </w:hyperlink>
      <w:hyperlink r:id="rId26">
        <w:r>
          <w:rPr>
            <w:rFonts w:ascii="Times New Roman" w:eastAsia="Times New Roman" w:hAnsi="Times New Roman" w:cs="Times New Roman"/>
            <w:color w:val="1155CC"/>
            <w:sz w:val="24"/>
            <w:szCs w:val="24"/>
            <w:highlight w:val="white"/>
            <w:u w:val="single"/>
          </w:rPr>
          <w:t>https://www.legislation.gov.uk/ukpga/2005/9/contents</w:t>
        </w:r>
      </w:hyperlink>
      <w:r>
        <w:rPr>
          <w:rFonts w:ascii="Times New Roman" w:eastAsia="Times New Roman" w:hAnsi="Times New Roman" w:cs="Times New Roman"/>
          <w:color w:val="222222"/>
          <w:sz w:val="24"/>
          <w:szCs w:val="24"/>
          <w:highlight w:val="white"/>
        </w:rPr>
        <w:t xml:space="preserve"> (Accessed: date).</w:t>
      </w:r>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proofErr w:type="gramStart"/>
      <w:r>
        <w:rPr>
          <w:rFonts w:ascii="Times New Roman" w:eastAsia="Times New Roman" w:hAnsi="Times New Roman" w:cs="Times New Roman"/>
          <w:color w:val="222222"/>
          <w:sz w:val="24"/>
          <w:szCs w:val="24"/>
          <w:highlight w:val="white"/>
        </w:rPr>
        <w:t xml:space="preserve">Mental Capacity Act (2005) </w:t>
      </w:r>
      <w:r>
        <w:rPr>
          <w:rFonts w:ascii="Times New Roman" w:eastAsia="Times New Roman" w:hAnsi="Times New Roman" w:cs="Times New Roman"/>
          <w:i/>
          <w:iCs/>
          <w:color w:val="222222"/>
          <w:sz w:val="24"/>
          <w:szCs w:val="24"/>
          <w:highlight w:val="white"/>
        </w:rPr>
        <w:t>Mental Capacity Act 2005.</w:t>
      </w:r>
      <w:proofErr w:type="gramEnd"/>
      <w:r>
        <w:rPr>
          <w:rFonts w:ascii="Times New Roman" w:eastAsia="Times New Roman" w:hAnsi="Times New Roman" w:cs="Times New Roman"/>
          <w:color w:val="222222"/>
          <w:sz w:val="24"/>
          <w:szCs w:val="24"/>
          <w:highlight w:val="white"/>
        </w:rPr>
        <w:t xml:space="preserve"> Available at:</w:t>
      </w:r>
      <w:hyperlink r:id="rId27">
        <w:r>
          <w:rPr>
            <w:rFonts w:ascii="Times New Roman" w:eastAsia="Times New Roman" w:hAnsi="Times New Roman" w:cs="Times New Roman"/>
            <w:color w:val="222222"/>
            <w:sz w:val="24"/>
            <w:szCs w:val="24"/>
            <w:highlight w:val="white"/>
          </w:rPr>
          <w:t xml:space="preserve"> </w:t>
        </w:r>
      </w:hyperlink>
      <w:hyperlink r:id="rId28">
        <w:r>
          <w:rPr>
            <w:rFonts w:ascii="Times New Roman" w:eastAsia="Times New Roman" w:hAnsi="Times New Roman" w:cs="Times New Roman"/>
            <w:color w:val="1155CC"/>
            <w:sz w:val="24"/>
            <w:szCs w:val="24"/>
            <w:highlight w:val="white"/>
            <w:u w:val="single"/>
          </w:rPr>
          <w:t>https://www.legislation.gov.uk/ukpga/2005/9/contents</w:t>
        </w:r>
      </w:hyperlink>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NHS (2021) </w:t>
      </w:r>
      <w:proofErr w:type="gramStart"/>
      <w:r>
        <w:rPr>
          <w:rFonts w:ascii="Times New Roman" w:eastAsia="Times New Roman" w:hAnsi="Times New Roman" w:cs="Times New Roman"/>
          <w:i/>
          <w:iCs/>
          <w:color w:val="222222"/>
          <w:sz w:val="24"/>
          <w:szCs w:val="24"/>
          <w:highlight w:val="white"/>
        </w:rPr>
        <w:t>The</w:t>
      </w:r>
      <w:proofErr w:type="gramEnd"/>
      <w:r>
        <w:rPr>
          <w:rFonts w:ascii="Times New Roman" w:eastAsia="Times New Roman" w:hAnsi="Times New Roman" w:cs="Times New Roman"/>
          <w:i/>
          <w:iCs/>
          <w:color w:val="222222"/>
          <w:sz w:val="24"/>
          <w:szCs w:val="24"/>
          <w:highlight w:val="white"/>
        </w:rPr>
        <w:t xml:space="preserve"> NHS Constitution for England.</w:t>
      </w:r>
      <w:r>
        <w:rPr>
          <w:rFonts w:ascii="Times New Roman" w:eastAsia="Times New Roman" w:hAnsi="Times New Roman" w:cs="Times New Roman"/>
          <w:color w:val="222222"/>
          <w:sz w:val="24"/>
          <w:szCs w:val="24"/>
          <w:highlight w:val="white"/>
        </w:rPr>
        <w:t xml:space="preserve"> Available at:</w:t>
      </w:r>
      <w:hyperlink r:id="rId29">
        <w:r>
          <w:rPr>
            <w:rFonts w:ascii="Times New Roman" w:eastAsia="Times New Roman" w:hAnsi="Times New Roman" w:cs="Times New Roman"/>
            <w:color w:val="222222"/>
            <w:sz w:val="24"/>
            <w:szCs w:val="24"/>
            <w:highlight w:val="white"/>
          </w:rPr>
          <w:t xml:space="preserve"> </w:t>
        </w:r>
      </w:hyperlink>
      <w:hyperlink r:id="rId30">
        <w:r>
          <w:rPr>
            <w:rFonts w:ascii="Times New Roman" w:eastAsia="Times New Roman" w:hAnsi="Times New Roman" w:cs="Times New Roman"/>
            <w:color w:val="1155CC"/>
            <w:sz w:val="24"/>
            <w:szCs w:val="24"/>
            <w:highlight w:val="white"/>
            <w:u w:val="single"/>
          </w:rPr>
          <w:t>https://www.gov.uk/government/publications/the-nhs-constitution-for-england</w:t>
        </w:r>
      </w:hyperlink>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NICE (2023) </w:t>
      </w:r>
      <w:r>
        <w:rPr>
          <w:rFonts w:ascii="Times New Roman" w:eastAsia="Times New Roman" w:hAnsi="Times New Roman" w:cs="Times New Roman"/>
          <w:i/>
          <w:iCs/>
          <w:color w:val="222222"/>
          <w:sz w:val="24"/>
          <w:szCs w:val="24"/>
          <w:highlight w:val="white"/>
        </w:rPr>
        <w:t>Patient experience in adult NHS services: improving the experience of care for people using adult NHS services.</w:t>
      </w:r>
      <w:r>
        <w:rPr>
          <w:rFonts w:ascii="Times New Roman" w:eastAsia="Times New Roman" w:hAnsi="Times New Roman" w:cs="Times New Roman"/>
          <w:color w:val="222222"/>
          <w:sz w:val="24"/>
          <w:szCs w:val="24"/>
          <w:highlight w:val="white"/>
        </w:rPr>
        <w:t xml:space="preserve"> Available at:</w:t>
      </w:r>
      <w:hyperlink r:id="rId31">
        <w:r>
          <w:rPr>
            <w:rFonts w:ascii="Times New Roman" w:eastAsia="Times New Roman" w:hAnsi="Times New Roman" w:cs="Times New Roman"/>
            <w:color w:val="222222"/>
            <w:sz w:val="24"/>
            <w:szCs w:val="24"/>
            <w:highlight w:val="white"/>
          </w:rPr>
          <w:t xml:space="preserve"> </w:t>
        </w:r>
      </w:hyperlink>
      <w:hyperlink r:id="rId32">
        <w:r>
          <w:rPr>
            <w:rFonts w:ascii="Times New Roman" w:eastAsia="Times New Roman" w:hAnsi="Times New Roman" w:cs="Times New Roman"/>
            <w:color w:val="1155CC"/>
            <w:sz w:val="24"/>
            <w:szCs w:val="24"/>
            <w:highlight w:val="white"/>
            <w:u w:val="single"/>
          </w:rPr>
          <w:t>https://www.nice.org.uk/guidance/cg138</w:t>
        </w:r>
      </w:hyperlink>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NMC (2018) </w:t>
      </w:r>
      <w:r>
        <w:rPr>
          <w:rFonts w:ascii="Times New Roman" w:eastAsia="Times New Roman" w:hAnsi="Times New Roman" w:cs="Times New Roman"/>
          <w:i/>
          <w:iCs/>
          <w:color w:val="222222"/>
          <w:sz w:val="24"/>
          <w:szCs w:val="24"/>
          <w:highlight w:val="white"/>
        </w:rPr>
        <w:t>The Code: Professional standards of practice and behaviour for nurses, midwives and nursing associates.</w:t>
      </w:r>
      <w:r>
        <w:rPr>
          <w:rFonts w:ascii="Times New Roman" w:eastAsia="Times New Roman" w:hAnsi="Times New Roman" w:cs="Times New Roman"/>
          <w:color w:val="222222"/>
          <w:sz w:val="24"/>
          <w:szCs w:val="24"/>
          <w:highlight w:val="white"/>
        </w:rPr>
        <w:t xml:space="preserve"> Available at:</w:t>
      </w:r>
      <w:hyperlink r:id="rId33">
        <w:r>
          <w:rPr>
            <w:rFonts w:ascii="Times New Roman" w:eastAsia="Times New Roman" w:hAnsi="Times New Roman" w:cs="Times New Roman"/>
            <w:color w:val="222222"/>
            <w:sz w:val="24"/>
            <w:szCs w:val="24"/>
            <w:highlight w:val="white"/>
          </w:rPr>
          <w:t xml:space="preserve"> </w:t>
        </w:r>
      </w:hyperlink>
      <w:hyperlink r:id="rId34">
        <w:r>
          <w:rPr>
            <w:rFonts w:ascii="Times New Roman" w:eastAsia="Times New Roman" w:hAnsi="Times New Roman" w:cs="Times New Roman"/>
            <w:color w:val="1155CC"/>
            <w:sz w:val="24"/>
            <w:szCs w:val="24"/>
            <w:highlight w:val="white"/>
            <w:u w:val="single"/>
          </w:rPr>
          <w:t>https://www.nmc.org.uk</w:t>
        </w:r>
      </w:hyperlink>
    </w:p>
    <w:p w:rsidR="00B848B2" w:rsidRDefault="00B848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Nursing &amp; Midwifery Council (2018) </w:t>
      </w:r>
      <w:r>
        <w:rPr>
          <w:rFonts w:ascii="Times New Roman" w:eastAsia="Times New Roman" w:hAnsi="Times New Roman" w:cs="Times New Roman"/>
          <w:i/>
          <w:iCs/>
          <w:color w:val="222222"/>
          <w:sz w:val="24"/>
          <w:szCs w:val="24"/>
          <w:highlight w:val="white"/>
        </w:rPr>
        <w:t>The Code: Professional standards of practice and behaviour for nurses, midwives and nursing associates</w:t>
      </w:r>
      <w:r>
        <w:rPr>
          <w:rFonts w:ascii="Times New Roman" w:eastAsia="Times New Roman" w:hAnsi="Times New Roman" w:cs="Times New Roman"/>
          <w:color w:val="222222"/>
          <w:sz w:val="24"/>
          <w:szCs w:val="24"/>
          <w:highlight w:val="white"/>
        </w:rPr>
        <w:t>. Available at:</w:t>
      </w:r>
      <w:hyperlink r:id="rId35">
        <w:r>
          <w:rPr>
            <w:rFonts w:ascii="Times New Roman" w:eastAsia="Times New Roman" w:hAnsi="Times New Roman" w:cs="Times New Roman"/>
            <w:color w:val="222222"/>
            <w:sz w:val="24"/>
            <w:szCs w:val="24"/>
            <w:highlight w:val="white"/>
          </w:rPr>
          <w:t xml:space="preserve"> </w:t>
        </w:r>
      </w:hyperlink>
      <w:hyperlink r:id="rId36">
        <w:r>
          <w:rPr>
            <w:rFonts w:ascii="Times New Roman" w:eastAsia="Times New Roman" w:hAnsi="Times New Roman" w:cs="Times New Roman"/>
            <w:color w:val="1155CC"/>
            <w:sz w:val="24"/>
            <w:szCs w:val="24"/>
            <w:highlight w:val="white"/>
            <w:u w:val="single"/>
          </w:rPr>
          <w:t>https://www.nmc.org.uk/standards/code/</w:t>
        </w:r>
      </w:hyperlink>
      <w:r>
        <w:rPr>
          <w:rFonts w:ascii="Times New Roman" w:eastAsia="Times New Roman" w:hAnsi="Times New Roman" w:cs="Times New Roman"/>
          <w:color w:val="222222"/>
          <w:sz w:val="24"/>
          <w:szCs w:val="24"/>
          <w:highlight w:val="white"/>
        </w:rPr>
        <w:t xml:space="preserve"> </w:t>
      </w:r>
    </w:p>
    <w:p w:rsidR="00B848B2" w:rsidRDefault="00B848B2">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lastRenderedPageBreak/>
        <w:t xml:space="preserve">Nursing and Midwifery Council (NMC) (2018) </w:t>
      </w:r>
      <w:r>
        <w:rPr>
          <w:rFonts w:ascii="Times New Roman" w:eastAsia="Times New Roman" w:hAnsi="Times New Roman" w:cs="Times New Roman"/>
          <w:i/>
          <w:iCs/>
          <w:color w:val="222222"/>
          <w:sz w:val="24"/>
          <w:szCs w:val="24"/>
          <w:highlight w:val="white"/>
        </w:rPr>
        <w:t>The Code: Professional standards of practice and behaviour for nurses, midwives and nursing associates.</w:t>
      </w:r>
      <w:r>
        <w:rPr>
          <w:rFonts w:ascii="Times New Roman" w:eastAsia="Times New Roman" w:hAnsi="Times New Roman" w:cs="Times New Roman"/>
          <w:color w:val="222222"/>
          <w:sz w:val="24"/>
          <w:szCs w:val="24"/>
          <w:highlight w:val="white"/>
        </w:rPr>
        <w:t xml:space="preserve"> Available at:</w:t>
      </w:r>
      <w:hyperlink r:id="rId37">
        <w:r>
          <w:rPr>
            <w:rFonts w:ascii="Times New Roman" w:eastAsia="Times New Roman" w:hAnsi="Times New Roman" w:cs="Times New Roman"/>
            <w:color w:val="222222"/>
            <w:sz w:val="24"/>
            <w:szCs w:val="24"/>
            <w:highlight w:val="white"/>
          </w:rPr>
          <w:t xml:space="preserve"> </w:t>
        </w:r>
      </w:hyperlink>
      <w:hyperlink r:id="rId38">
        <w:r>
          <w:rPr>
            <w:rFonts w:ascii="Times New Roman" w:eastAsia="Times New Roman" w:hAnsi="Times New Roman" w:cs="Times New Roman"/>
            <w:color w:val="1155CC"/>
            <w:sz w:val="24"/>
            <w:szCs w:val="24"/>
            <w:highlight w:val="white"/>
            <w:u w:val="single"/>
          </w:rPr>
          <w:t>https://www.nmc.org.uk</w:t>
        </w:r>
      </w:hyperlink>
    </w:p>
    <w:p w:rsidR="00B848B2" w:rsidRDefault="00B848B2">
      <w:pPr>
        <w:spacing w:line="360" w:lineRule="auto"/>
        <w:jc w:val="both"/>
        <w:rPr>
          <w:rFonts w:ascii="Times New Roman" w:eastAsia="Times New Roman" w:hAnsi="Times New Roman" w:cs="Times New Roman"/>
          <w:color w:val="222222"/>
          <w:sz w:val="28"/>
          <w:szCs w:val="28"/>
          <w:highlight w:val="white"/>
        </w:rPr>
      </w:pPr>
      <w:proofErr w:type="spellStart"/>
      <w:r>
        <w:rPr>
          <w:rFonts w:ascii="Times New Roman" w:eastAsia="Times New Roman" w:hAnsi="Times New Roman" w:cs="Times New Roman"/>
          <w:color w:val="222222"/>
          <w:sz w:val="24"/>
          <w:szCs w:val="24"/>
          <w:highlight w:val="white"/>
        </w:rPr>
        <w:t>Remawi</w:t>
      </w:r>
      <w:proofErr w:type="spellEnd"/>
      <w:r>
        <w:rPr>
          <w:rFonts w:ascii="Times New Roman" w:eastAsia="Times New Roman" w:hAnsi="Times New Roman" w:cs="Times New Roman"/>
          <w:color w:val="222222"/>
          <w:sz w:val="24"/>
          <w:szCs w:val="24"/>
          <w:highlight w:val="white"/>
        </w:rPr>
        <w:t xml:space="preserve">, B.N., </w:t>
      </w:r>
      <w:proofErr w:type="spellStart"/>
      <w:r>
        <w:rPr>
          <w:rFonts w:ascii="Times New Roman" w:eastAsia="Times New Roman" w:hAnsi="Times New Roman" w:cs="Times New Roman"/>
          <w:color w:val="222222"/>
          <w:sz w:val="24"/>
          <w:szCs w:val="24"/>
          <w:highlight w:val="white"/>
        </w:rPr>
        <w:t>Gadoud</w:t>
      </w:r>
      <w:proofErr w:type="spellEnd"/>
      <w:r>
        <w:rPr>
          <w:rFonts w:ascii="Times New Roman" w:eastAsia="Times New Roman" w:hAnsi="Times New Roman" w:cs="Times New Roman"/>
          <w:color w:val="222222"/>
          <w:sz w:val="24"/>
          <w:szCs w:val="24"/>
          <w:highlight w:val="white"/>
        </w:rPr>
        <w:t xml:space="preserve">, A., Murphy, I.M.J. and Preston, N., 2021. Palliative care needs-assessment and measurement tools used in patients with heart failure: a systematic mixed-studies review with narrative synthesis. </w:t>
      </w:r>
      <w:r>
        <w:rPr>
          <w:rFonts w:ascii="Times New Roman" w:eastAsia="Times New Roman" w:hAnsi="Times New Roman" w:cs="Times New Roman"/>
          <w:i/>
          <w:iCs/>
          <w:color w:val="222222"/>
          <w:sz w:val="24"/>
          <w:szCs w:val="24"/>
          <w:highlight w:val="white"/>
        </w:rPr>
        <w:t>Heart failure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(1), pp.137-155.</w:t>
      </w:r>
      <w:hyperlink r:id="rId39">
        <w:r>
          <w:rPr>
            <w:rFonts w:ascii="Times New Roman" w:eastAsia="Times New Roman" w:hAnsi="Times New Roman" w:cs="Times New Roman"/>
            <w:color w:val="1155CC"/>
            <w:sz w:val="24"/>
            <w:szCs w:val="24"/>
            <w:highlight w:val="white"/>
            <w:u w:val="single"/>
          </w:rPr>
          <w:t>https://link.springer.com/article/10.1007/s10741-020-10011-7</w:t>
        </w:r>
      </w:hyperlink>
      <w:r>
        <w:rPr>
          <w:rFonts w:ascii="Times New Roman" w:eastAsia="Times New Roman" w:hAnsi="Times New Roman" w:cs="Times New Roman"/>
          <w:color w:val="222222"/>
          <w:sz w:val="24"/>
          <w:szCs w:val="24"/>
          <w:highlight w:val="white"/>
        </w:rPr>
        <w:t xml:space="preserve"> </w:t>
      </w:r>
    </w:p>
    <w:p w:rsidR="00205F88" w:rsidRDefault="00C46796">
      <w:pPr>
        <w:spacing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1155CC"/>
          <w:sz w:val="24"/>
          <w:szCs w:val="24"/>
          <w:highlight w:val="white"/>
          <w:u w:val="single"/>
        </w:rPr>
        <w:t xml:space="preserve"> </w:t>
      </w:r>
    </w:p>
    <w:p w:rsidR="00205F88" w:rsidRDefault="00205F88">
      <w:pPr>
        <w:spacing w:line="360" w:lineRule="auto"/>
        <w:jc w:val="both"/>
        <w:rPr>
          <w:rFonts w:ascii="Times New Roman" w:eastAsia="Times New Roman" w:hAnsi="Times New Roman" w:cs="Times New Roman"/>
          <w:color w:val="222222"/>
          <w:sz w:val="24"/>
          <w:szCs w:val="24"/>
          <w:highlight w:val="white"/>
        </w:rPr>
      </w:pPr>
    </w:p>
    <w:p w:rsidR="00205F88" w:rsidRDefault="00205F88">
      <w:pPr>
        <w:spacing w:before="240" w:after="240" w:line="360" w:lineRule="auto"/>
        <w:jc w:val="both"/>
        <w:rPr>
          <w:rFonts w:ascii="Times New Roman" w:eastAsia="Times New Roman" w:hAnsi="Times New Roman" w:cs="Times New Roman"/>
          <w:sz w:val="24"/>
          <w:szCs w:val="24"/>
        </w:rPr>
      </w:pPr>
    </w:p>
    <w:p w:rsidR="00205F88" w:rsidRDefault="00205F88">
      <w:pPr>
        <w:spacing w:before="240" w:after="240" w:line="360" w:lineRule="auto"/>
        <w:jc w:val="both"/>
        <w:rPr>
          <w:rFonts w:ascii="Times New Roman" w:eastAsia="Times New Roman" w:hAnsi="Times New Roman" w:cs="Times New Roman"/>
          <w:sz w:val="24"/>
          <w:szCs w:val="24"/>
        </w:rPr>
      </w:pPr>
    </w:p>
    <w:p w:rsidR="00205F88" w:rsidRDefault="00205F88">
      <w:pPr>
        <w:spacing w:before="240" w:after="240" w:line="360" w:lineRule="auto"/>
        <w:jc w:val="both"/>
        <w:rPr>
          <w:rFonts w:ascii="Times New Roman" w:eastAsia="Times New Roman" w:hAnsi="Times New Roman" w:cs="Times New Roman"/>
          <w:sz w:val="24"/>
          <w:szCs w:val="24"/>
        </w:rPr>
      </w:pPr>
    </w:p>
    <w:p w:rsidR="00205F88" w:rsidRDefault="00205F88">
      <w:pPr>
        <w:spacing w:line="360" w:lineRule="auto"/>
        <w:jc w:val="both"/>
        <w:rPr>
          <w:rFonts w:ascii="Times New Roman" w:eastAsia="Times New Roman" w:hAnsi="Times New Roman" w:cs="Times New Roman"/>
          <w:sz w:val="24"/>
          <w:szCs w:val="24"/>
        </w:rPr>
      </w:pPr>
    </w:p>
    <w:sectPr w:rsidR="00205F88">
      <w:footerReference w:type="default" r:id="rId4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0824" w:rsidRDefault="00840824">
      <w:pPr>
        <w:spacing w:line="240" w:lineRule="auto"/>
      </w:pPr>
      <w:r>
        <w:separator/>
      </w:r>
    </w:p>
  </w:endnote>
  <w:endnote w:type="continuationSeparator" w:id="0">
    <w:p w:rsidR="00840824" w:rsidRDefault="008408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3EDBF1A-FA7C-4C41-B946-E2A3CFBEA9CE}"/>
  </w:font>
  <w:font w:name="Calibri">
    <w:panose1 w:val="020F0502020204030204"/>
    <w:charset w:val="00"/>
    <w:family w:val="swiss"/>
    <w:pitch w:val="variable"/>
    <w:sig w:usb0="E4002EFF" w:usb1="C200247B" w:usb2="00000009" w:usb3="00000000" w:csb0="000001FF" w:csb1="00000000"/>
    <w:embedRegular r:id="rId2" w:fontKey="{A2F906B5-22AB-443C-8D24-AAFE4FEA6813}"/>
    <w:embedBold r:id="rId3" w:fontKey="{B60B4AC9-03CF-4C8F-9CBC-0FE9C08EDFF9}"/>
  </w:font>
  <w:font w:name="Arial-BoldM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4" w:fontKey="{2F3DBD1E-A966-4E9E-9737-2F1C02481BE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5F88" w:rsidRDefault="00C46796">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PAGE</w:instrText>
    </w:r>
    <w:r>
      <w:rPr>
        <w:rFonts w:ascii="Times New Roman" w:eastAsia="Times New Roman" w:hAnsi="Times New Roman" w:cs="Times New Roman"/>
        <w:b/>
        <w:bCs/>
        <w:color w:val="000000"/>
        <w:sz w:val="24"/>
        <w:szCs w:val="24"/>
      </w:rPr>
      <w:fldChar w:fldCharType="separate"/>
    </w:r>
    <w:r w:rsidR="007A69AE">
      <w:rPr>
        <w:rFonts w:ascii="Times New Roman" w:eastAsia="Times New Roman" w:hAnsi="Times New Roman" w:cs="Times New Roman"/>
        <w:b/>
        <w:bCs/>
        <w:noProof/>
        <w:color w:val="000000"/>
        <w:sz w:val="24"/>
        <w:szCs w:val="24"/>
      </w:rPr>
      <w:t>2</w:t>
    </w:r>
    <w:r>
      <w:rPr>
        <w:rFonts w:ascii="Times New Roman" w:eastAsia="Times New Roman" w:hAnsi="Times New Roman" w:cs="Times New Roman"/>
        <w:b/>
        <w:bCs/>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NUMPAGES</w:instrText>
    </w:r>
    <w:r>
      <w:rPr>
        <w:rFonts w:ascii="Times New Roman" w:eastAsia="Times New Roman" w:hAnsi="Times New Roman" w:cs="Times New Roman"/>
        <w:b/>
        <w:bCs/>
        <w:color w:val="000000"/>
        <w:sz w:val="24"/>
        <w:szCs w:val="24"/>
      </w:rPr>
      <w:fldChar w:fldCharType="separate"/>
    </w:r>
    <w:r w:rsidR="007A69AE">
      <w:rPr>
        <w:rFonts w:ascii="Times New Roman" w:eastAsia="Times New Roman" w:hAnsi="Times New Roman" w:cs="Times New Roman"/>
        <w:b/>
        <w:bCs/>
        <w:noProof/>
        <w:color w:val="000000"/>
        <w:sz w:val="24"/>
        <w:szCs w:val="24"/>
      </w:rPr>
      <w:t>10</w:t>
    </w:r>
    <w:r>
      <w:rPr>
        <w:rFonts w:ascii="Times New Roman" w:eastAsia="Times New Roman" w:hAnsi="Times New Roman" w:cs="Times New Roman"/>
        <w:b/>
        <w:bCs/>
        <w:color w:val="000000"/>
        <w:sz w:val="24"/>
        <w:szCs w:val="24"/>
      </w:rPr>
      <w:fldChar w:fldCharType="end"/>
    </w:r>
  </w:p>
  <w:p w:rsidR="00205F88" w:rsidRDefault="00205F8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0824" w:rsidRDefault="00840824">
      <w:pPr>
        <w:spacing w:line="240" w:lineRule="auto"/>
      </w:pPr>
      <w:r>
        <w:separator/>
      </w:r>
    </w:p>
  </w:footnote>
  <w:footnote w:type="continuationSeparator" w:id="0">
    <w:p w:rsidR="00840824" w:rsidRDefault="0084082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611D8"/>
    <w:multiLevelType w:val="multilevel"/>
    <w:tmpl w:val="6EDC7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3081668"/>
    <w:multiLevelType w:val="multilevel"/>
    <w:tmpl w:val="9AE4C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240453E"/>
    <w:multiLevelType w:val="multilevel"/>
    <w:tmpl w:val="1EF05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05F88"/>
    <w:rsid w:val="00204159"/>
    <w:rsid w:val="00205F88"/>
    <w:rsid w:val="007A69AE"/>
    <w:rsid w:val="00840824"/>
    <w:rsid w:val="009F769D"/>
    <w:rsid w:val="00AE15C3"/>
    <w:rsid w:val="00B848B2"/>
    <w:rsid w:val="00C46796"/>
    <w:rsid w:val="00C54CB1"/>
    <w:rsid w:val="00CF17D3"/>
    <w:rsid w:val="00ED4918"/>
    <w:rsid w:val="00F90D5C"/>
    <w:rsid w:val="00FD43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line="360" w:lineRule="auto"/>
      <w:jc w:val="both"/>
      <w:outlineLvl w:val="0"/>
    </w:pPr>
    <w:rPr>
      <w:rFonts w:ascii="Times New Roman" w:eastAsia="Times New Roman" w:hAnsi="Times New Roman" w:cs="Times New Roman"/>
      <w:b/>
      <w:bCs/>
      <w:sz w:val="28"/>
      <w:szCs w:val="28"/>
    </w:rPr>
  </w:style>
  <w:style w:type="paragraph" w:styleId="2">
    <w:name w:val="heading 2"/>
    <w:basedOn w:val="a"/>
    <w:next w:val="a"/>
    <w:pPr>
      <w:keepNext/>
      <w:keepLines/>
      <w:spacing w:before="360" w:after="80" w:line="360" w:lineRule="auto"/>
      <w:jc w:val="both"/>
      <w:outlineLvl w:val="1"/>
    </w:pPr>
    <w:rPr>
      <w:rFonts w:ascii="Times New Roman" w:eastAsia="Times New Roman" w:hAnsi="Times New Roman" w:cs="Times New Roman"/>
      <w:b/>
      <w:bCs/>
      <w:sz w:val="26"/>
      <w:szCs w:val="26"/>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iCs/>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paragraph" w:styleId="a4">
    <w:name w:val="Balloon Text"/>
    <w:basedOn w:val="a"/>
    <w:link w:val="a5"/>
    <w:uiPriority w:val="99"/>
    <w:semiHidden/>
    <w:unhideWhenUsed/>
    <w:rsid w:val="001B496D"/>
    <w:pPr>
      <w:spacing w:line="240" w:lineRule="auto"/>
    </w:pPr>
    <w:rPr>
      <w:rFonts w:ascii="Tahoma" w:hAnsi="Tahoma" w:cs="Tahoma"/>
      <w:sz w:val="16"/>
      <w:szCs w:val="16"/>
    </w:rPr>
  </w:style>
  <w:style w:type="character" w:customStyle="1" w:styleId="a5">
    <w:name w:val="Текст выноски Знак"/>
    <w:basedOn w:val="a0"/>
    <w:link w:val="a4"/>
    <w:uiPriority w:val="99"/>
    <w:semiHidden/>
    <w:rsid w:val="001B496D"/>
    <w:rPr>
      <w:rFonts w:ascii="Tahoma" w:hAnsi="Tahoma" w:cs="Tahoma"/>
      <w:sz w:val="16"/>
      <w:szCs w:val="16"/>
    </w:rPr>
  </w:style>
  <w:style w:type="paragraph" w:styleId="a6">
    <w:name w:val="header"/>
    <w:basedOn w:val="a"/>
    <w:link w:val="a7"/>
    <w:uiPriority w:val="99"/>
    <w:unhideWhenUsed/>
    <w:rsid w:val="001B496D"/>
    <w:pPr>
      <w:tabs>
        <w:tab w:val="center" w:pos="4513"/>
        <w:tab w:val="right" w:pos="9026"/>
      </w:tabs>
      <w:spacing w:line="240" w:lineRule="auto"/>
    </w:pPr>
  </w:style>
  <w:style w:type="character" w:customStyle="1" w:styleId="a7">
    <w:name w:val="Верхний колонтитул Знак"/>
    <w:basedOn w:val="a0"/>
    <w:link w:val="a6"/>
    <w:uiPriority w:val="99"/>
    <w:rsid w:val="001B496D"/>
  </w:style>
  <w:style w:type="paragraph" w:styleId="a8">
    <w:name w:val="footer"/>
    <w:basedOn w:val="a"/>
    <w:link w:val="a9"/>
    <w:uiPriority w:val="99"/>
    <w:unhideWhenUsed/>
    <w:rsid w:val="001B496D"/>
    <w:pPr>
      <w:tabs>
        <w:tab w:val="center" w:pos="4513"/>
        <w:tab w:val="right" w:pos="9026"/>
      </w:tabs>
      <w:spacing w:line="240" w:lineRule="auto"/>
    </w:pPr>
  </w:style>
  <w:style w:type="character" w:customStyle="1" w:styleId="a9">
    <w:name w:val="Нижний колонтитул Знак"/>
    <w:basedOn w:val="a0"/>
    <w:link w:val="a8"/>
    <w:uiPriority w:val="99"/>
    <w:rsid w:val="001B496D"/>
  </w:style>
  <w:style w:type="paragraph" w:styleId="aa">
    <w:name w:val="TOC Heading"/>
    <w:basedOn w:val="1"/>
    <w:next w:val="a"/>
    <w:uiPriority w:val="39"/>
    <w:semiHidden/>
    <w:unhideWhenUsed/>
    <w:qFormat/>
    <w:rsid w:val="00FC759A"/>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10">
    <w:name w:val="toc 1"/>
    <w:basedOn w:val="a"/>
    <w:next w:val="a"/>
    <w:autoRedefine/>
    <w:uiPriority w:val="39"/>
    <w:unhideWhenUsed/>
    <w:rsid w:val="00FC759A"/>
    <w:pPr>
      <w:spacing w:after="100"/>
    </w:pPr>
  </w:style>
  <w:style w:type="paragraph" w:styleId="20">
    <w:name w:val="toc 2"/>
    <w:basedOn w:val="a"/>
    <w:next w:val="a"/>
    <w:autoRedefine/>
    <w:uiPriority w:val="39"/>
    <w:unhideWhenUsed/>
    <w:rsid w:val="00FC759A"/>
    <w:pPr>
      <w:spacing w:after="100"/>
      <w:ind w:left="220"/>
    </w:pPr>
  </w:style>
  <w:style w:type="character" w:styleId="ab">
    <w:name w:val="Hyperlink"/>
    <w:basedOn w:val="a0"/>
    <w:uiPriority w:val="99"/>
    <w:unhideWhenUsed/>
    <w:rsid w:val="00FC759A"/>
    <w:rPr>
      <w:color w:val="0000FF" w:themeColor="hyperlink"/>
      <w:u w:val="single"/>
    </w:rPr>
  </w:style>
  <w:style w:type="paragraph" w:styleId="ac">
    <w:name w:val="Subtitle"/>
    <w:basedOn w:val="a"/>
    <w:next w:val="a"/>
    <w:pPr>
      <w:keepNext/>
      <w:keepLines/>
      <w:spacing w:after="320"/>
    </w:pPr>
    <w:rPr>
      <w:color w:val="666666"/>
      <w:sz w:val="30"/>
      <w:szCs w:val="30"/>
    </w:rPr>
  </w:style>
  <w:style w:type="character" w:customStyle="1" w:styleId="fontstyle01">
    <w:name w:val="fontstyle01"/>
    <w:basedOn w:val="a0"/>
    <w:rsid w:val="007A69AE"/>
    <w:rPr>
      <w:rFonts w:ascii="Arial-BoldMT" w:hAnsi="Arial-BoldMT" w:hint="default"/>
      <w:b/>
      <w:bCs/>
      <w:i w:val="0"/>
      <w:iCs w:val="0"/>
      <w:color w:val="000000"/>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line="360" w:lineRule="auto"/>
      <w:jc w:val="both"/>
      <w:outlineLvl w:val="0"/>
    </w:pPr>
    <w:rPr>
      <w:rFonts w:ascii="Times New Roman" w:eastAsia="Times New Roman" w:hAnsi="Times New Roman" w:cs="Times New Roman"/>
      <w:b/>
      <w:bCs/>
      <w:sz w:val="28"/>
      <w:szCs w:val="28"/>
    </w:rPr>
  </w:style>
  <w:style w:type="paragraph" w:styleId="2">
    <w:name w:val="heading 2"/>
    <w:basedOn w:val="a"/>
    <w:next w:val="a"/>
    <w:pPr>
      <w:keepNext/>
      <w:keepLines/>
      <w:spacing w:before="360" w:after="80" w:line="360" w:lineRule="auto"/>
      <w:jc w:val="both"/>
      <w:outlineLvl w:val="1"/>
    </w:pPr>
    <w:rPr>
      <w:rFonts w:ascii="Times New Roman" w:eastAsia="Times New Roman" w:hAnsi="Times New Roman" w:cs="Times New Roman"/>
      <w:b/>
      <w:bCs/>
      <w:sz w:val="26"/>
      <w:szCs w:val="26"/>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iCs/>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paragraph" w:styleId="a4">
    <w:name w:val="Balloon Text"/>
    <w:basedOn w:val="a"/>
    <w:link w:val="a5"/>
    <w:uiPriority w:val="99"/>
    <w:semiHidden/>
    <w:unhideWhenUsed/>
    <w:rsid w:val="001B496D"/>
    <w:pPr>
      <w:spacing w:line="240" w:lineRule="auto"/>
    </w:pPr>
    <w:rPr>
      <w:rFonts w:ascii="Tahoma" w:hAnsi="Tahoma" w:cs="Tahoma"/>
      <w:sz w:val="16"/>
      <w:szCs w:val="16"/>
    </w:rPr>
  </w:style>
  <w:style w:type="character" w:customStyle="1" w:styleId="a5">
    <w:name w:val="Текст выноски Знак"/>
    <w:basedOn w:val="a0"/>
    <w:link w:val="a4"/>
    <w:uiPriority w:val="99"/>
    <w:semiHidden/>
    <w:rsid w:val="001B496D"/>
    <w:rPr>
      <w:rFonts w:ascii="Tahoma" w:hAnsi="Tahoma" w:cs="Tahoma"/>
      <w:sz w:val="16"/>
      <w:szCs w:val="16"/>
    </w:rPr>
  </w:style>
  <w:style w:type="paragraph" w:styleId="a6">
    <w:name w:val="header"/>
    <w:basedOn w:val="a"/>
    <w:link w:val="a7"/>
    <w:uiPriority w:val="99"/>
    <w:unhideWhenUsed/>
    <w:rsid w:val="001B496D"/>
    <w:pPr>
      <w:tabs>
        <w:tab w:val="center" w:pos="4513"/>
        <w:tab w:val="right" w:pos="9026"/>
      </w:tabs>
      <w:spacing w:line="240" w:lineRule="auto"/>
    </w:pPr>
  </w:style>
  <w:style w:type="character" w:customStyle="1" w:styleId="a7">
    <w:name w:val="Верхний колонтитул Знак"/>
    <w:basedOn w:val="a0"/>
    <w:link w:val="a6"/>
    <w:uiPriority w:val="99"/>
    <w:rsid w:val="001B496D"/>
  </w:style>
  <w:style w:type="paragraph" w:styleId="a8">
    <w:name w:val="footer"/>
    <w:basedOn w:val="a"/>
    <w:link w:val="a9"/>
    <w:uiPriority w:val="99"/>
    <w:unhideWhenUsed/>
    <w:rsid w:val="001B496D"/>
    <w:pPr>
      <w:tabs>
        <w:tab w:val="center" w:pos="4513"/>
        <w:tab w:val="right" w:pos="9026"/>
      </w:tabs>
      <w:spacing w:line="240" w:lineRule="auto"/>
    </w:pPr>
  </w:style>
  <w:style w:type="character" w:customStyle="1" w:styleId="a9">
    <w:name w:val="Нижний колонтитул Знак"/>
    <w:basedOn w:val="a0"/>
    <w:link w:val="a8"/>
    <w:uiPriority w:val="99"/>
    <w:rsid w:val="001B496D"/>
  </w:style>
  <w:style w:type="paragraph" w:styleId="aa">
    <w:name w:val="TOC Heading"/>
    <w:basedOn w:val="1"/>
    <w:next w:val="a"/>
    <w:uiPriority w:val="39"/>
    <w:semiHidden/>
    <w:unhideWhenUsed/>
    <w:qFormat/>
    <w:rsid w:val="00FC759A"/>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10">
    <w:name w:val="toc 1"/>
    <w:basedOn w:val="a"/>
    <w:next w:val="a"/>
    <w:autoRedefine/>
    <w:uiPriority w:val="39"/>
    <w:unhideWhenUsed/>
    <w:rsid w:val="00FC759A"/>
    <w:pPr>
      <w:spacing w:after="100"/>
    </w:pPr>
  </w:style>
  <w:style w:type="paragraph" w:styleId="20">
    <w:name w:val="toc 2"/>
    <w:basedOn w:val="a"/>
    <w:next w:val="a"/>
    <w:autoRedefine/>
    <w:uiPriority w:val="39"/>
    <w:unhideWhenUsed/>
    <w:rsid w:val="00FC759A"/>
    <w:pPr>
      <w:spacing w:after="100"/>
      <w:ind w:left="220"/>
    </w:pPr>
  </w:style>
  <w:style w:type="character" w:styleId="ab">
    <w:name w:val="Hyperlink"/>
    <w:basedOn w:val="a0"/>
    <w:uiPriority w:val="99"/>
    <w:unhideWhenUsed/>
    <w:rsid w:val="00FC759A"/>
    <w:rPr>
      <w:color w:val="0000FF" w:themeColor="hyperlink"/>
      <w:u w:val="single"/>
    </w:rPr>
  </w:style>
  <w:style w:type="paragraph" w:styleId="ac">
    <w:name w:val="Subtitle"/>
    <w:basedOn w:val="a"/>
    <w:next w:val="a"/>
    <w:pPr>
      <w:keepNext/>
      <w:keepLines/>
      <w:spacing w:after="320"/>
    </w:pPr>
    <w:rPr>
      <w:color w:val="666666"/>
      <w:sz w:val="30"/>
      <w:szCs w:val="30"/>
    </w:rPr>
  </w:style>
  <w:style w:type="character" w:customStyle="1" w:styleId="fontstyle01">
    <w:name w:val="fontstyle01"/>
    <w:basedOn w:val="a0"/>
    <w:rsid w:val="007A69AE"/>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9369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4/23/contents" TargetMode="External"/><Relationship Id="rId18" Type="http://schemas.openxmlformats.org/officeDocument/2006/relationships/hyperlink" Target="https://repository.essex.ac.uk/33644/" TargetMode="External"/><Relationship Id="rId26" Type="http://schemas.openxmlformats.org/officeDocument/2006/relationships/hyperlink" Target="https://www.legislation.gov.uk/ukpga/2005/9/contents" TargetMode="External"/><Relationship Id="rId39" Type="http://schemas.openxmlformats.org/officeDocument/2006/relationships/hyperlink" Target="https://link.springer.com/article/10.1007/s10741-020-10011-7" TargetMode="External"/><Relationship Id="rId3" Type="http://schemas.openxmlformats.org/officeDocument/2006/relationships/numbering" Target="numbering.xml"/><Relationship Id="rId21" Type="http://schemas.openxmlformats.org/officeDocument/2006/relationships/hyperlink" Target="https://www.legislation.gov.uk/ukpga/2018/12/contents" TargetMode="External"/><Relationship Id="rId34" Type="http://schemas.openxmlformats.org/officeDocument/2006/relationships/hyperlink" Target="https://www.nmc.org.uk"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cqc.org.uk" TargetMode="External"/><Relationship Id="rId25" Type="http://schemas.openxmlformats.org/officeDocument/2006/relationships/hyperlink" Target="https://www.legislation.gov.uk/ukpga/2005/9/contents" TargetMode="External"/><Relationship Id="rId33" Type="http://schemas.openxmlformats.org/officeDocument/2006/relationships/hyperlink" Target="https://www.nmc.org.uk" TargetMode="External"/><Relationship Id="rId38" Type="http://schemas.openxmlformats.org/officeDocument/2006/relationships/hyperlink" Target="https://www.nmc.org.uk" TargetMode="External"/><Relationship Id="rId2" Type="http://schemas.openxmlformats.org/officeDocument/2006/relationships/customXml" Target="../customXml/item2.xml"/><Relationship Id="rId16" Type="http://schemas.openxmlformats.org/officeDocument/2006/relationships/hyperlink" Target="https://www.cqc.org.uk" TargetMode="External"/><Relationship Id="rId20" Type="http://schemas.openxmlformats.org/officeDocument/2006/relationships/hyperlink" Target="https://www.cqc.org.uk" TargetMode="External"/><Relationship Id="rId29" Type="http://schemas.openxmlformats.org/officeDocument/2006/relationships/hyperlink" Target="https://www.gov.uk/government/publications/the-nhs-constitution-for-englan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lisonkrilethornton.com/wp-content/uploads/Medical_Ethics_Readings/BandC-Moral-Dilemmas.pdf" TargetMode="External"/><Relationship Id="rId24" Type="http://schemas.openxmlformats.org/officeDocument/2006/relationships/hyperlink" Target="https://www.health.org.uk" TargetMode="External"/><Relationship Id="rId32" Type="http://schemas.openxmlformats.org/officeDocument/2006/relationships/hyperlink" Target="https://www.nice.org.uk/guidance/cg138" TargetMode="External"/><Relationship Id="rId37" Type="http://schemas.openxmlformats.org/officeDocument/2006/relationships/hyperlink" Target="https://www.nmc.org.uk" TargetMode="External"/><Relationship Id="rId40"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hyperlink" Target="https://www.legislation.gov.uk/ukpga/2014/23/contents" TargetMode="External"/><Relationship Id="rId23" Type="http://schemas.openxmlformats.org/officeDocument/2006/relationships/hyperlink" Target="https://www.health.org.uk"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nmc.org.uk/standards/code/" TargetMode="External"/><Relationship Id="rId10" Type="http://schemas.openxmlformats.org/officeDocument/2006/relationships/image" Target="media/image1.png"/><Relationship Id="rId19" Type="http://schemas.openxmlformats.org/officeDocument/2006/relationships/hyperlink" Target="https://www.cqc.org.uk" TargetMode="External"/><Relationship Id="rId31" Type="http://schemas.openxmlformats.org/officeDocument/2006/relationships/hyperlink" Target="https://www.nice.org.uk/guidance/cg138"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legislation.gov.uk/ukpga/2014/23/contents" TargetMode="External"/><Relationship Id="rId22" Type="http://schemas.openxmlformats.org/officeDocument/2006/relationships/hyperlink" Target="https://www.legislation.gov.uk/ukpga/2018/12/contents"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www.gov.uk/government/publications/the-nhs-constitution-for-england" TargetMode="External"/><Relationship Id="rId35" Type="http://schemas.openxmlformats.org/officeDocument/2006/relationships/hyperlink" Target="https://www.nmc.org.uk/standards/cod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hiao0nBe/aHgHIH3oYPreYIcA==">CgMxLjAyDmgubDg4YmZxMm9qeGh5Mg5oLjl4bGphcG8weWc4azIOaC5ncm5vbGVuZ3l1eW8yDmgudXFpZzQwaW50b3JpMg5oLjc5M21xOGlmdWdweDIOaC44bHg4YmJpZTczbWYyDmguOXdxM215bG9uYjhwMg5oLml0Y2J4c3MybndhcjINaC5nMGh5amhocGFqejIOaC5kYTZleWo0dTBhY3UyDmguOTEzOW1idWJ5MWJjMg5oLm15ajZkYnA5cjVlZDIOaC5kbWk0ZG5hc3VudjAyDmguZTc2NzE2am00dXVwMg5oLmh6bHdsOTltZmEwMDIOaC5wYWRnNTFvdjFqdnUyDmguMzRhNHd6NXJqYW15OAByITFQcUdqYjBDRF9zQmFQR05BLU01NUxOZ1NZOVFPejJGZ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42F1B45-3537-4C93-B168-435396EF3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7936</TotalTime>
  <Pages>1</Pages>
  <Words>2981</Words>
  <Characters>16995</Characters>
  <Application>Microsoft Office Word</Application>
  <DocSecurity>0</DocSecurity>
  <Lines>141</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VitalinaPC</dc:creator>
  <cp:lastModifiedBy>VitalinaPC</cp:lastModifiedBy>
  <cp:revision>6</cp:revision>
  <dcterms:created xsi:type="dcterms:W3CDTF">2025-11-20T12:19:00Z</dcterms:created>
  <dcterms:modified xsi:type="dcterms:W3CDTF">2025-11-26T21:38:00Z</dcterms:modified>
</cp:coreProperties>
</file>