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91580A" w14:textId="77777777" w:rsidR="005B5411" w:rsidRDefault="0060759F" w:rsidP="00654886">
      <w:pPr>
        <w:jc w:val="center"/>
      </w:pPr>
      <w:r>
        <w:rPr>
          <w:noProof/>
        </w:rPr>
        <w:drawing>
          <wp:inline distT="0" distB="0" distL="0" distR="0" wp14:anchorId="72F33D3C" wp14:editId="78812041">
            <wp:extent cx="1962150" cy="847725"/>
            <wp:effectExtent l="0" t="0" r="0" b="9525"/>
            <wp:docPr id="183012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27395" name=""/>
                    <pic:cNvPicPr/>
                  </pic:nvPicPr>
                  <pic:blipFill>
                    <a:blip r:embed="rId6"/>
                    <a:stretch>
                      <a:fillRect/>
                    </a:stretch>
                  </pic:blipFill>
                  <pic:spPr>
                    <a:xfrm>
                      <a:off x="0" y="0"/>
                      <a:ext cx="1962150" cy="847725"/>
                    </a:xfrm>
                    <a:prstGeom prst="rect">
                      <a:avLst/>
                    </a:prstGeom>
                  </pic:spPr>
                </pic:pic>
              </a:graphicData>
            </a:graphic>
          </wp:inline>
        </w:drawing>
      </w:r>
    </w:p>
    <w:p w14:paraId="019F54BE" w14:textId="77777777" w:rsidR="00654886" w:rsidRDefault="00654886" w:rsidP="0060759F">
      <w:pPr>
        <w:rPr>
          <w:b/>
          <w:bCs/>
        </w:rPr>
      </w:pPr>
    </w:p>
    <w:p w14:paraId="29C26447" w14:textId="77777777" w:rsidR="00654886" w:rsidRDefault="00654886" w:rsidP="0060759F">
      <w:pPr>
        <w:rPr>
          <w:b/>
          <w:bCs/>
        </w:rPr>
      </w:pPr>
    </w:p>
    <w:p w14:paraId="00C8B7EE" w14:textId="77777777" w:rsidR="00A304C6" w:rsidRDefault="00A304C6" w:rsidP="00A304C6">
      <w:pPr>
        <w:jc w:val="center"/>
        <w:rPr>
          <w:b/>
          <w:bCs/>
        </w:rPr>
      </w:pPr>
    </w:p>
    <w:p w14:paraId="7D353886" w14:textId="77777777" w:rsidR="00A304C6" w:rsidRDefault="00A304C6" w:rsidP="00A304C6">
      <w:pPr>
        <w:jc w:val="center"/>
        <w:rPr>
          <w:b/>
          <w:bCs/>
        </w:rPr>
      </w:pPr>
    </w:p>
    <w:p w14:paraId="55434CF8" w14:textId="2F44CB3A" w:rsidR="00654886" w:rsidRDefault="00654886" w:rsidP="00A304C6">
      <w:pPr>
        <w:jc w:val="center"/>
        <w:rPr>
          <w:b/>
          <w:bCs/>
        </w:rPr>
      </w:pPr>
      <w:r>
        <w:rPr>
          <w:b/>
          <w:bCs/>
        </w:rPr>
        <w:t xml:space="preserve">Student Name: </w:t>
      </w:r>
      <w:proofErr w:type="spellStart"/>
      <w:r>
        <w:rPr>
          <w:b/>
          <w:bCs/>
        </w:rPr>
        <w:t>Urjefaben</w:t>
      </w:r>
      <w:proofErr w:type="spellEnd"/>
      <w:r>
        <w:rPr>
          <w:b/>
          <w:bCs/>
        </w:rPr>
        <w:t xml:space="preserve"> </w:t>
      </w:r>
      <w:proofErr w:type="spellStart"/>
      <w:r>
        <w:rPr>
          <w:b/>
          <w:bCs/>
        </w:rPr>
        <w:t>Usmanbhai</w:t>
      </w:r>
      <w:proofErr w:type="spellEnd"/>
      <w:r>
        <w:rPr>
          <w:b/>
          <w:bCs/>
        </w:rPr>
        <w:t xml:space="preserve"> Patel</w:t>
      </w:r>
    </w:p>
    <w:p w14:paraId="04941DD8" w14:textId="22E915C3" w:rsidR="00654886" w:rsidRDefault="00654886" w:rsidP="00A304C6">
      <w:pPr>
        <w:jc w:val="center"/>
        <w:rPr>
          <w:b/>
          <w:bCs/>
        </w:rPr>
      </w:pPr>
      <w:r>
        <w:rPr>
          <w:b/>
          <w:bCs/>
        </w:rPr>
        <w:t>Student ID: 2504917</w:t>
      </w:r>
    </w:p>
    <w:p w14:paraId="72FCCF21" w14:textId="77777777" w:rsidR="00654886" w:rsidRDefault="00654886" w:rsidP="00A304C6">
      <w:pPr>
        <w:jc w:val="center"/>
      </w:pPr>
      <w:r w:rsidRPr="005B5411">
        <w:rPr>
          <w:b/>
          <w:bCs/>
        </w:rPr>
        <w:t>Module code: LCMB7002</w:t>
      </w:r>
    </w:p>
    <w:p w14:paraId="4555431F" w14:textId="0B43DB93" w:rsidR="00654886" w:rsidRDefault="00654886" w:rsidP="00A304C6">
      <w:pPr>
        <w:jc w:val="center"/>
        <w:rPr>
          <w:b/>
          <w:bCs/>
        </w:rPr>
      </w:pPr>
      <w:r>
        <w:rPr>
          <w:b/>
          <w:bCs/>
        </w:rPr>
        <w:t xml:space="preserve">Lecturer’s Name: </w:t>
      </w:r>
      <w:r w:rsidR="00A304C6">
        <w:rPr>
          <w:b/>
          <w:bCs/>
        </w:rPr>
        <w:t>Isaiah Oino</w:t>
      </w:r>
    </w:p>
    <w:p w14:paraId="75F6478B" w14:textId="77777777" w:rsidR="00A304C6" w:rsidRPr="005B5411" w:rsidRDefault="00A304C6" w:rsidP="00A304C6">
      <w:pPr>
        <w:jc w:val="center"/>
        <w:rPr>
          <w:b/>
          <w:bCs/>
        </w:rPr>
      </w:pPr>
      <w:r w:rsidRPr="005B5411">
        <w:rPr>
          <w:b/>
          <w:bCs/>
        </w:rPr>
        <w:t>Module: Financial Management</w:t>
      </w:r>
    </w:p>
    <w:p w14:paraId="0A7131F6" w14:textId="3486DC36" w:rsidR="00654886" w:rsidRDefault="00A304C6" w:rsidP="00A304C6">
      <w:pPr>
        <w:jc w:val="center"/>
        <w:rPr>
          <w:b/>
          <w:bCs/>
        </w:rPr>
      </w:pPr>
      <w:r>
        <w:rPr>
          <w:b/>
          <w:bCs/>
        </w:rPr>
        <w:t>Term - 1</w:t>
      </w:r>
    </w:p>
    <w:p w14:paraId="54DDDA31" w14:textId="77777777" w:rsidR="002A604A" w:rsidRDefault="002A604A" w:rsidP="00654886">
      <w:pPr>
        <w:spacing w:line="278" w:lineRule="auto"/>
        <w:jc w:val="center"/>
      </w:pPr>
      <w:r>
        <w:br w:type="page"/>
      </w:r>
    </w:p>
    <w:p w14:paraId="68C48517" w14:textId="77777777" w:rsidR="002A604A" w:rsidRDefault="002A604A" w:rsidP="002A604A">
      <w:pPr>
        <w:jc w:val="center"/>
        <w:rPr>
          <w:b/>
          <w:bCs/>
          <w:sz w:val="32"/>
          <w:szCs w:val="32"/>
        </w:rPr>
      </w:pPr>
    </w:p>
    <w:p w14:paraId="744019B9" w14:textId="77777777" w:rsidR="002A604A" w:rsidRDefault="002A604A" w:rsidP="002A604A">
      <w:pPr>
        <w:jc w:val="center"/>
        <w:rPr>
          <w:b/>
          <w:bCs/>
          <w:sz w:val="32"/>
          <w:szCs w:val="32"/>
        </w:rPr>
      </w:pPr>
    </w:p>
    <w:p w14:paraId="41A8409A" w14:textId="77777777" w:rsidR="002A604A" w:rsidRDefault="002A604A" w:rsidP="002A604A">
      <w:pPr>
        <w:jc w:val="center"/>
        <w:rPr>
          <w:b/>
          <w:bCs/>
          <w:sz w:val="32"/>
          <w:szCs w:val="32"/>
        </w:rPr>
      </w:pPr>
    </w:p>
    <w:p w14:paraId="50DA2887" w14:textId="77777777" w:rsidR="002A604A" w:rsidRDefault="002A604A" w:rsidP="002A604A">
      <w:pPr>
        <w:jc w:val="center"/>
        <w:rPr>
          <w:b/>
          <w:bCs/>
          <w:sz w:val="32"/>
          <w:szCs w:val="32"/>
        </w:rPr>
      </w:pPr>
    </w:p>
    <w:p w14:paraId="519850FF" w14:textId="77777777" w:rsidR="00E202DD" w:rsidRDefault="002A604A" w:rsidP="002A604A">
      <w:pPr>
        <w:jc w:val="center"/>
        <w:rPr>
          <w:b/>
          <w:bCs/>
          <w:sz w:val="32"/>
          <w:szCs w:val="32"/>
        </w:rPr>
      </w:pPr>
      <w:r w:rsidRPr="002A604A">
        <w:rPr>
          <w:b/>
          <w:bCs/>
          <w:sz w:val="32"/>
          <w:szCs w:val="32"/>
        </w:rPr>
        <w:t xml:space="preserve">STRATEGIC FINANCIAL ANALYSIS AND RESTRUCTURING EVALUATION FOR SUSTAINABLE CORPORATE PERFORMANCE AT </w:t>
      </w:r>
      <w:r w:rsidRPr="00E00B89">
        <w:rPr>
          <w:b/>
          <w:bCs/>
          <w:sz w:val="32"/>
          <w:szCs w:val="32"/>
        </w:rPr>
        <w:t xml:space="preserve">GENERAL ELECTRONICS </w:t>
      </w:r>
    </w:p>
    <w:p w14:paraId="46D2018D" w14:textId="77777777" w:rsidR="00E202DD" w:rsidRDefault="00E202DD">
      <w:pPr>
        <w:spacing w:line="278" w:lineRule="auto"/>
        <w:jc w:val="left"/>
        <w:rPr>
          <w:b/>
          <w:bCs/>
          <w:sz w:val="32"/>
          <w:szCs w:val="32"/>
        </w:rPr>
      </w:pPr>
      <w:r>
        <w:rPr>
          <w:b/>
          <w:bCs/>
          <w:sz w:val="32"/>
          <w:szCs w:val="32"/>
        </w:rPr>
        <w:br w:type="page"/>
      </w:r>
    </w:p>
    <w:sdt>
      <w:sdtPr>
        <w:rPr>
          <w:rFonts w:ascii="Arial" w:eastAsiaTheme="minorHAnsi" w:hAnsi="Arial" w:cstheme="minorBidi"/>
          <w:color w:val="000000" w:themeColor="text1"/>
          <w:kern w:val="2"/>
          <w:sz w:val="24"/>
          <w:szCs w:val="24"/>
          <w14:ligatures w14:val="standardContextual"/>
        </w:rPr>
        <w:id w:val="1023287245"/>
        <w:docPartObj>
          <w:docPartGallery w:val="Table of Contents"/>
          <w:docPartUnique/>
        </w:docPartObj>
      </w:sdtPr>
      <w:sdtEndPr>
        <w:rPr>
          <w:b/>
          <w:bCs/>
          <w:noProof/>
        </w:rPr>
      </w:sdtEndPr>
      <w:sdtContent>
        <w:p w14:paraId="0B1A4744" w14:textId="1E683D5E" w:rsidR="00E202DD" w:rsidRPr="00E202DD" w:rsidRDefault="00E202DD" w:rsidP="00E202DD">
          <w:pPr>
            <w:pStyle w:val="TOCHeading"/>
            <w:jc w:val="center"/>
            <w:rPr>
              <w:rFonts w:ascii="Arial" w:hAnsi="Arial" w:cs="Arial"/>
              <w:b/>
              <w:bCs/>
              <w:color w:val="0D0D0D" w:themeColor="text1" w:themeTint="F2"/>
              <w:sz w:val="24"/>
              <w:szCs w:val="24"/>
            </w:rPr>
          </w:pPr>
          <w:r w:rsidRPr="00E202DD">
            <w:rPr>
              <w:rFonts w:ascii="Arial" w:hAnsi="Arial" w:cs="Arial"/>
              <w:b/>
              <w:bCs/>
              <w:color w:val="0D0D0D" w:themeColor="text1" w:themeTint="F2"/>
              <w:sz w:val="24"/>
              <w:szCs w:val="24"/>
            </w:rPr>
            <w:t>Table of Contents</w:t>
          </w:r>
        </w:p>
        <w:p w14:paraId="2D23899E" w14:textId="6492E4FA" w:rsidR="00C0191B" w:rsidRDefault="00E202DD">
          <w:pPr>
            <w:pStyle w:val="TOC2"/>
            <w:tabs>
              <w:tab w:val="right" w:leader="dot" w:pos="9350"/>
            </w:tabs>
            <w:rPr>
              <w:rFonts w:asciiTheme="minorHAnsi" w:eastAsiaTheme="minorEastAsia" w:hAnsiTheme="minorHAnsi"/>
              <w:noProof/>
              <w:color w:val="auto"/>
            </w:rPr>
          </w:pPr>
          <w:r>
            <w:fldChar w:fldCharType="begin"/>
          </w:r>
          <w:r>
            <w:instrText xml:space="preserve"> TOC \o "1-3" \h \z \u </w:instrText>
          </w:r>
          <w:r>
            <w:fldChar w:fldCharType="separate"/>
          </w:r>
          <w:hyperlink w:anchor="_Toc216277083" w:history="1">
            <w:r w:rsidR="00C0191B" w:rsidRPr="0007118F">
              <w:rPr>
                <w:rStyle w:val="Hyperlink"/>
                <w:noProof/>
              </w:rPr>
              <w:t>1.1 Analysis of Financial Statements (Five-Year Performance Overview)</w:t>
            </w:r>
            <w:r w:rsidR="00C0191B">
              <w:rPr>
                <w:noProof/>
                <w:webHidden/>
              </w:rPr>
              <w:tab/>
            </w:r>
            <w:r w:rsidR="00C0191B">
              <w:rPr>
                <w:noProof/>
                <w:webHidden/>
              </w:rPr>
              <w:fldChar w:fldCharType="begin"/>
            </w:r>
            <w:r w:rsidR="00C0191B">
              <w:rPr>
                <w:noProof/>
                <w:webHidden/>
              </w:rPr>
              <w:instrText xml:space="preserve"> PAGEREF _Toc216277083 \h </w:instrText>
            </w:r>
            <w:r w:rsidR="00C0191B">
              <w:rPr>
                <w:noProof/>
                <w:webHidden/>
              </w:rPr>
            </w:r>
            <w:r w:rsidR="00C0191B">
              <w:rPr>
                <w:noProof/>
                <w:webHidden/>
              </w:rPr>
              <w:fldChar w:fldCharType="separate"/>
            </w:r>
            <w:r w:rsidR="000A5D33">
              <w:rPr>
                <w:noProof/>
                <w:webHidden/>
              </w:rPr>
              <w:t>4</w:t>
            </w:r>
            <w:r w:rsidR="00C0191B">
              <w:rPr>
                <w:noProof/>
                <w:webHidden/>
              </w:rPr>
              <w:fldChar w:fldCharType="end"/>
            </w:r>
          </w:hyperlink>
        </w:p>
        <w:p w14:paraId="4763469E" w14:textId="21BD72FA" w:rsidR="00C0191B" w:rsidRDefault="00C0191B">
          <w:pPr>
            <w:pStyle w:val="TOC2"/>
            <w:tabs>
              <w:tab w:val="right" w:leader="dot" w:pos="9350"/>
            </w:tabs>
            <w:rPr>
              <w:rFonts w:asciiTheme="minorHAnsi" w:eastAsiaTheme="minorEastAsia" w:hAnsiTheme="minorHAnsi"/>
              <w:noProof/>
              <w:color w:val="auto"/>
            </w:rPr>
          </w:pPr>
          <w:hyperlink w:anchor="_Toc216277084" w:history="1">
            <w:r w:rsidRPr="0007118F">
              <w:rPr>
                <w:rStyle w:val="Hyperlink"/>
                <w:noProof/>
              </w:rPr>
              <w:t>1.2 Ratio Analysis (Profitability, Liquidity, Efficiency, Gearing, Investment, Cash Flow)</w:t>
            </w:r>
            <w:r>
              <w:rPr>
                <w:noProof/>
                <w:webHidden/>
              </w:rPr>
              <w:tab/>
            </w:r>
            <w:r>
              <w:rPr>
                <w:noProof/>
                <w:webHidden/>
              </w:rPr>
              <w:fldChar w:fldCharType="begin"/>
            </w:r>
            <w:r>
              <w:rPr>
                <w:noProof/>
                <w:webHidden/>
              </w:rPr>
              <w:instrText xml:space="preserve"> PAGEREF _Toc216277084 \h </w:instrText>
            </w:r>
            <w:r>
              <w:rPr>
                <w:noProof/>
                <w:webHidden/>
              </w:rPr>
            </w:r>
            <w:r>
              <w:rPr>
                <w:noProof/>
                <w:webHidden/>
              </w:rPr>
              <w:fldChar w:fldCharType="separate"/>
            </w:r>
            <w:r w:rsidR="000A5D33">
              <w:rPr>
                <w:noProof/>
                <w:webHidden/>
              </w:rPr>
              <w:t>5</w:t>
            </w:r>
            <w:r>
              <w:rPr>
                <w:noProof/>
                <w:webHidden/>
              </w:rPr>
              <w:fldChar w:fldCharType="end"/>
            </w:r>
          </w:hyperlink>
        </w:p>
        <w:p w14:paraId="4698FB88" w14:textId="25BF0A57" w:rsidR="00C0191B" w:rsidRDefault="00C0191B">
          <w:pPr>
            <w:pStyle w:val="TOC2"/>
            <w:tabs>
              <w:tab w:val="right" w:leader="dot" w:pos="9350"/>
            </w:tabs>
            <w:rPr>
              <w:rFonts w:asciiTheme="minorHAnsi" w:eastAsiaTheme="minorEastAsia" w:hAnsiTheme="minorHAnsi"/>
              <w:noProof/>
              <w:color w:val="auto"/>
            </w:rPr>
          </w:pPr>
          <w:hyperlink w:anchor="_Toc216277085" w:history="1">
            <w:r w:rsidRPr="0007118F">
              <w:rPr>
                <w:rStyle w:val="Hyperlink"/>
                <w:noProof/>
              </w:rPr>
              <w:t>1.3 Trend Evaluation, Strengths, and Threats</w:t>
            </w:r>
            <w:r>
              <w:rPr>
                <w:noProof/>
                <w:webHidden/>
              </w:rPr>
              <w:tab/>
            </w:r>
            <w:r>
              <w:rPr>
                <w:noProof/>
                <w:webHidden/>
              </w:rPr>
              <w:fldChar w:fldCharType="begin"/>
            </w:r>
            <w:r>
              <w:rPr>
                <w:noProof/>
                <w:webHidden/>
              </w:rPr>
              <w:instrText xml:space="preserve"> PAGEREF _Toc216277085 \h </w:instrText>
            </w:r>
            <w:r>
              <w:rPr>
                <w:noProof/>
                <w:webHidden/>
              </w:rPr>
            </w:r>
            <w:r>
              <w:rPr>
                <w:noProof/>
                <w:webHidden/>
              </w:rPr>
              <w:fldChar w:fldCharType="separate"/>
            </w:r>
            <w:r w:rsidR="000A5D33">
              <w:rPr>
                <w:noProof/>
                <w:webHidden/>
              </w:rPr>
              <w:t>6</w:t>
            </w:r>
            <w:r>
              <w:rPr>
                <w:noProof/>
                <w:webHidden/>
              </w:rPr>
              <w:fldChar w:fldCharType="end"/>
            </w:r>
          </w:hyperlink>
        </w:p>
        <w:p w14:paraId="75F66BF7" w14:textId="572A37DC" w:rsidR="00C0191B" w:rsidRDefault="00C0191B">
          <w:pPr>
            <w:pStyle w:val="TOC2"/>
            <w:tabs>
              <w:tab w:val="right" w:leader="dot" w:pos="9350"/>
            </w:tabs>
            <w:rPr>
              <w:rFonts w:asciiTheme="minorHAnsi" w:eastAsiaTheme="minorEastAsia" w:hAnsiTheme="minorHAnsi"/>
              <w:noProof/>
              <w:color w:val="auto"/>
            </w:rPr>
          </w:pPr>
          <w:hyperlink w:anchor="_Toc216277086" w:history="1">
            <w:r w:rsidRPr="0007118F">
              <w:rPr>
                <w:rStyle w:val="Hyperlink"/>
                <w:noProof/>
              </w:rPr>
              <w:t>1.4 Corporate Failure Prediction and Default Risk (Altman Z-Score Analysis)</w:t>
            </w:r>
            <w:r>
              <w:rPr>
                <w:noProof/>
                <w:webHidden/>
              </w:rPr>
              <w:tab/>
            </w:r>
            <w:r>
              <w:rPr>
                <w:noProof/>
                <w:webHidden/>
              </w:rPr>
              <w:fldChar w:fldCharType="begin"/>
            </w:r>
            <w:r>
              <w:rPr>
                <w:noProof/>
                <w:webHidden/>
              </w:rPr>
              <w:instrText xml:space="preserve"> PAGEREF _Toc216277086 \h </w:instrText>
            </w:r>
            <w:r>
              <w:rPr>
                <w:noProof/>
                <w:webHidden/>
              </w:rPr>
            </w:r>
            <w:r>
              <w:rPr>
                <w:noProof/>
                <w:webHidden/>
              </w:rPr>
              <w:fldChar w:fldCharType="separate"/>
            </w:r>
            <w:r w:rsidR="000A5D33">
              <w:rPr>
                <w:noProof/>
                <w:webHidden/>
              </w:rPr>
              <w:t>7</w:t>
            </w:r>
            <w:r>
              <w:rPr>
                <w:noProof/>
                <w:webHidden/>
              </w:rPr>
              <w:fldChar w:fldCharType="end"/>
            </w:r>
          </w:hyperlink>
        </w:p>
        <w:p w14:paraId="0998E196" w14:textId="768DBF3E" w:rsidR="00C0191B" w:rsidRDefault="00C0191B">
          <w:pPr>
            <w:pStyle w:val="TOC1"/>
            <w:tabs>
              <w:tab w:val="right" w:leader="dot" w:pos="9350"/>
            </w:tabs>
            <w:rPr>
              <w:rFonts w:asciiTheme="minorHAnsi" w:eastAsiaTheme="minorEastAsia" w:hAnsiTheme="minorHAnsi"/>
              <w:noProof/>
              <w:color w:val="auto"/>
            </w:rPr>
          </w:pPr>
          <w:hyperlink w:anchor="_Toc216277087" w:history="1">
            <w:r w:rsidRPr="0007118F">
              <w:rPr>
                <w:rStyle w:val="Hyperlink"/>
                <w:noProof/>
              </w:rPr>
              <w:t>2. Working Capital Management Analysis</w:t>
            </w:r>
            <w:r>
              <w:rPr>
                <w:noProof/>
                <w:webHidden/>
              </w:rPr>
              <w:tab/>
            </w:r>
            <w:r>
              <w:rPr>
                <w:noProof/>
                <w:webHidden/>
              </w:rPr>
              <w:fldChar w:fldCharType="begin"/>
            </w:r>
            <w:r>
              <w:rPr>
                <w:noProof/>
                <w:webHidden/>
              </w:rPr>
              <w:instrText xml:space="preserve"> PAGEREF _Toc216277087 \h </w:instrText>
            </w:r>
            <w:r>
              <w:rPr>
                <w:noProof/>
                <w:webHidden/>
              </w:rPr>
            </w:r>
            <w:r>
              <w:rPr>
                <w:noProof/>
                <w:webHidden/>
              </w:rPr>
              <w:fldChar w:fldCharType="separate"/>
            </w:r>
            <w:r w:rsidR="000A5D33">
              <w:rPr>
                <w:noProof/>
                <w:webHidden/>
              </w:rPr>
              <w:t>8</w:t>
            </w:r>
            <w:r>
              <w:rPr>
                <w:noProof/>
                <w:webHidden/>
              </w:rPr>
              <w:fldChar w:fldCharType="end"/>
            </w:r>
          </w:hyperlink>
        </w:p>
        <w:p w14:paraId="4912FEE6" w14:textId="489CFF3E" w:rsidR="00C0191B" w:rsidRDefault="00C0191B">
          <w:pPr>
            <w:pStyle w:val="TOC2"/>
            <w:tabs>
              <w:tab w:val="right" w:leader="dot" w:pos="9350"/>
            </w:tabs>
            <w:rPr>
              <w:rFonts w:asciiTheme="minorHAnsi" w:eastAsiaTheme="minorEastAsia" w:hAnsiTheme="minorHAnsi"/>
              <w:noProof/>
              <w:color w:val="auto"/>
            </w:rPr>
          </w:pPr>
          <w:hyperlink w:anchor="_Toc216277088" w:history="1">
            <w:r w:rsidRPr="0007118F">
              <w:rPr>
                <w:rStyle w:val="Hyperlink"/>
                <w:noProof/>
              </w:rPr>
              <w:t>2.2 Liquidity Improvement Through Working Capital Reforms</w:t>
            </w:r>
            <w:r>
              <w:rPr>
                <w:noProof/>
                <w:webHidden/>
              </w:rPr>
              <w:tab/>
            </w:r>
            <w:r>
              <w:rPr>
                <w:noProof/>
                <w:webHidden/>
              </w:rPr>
              <w:fldChar w:fldCharType="begin"/>
            </w:r>
            <w:r>
              <w:rPr>
                <w:noProof/>
                <w:webHidden/>
              </w:rPr>
              <w:instrText xml:space="preserve"> PAGEREF _Toc216277088 \h </w:instrText>
            </w:r>
            <w:r>
              <w:rPr>
                <w:noProof/>
                <w:webHidden/>
              </w:rPr>
            </w:r>
            <w:r>
              <w:rPr>
                <w:noProof/>
                <w:webHidden/>
              </w:rPr>
              <w:fldChar w:fldCharType="separate"/>
            </w:r>
            <w:r w:rsidR="000A5D33">
              <w:rPr>
                <w:noProof/>
                <w:webHidden/>
              </w:rPr>
              <w:t>9</w:t>
            </w:r>
            <w:r>
              <w:rPr>
                <w:noProof/>
                <w:webHidden/>
              </w:rPr>
              <w:fldChar w:fldCharType="end"/>
            </w:r>
          </w:hyperlink>
        </w:p>
        <w:p w14:paraId="78C99B5D" w14:textId="29DD05FC" w:rsidR="00C0191B" w:rsidRDefault="00C0191B">
          <w:pPr>
            <w:pStyle w:val="TOC2"/>
            <w:tabs>
              <w:tab w:val="right" w:leader="dot" w:pos="9350"/>
            </w:tabs>
            <w:rPr>
              <w:rFonts w:asciiTheme="minorHAnsi" w:eastAsiaTheme="minorEastAsia" w:hAnsiTheme="minorHAnsi"/>
              <w:noProof/>
              <w:color w:val="auto"/>
            </w:rPr>
          </w:pPr>
          <w:hyperlink w:anchor="_Toc216277089" w:history="1">
            <w:r w:rsidRPr="0007118F">
              <w:rPr>
                <w:rStyle w:val="Hyperlink"/>
                <w:noProof/>
              </w:rPr>
              <w:t>2.3 Comparison of Short-Term vs Long-Term Financing Options</w:t>
            </w:r>
            <w:r>
              <w:rPr>
                <w:noProof/>
                <w:webHidden/>
              </w:rPr>
              <w:tab/>
            </w:r>
            <w:r>
              <w:rPr>
                <w:noProof/>
                <w:webHidden/>
              </w:rPr>
              <w:fldChar w:fldCharType="begin"/>
            </w:r>
            <w:r>
              <w:rPr>
                <w:noProof/>
                <w:webHidden/>
              </w:rPr>
              <w:instrText xml:space="preserve"> PAGEREF _Toc216277089 \h </w:instrText>
            </w:r>
            <w:r>
              <w:rPr>
                <w:noProof/>
                <w:webHidden/>
              </w:rPr>
            </w:r>
            <w:r>
              <w:rPr>
                <w:noProof/>
                <w:webHidden/>
              </w:rPr>
              <w:fldChar w:fldCharType="separate"/>
            </w:r>
            <w:r w:rsidR="000A5D33">
              <w:rPr>
                <w:noProof/>
                <w:webHidden/>
              </w:rPr>
              <w:t>10</w:t>
            </w:r>
            <w:r>
              <w:rPr>
                <w:noProof/>
                <w:webHidden/>
              </w:rPr>
              <w:fldChar w:fldCharType="end"/>
            </w:r>
          </w:hyperlink>
        </w:p>
        <w:p w14:paraId="695A2882" w14:textId="3FA21FF5" w:rsidR="00C0191B" w:rsidRDefault="00C0191B">
          <w:pPr>
            <w:pStyle w:val="TOC1"/>
            <w:tabs>
              <w:tab w:val="right" w:leader="dot" w:pos="9350"/>
            </w:tabs>
            <w:rPr>
              <w:rFonts w:asciiTheme="minorHAnsi" w:eastAsiaTheme="minorEastAsia" w:hAnsiTheme="minorHAnsi"/>
              <w:noProof/>
              <w:color w:val="auto"/>
            </w:rPr>
          </w:pPr>
          <w:hyperlink w:anchor="_Toc216277090" w:history="1">
            <w:r w:rsidRPr="0007118F">
              <w:rPr>
                <w:rStyle w:val="Hyperlink"/>
                <w:noProof/>
              </w:rPr>
              <w:t>3. Strategic Financial Restructuring Plan</w:t>
            </w:r>
            <w:r>
              <w:rPr>
                <w:noProof/>
                <w:webHidden/>
              </w:rPr>
              <w:tab/>
            </w:r>
            <w:r>
              <w:rPr>
                <w:noProof/>
                <w:webHidden/>
              </w:rPr>
              <w:fldChar w:fldCharType="begin"/>
            </w:r>
            <w:r>
              <w:rPr>
                <w:noProof/>
                <w:webHidden/>
              </w:rPr>
              <w:instrText xml:space="preserve"> PAGEREF _Toc216277090 \h </w:instrText>
            </w:r>
            <w:r>
              <w:rPr>
                <w:noProof/>
                <w:webHidden/>
              </w:rPr>
            </w:r>
            <w:r>
              <w:rPr>
                <w:noProof/>
                <w:webHidden/>
              </w:rPr>
              <w:fldChar w:fldCharType="separate"/>
            </w:r>
            <w:r w:rsidR="000A5D33">
              <w:rPr>
                <w:noProof/>
                <w:webHidden/>
              </w:rPr>
              <w:t>12</w:t>
            </w:r>
            <w:r>
              <w:rPr>
                <w:noProof/>
                <w:webHidden/>
              </w:rPr>
              <w:fldChar w:fldCharType="end"/>
            </w:r>
          </w:hyperlink>
        </w:p>
        <w:p w14:paraId="42D0E874" w14:textId="6D0CEAFC" w:rsidR="00C0191B" w:rsidRDefault="00C0191B">
          <w:pPr>
            <w:pStyle w:val="TOC2"/>
            <w:tabs>
              <w:tab w:val="right" w:leader="dot" w:pos="9350"/>
            </w:tabs>
            <w:rPr>
              <w:rFonts w:asciiTheme="minorHAnsi" w:eastAsiaTheme="minorEastAsia" w:hAnsiTheme="minorHAnsi"/>
              <w:noProof/>
              <w:color w:val="auto"/>
            </w:rPr>
          </w:pPr>
          <w:hyperlink w:anchor="_Toc216277091" w:history="1">
            <w:r w:rsidRPr="0007118F">
              <w:rPr>
                <w:rStyle w:val="Hyperlink"/>
                <w:noProof/>
              </w:rPr>
              <w:t>3.1 Financial Restructuring Options: Divestiture, Merger, and Equity Injection</w:t>
            </w:r>
            <w:r>
              <w:rPr>
                <w:noProof/>
                <w:webHidden/>
              </w:rPr>
              <w:tab/>
            </w:r>
            <w:r>
              <w:rPr>
                <w:noProof/>
                <w:webHidden/>
              </w:rPr>
              <w:fldChar w:fldCharType="begin"/>
            </w:r>
            <w:r>
              <w:rPr>
                <w:noProof/>
                <w:webHidden/>
              </w:rPr>
              <w:instrText xml:space="preserve"> PAGEREF _Toc216277091 \h </w:instrText>
            </w:r>
            <w:r>
              <w:rPr>
                <w:noProof/>
                <w:webHidden/>
              </w:rPr>
            </w:r>
            <w:r>
              <w:rPr>
                <w:noProof/>
                <w:webHidden/>
              </w:rPr>
              <w:fldChar w:fldCharType="separate"/>
            </w:r>
            <w:r w:rsidR="000A5D33">
              <w:rPr>
                <w:noProof/>
                <w:webHidden/>
              </w:rPr>
              <w:t>12</w:t>
            </w:r>
            <w:r>
              <w:rPr>
                <w:noProof/>
                <w:webHidden/>
              </w:rPr>
              <w:fldChar w:fldCharType="end"/>
            </w:r>
          </w:hyperlink>
        </w:p>
        <w:p w14:paraId="63729330" w14:textId="00C42768" w:rsidR="00C0191B" w:rsidRDefault="00C0191B">
          <w:pPr>
            <w:pStyle w:val="TOC2"/>
            <w:tabs>
              <w:tab w:val="right" w:leader="dot" w:pos="9350"/>
            </w:tabs>
            <w:rPr>
              <w:rFonts w:asciiTheme="minorHAnsi" w:eastAsiaTheme="minorEastAsia" w:hAnsiTheme="minorHAnsi"/>
              <w:noProof/>
              <w:color w:val="auto"/>
            </w:rPr>
          </w:pPr>
          <w:hyperlink w:anchor="_Toc216277092" w:history="1">
            <w:r w:rsidRPr="0007118F">
              <w:rPr>
                <w:rStyle w:val="Hyperlink"/>
                <w:noProof/>
              </w:rPr>
              <w:t>3.2 Impact on Shareholder Value, Debt Structure, and Operational Flexibility</w:t>
            </w:r>
            <w:r>
              <w:rPr>
                <w:noProof/>
                <w:webHidden/>
              </w:rPr>
              <w:tab/>
            </w:r>
            <w:r>
              <w:rPr>
                <w:noProof/>
                <w:webHidden/>
              </w:rPr>
              <w:fldChar w:fldCharType="begin"/>
            </w:r>
            <w:r>
              <w:rPr>
                <w:noProof/>
                <w:webHidden/>
              </w:rPr>
              <w:instrText xml:space="preserve"> PAGEREF _Toc216277092 \h </w:instrText>
            </w:r>
            <w:r>
              <w:rPr>
                <w:noProof/>
                <w:webHidden/>
              </w:rPr>
            </w:r>
            <w:r>
              <w:rPr>
                <w:noProof/>
                <w:webHidden/>
              </w:rPr>
              <w:fldChar w:fldCharType="separate"/>
            </w:r>
            <w:r w:rsidR="000A5D33">
              <w:rPr>
                <w:noProof/>
                <w:webHidden/>
              </w:rPr>
              <w:t>13</w:t>
            </w:r>
            <w:r>
              <w:rPr>
                <w:noProof/>
                <w:webHidden/>
              </w:rPr>
              <w:fldChar w:fldCharType="end"/>
            </w:r>
          </w:hyperlink>
        </w:p>
        <w:p w14:paraId="3D858B9A" w14:textId="5570F0CA" w:rsidR="00C0191B" w:rsidRDefault="00C0191B">
          <w:pPr>
            <w:pStyle w:val="TOC2"/>
            <w:tabs>
              <w:tab w:val="right" w:leader="dot" w:pos="9350"/>
            </w:tabs>
            <w:rPr>
              <w:rFonts w:asciiTheme="minorHAnsi" w:eastAsiaTheme="minorEastAsia" w:hAnsiTheme="minorHAnsi"/>
              <w:noProof/>
              <w:color w:val="auto"/>
            </w:rPr>
          </w:pPr>
          <w:hyperlink w:anchor="_Toc216277093" w:history="1">
            <w:r w:rsidRPr="0007118F">
              <w:rPr>
                <w:rStyle w:val="Hyperlink"/>
                <w:noProof/>
              </w:rPr>
              <w:t>3.3 International and Ethical Considerations: Taxation, Currency Risk, Inflation, and CSR</w:t>
            </w:r>
            <w:r>
              <w:rPr>
                <w:noProof/>
                <w:webHidden/>
              </w:rPr>
              <w:tab/>
            </w:r>
            <w:r>
              <w:rPr>
                <w:noProof/>
                <w:webHidden/>
              </w:rPr>
              <w:fldChar w:fldCharType="begin"/>
            </w:r>
            <w:r>
              <w:rPr>
                <w:noProof/>
                <w:webHidden/>
              </w:rPr>
              <w:instrText xml:space="preserve"> PAGEREF _Toc216277093 \h </w:instrText>
            </w:r>
            <w:r>
              <w:rPr>
                <w:noProof/>
                <w:webHidden/>
              </w:rPr>
            </w:r>
            <w:r>
              <w:rPr>
                <w:noProof/>
                <w:webHidden/>
              </w:rPr>
              <w:fldChar w:fldCharType="separate"/>
            </w:r>
            <w:r w:rsidR="000A5D33">
              <w:rPr>
                <w:noProof/>
                <w:webHidden/>
              </w:rPr>
              <w:t>14</w:t>
            </w:r>
            <w:r>
              <w:rPr>
                <w:noProof/>
                <w:webHidden/>
              </w:rPr>
              <w:fldChar w:fldCharType="end"/>
            </w:r>
          </w:hyperlink>
        </w:p>
        <w:p w14:paraId="474973C1" w14:textId="1D77EE89" w:rsidR="00C0191B" w:rsidRDefault="00C0191B">
          <w:pPr>
            <w:pStyle w:val="TOC1"/>
            <w:tabs>
              <w:tab w:val="right" w:leader="dot" w:pos="9350"/>
            </w:tabs>
            <w:rPr>
              <w:rFonts w:asciiTheme="minorHAnsi" w:eastAsiaTheme="minorEastAsia" w:hAnsiTheme="minorHAnsi"/>
              <w:noProof/>
              <w:color w:val="auto"/>
            </w:rPr>
          </w:pPr>
          <w:hyperlink w:anchor="_Toc216277094" w:history="1">
            <w:r w:rsidRPr="0007118F">
              <w:rPr>
                <w:rStyle w:val="Hyperlink"/>
                <w:noProof/>
              </w:rPr>
              <w:t>4. Investment Appraisal and Capital Budgeting</w:t>
            </w:r>
            <w:r>
              <w:rPr>
                <w:noProof/>
                <w:webHidden/>
              </w:rPr>
              <w:tab/>
            </w:r>
            <w:r>
              <w:rPr>
                <w:noProof/>
                <w:webHidden/>
              </w:rPr>
              <w:fldChar w:fldCharType="begin"/>
            </w:r>
            <w:r>
              <w:rPr>
                <w:noProof/>
                <w:webHidden/>
              </w:rPr>
              <w:instrText xml:space="preserve"> PAGEREF _Toc216277094 \h </w:instrText>
            </w:r>
            <w:r>
              <w:rPr>
                <w:noProof/>
                <w:webHidden/>
              </w:rPr>
            </w:r>
            <w:r>
              <w:rPr>
                <w:noProof/>
                <w:webHidden/>
              </w:rPr>
              <w:fldChar w:fldCharType="separate"/>
            </w:r>
            <w:r w:rsidR="000A5D33">
              <w:rPr>
                <w:noProof/>
                <w:webHidden/>
              </w:rPr>
              <w:t>17</w:t>
            </w:r>
            <w:r>
              <w:rPr>
                <w:noProof/>
                <w:webHidden/>
              </w:rPr>
              <w:fldChar w:fldCharType="end"/>
            </w:r>
          </w:hyperlink>
        </w:p>
        <w:p w14:paraId="67EA80A9" w14:textId="2871F065" w:rsidR="00C0191B" w:rsidRDefault="00C0191B">
          <w:pPr>
            <w:pStyle w:val="TOC2"/>
            <w:tabs>
              <w:tab w:val="right" w:leader="dot" w:pos="9350"/>
            </w:tabs>
            <w:rPr>
              <w:rFonts w:asciiTheme="minorHAnsi" w:eastAsiaTheme="minorEastAsia" w:hAnsiTheme="minorHAnsi"/>
              <w:noProof/>
              <w:color w:val="auto"/>
            </w:rPr>
          </w:pPr>
          <w:hyperlink w:anchor="_Toc216277095" w:history="1">
            <w:r w:rsidRPr="0007118F">
              <w:rPr>
                <w:rStyle w:val="Hyperlink"/>
                <w:noProof/>
              </w:rPr>
              <w:t>4.1 Evaluation of the Three Investment Projects Using PBP, ARR, NPV, PI and IRR</w:t>
            </w:r>
            <w:r>
              <w:rPr>
                <w:noProof/>
                <w:webHidden/>
              </w:rPr>
              <w:tab/>
            </w:r>
            <w:r>
              <w:rPr>
                <w:noProof/>
                <w:webHidden/>
              </w:rPr>
              <w:fldChar w:fldCharType="begin"/>
            </w:r>
            <w:r>
              <w:rPr>
                <w:noProof/>
                <w:webHidden/>
              </w:rPr>
              <w:instrText xml:space="preserve"> PAGEREF _Toc216277095 \h </w:instrText>
            </w:r>
            <w:r>
              <w:rPr>
                <w:noProof/>
                <w:webHidden/>
              </w:rPr>
            </w:r>
            <w:r>
              <w:rPr>
                <w:noProof/>
                <w:webHidden/>
              </w:rPr>
              <w:fldChar w:fldCharType="separate"/>
            </w:r>
            <w:r w:rsidR="000A5D33">
              <w:rPr>
                <w:noProof/>
                <w:webHidden/>
              </w:rPr>
              <w:t>17</w:t>
            </w:r>
            <w:r>
              <w:rPr>
                <w:noProof/>
                <w:webHidden/>
              </w:rPr>
              <w:fldChar w:fldCharType="end"/>
            </w:r>
          </w:hyperlink>
        </w:p>
        <w:p w14:paraId="2A56D386" w14:textId="0BFE39D1" w:rsidR="00C0191B" w:rsidRDefault="00C0191B">
          <w:pPr>
            <w:pStyle w:val="TOC2"/>
            <w:tabs>
              <w:tab w:val="right" w:leader="dot" w:pos="9350"/>
            </w:tabs>
            <w:rPr>
              <w:rFonts w:asciiTheme="minorHAnsi" w:eastAsiaTheme="minorEastAsia" w:hAnsiTheme="minorHAnsi"/>
              <w:noProof/>
              <w:color w:val="auto"/>
            </w:rPr>
          </w:pPr>
          <w:hyperlink w:anchor="_Toc216277096" w:history="1">
            <w:r w:rsidRPr="0007118F">
              <w:rPr>
                <w:rStyle w:val="Hyperlink"/>
                <w:noProof/>
              </w:rPr>
              <w:t>4.2 Investment Recommendation Under Capital Rationing (£60m Limit)</w:t>
            </w:r>
            <w:r>
              <w:rPr>
                <w:noProof/>
                <w:webHidden/>
              </w:rPr>
              <w:tab/>
            </w:r>
            <w:r>
              <w:rPr>
                <w:noProof/>
                <w:webHidden/>
              </w:rPr>
              <w:fldChar w:fldCharType="begin"/>
            </w:r>
            <w:r>
              <w:rPr>
                <w:noProof/>
                <w:webHidden/>
              </w:rPr>
              <w:instrText xml:space="preserve"> PAGEREF _Toc216277096 \h </w:instrText>
            </w:r>
            <w:r>
              <w:rPr>
                <w:noProof/>
                <w:webHidden/>
              </w:rPr>
            </w:r>
            <w:r>
              <w:rPr>
                <w:noProof/>
                <w:webHidden/>
              </w:rPr>
              <w:fldChar w:fldCharType="separate"/>
            </w:r>
            <w:r w:rsidR="000A5D33">
              <w:rPr>
                <w:noProof/>
                <w:webHidden/>
              </w:rPr>
              <w:t>19</w:t>
            </w:r>
            <w:r>
              <w:rPr>
                <w:noProof/>
                <w:webHidden/>
              </w:rPr>
              <w:fldChar w:fldCharType="end"/>
            </w:r>
          </w:hyperlink>
        </w:p>
        <w:p w14:paraId="5FFD8662" w14:textId="5A85B8DD" w:rsidR="00C0191B" w:rsidRDefault="00C0191B">
          <w:pPr>
            <w:pStyle w:val="TOC2"/>
            <w:tabs>
              <w:tab w:val="right" w:leader="dot" w:pos="9350"/>
            </w:tabs>
            <w:rPr>
              <w:rFonts w:asciiTheme="minorHAnsi" w:eastAsiaTheme="minorEastAsia" w:hAnsiTheme="minorHAnsi"/>
              <w:noProof/>
              <w:color w:val="auto"/>
            </w:rPr>
          </w:pPr>
          <w:hyperlink w:anchor="_Toc216277097" w:history="1">
            <w:r w:rsidRPr="0007118F">
              <w:rPr>
                <w:rStyle w:val="Hyperlink"/>
                <w:noProof/>
              </w:rPr>
              <w:t>4.3 Justification Linked to Company Financial Performance and Project Risk Characteristics</w:t>
            </w:r>
            <w:r>
              <w:rPr>
                <w:noProof/>
                <w:webHidden/>
              </w:rPr>
              <w:tab/>
            </w:r>
            <w:r>
              <w:rPr>
                <w:noProof/>
                <w:webHidden/>
              </w:rPr>
              <w:fldChar w:fldCharType="begin"/>
            </w:r>
            <w:r>
              <w:rPr>
                <w:noProof/>
                <w:webHidden/>
              </w:rPr>
              <w:instrText xml:space="preserve"> PAGEREF _Toc216277097 \h </w:instrText>
            </w:r>
            <w:r>
              <w:rPr>
                <w:noProof/>
                <w:webHidden/>
              </w:rPr>
            </w:r>
            <w:r>
              <w:rPr>
                <w:noProof/>
                <w:webHidden/>
              </w:rPr>
              <w:fldChar w:fldCharType="separate"/>
            </w:r>
            <w:r w:rsidR="000A5D33">
              <w:rPr>
                <w:noProof/>
                <w:webHidden/>
              </w:rPr>
              <w:t>20</w:t>
            </w:r>
            <w:r>
              <w:rPr>
                <w:noProof/>
                <w:webHidden/>
              </w:rPr>
              <w:fldChar w:fldCharType="end"/>
            </w:r>
          </w:hyperlink>
        </w:p>
        <w:p w14:paraId="1C193B1D" w14:textId="4EBC083E" w:rsidR="00C0191B" w:rsidRDefault="00C0191B">
          <w:pPr>
            <w:pStyle w:val="TOC1"/>
            <w:tabs>
              <w:tab w:val="right" w:leader="dot" w:pos="9350"/>
            </w:tabs>
            <w:rPr>
              <w:rFonts w:asciiTheme="minorHAnsi" w:eastAsiaTheme="minorEastAsia" w:hAnsiTheme="minorHAnsi"/>
              <w:noProof/>
              <w:color w:val="auto"/>
            </w:rPr>
          </w:pPr>
          <w:hyperlink w:anchor="_Toc216277098" w:history="1">
            <w:r w:rsidRPr="0007118F">
              <w:rPr>
                <w:rStyle w:val="Hyperlink"/>
                <w:noProof/>
              </w:rPr>
              <w:t>References</w:t>
            </w:r>
            <w:r>
              <w:rPr>
                <w:noProof/>
                <w:webHidden/>
              </w:rPr>
              <w:tab/>
            </w:r>
            <w:r>
              <w:rPr>
                <w:noProof/>
                <w:webHidden/>
              </w:rPr>
              <w:fldChar w:fldCharType="begin"/>
            </w:r>
            <w:r>
              <w:rPr>
                <w:noProof/>
                <w:webHidden/>
              </w:rPr>
              <w:instrText xml:space="preserve"> PAGEREF _Toc216277098 \h </w:instrText>
            </w:r>
            <w:r>
              <w:rPr>
                <w:noProof/>
                <w:webHidden/>
              </w:rPr>
            </w:r>
            <w:r>
              <w:rPr>
                <w:noProof/>
                <w:webHidden/>
              </w:rPr>
              <w:fldChar w:fldCharType="separate"/>
            </w:r>
            <w:r w:rsidR="000A5D33">
              <w:rPr>
                <w:noProof/>
                <w:webHidden/>
              </w:rPr>
              <w:t>24</w:t>
            </w:r>
            <w:r>
              <w:rPr>
                <w:noProof/>
                <w:webHidden/>
              </w:rPr>
              <w:fldChar w:fldCharType="end"/>
            </w:r>
          </w:hyperlink>
        </w:p>
        <w:p w14:paraId="0EFD9564" w14:textId="77C01144" w:rsidR="00C0191B" w:rsidRDefault="00C0191B">
          <w:pPr>
            <w:pStyle w:val="TOC1"/>
            <w:tabs>
              <w:tab w:val="right" w:leader="dot" w:pos="9350"/>
            </w:tabs>
            <w:rPr>
              <w:rFonts w:asciiTheme="minorHAnsi" w:eastAsiaTheme="minorEastAsia" w:hAnsiTheme="minorHAnsi"/>
              <w:noProof/>
              <w:color w:val="auto"/>
            </w:rPr>
          </w:pPr>
          <w:hyperlink w:anchor="_Toc216277099" w:history="1">
            <w:r w:rsidRPr="0007118F">
              <w:rPr>
                <w:rStyle w:val="Hyperlink"/>
                <w:noProof/>
              </w:rPr>
              <w:t>Appendices</w:t>
            </w:r>
            <w:r>
              <w:rPr>
                <w:noProof/>
                <w:webHidden/>
              </w:rPr>
              <w:tab/>
            </w:r>
            <w:r>
              <w:rPr>
                <w:noProof/>
                <w:webHidden/>
              </w:rPr>
              <w:fldChar w:fldCharType="begin"/>
            </w:r>
            <w:r>
              <w:rPr>
                <w:noProof/>
                <w:webHidden/>
              </w:rPr>
              <w:instrText xml:space="preserve"> PAGEREF _Toc216277099 \h </w:instrText>
            </w:r>
            <w:r>
              <w:rPr>
                <w:noProof/>
                <w:webHidden/>
              </w:rPr>
            </w:r>
            <w:r>
              <w:rPr>
                <w:noProof/>
                <w:webHidden/>
              </w:rPr>
              <w:fldChar w:fldCharType="separate"/>
            </w:r>
            <w:r w:rsidR="000A5D33">
              <w:rPr>
                <w:noProof/>
                <w:webHidden/>
              </w:rPr>
              <w:t>27</w:t>
            </w:r>
            <w:r>
              <w:rPr>
                <w:noProof/>
                <w:webHidden/>
              </w:rPr>
              <w:fldChar w:fldCharType="end"/>
            </w:r>
          </w:hyperlink>
        </w:p>
        <w:p w14:paraId="3158C63D" w14:textId="0F34B7C8" w:rsidR="00C0191B" w:rsidRDefault="00C0191B">
          <w:pPr>
            <w:pStyle w:val="TOC2"/>
            <w:tabs>
              <w:tab w:val="right" w:leader="dot" w:pos="9350"/>
            </w:tabs>
            <w:rPr>
              <w:rFonts w:asciiTheme="minorHAnsi" w:eastAsiaTheme="minorEastAsia" w:hAnsiTheme="minorHAnsi"/>
              <w:noProof/>
              <w:color w:val="auto"/>
            </w:rPr>
          </w:pPr>
          <w:hyperlink w:anchor="_Toc216277100" w:history="1">
            <w:r w:rsidRPr="0007118F">
              <w:rPr>
                <w:rStyle w:val="Hyperlink"/>
                <w:noProof/>
              </w:rPr>
              <w:t>Appendix 1: Ratio Analysis</w:t>
            </w:r>
            <w:r>
              <w:rPr>
                <w:noProof/>
                <w:webHidden/>
              </w:rPr>
              <w:tab/>
            </w:r>
            <w:r>
              <w:rPr>
                <w:noProof/>
                <w:webHidden/>
              </w:rPr>
              <w:fldChar w:fldCharType="begin"/>
            </w:r>
            <w:r>
              <w:rPr>
                <w:noProof/>
                <w:webHidden/>
              </w:rPr>
              <w:instrText xml:space="preserve"> PAGEREF _Toc216277100 \h </w:instrText>
            </w:r>
            <w:r>
              <w:rPr>
                <w:noProof/>
                <w:webHidden/>
              </w:rPr>
            </w:r>
            <w:r>
              <w:rPr>
                <w:noProof/>
                <w:webHidden/>
              </w:rPr>
              <w:fldChar w:fldCharType="separate"/>
            </w:r>
            <w:r w:rsidR="000A5D33">
              <w:rPr>
                <w:noProof/>
                <w:webHidden/>
              </w:rPr>
              <w:t>27</w:t>
            </w:r>
            <w:r>
              <w:rPr>
                <w:noProof/>
                <w:webHidden/>
              </w:rPr>
              <w:fldChar w:fldCharType="end"/>
            </w:r>
          </w:hyperlink>
        </w:p>
        <w:p w14:paraId="35B9F2BE" w14:textId="682E4AB1" w:rsidR="00C0191B" w:rsidRDefault="00C0191B">
          <w:pPr>
            <w:pStyle w:val="TOC2"/>
            <w:tabs>
              <w:tab w:val="right" w:leader="dot" w:pos="9350"/>
            </w:tabs>
            <w:rPr>
              <w:rFonts w:asciiTheme="minorHAnsi" w:eastAsiaTheme="minorEastAsia" w:hAnsiTheme="minorHAnsi"/>
              <w:noProof/>
              <w:color w:val="auto"/>
            </w:rPr>
          </w:pPr>
          <w:hyperlink w:anchor="_Toc216277101" w:history="1">
            <w:r w:rsidRPr="0007118F">
              <w:rPr>
                <w:rStyle w:val="Hyperlink"/>
                <w:noProof/>
              </w:rPr>
              <w:t>Appendix 2: Altman Z-Score Model</w:t>
            </w:r>
            <w:r>
              <w:rPr>
                <w:noProof/>
                <w:webHidden/>
              </w:rPr>
              <w:tab/>
            </w:r>
            <w:r>
              <w:rPr>
                <w:noProof/>
                <w:webHidden/>
              </w:rPr>
              <w:fldChar w:fldCharType="begin"/>
            </w:r>
            <w:r>
              <w:rPr>
                <w:noProof/>
                <w:webHidden/>
              </w:rPr>
              <w:instrText xml:space="preserve"> PAGEREF _Toc216277101 \h </w:instrText>
            </w:r>
            <w:r>
              <w:rPr>
                <w:noProof/>
                <w:webHidden/>
              </w:rPr>
            </w:r>
            <w:r>
              <w:rPr>
                <w:noProof/>
                <w:webHidden/>
              </w:rPr>
              <w:fldChar w:fldCharType="separate"/>
            </w:r>
            <w:r w:rsidR="000A5D33">
              <w:rPr>
                <w:noProof/>
                <w:webHidden/>
              </w:rPr>
              <w:t>29</w:t>
            </w:r>
            <w:r>
              <w:rPr>
                <w:noProof/>
                <w:webHidden/>
              </w:rPr>
              <w:fldChar w:fldCharType="end"/>
            </w:r>
          </w:hyperlink>
        </w:p>
        <w:p w14:paraId="39A24209" w14:textId="6B01A4B8" w:rsidR="00C0191B" w:rsidRDefault="00C0191B">
          <w:pPr>
            <w:pStyle w:val="TOC2"/>
            <w:tabs>
              <w:tab w:val="right" w:leader="dot" w:pos="9350"/>
            </w:tabs>
            <w:rPr>
              <w:rFonts w:asciiTheme="minorHAnsi" w:eastAsiaTheme="minorEastAsia" w:hAnsiTheme="minorHAnsi"/>
              <w:noProof/>
              <w:color w:val="auto"/>
            </w:rPr>
          </w:pPr>
          <w:hyperlink w:anchor="_Toc216277102" w:history="1">
            <w:r w:rsidRPr="0007118F">
              <w:rPr>
                <w:rStyle w:val="Hyperlink"/>
                <w:noProof/>
              </w:rPr>
              <w:t>Appendix 3: Cash operating cycle</w:t>
            </w:r>
            <w:r>
              <w:rPr>
                <w:noProof/>
                <w:webHidden/>
              </w:rPr>
              <w:tab/>
            </w:r>
            <w:r>
              <w:rPr>
                <w:noProof/>
                <w:webHidden/>
              </w:rPr>
              <w:fldChar w:fldCharType="begin"/>
            </w:r>
            <w:r>
              <w:rPr>
                <w:noProof/>
                <w:webHidden/>
              </w:rPr>
              <w:instrText xml:space="preserve"> PAGEREF _Toc216277102 \h </w:instrText>
            </w:r>
            <w:r>
              <w:rPr>
                <w:noProof/>
                <w:webHidden/>
              </w:rPr>
            </w:r>
            <w:r>
              <w:rPr>
                <w:noProof/>
                <w:webHidden/>
              </w:rPr>
              <w:fldChar w:fldCharType="separate"/>
            </w:r>
            <w:r w:rsidR="000A5D33">
              <w:rPr>
                <w:noProof/>
                <w:webHidden/>
              </w:rPr>
              <w:t>29</w:t>
            </w:r>
            <w:r>
              <w:rPr>
                <w:noProof/>
                <w:webHidden/>
              </w:rPr>
              <w:fldChar w:fldCharType="end"/>
            </w:r>
          </w:hyperlink>
        </w:p>
        <w:p w14:paraId="20CC1309" w14:textId="43C0B1F1" w:rsidR="00C0191B" w:rsidRDefault="00C0191B">
          <w:pPr>
            <w:pStyle w:val="TOC2"/>
            <w:tabs>
              <w:tab w:val="right" w:leader="dot" w:pos="9350"/>
            </w:tabs>
            <w:rPr>
              <w:rFonts w:asciiTheme="minorHAnsi" w:eastAsiaTheme="minorEastAsia" w:hAnsiTheme="minorHAnsi"/>
              <w:noProof/>
              <w:color w:val="auto"/>
            </w:rPr>
          </w:pPr>
          <w:hyperlink w:anchor="_Toc216277103" w:history="1">
            <w:r w:rsidRPr="0007118F">
              <w:rPr>
                <w:rStyle w:val="Hyperlink"/>
                <w:noProof/>
              </w:rPr>
              <w:t>Appendix 4: Investment Appraisal &amp; Capital Budget</w:t>
            </w:r>
            <w:r>
              <w:rPr>
                <w:noProof/>
                <w:webHidden/>
              </w:rPr>
              <w:tab/>
            </w:r>
            <w:r>
              <w:rPr>
                <w:noProof/>
                <w:webHidden/>
              </w:rPr>
              <w:fldChar w:fldCharType="begin"/>
            </w:r>
            <w:r>
              <w:rPr>
                <w:noProof/>
                <w:webHidden/>
              </w:rPr>
              <w:instrText xml:space="preserve"> PAGEREF _Toc216277103 \h </w:instrText>
            </w:r>
            <w:r>
              <w:rPr>
                <w:noProof/>
                <w:webHidden/>
              </w:rPr>
            </w:r>
            <w:r>
              <w:rPr>
                <w:noProof/>
                <w:webHidden/>
              </w:rPr>
              <w:fldChar w:fldCharType="separate"/>
            </w:r>
            <w:r w:rsidR="000A5D33">
              <w:rPr>
                <w:noProof/>
                <w:webHidden/>
              </w:rPr>
              <w:t>29</w:t>
            </w:r>
            <w:r>
              <w:rPr>
                <w:noProof/>
                <w:webHidden/>
              </w:rPr>
              <w:fldChar w:fldCharType="end"/>
            </w:r>
          </w:hyperlink>
        </w:p>
        <w:p w14:paraId="0A2CBBD8" w14:textId="500309D9" w:rsidR="00E202DD" w:rsidRDefault="00E202DD">
          <w:r>
            <w:rPr>
              <w:b/>
              <w:bCs/>
              <w:noProof/>
            </w:rPr>
            <w:fldChar w:fldCharType="end"/>
          </w:r>
        </w:p>
      </w:sdtContent>
    </w:sdt>
    <w:p w14:paraId="052ED8F6" w14:textId="5B682EA3" w:rsidR="00DF6B50" w:rsidRPr="002A604A" w:rsidRDefault="00DF6B50" w:rsidP="00E202DD">
      <w:pPr>
        <w:rPr>
          <w:rFonts w:eastAsiaTheme="majorEastAsia" w:cstheme="majorBidi"/>
        </w:rPr>
      </w:pPr>
      <w:r w:rsidRPr="002A604A">
        <w:br w:type="page"/>
      </w:r>
    </w:p>
    <w:p w14:paraId="234FA7A7" w14:textId="4B2929A1" w:rsidR="00E00B89" w:rsidRPr="00E00B89" w:rsidRDefault="00E00B89" w:rsidP="00E00B89">
      <w:pPr>
        <w:pStyle w:val="Heading2"/>
      </w:pPr>
      <w:bookmarkStart w:id="0" w:name="_Toc216277083"/>
      <w:bookmarkStart w:id="1" w:name="_Hlk216279438"/>
      <w:r w:rsidRPr="00E00B89">
        <w:lastRenderedPageBreak/>
        <w:t>1.1 Analysis of Financial Statements (Five-Year Performance Overview)</w:t>
      </w:r>
      <w:bookmarkEnd w:id="0"/>
    </w:p>
    <w:p w14:paraId="5F4C7D0D" w14:textId="77777777" w:rsidR="00E630F5" w:rsidRDefault="00E630F5" w:rsidP="00E630F5">
      <w:r>
        <w:t xml:space="preserve">The five-year trend of performance of the financial statements of General Electronics illustrates a clear pattern of operational pressures, declining profitability, worsening liquidity and a weaker capital structure. The revenue growth between 2022 and 2024 is very minimal, indicating a growth to 20,101. This has not resulted in sustainable profits to the </w:t>
      </w:r>
      <w:proofErr w:type="spellStart"/>
      <w:r>
        <w:t>organisation</w:t>
      </w:r>
      <w:proofErr w:type="spellEnd"/>
      <w:r>
        <w:t>. The net income deteriorates significantly, with 38572 in 2020 transformed to drastic negative -98238 in 2023, and then to negative -24029 in 2024. The trend presents the picture of strong instability in terms of cost structures, pricing strategies and operational efficiency (</w:t>
      </w:r>
      <w:proofErr w:type="spellStart"/>
      <w:r>
        <w:t>Mawarti</w:t>
      </w:r>
      <w:proofErr w:type="spellEnd"/>
      <w:r>
        <w:t xml:space="preserve">, </w:t>
      </w:r>
      <w:proofErr w:type="spellStart"/>
      <w:r>
        <w:t>Negoro</w:t>
      </w:r>
      <w:proofErr w:type="spellEnd"/>
      <w:r>
        <w:t xml:space="preserve"> and Syah, 2022).</w:t>
      </w:r>
    </w:p>
    <w:p w14:paraId="146633C4" w14:textId="77777777" w:rsidR="00E630F5" w:rsidRDefault="00E630F5" w:rsidP="00E630F5">
      <w:r>
        <w:t>There are other signs of financial strain on the balance sheet. In 2024, total assets decline to 323,354 as compared to 510,348 in 2020, implying divestments, depreciation, or impaired assets bases. Simultaneously, equity stands at 313,301 in 2020 and 153,105 in 2024, which reflects the cumulative reflection of recurrent losses and possible asset write-downs. Its liabilities are high and remain high, meaning that the debt dependency has not been ended despite the fall in equity. This imbalance contributes substantially to solvency risk. The current assets stand at 326,843 in 2020 and at 242,494 in 2024, justifying the decline in liquidity buffers. Inventory is variable and follows a declining trend as it increased in 2022, indicating that there may be a problem associated with demand or that the inventory must be lowered to increase cash.</w:t>
      </w:r>
    </w:p>
    <w:p w14:paraId="2FDCAA17" w14:textId="77777777" w:rsidR="00E630F5" w:rsidRDefault="00E630F5" w:rsidP="00E630F5">
      <w:r>
        <w:t>Cost pressures are reflected in the income statement through rising cost of production, inefficiency in the supply-chain, or enduring competitiveness problems. The values of the cost of goods sold (COGS) are disproportionately low and lower than total revenue in all years, which creates negative or disproportionate low margins. The trend indicates a structural vulnerability in procurement, manufacturing, or product mix profitability (</w:t>
      </w:r>
      <w:proofErr w:type="spellStart"/>
      <w:r>
        <w:t>Septyanto</w:t>
      </w:r>
      <w:proofErr w:type="spellEnd"/>
      <w:r>
        <w:t xml:space="preserve">, </w:t>
      </w:r>
      <w:proofErr w:type="spellStart"/>
      <w:r>
        <w:t>Welandasari</w:t>
      </w:r>
      <w:proofErr w:type="spellEnd"/>
      <w:r>
        <w:t xml:space="preserve"> and </w:t>
      </w:r>
      <w:proofErr w:type="spellStart"/>
      <w:r>
        <w:t>Sayidah</w:t>
      </w:r>
      <w:proofErr w:type="spellEnd"/>
      <w:r>
        <w:t>, 2022).</w:t>
      </w:r>
    </w:p>
    <w:p w14:paraId="26FA4126" w14:textId="2C8D428C" w:rsidR="00E00B89" w:rsidRPr="00E00B89" w:rsidRDefault="00E630F5" w:rsidP="00E630F5">
      <w:r>
        <w:t xml:space="preserve">Cash flow statements are rather depressing, and the operating cash flow was marked at zero in the five years. This reflects on the gaps in sales collections or the inefficient working-capital control, which limits the ability of the </w:t>
      </w:r>
      <w:proofErr w:type="spellStart"/>
      <w:r>
        <w:t>organisation</w:t>
      </w:r>
      <w:proofErr w:type="spellEnd"/>
      <w:r>
        <w:t xml:space="preserve"> to raise operational funds substantially</w:t>
      </w:r>
      <w:r w:rsidR="00E00B89" w:rsidRPr="00E00B89">
        <w:t xml:space="preserve">. </w:t>
      </w:r>
    </w:p>
    <w:p w14:paraId="69A20473" w14:textId="77777777" w:rsidR="00E00B89" w:rsidRPr="00E00B89" w:rsidRDefault="00E00B89" w:rsidP="00E00B89">
      <w:pPr>
        <w:pStyle w:val="Heading2"/>
      </w:pPr>
      <w:bookmarkStart w:id="2" w:name="_Toc216277084"/>
      <w:r w:rsidRPr="00E00B89">
        <w:lastRenderedPageBreak/>
        <w:t>1.2 Ratio Analysis (Profitability, Liquidity, Efficiency, Gearing, Investment, Cash Flow)</w:t>
      </w:r>
      <w:bookmarkEnd w:id="2"/>
    </w:p>
    <w:p w14:paraId="3D5F9A53" w14:textId="2051C996" w:rsidR="00E630F5" w:rsidRDefault="00E630F5" w:rsidP="00E630F5">
      <w:r>
        <w:t xml:space="preserve">A detailed ratio analysis would provide deeper understanding of the financial weaknesses of General Electronics. The most frightening picture is drawn by the profitability ratios. The net profit margin is snake-eyed with an unnaturally high 214.68 in 2020, then negative -504.90 in 2023, and slightly positive in 2024. The volatility is high which indicates dissimilar financial performance which maybe as a result of exceptional income in previous years and explosive operational inefficiencies in subsequent years. Return on Assets (ROA) exhibits a similar negative trend, declining to 7.56% in 2020 to -27.60% in 2023, then slightly to -7.43% in 2024. The same trend is observed in the Return on Equity (ROE) that declined to an unhealthy -54.906% in 2023 following a strong 12.31% in 2020. These results confirm that the </w:t>
      </w:r>
      <w:proofErr w:type="spellStart"/>
      <w:r>
        <w:t>organisation</w:t>
      </w:r>
      <w:proofErr w:type="spellEnd"/>
      <w:r>
        <w:t xml:space="preserve"> is methodically destroying shareholder value, not making returns on its resource base </w:t>
      </w:r>
      <w:r w:rsidR="007348EF" w:rsidRPr="00DF6B50">
        <w:rPr>
          <w:b/>
          <w:bCs/>
          <w:i/>
          <w:iCs/>
        </w:rPr>
        <w:t xml:space="preserve">[Refer to appendix </w:t>
      </w:r>
      <w:r w:rsidR="007348EF">
        <w:rPr>
          <w:b/>
          <w:bCs/>
          <w:i/>
          <w:iCs/>
        </w:rPr>
        <w:t>1</w:t>
      </w:r>
      <w:r w:rsidR="007348EF" w:rsidRPr="00DF6B50">
        <w:rPr>
          <w:b/>
          <w:bCs/>
          <w:i/>
          <w:iCs/>
        </w:rPr>
        <w:t>]</w:t>
      </w:r>
      <w:r w:rsidR="007348EF" w:rsidRPr="00E00B89">
        <w:t>.</w:t>
      </w:r>
    </w:p>
    <w:p w14:paraId="17B0340D" w14:textId="77777777" w:rsidR="00E630F5" w:rsidRDefault="00E630F5" w:rsidP="00E630F5">
      <w:r>
        <w:t>The liquidity ratios show a constrained but not conclusive scenario. In 2024, the current ratio is lower (1.53) than it was in 2020 (1.82), which shows a negative trend in financial flexibility in the short term. The quick ratio declines to a low of 0.91 in 2022 before increasing to 1.03 in 2024. The decreasing liquidity ratios coincide with the decreasing current assets, ineffective inventory management, and unresolved short-term liabilities. Although the current ratio exceeds 1.0, the decline of the quick ratio to less than 1.0 over the last several years shows that it relied on slow stock to meet its short-term commitments, which highlights the vulnerability of liquidity (</w:t>
      </w:r>
      <w:proofErr w:type="spellStart"/>
      <w:r>
        <w:t>Youseaf</w:t>
      </w:r>
      <w:proofErr w:type="spellEnd"/>
      <w:r>
        <w:t xml:space="preserve"> and Dey, 2022).</w:t>
      </w:r>
    </w:p>
    <w:p w14:paraId="5DC99EA7" w14:textId="77777777" w:rsidR="00E630F5" w:rsidRDefault="00E630F5" w:rsidP="00E630F5">
      <w:r>
        <w:t>Efficiency ratios indicate operations performed dramatically underperformed. The overall asset turnover is also very low at 0.035 to 0.062, meaning a lack of efficiency in utilizing assets to generate revenue. The minor uptick of the ratio to 0.062 in 2024 is not enough to offset the broader trend toward declining productivity. Negative inventory turnover is due to negative COGS records, either signifying an accounting anomaly, or a gross distortion of costs that would lead to negative gross margins.</w:t>
      </w:r>
    </w:p>
    <w:p w14:paraId="1AD854E5" w14:textId="742BF46A" w:rsidR="00E630F5" w:rsidRDefault="00E630F5" w:rsidP="00E630F5">
      <w:r>
        <w:t xml:space="preserve">Debt to equity ratios reflect rising solvency risk. In 2024, the debt-to-equity ratio increases to 1.11, compared to 0.63 in 2020. This growth implies increased reliance on debt </w:t>
      </w:r>
      <w:r>
        <w:lastRenderedPageBreak/>
        <w:t xml:space="preserve">financing in times when profitability is acutely constrained. A decrease in equity results in a corresponding increase in the proportion of liabilities, compromising long-term financial stability. All years have a negative interest coverage ratio, with an improvement of -97.74 in 2020 and -38.47 in 2024. Despite positive EBIT, negative figures reflect abnormal offsets in interest cost or substantial financial revaluations of the overall cover computation </w:t>
      </w:r>
      <w:r w:rsidR="007348EF" w:rsidRPr="00DF6B50">
        <w:rPr>
          <w:b/>
          <w:bCs/>
          <w:i/>
          <w:iCs/>
        </w:rPr>
        <w:t xml:space="preserve">[Refer to appendix </w:t>
      </w:r>
      <w:r w:rsidR="007348EF">
        <w:rPr>
          <w:b/>
          <w:bCs/>
          <w:i/>
          <w:iCs/>
        </w:rPr>
        <w:t>1</w:t>
      </w:r>
      <w:r w:rsidR="007348EF" w:rsidRPr="00DF6B50">
        <w:rPr>
          <w:b/>
          <w:bCs/>
          <w:i/>
          <w:iCs/>
        </w:rPr>
        <w:t>]</w:t>
      </w:r>
      <w:r w:rsidR="007348EF" w:rsidRPr="00E00B89">
        <w:t>.</w:t>
      </w:r>
    </w:p>
    <w:p w14:paraId="0D87EFA6" w14:textId="783DA211" w:rsidR="00E00B89" w:rsidRPr="00E00B89" w:rsidRDefault="00E630F5" w:rsidP="00E630F5">
      <w:r>
        <w:t>The investment ratio also portrays poor performance. The trend in the turnover of assets and inventory is that the investment in operation capacity is not yielding. These ratios and rising cost pressures are indicative of diminishing marginal productivity of investment and inefficient capital allocation. Cash flow ratios are the worst. With the operating cash flow 0.0 in five years, the ratio of cash flows is 0.0.</w:t>
      </w:r>
      <w:r w:rsidR="00E00B89" w:rsidRPr="00E00B89">
        <w:t xml:space="preserve"> </w:t>
      </w:r>
    </w:p>
    <w:p w14:paraId="22F89E87" w14:textId="77777777" w:rsidR="00E00B89" w:rsidRPr="00E00B89" w:rsidRDefault="00E00B89" w:rsidP="00E00B89">
      <w:pPr>
        <w:pStyle w:val="Heading2"/>
      </w:pPr>
      <w:bookmarkStart w:id="3" w:name="_Toc216277085"/>
      <w:r w:rsidRPr="00E00B89">
        <w:t>1.3 Trend Evaluation, Strengths, and Threats</w:t>
      </w:r>
      <w:bookmarkEnd w:id="3"/>
    </w:p>
    <w:p w14:paraId="3B1A1BE7" w14:textId="77777777" w:rsidR="00E630F5" w:rsidRDefault="00E630F5" w:rsidP="00E630F5">
      <w:r>
        <w:t>The five-year trend analysis indicates a gradual deterioration of financial health. The profitability trends are descending significantly, with losses continuously decreasing the stability of the operations and capital base. High COGS and falling margins, combined with volatility of income, indicate structural inefficiencies in production, supply-chain management, and control. Both ROA and ROE erosion demonstrate declining value creation capacity and industry competitiveness (Olayinka, 2022).</w:t>
      </w:r>
    </w:p>
    <w:p w14:paraId="73AD31C6" w14:textId="77777777" w:rsidR="00E630F5" w:rsidRDefault="00E630F5" w:rsidP="00E630F5">
      <w:r>
        <w:t>Weakness is noted in liquidity trends, where the current ratio decreases and also the current quick ratio decreases. Current liabilities are high, and current assets are declining, which continuously puts a continuous strain on cash-flow management measures. Efficiency trends portray the ineffective utilization of assets and reduced operational efficiency. A low asset turnover implies idle facilities, inefficient production or inappropriate asset investment.</w:t>
      </w:r>
    </w:p>
    <w:p w14:paraId="0CA3FE1C" w14:textId="0DD883F6" w:rsidR="00E00B89" w:rsidRPr="00E00B89" w:rsidRDefault="00E630F5" w:rsidP="00E630F5">
      <w:r>
        <w:t>Trends in gearing are alarming. Rising levels of debt-to-equity and decreasing equity status expose the firm to solvency risks. The negative interest coverage ratios reinforce the inability to comfortably cover the financing expenses, making the pressure on creditors or difficulties in refinancing</w:t>
      </w:r>
      <w:r w:rsidR="00E00B89" w:rsidRPr="00E00B89">
        <w:t xml:space="preserve">. </w:t>
      </w:r>
    </w:p>
    <w:p w14:paraId="0E1713B5" w14:textId="77777777" w:rsidR="00E00B89" w:rsidRPr="00E00B89" w:rsidRDefault="00E00B89" w:rsidP="00E00B89">
      <w:pPr>
        <w:pStyle w:val="Heading2"/>
      </w:pPr>
      <w:bookmarkStart w:id="4" w:name="_Toc216277086"/>
      <w:r w:rsidRPr="00E00B89">
        <w:lastRenderedPageBreak/>
        <w:t>1.4 Corporate Failure Prediction and Default Risk (Altman Z-Score Analysis)</w:t>
      </w:r>
      <w:bookmarkEnd w:id="4"/>
    </w:p>
    <w:p w14:paraId="5E020F8E" w14:textId="77777777" w:rsidR="00E630F5" w:rsidRDefault="00E630F5" w:rsidP="00E630F5">
      <w:r>
        <w:t xml:space="preserve">The Altman Z-Score analysis gives a </w:t>
      </w:r>
      <w:proofErr w:type="spellStart"/>
      <w:r>
        <w:t>synthesised</w:t>
      </w:r>
      <w:proofErr w:type="spellEnd"/>
      <w:r>
        <w:t xml:space="preserve"> perception of the risk of bankruptcy within the </w:t>
      </w:r>
      <w:proofErr w:type="spellStart"/>
      <w:r>
        <w:t>organisation</w:t>
      </w:r>
      <w:proofErr w:type="spellEnd"/>
      <w:r>
        <w:t>. The resulting Z -Score of 2.03 places General Electronics in the grey zone, which implies a high risk of default. The position although not yet in the distress zone implies a high exposure to financial losses and requires corrective measures.</w:t>
      </w:r>
    </w:p>
    <w:p w14:paraId="101BB59F" w14:textId="77777777" w:rsidR="00E630F5" w:rsidRDefault="00E630F5" w:rsidP="00E630F5">
      <w:r>
        <w:t>The model components represent different facets of risk. The 0.000 Working Capital to Total Assets ratio highlights the loss of financial buffer in the short-term. This denotes illiquid liquidity, depreciating current assets, and inadequate working-capital management. Working capital deficit is a very high increase in risk of bankruptcy and in large inventory and high change in technology industries.</w:t>
      </w:r>
    </w:p>
    <w:p w14:paraId="121351FB" w14:textId="77777777" w:rsidR="00E630F5" w:rsidRDefault="00E630F5" w:rsidP="00E630F5">
      <w:r>
        <w:t xml:space="preserve">The Retained Earnings/Total Assets ratio of 0.081 indicates some accumulation of past profit. This comes after the pattern of losses, falling profitability, and significant loss of equity. A </w:t>
      </w:r>
      <w:proofErr w:type="gramStart"/>
      <w:r>
        <w:t>small retained</w:t>
      </w:r>
      <w:proofErr w:type="gramEnd"/>
      <w:r>
        <w:t xml:space="preserve"> earnings </w:t>
      </w:r>
      <w:proofErr w:type="gramStart"/>
      <w:r>
        <w:t>reduces</w:t>
      </w:r>
      <w:proofErr w:type="gramEnd"/>
      <w:r>
        <w:t xml:space="preserve"> the capacity of management to fund growth, to absorb losses or to fund restructuring initiatives. The EBIT to Total Assets ratio of 0.400 is the only comparably strong element as this ratio indicates that the firm still possesses certain operational strength. Market Value of Equity to Total Liabilities of 0.899 means that investors have lost confidence and that the firm is under-valued in relation to liabilities than the present value. This also worsens refinancing accessibility and capital-raising ability (</w:t>
      </w:r>
      <w:proofErr w:type="spellStart"/>
      <w:r>
        <w:t>Arkaan</w:t>
      </w:r>
      <w:proofErr w:type="spellEnd"/>
      <w:r>
        <w:t xml:space="preserve"> and </w:t>
      </w:r>
      <w:proofErr w:type="spellStart"/>
      <w:r>
        <w:t>Budianto</w:t>
      </w:r>
      <w:proofErr w:type="spellEnd"/>
      <w:r>
        <w:t>, 2024).</w:t>
      </w:r>
    </w:p>
    <w:p w14:paraId="29322516" w14:textId="0A3CCD06" w:rsidR="00E00B89" w:rsidRPr="00E00B89" w:rsidRDefault="00E630F5" w:rsidP="00E630F5">
      <w:r>
        <w:t xml:space="preserve">The Sales to Total Assets ratio of 0.062 confirms the extremely low asset productivity level and is consistent with low operational efficiency reported in the past. The presence of low revenue relative to the assets held is harmful to the competitive position of the firm and is evidence of a high level of inefficient utilization of resources. The total Z-score of 2.03 means that the </w:t>
      </w:r>
      <w:proofErr w:type="spellStart"/>
      <w:r>
        <w:t>organisation</w:t>
      </w:r>
      <w:proofErr w:type="spellEnd"/>
      <w:r>
        <w:t xml:space="preserve"> is operating on the edge of financial sustainability</w:t>
      </w:r>
      <w:r w:rsidR="001825FA">
        <w:t xml:space="preserve"> </w:t>
      </w:r>
      <w:r w:rsidR="00DF6B50" w:rsidRPr="00DF6B50">
        <w:rPr>
          <w:b/>
          <w:bCs/>
          <w:i/>
          <w:iCs/>
        </w:rPr>
        <w:t>[Refer to appendix 2]</w:t>
      </w:r>
      <w:r w:rsidR="00E00B89" w:rsidRPr="00E00B89">
        <w:rPr>
          <w:b/>
          <w:bCs/>
          <w:i/>
          <w:iCs/>
        </w:rPr>
        <w:t>.</w:t>
      </w:r>
    </w:p>
    <w:p w14:paraId="34697549" w14:textId="77777777" w:rsidR="00E55193" w:rsidRDefault="00E55193">
      <w:pPr>
        <w:spacing w:line="278" w:lineRule="auto"/>
        <w:jc w:val="left"/>
      </w:pPr>
      <w:r>
        <w:br w:type="page"/>
      </w:r>
    </w:p>
    <w:p w14:paraId="2A1C4573" w14:textId="3DBAA856" w:rsidR="00E55193" w:rsidRPr="00E55193" w:rsidRDefault="00E55193" w:rsidP="00E55193">
      <w:pPr>
        <w:pStyle w:val="Heading1"/>
      </w:pPr>
      <w:bookmarkStart w:id="5" w:name="_Toc216277087"/>
      <w:r w:rsidRPr="00E55193">
        <w:lastRenderedPageBreak/>
        <w:t>2. Working Capital Management Analysis</w:t>
      </w:r>
      <w:bookmarkEnd w:id="5"/>
      <w:r w:rsidRPr="00E55193">
        <w:t xml:space="preserve"> </w:t>
      </w:r>
    </w:p>
    <w:p w14:paraId="19A118D5" w14:textId="77777777" w:rsidR="00E55193" w:rsidRPr="00E55193" w:rsidRDefault="00E55193" w:rsidP="00E55193">
      <w:pPr>
        <w:rPr>
          <w:b/>
          <w:bCs/>
        </w:rPr>
      </w:pPr>
      <w:r w:rsidRPr="00E55193">
        <w:rPr>
          <w:b/>
          <w:bCs/>
        </w:rPr>
        <w:t>2.1 Cash Operating Cycle Assessment</w:t>
      </w:r>
    </w:p>
    <w:p w14:paraId="13F99276" w14:textId="6C9D4DBE" w:rsidR="00E55193" w:rsidRDefault="00E630F5" w:rsidP="00E55193">
      <w:r w:rsidRPr="00E630F5">
        <w:t>The company cash operating cycle (COC) analysis 202024 shows that the management of inventory, receivables collection, and payable performance changed considerably. The COC is calculated as</w:t>
      </w:r>
      <w:r w:rsidR="00E55193" w:rsidRPr="00E55193">
        <w:t>:</w:t>
      </w:r>
    </w:p>
    <w:p w14:paraId="544264DE" w14:textId="68746812" w:rsidR="00E55193" w:rsidRPr="00E55193" w:rsidRDefault="00E55193" w:rsidP="00E55193">
      <w:pPr>
        <w:rPr>
          <w:b/>
          <w:bCs/>
          <w:i/>
          <w:iCs/>
        </w:rPr>
      </w:pPr>
      <w:r w:rsidRPr="00E55193">
        <w:rPr>
          <w:b/>
          <w:bCs/>
          <w:i/>
          <w:iCs/>
        </w:rPr>
        <w:t>COC = Days Inventory Outstanding (DIO) + Days Sales Outstanding (DSO) – Days Payable Outstanding (DPO).</w:t>
      </w:r>
    </w:p>
    <w:p w14:paraId="19DEC761" w14:textId="11BD7D57" w:rsidR="00E55193" w:rsidRPr="00E55193" w:rsidRDefault="00E55193" w:rsidP="00E55193">
      <w:r w:rsidRPr="00E55193">
        <w:rPr>
          <w:b/>
          <w:bCs/>
        </w:rPr>
        <w:t>Inventory Management (DIO Trends)</w:t>
      </w:r>
      <w:r w:rsidR="00DB0D72">
        <w:rPr>
          <w:b/>
          <w:bCs/>
        </w:rPr>
        <w:t xml:space="preserve">: </w:t>
      </w:r>
      <w:r w:rsidR="00A2056C" w:rsidRPr="00A2056C">
        <w:t>The company DIO is extremely inconsistent over the five years. DIO stood at 100.2 days in 2020 and 114.3 days in 2021. It peaked in 2022 at 131 days, which suggests overstocking, slow product turnover, or low demand. This sharp growth aligned with the pandemic and world supply chain shocks, which affected many industries with product overstocking and slower clearance rates. As of 2023, DIO rose to 99.8 days, followed by a minor rise to 103.1 days in 2024</w:t>
      </w:r>
      <w:r w:rsidR="00A2056C">
        <w:t xml:space="preserve"> </w:t>
      </w:r>
      <w:r w:rsidR="00262836" w:rsidRPr="00DF6B50">
        <w:rPr>
          <w:b/>
          <w:bCs/>
          <w:i/>
          <w:iCs/>
        </w:rPr>
        <w:t xml:space="preserve">[Refer to appendix </w:t>
      </w:r>
      <w:r w:rsidR="00262836">
        <w:rPr>
          <w:b/>
          <w:bCs/>
          <w:i/>
          <w:iCs/>
        </w:rPr>
        <w:t>3</w:t>
      </w:r>
      <w:r w:rsidR="00262836" w:rsidRPr="00DF6B50">
        <w:rPr>
          <w:b/>
          <w:bCs/>
          <w:i/>
          <w:iCs/>
        </w:rPr>
        <w:t>]</w:t>
      </w:r>
      <w:r w:rsidRPr="00E55193">
        <w:t>.</w:t>
      </w:r>
    </w:p>
    <w:p w14:paraId="43CCA67E" w14:textId="23EBB4A3" w:rsidR="00E55193" w:rsidRPr="00E55193" w:rsidRDefault="00E55193" w:rsidP="00E55193">
      <w:r w:rsidRPr="00E55193">
        <w:rPr>
          <w:b/>
          <w:bCs/>
        </w:rPr>
        <w:t>Receivables Collection (DSO Trends)</w:t>
      </w:r>
      <w:r w:rsidR="00DB0D72">
        <w:rPr>
          <w:b/>
          <w:bCs/>
        </w:rPr>
        <w:t xml:space="preserve">: </w:t>
      </w:r>
      <w:r w:rsidR="00A2056C" w:rsidRPr="00A2056C">
        <w:t>DSO performance is also quite diverse. In 2020, the DSO was 76.8 days, and in 2021, it experienced a drastic increase to 78.3 days. Even though these are years of high revenue, decreased collections suggest no control of credit or long credit periods to stimulate sales, yet in 2022, DSO declines to 75.5 days, and the following year, it significantly rises to 97.7 days, which signifies cash-flow burden because of late customer payments. In 2024, DSO was a record 105.4 days, an increase of five years (</w:t>
      </w:r>
      <w:proofErr w:type="spellStart"/>
      <w:r w:rsidR="00A2056C" w:rsidRPr="00A2056C">
        <w:t>Zenzerović</w:t>
      </w:r>
      <w:proofErr w:type="spellEnd"/>
      <w:r w:rsidR="00A2056C" w:rsidRPr="00A2056C">
        <w:t xml:space="preserve">, and </w:t>
      </w:r>
      <w:proofErr w:type="spellStart"/>
      <w:r w:rsidR="00A2056C" w:rsidRPr="00A2056C">
        <w:t>Benazica</w:t>
      </w:r>
      <w:proofErr w:type="spellEnd"/>
      <w:r w:rsidR="00A2056C" w:rsidRPr="00A2056C">
        <w:t xml:space="preserve"> 2024).</w:t>
      </w:r>
    </w:p>
    <w:p w14:paraId="58CED084" w14:textId="3515AB01" w:rsidR="00E55193" w:rsidRPr="00E55193" w:rsidRDefault="00E55193" w:rsidP="00E55193">
      <w:pPr>
        <w:rPr>
          <w:b/>
          <w:bCs/>
        </w:rPr>
      </w:pPr>
      <w:r w:rsidRPr="00E55193">
        <w:rPr>
          <w:b/>
          <w:bCs/>
        </w:rPr>
        <w:t>Payables Management (DPO Trends)</w:t>
      </w:r>
      <w:r w:rsidR="00DB0D72">
        <w:rPr>
          <w:b/>
          <w:bCs/>
        </w:rPr>
        <w:t xml:space="preserve">: </w:t>
      </w:r>
      <w:r w:rsidR="00A2056C" w:rsidRPr="00A2056C">
        <w:t>DPO reveals how many days the business takes to pay its suppliers. DPO shows a mixed trend in 2020-2024. It stands at 69.3 days in 2020, rising to 79 days in 2021, and again declining to 66.7 days in 2022. This decline can represent a reduced access to supplier credit or early payment to receive discounts. In 2023 and 2024, DPO stood at 64.4 and 93.6 days respectively.</w:t>
      </w:r>
    </w:p>
    <w:p w14:paraId="0A4C2284" w14:textId="27304399" w:rsidR="00E55193" w:rsidRPr="00E55193" w:rsidRDefault="00E55193" w:rsidP="00E55193">
      <w:r w:rsidRPr="00E55193">
        <w:rPr>
          <w:b/>
          <w:bCs/>
        </w:rPr>
        <w:t>Cash Operating Cycle (Overall Interpretation)</w:t>
      </w:r>
      <w:r w:rsidR="00DB0D72">
        <w:rPr>
          <w:b/>
          <w:bCs/>
        </w:rPr>
        <w:t xml:space="preserve">: </w:t>
      </w:r>
      <w:r w:rsidR="00A2056C" w:rsidRPr="00A2056C">
        <w:t xml:space="preserve">The COC of the business indicates that it is highly unstable. The COC stood at 108 days in 2020, 114 days in 2021, and 140 days </w:t>
      </w:r>
      <w:r w:rsidR="00A2056C" w:rsidRPr="00A2056C">
        <w:lastRenderedPageBreak/>
        <w:t xml:space="preserve">in 2022, its lowest years. The figure increased briefly in 2023, as COC rose to 133 days, but in 2024, the number was back on track and stood at 115 days </w:t>
      </w:r>
      <w:r w:rsidR="00262836" w:rsidRPr="00DF6B50">
        <w:rPr>
          <w:b/>
          <w:bCs/>
          <w:i/>
          <w:iCs/>
        </w:rPr>
        <w:t xml:space="preserve">[Refer to appendix </w:t>
      </w:r>
      <w:r w:rsidR="00262836">
        <w:rPr>
          <w:b/>
          <w:bCs/>
          <w:i/>
          <w:iCs/>
        </w:rPr>
        <w:t>3</w:t>
      </w:r>
      <w:r w:rsidR="00262836" w:rsidRPr="00DF6B50">
        <w:rPr>
          <w:b/>
          <w:bCs/>
          <w:i/>
          <w:iCs/>
        </w:rPr>
        <w:t>]</w:t>
      </w:r>
      <w:r w:rsidRPr="00E55193">
        <w:t>.</w:t>
      </w:r>
      <w:r w:rsidR="00DB0D72">
        <w:t xml:space="preserve"> </w:t>
      </w:r>
    </w:p>
    <w:p w14:paraId="25D4CFD0" w14:textId="77777777" w:rsidR="00E55193" w:rsidRPr="00E55193" w:rsidRDefault="00E55193" w:rsidP="00E55193">
      <w:pPr>
        <w:pStyle w:val="Heading2"/>
      </w:pPr>
      <w:bookmarkStart w:id="6" w:name="_Toc216277088"/>
      <w:r w:rsidRPr="00E55193">
        <w:t>2.2 Liquidity Improvement Through Working Capital Reforms</w:t>
      </w:r>
      <w:bookmarkEnd w:id="6"/>
    </w:p>
    <w:p w14:paraId="70351854" w14:textId="02ACDE9C" w:rsidR="00E55193" w:rsidRPr="00E55193" w:rsidRDefault="00A2056C" w:rsidP="00E55193">
      <w:r w:rsidRPr="00A2056C">
        <w:t>To enhance liquidity and reduce the working capital burden the company must also initiate reforms that would reduce the cash operating cycle and simplify internal operations</w:t>
      </w:r>
      <w:r w:rsidR="00E55193" w:rsidRPr="00E55193">
        <w:t>.</w:t>
      </w:r>
    </w:p>
    <w:p w14:paraId="3FF35071" w14:textId="77777777" w:rsidR="00E55193" w:rsidRPr="00E55193" w:rsidRDefault="00E55193" w:rsidP="00E55193">
      <w:pPr>
        <w:rPr>
          <w:b/>
          <w:bCs/>
        </w:rPr>
      </w:pPr>
      <w:r w:rsidRPr="00E55193">
        <w:rPr>
          <w:b/>
          <w:bCs/>
        </w:rPr>
        <w:t>Strengthening Inventory Control</w:t>
      </w:r>
    </w:p>
    <w:p w14:paraId="7461D7B0" w14:textId="4D6706E6" w:rsidR="00E55193" w:rsidRPr="00E55193" w:rsidRDefault="00A2056C" w:rsidP="00E55193">
      <w:r w:rsidRPr="00A2056C">
        <w:t xml:space="preserve">The irregular DIO values show that inventory planning requires more powerful forecasting, more visibility, and more severe demand-based procurement. To strike a balance between inventory and prevent overstocking, the use of lean inventory methods such as Just-in-Time (JIT) inventory, optimization of safety stocks, and vendor-managed inventory (VMI) are applicable. Supply chain </w:t>
      </w:r>
      <w:proofErr w:type="spellStart"/>
      <w:r w:rsidRPr="00A2056C">
        <w:t>digitisation</w:t>
      </w:r>
      <w:proofErr w:type="spellEnd"/>
      <w:r w:rsidRPr="00A2056C">
        <w:t xml:space="preserve"> (AI-based forecasting, real-time inventory dashboards) can help the firm to keep DIO below 90 days on average</w:t>
      </w:r>
      <w:r w:rsidR="00E55193" w:rsidRPr="00E55193">
        <w:t>.</w:t>
      </w:r>
    </w:p>
    <w:p w14:paraId="689C7691" w14:textId="77777777" w:rsidR="00E55193" w:rsidRPr="00E55193" w:rsidRDefault="00E55193" w:rsidP="00E55193">
      <w:pPr>
        <w:rPr>
          <w:b/>
          <w:bCs/>
        </w:rPr>
      </w:pPr>
      <w:r w:rsidRPr="00E55193">
        <w:rPr>
          <w:b/>
          <w:bCs/>
        </w:rPr>
        <w:t>Reforming Credit and Receivables Management</w:t>
      </w:r>
    </w:p>
    <w:p w14:paraId="557D8DCA" w14:textId="3D7684BC" w:rsidR="00E55193" w:rsidRPr="00E55193" w:rsidRDefault="00A2056C" w:rsidP="00E55193">
      <w:r w:rsidRPr="00A2056C">
        <w:t>Given that DSO has grown considerably, as compared with 76.8 days in 2020, 105.4 days in 2024, which the company must apply more effective credit controls and collection efforts. Key actions include</w:t>
      </w:r>
      <w:r w:rsidR="00E55193" w:rsidRPr="00E55193">
        <w:t>:</w:t>
      </w:r>
    </w:p>
    <w:p w14:paraId="012FD22A" w14:textId="77777777" w:rsidR="009612CE" w:rsidRDefault="009612CE" w:rsidP="009612CE">
      <w:pPr>
        <w:numPr>
          <w:ilvl w:val="0"/>
          <w:numId w:val="2"/>
        </w:numPr>
      </w:pPr>
      <w:r>
        <w:t>Tightening of customer credit evaluation via credit scoring models.</w:t>
      </w:r>
    </w:p>
    <w:p w14:paraId="229E4477" w14:textId="07A74CCA" w:rsidR="009612CE" w:rsidRDefault="009612CE" w:rsidP="009612CE">
      <w:pPr>
        <w:numPr>
          <w:ilvl w:val="0"/>
          <w:numId w:val="2"/>
        </w:numPr>
      </w:pPr>
      <w:r>
        <w:t>Introducing early-payment discounts as a way of prompting customer settlements.</w:t>
      </w:r>
    </w:p>
    <w:p w14:paraId="2CB54D58" w14:textId="31E95B52" w:rsidR="009612CE" w:rsidRDefault="009612CE" w:rsidP="009612CE">
      <w:pPr>
        <w:numPr>
          <w:ilvl w:val="0"/>
          <w:numId w:val="2"/>
        </w:numPr>
      </w:pPr>
      <w:r>
        <w:t>Electronic reminders and automated invoicing to reduce administrative lag.</w:t>
      </w:r>
    </w:p>
    <w:p w14:paraId="4264EC38" w14:textId="0B0271E4" w:rsidR="009612CE" w:rsidRDefault="009612CE" w:rsidP="009612CE">
      <w:pPr>
        <w:numPr>
          <w:ilvl w:val="0"/>
          <w:numId w:val="2"/>
        </w:numPr>
      </w:pPr>
      <w:r>
        <w:t>Introducing open payment terms and late payment penalties.</w:t>
      </w:r>
    </w:p>
    <w:p w14:paraId="6DB70B26" w14:textId="4DB9DE67" w:rsidR="00E55193" w:rsidRPr="00E55193" w:rsidRDefault="009612CE" w:rsidP="009612CE">
      <w:pPr>
        <w:numPr>
          <w:ilvl w:val="0"/>
          <w:numId w:val="2"/>
        </w:numPr>
      </w:pPr>
      <w:r>
        <w:t>Selective processing of factoring or invoice discounting on large receivables</w:t>
      </w:r>
      <w:r w:rsidR="00E55193" w:rsidRPr="00E55193">
        <w:t>.</w:t>
      </w:r>
    </w:p>
    <w:p w14:paraId="2233AF5C" w14:textId="311ECBD6" w:rsidR="00E55193" w:rsidRPr="00E55193" w:rsidRDefault="009612CE" w:rsidP="00E55193">
      <w:r w:rsidRPr="009612CE">
        <w:t>A reduction in DSO to about 80 days would greatly aid cash flow and increase liquidity</w:t>
      </w:r>
      <w:r w:rsidR="00E55193" w:rsidRPr="00E55193">
        <w:t>.</w:t>
      </w:r>
    </w:p>
    <w:p w14:paraId="33DB2E52" w14:textId="77777777" w:rsidR="00E55193" w:rsidRPr="00E55193" w:rsidRDefault="00E55193" w:rsidP="00E55193">
      <w:pPr>
        <w:rPr>
          <w:b/>
          <w:bCs/>
        </w:rPr>
      </w:pPr>
      <w:r w:rsidRPr="00E55193">
        <w:rPr>
          <w:b/>
          <w:bCs/>
        </w:rPr>
        <w:t>Optimising Payables Without Damaging Supplier Relations</w:t>
      </w:r>
    </w:p>
    <w:p w14:paraId="7A8CC7B8" w14:textId="61678283" w:rsidR="00E55193" w:rsidRPr="00E55193" w:rsidRDefault="009612CE" w:rsidP="00E55193">
      <w:r w:rsidRPr="009612CE">
        <w:t>Postponing DPO possesses the merit of enabling liquidity, but overly long postponement can destroy supplier trust. The firm must</w:t>
      </w:r>
      <w:r w:rsidR="00E55193" w:rsidRPr="00E55193">
        <w:t>:</w:t>
      </w:r>
    </w:p>
    <w:p w14:paraId="6612252B" w14:textId="77777777" w:rsidR="009612CE" w:rsidRDefault="009612CE" w:rsidP="009612CE">
      <w:pPr>
        <w:numPr>
          <w:ilvl w:val="0"/>
          <w:numId w:val="3"/>
        </w:numPr>
      </w:pPr>
      <w:r>
        <w:lastRenderedPageBreak/>
        <w:t>Agree on more extended (consensual) payment terms (e.g., 90120 days).</w:t>
      </w:r>
    </w:p>
    <w:p w14:paraId="6128C8AC" w14:textId="77777777" w:rsidR="009612CE" w:rsidRDefault="009612CE" w:rsidP="009612CE">
      <w:pPr>
        <w:numPr>
          <w:ilvl w:val="0"/>
          <w:numId w:val="3"/>
        </w:numPr>
      </w:pPr>
      <w:r>
        <w:t>Apply dynamic discounting: The company only pays upfront when cash is abundant.</w:t>
      </w:r>
    </w:p>
    <w:p w14:paraId="1C6A4328" w14:textId="060E2AF6" w:rsidR="00E55193" w:rsidRPr="00E55193" w:rsidRDefault="009612CE" w:rsidP="009612CE">
      <w:pPr>
        <w:numPr>
          <w:ilvl w:val="0"/>
          <w:numId w:val="3"/>
        </w:numPr>
      </w:pPr>
      <w:r>
        <w:t>See Supply chain financing arrangements Suppliers receive payment sooner, and the company later settles</w:t>
      </w:r>
      <w:r w:rsidR="00E55193" w:rsidRPr="00E55193">
        <w:t>.</w:t>
      </w:r>
    </w:p>
    <w:p w14:paraId="339F1AD7" w14:textId="1EED92F9" w:rsidR="00E55193" w:rsidRPr="00E55193" w:rsidRDefault="009612CE" w:rsidP="00E55193">
      <w:r w:rsidRPr="009612CE">
        <w:t>The stable working capital performance would be made possible by sustainable 90-day DPO in the absence of dissatisfaction among suppliers</w:t>
      </w:r>
      <w:r>
        <w:t xml:space="preserve"> </w:t>
      </w:r>
      <w:r w:rsidR="00B01E08" w:rsidRPr="00B01E08">
        <w:t>(Adamu and Hamidah, 2024)</w:t>
      </w:r>
      <w:r w:rsidR="00E55193" w:rsidRPr="00E55193">
        <w:t>.</w:t>
      </w:r>
    </w:p>
    <w:p w14:paraId="2CEA88F9" w14:textId="0049FF6C" w:rsidR="00E55193" w:rsidRPr="00E55193" w:rsidRDefault="00E55193" w:rsidP="00E55193">
      <w:pPr>
        <w:rPr>
          <w:b/>
          <w:bCs/>
        </w:rPr>
      </w:pPr>
      <w:r w:rsidRPr="00E55193">
        <w:rPr>
          <w:b/>
          <w:bCs/>
        </w:rPr>
        <w:t>Enhancing Cash Flow Forecasting and Coordination</w:t>
      </w:r>
      <w:r w:rsidR="00012987">
        <w:rPr>
          <w:b/>
          <w:bCs/>
        </w:rPr>
        <w:t xml:space="preserve">: </w:t>
      </w:r>
      <w:r w:rsidR="009612CE" w:rsidRPr="009612CE">
        <w:t>A cross-functional working capital committee comprising finance, procurement and sales groups can ensure that planning is coordinated. Improved cash flow forecasting through weekly rolling predictions will minimize liquidity shocks and reliance on short-term borrowing.</w:t>
      </w:r>
    </w:p>
    <w:p w14:paraId="3C959106" w14:textId="77777777" w:rsidR="00E55193" w:rsidRPr="00E55193" w:rsidRDefault="00E55193" w:rsidP="00E55193">
      <w:pPr>
        <w:pStyle w:val="Heading2"/>
      </w:pPr>
      <w:bookmarkStart w:id="7" w:name="_Toc216277089"/>
      <w:r w:rsidRPr="00E55193">
        <w:t>2.3 Comparison of Short-Term vs Long-Term Financing Options</w:t>
      </w:r>
      <w:bookmarkEnd w:id="7"/>
    </w:p>
    <w:p w14:paraId="50E9617B" w14:textId="68637E42" w:rsidR="00E55193" w:rsidRPr="00E55193" w:rsidRDefault="009612CE" w:rsidP="00E55193">
      <w:r w:rsidRPr="009612CE">
        <w:t>The company ought to consult the long term and short-term sources of finance, and apply the most suitable mix to its financial needs with regard to cash cycle behaviour and operational needs</w:t>
      </w:r>
      <w:r>
        <w:t xml:space="preserve"> </w:t>
      </w:r>
      <w:r w:rsidR="00B01E08">
        <w:t>(</w:t>
      </w:r>
      <w:proofErr w:type="spellStart"/>
      <w:r w:rsidR="00B01E08" w:rsidRPr="004D366B">
        <w:t>Kinanthi</w:t>
      </w:r>
      <w:proofErr w:type="spellEnd"/>
      <w:r w:rsidR="00B01E08">
        <w:t xml:space="preserve"> </w:t>
      </w:r>
      <w:r w:rsidR="00B01E08" w:rsidRPr="004D366B">
        <w:t>and Sukamulja, 2025</w:t>
      </w:r>
      <w:r w:rsidR="00B01E08">
        <w:t>)</w:t>
      </w:r>
      <w:r w:rsidR="00E55193" w:rsidRPr="00E55193">
        <w:t>.</w:t>
      </w:r>
    </w:p>
    <w:p w14:paraId="244D7E68" w14:textId="77777777" w:rsidR="00E55193" w:rsidRPr="00E55193" w:rsidRDefault="00E55193" w:rsidP="00E55193">
      <w:pPr>
        <w:rPr>
          <w:b/>
          <w:bCs/>
        </w:rPr>
      </w:pPr>
      <w:r w:rsidRPr="00E55193">
        <w:rPr>
          <w:b/>
          <w:bCs/>
        </w:rPr>
        <w:t>Short-Term Financing Options</w:t>
      </w:r>
    </w:p>
    <w:p w14:paraId="4BF723A3" w14:textId="09FC5EA0" w:rsidR="00E55193" w:rsidRPr="00E55193" w:rsidRDefault="009612CE" w:rsidP="00E55193">
      <w:r w:rsidRPr="009612CE">
        <w:t>Short term financing closely aligns with working capital requirements. Key options include</w:t>
      </w:r>
      <w:r w:rsidR="00E55193" w:rsidRPr="00E55193">
        <w:t>:</w:t>
      </w:r>
    </w:p>
    <w:p w14:paraId="631F0578" w14:textId="2D884E3D" w:rsidR="00E55193" w:rsidRPr="00E55193" w:rsidRDefault="00E55193" w:rsidP="00E55193">
      <w:pPr>
        <w:numPr>
          <w:ilvl w:val="0"/>
          <w:numId w:val="4"/>
        </w:numPr>
      </w:pPr>
      <w:r w:rsidRPr="00E55193">
        <w:rPr>
          <w:b/>
          <w:bCs/>
        </w:rPr>
        <w:t>Bank overdrafts:</w:t>
      </w:r>
      <w:r w:rsidRPr="00E55193">
        <w:t xml:space="preserve"> </w:t>
      </w:r>
      <w:r w:rsidR="008C5D53" w:rsidRPr="008C5D53">
        <w:t>Highly flexible, and can serve to fulfill short-term cash needs, but are usually expensive and susceptible to interest rates.</w:t>
      </w:r>
    </w:p>
    <w:p w14:paraId="3821C3F5" w14:textId="0B2A9D05" w:rsidR="00E55193" w:rsidRPr="00E55193" w:rsidRDefault="00E55193" w:rsidP="00E55193">
      <w:pPr>
        <w:numPr>
          <w:ilvl w:val="0"/>
          <w:numId w:val="4"/>
        </w:numPr>
      </w:pPr>
      <w:r w:rsidRPr="00E55193">
        <w:rPr>
          <w:b/>
          <w:bCs/>
        </w:rPr>
        <w:t>Trade credit:</w:t>
      </w:r>
      <w:r w:rsidRPr="00E55193">
        <w:t xml:space="preserve"> </w:t>
      </w:r>
      <w:r w:rsidR="008C5D53" w:rsidRPr="008C5D53">
        <w:t>Extension of DPO through negotiation with suppliers offers short-term financing without interest, provided that supplier relations are healthy.</w:t>
      </w:r>
    </w:p>
    <w:p w14:paraId="02674F0C" w14:textId="4F239839" w:rsidR="00E55193" w:rsidRPr="00E55193" w:rsidRDefault="00E55193" w:rsidP="00E55193">
      <w:pPr>
        <w:numPr>
          <w:ilvl w:val="0"/>
          <w:numId w:val="4"/>
        </w:numPr>
      </w:pPr>
      <w:r w:rsidRPr="00E55193">
        <w:rPr>
          <w:b/>
          <w:bCs/>
        </w:rPr>
        <w:t>Invoice factoring:</w:t>
      </w:r>
      <w:r w:rsidRPr="00E55193">
        <w:t xml:space="preserve"> </w:t>
      </w:r>
      <w:r w:rsidR="008C5D53" w:rsidRPr="008C5D53">
        <w:t>Converts receivables to cash, especially when DSO is extended, but at a cost and reducing margins.</w:t>
      </w:r>
    </w:p>
    <w:p w14:paraId="505025F2" w14:textId="3BFB37FA" w:rsidR="00E55193" w:rsidRPr="00E55193" w:rsidRDefault="00E55193" w:rsidP="00E55193">
      <w:pPr>
        <w:numPr>
          <w:ilvl w:val="0"/>
          <w:numId w:val="4"/>
        </w:numPr>
      </w:pPr>
      <w:r w:rsidRPr="00E55193">
        <w:rPr>
          <w:b/>
          <w:bCs/>
        </w:rPr>
        <w:t>Revolving credit facilities:</w:t>
      </w:r>
      <w:r w:rsidRPr="00E55193">
        <w:t xml:space="preserve"> </w:t>
      </w:r>
      <w:r w:rsidR="008C5D53" w:rsidRPr="008C5D53">
        <w:t>Provide liquidity in demand and best suited to seasonal operating cash cycles.</w:t>
      </w:r>
    </w:p>
    <w:p w14:paraId="2DCCA3A9" w14:textId="1A6B5C77" w:rsidR="00E55193" w:rsidRPr="00E55193" w:rsidRDefault="008C5D53" w:rsidP="00E55193">
      <w:r w:rsidRPr="008C5D53">
        <w:lastRenderedPageBreak/>
        <w:t>In the short-term, short-term finance can be applied to finance temporary timing mismatches but may pose a liquidity risk when overextended</w:t>
      </w:r>
      <w:r w:rsidR="00E55193" w:rsidRPr="00E55193">
        <w:t>.</w:t>
      </w:r>
    </w:p>
    <w:p w14:paraId="1EAF66B5" w14:textId="77777777" w:rsidR="00E55193" w:rsidRPr="00E55193" w:rsidRDefault="00E55193" w:rsidP="00E55193">
      <w:pPr>
        <w:rPr>
          <w:b/>
          <w:bCs/>
        </w:rPr>
      </w:pPr>
      <w:r w:rsidRPr="00E55193">
        <w:rPr>
          <w:b/>
          <w:bCs/>
        </w:rPr>
        <w:t>Long-Term Financing Options</w:t>
      </w:r>
    </w:p>
    <w:p w14:paraId="4A03FF33" w14:textId="005A386E" w:rsidR="00E55193" w:rsidRPr="00E55193" w:rsidRDefault="008C5D53" w:rsidP="00E55193">
      <w:r w:rsidRPr="008C5D53">
        <w:t>Long-term options provide a predictable capital and liquidity to undertake structural changes. These include</w:t>
      </w:r>
      <w:r w:rsidR="00E55193" w:rsidRPr="00E55193">
        <w:t>:</w:t>
      </w:r>
    </w:p>
    <w:p w14:paraId="16623261" w14:textId="7BF42F28" w:rsidR="00E55193" w:rsidRPr="00E55193" w:rsidRDefault="00E55193" w:rsidP="00E55193">
      <w:pPr>
        <w:numPr>
          <w:ilvl w:val="0"/>
          <w:numId w:val="5"/>
        </w:numPr>
      </w:pPr>
      <w:r w:rsidRPr="00E55193">
        <w:rPr>
          <w:b/>
          <w:bCs/>
        </w:rPr>
        <w:t>Term loans or corporate bonds:</w:t>
      </w:r>
      <w:r w:rsidRPr="00E55193">
        <w:t xml:space="preserve"> </w:t>
      </w:r>
      <w:r w:rsidR="008C5D53" w:rsidRPr="008C5D53">
        <w:t xml:space="preserve">These may be granted to fund supply chain </w:t>
      </w:r>
      <w:proofErr w:type="spellStart"/>
      <w:r w:rsidR="008C5D53" w:rsidRPr="008C5D53">
        <w:t>modernisation</w:t>
      </w:r>
      <w:proofErr w:type="spellEnd"/>
      <w:r w:rsidR="008C5D53" w:rsidRPr="008C5D53">
        <w:t>, automation, or IT systems which enhance working capital processes.</w:t>
      </w:r>
    </w:p>
    <w:p w14:paraId="50336776" w14:textId="7E6A17A7" w:rsidR="00E55193" w:rsidRPr="00E55193" w:rsidRDefault="00E55193" w:rsidP="00E55193">
      <w:pPr>
        <w:numPr>
          <w:ilvl w:val="0"/>
          <w:numId w:val="5"/>
        </w:numPr>
      </w:pPr>
      <w:r w:rsidRPr="00E55193">
        <w:rPr>
          <w:b/>
          <w:bCs/>
        </w:rPr>
        <w:t>Equity financing:</w:t>
      </w:r>
      <w:r w:rsidRPr="00E55193">
        <w:t xml:space="preserve"> </w:t>
      </w:r>
      <w:r w:rsidR="008C5D53" w:rsidRPr="008C5D53">
        <w:t>Builds up cash reserves without repayment but dilutes control.</w:t>
      </w:r>
    </w:p>
    <w:p w14:paraId="5F150ADC" w14:textId="21166511" w:rsidR="00E55193" w:rsidRPr="00E55193" w:rsidRDefault="00E55193" w:rsidP="00E55193">
      <w:pPr>
        <w:numPr>
          <w:ilvl w:val="0"/>
          <w:numId w:val="5"/>
        </w:numPr>
      </w:pPr>
      <w:r w:rsidRPr="00E55193">
        <w:rPr>
          <w:b/>
          <w:bCs/>
        </w:rPr>
        <w:t>Long-term leasing:</w:t>
      </w:r>
      <w:r w:rsidRPr="00E55193">
        <w:t xml:space="preserve"> </w:t>
      </w:r>
      <w:r w:rsidR="008C5D53" w:rsidRPr="008C5D53">
        <w:t>It reduces the direct cash expenses but also enables capital outlay on equipment that generates inventory and logistics efficiency.</w:t>
      </w:r>
    </w:p>
    <w:p w14:paraId="6D3D5733" w14:textId="77777777" w:rsidR="00E55193" w:rsidRPr="00E55193" w:rsidRDefault="00E55193" w:rsidP="00E55193">
      <w:pPr>
        <w:rPr>
          <w:b/>
          <w:bCs/>
        </w:rPr>
      </w:pPr>
      <w:r w:rsidRPr="00E55193">
        <w:rPr>
          <w:b/>
          <w:bCs/>
        </w:rPr>
        <w:t>Determining the Optimal Mix</w:t>
      </w:r>
    </w:p>
    <w:p w14:paraId="654734CA" w14:textId="1A619B4A" w:rsidR="00E55193" w:rsidRPr="00E55193" w:rsidRDefault="008C5D53" w:rsidP="00E55193">
      <w:r w:rsidRPr="008C5D53">
        <w:t>Because the company has a poor COC and worsening performance on receivables, a hybrid financing option is recommended</w:t>
      </w:r>
      <w:r w:rsidR="00E55193" w:rsidRPr="00E55193">
        <w:t>:</w:t>
      </w:r>
    </w:p>
    <w:p w14:paraId="697E060B" w14:textId="77777777" w:rsidR="008C5D53" w:rsidRDefault="008C5D53" w:rsidP="008C5D53">
      <w:pPr>
        <w:numPr>
          <w:ilvl w:val="0"/>
          <w:numId w:val="6"/>
        </w:numPr>
      </w:pPr>
      <w:r>
        <w:t>Short-term financing (revolving credit, factoring, overdrafts) to cover liquidity gaps due to high DSO and fluctuating inventory turns (</w:t>
      </w:r>
      <w:proofErr w:type="spellStart"/>
      <w:r>
        <w:t>Kinanthi</w:t>
      </w:r>
      <w:proofErr w:type="spellEnd"/>
      <w:r>
        <w:t xml:space="preserve"> and Sukamulja, 2025).</w:t>
      </w:r>
    </w:p>
    <w:p w14:paraId="44322188" w14:textId="72E48BC9" w:rsidR="00E55193" w:rsidRPr="00E55193" w:rsidRDefault="008C5D53" w:rsidP="008C5D53">
      <w:pPr>
        <w:numPr>
          <w:ilvl w:val="0"/>
          <w:numId w:val="6"/>
        </w:numPr>
      </w:pPr>
      <w:r>
        <w:t xml:space="preserve">Use long-term capital to invest in supply chain automation, digital receivables management systems, and inventory </w:t>
      </w:r>
      <w:proofErr w:type="spellStart"/>
      <w:r>
        <w:t>optimisation</w:t>
      </w:r>
      <w:proofErr w:type="spellEnd"/>
      <w:r>
        <w:t xml:space="preserve"> technology</w:t>
      </w:r>
      <w:r w:rsidR="00E55193" w:rsidRPr="00E55193">
        <w:t>.</w:t>
      </w:r>
    </w:p>
    <w:p w14:paraId="4F4C41D1" w14:textId="77777777" w:rsidR="00A1271E" w:rsidRDefault="00A1271E">
      <w:pPr>
        <w:spacing w:line="278" w:lineRule="auto"/>
        <w:jc w:val="left"/>
      </w:pPr>
      <w:r>
        <w:br w:type="page"/>
      </w:r>
    </w:p>
    <w:p w14:paraId="32640EA1" w14:textId="3F85F3C2" w:rsidR="00A1271E" w:rsidRPr="00A1271E" w:rsidRDefault="00A1271E" w:rsidP="00A1271E">
      <w:pPr>
        <w:pStyle w:val="Heading1"/>
      </w:pPr>
      <w:bookmarkStart w:id="8" w:name="_Toc216277090"/>
      <w:r w:rsidRPr="00A1271E">
        <w:lastRenderedPageBreak/>
        <w:t>3. Strategic Financial Restructuring Plan</w:t>
      </w:r>
      <w:bookmarkEnd w:id="8"/>
      <w:r w:rsidRPr="00A1271E">
        <w:t xml:space="preserve"> </w:t>
      </w:r>
    </w:p>
    <w:p w14:paraId="4391FC19" w14:textId="77777777" w:rsidR="00A1271E" w:rsidRPr="00A1271E" w:rsidRDefault="00A1271E" w:rsidP="00A1271E">
      <w:pPr>
        <w:pStyle w:val="Heading2"/>
      </w:pPr>
      <w:bookmarkStart w:id="9" w:name="_Toc216277091"/>
      <w:r w:rsidRPr="00A1271E">
        <w:t>3.1 Financial Restructuring Options: Divestiture, Merger, and Equity Injection</w:t>
      </w:r>
      <w:bookmarkEnd w:id="9"/>
    </w:p>
    <w:p w14:paraId="52811B1B" w14:textId="30EDB08A" w:rsidR="00A1271E" w:rsidRPr="00A1271E" w:rsidRDefault="008C5D53" w:rsidP="00A1271E">
      <w:r w:rsidRPr="008C5D53">
        <w:t>The company with liquidity limitations, fluctuating working capital, and increasing cash conversion strains must revisit its capital framework and strategic portfolio. Restructuring of finance should therefore not merely be a restoration move but rather a proactive measure to enhance competitiveness, stability in operations, and financial sustainability</w:t>
      </w:r>
      <w:r w:rsidR="00A1271E" w:rsidRPr="00A1271E">
        <w:t xml:space="preserve">. </w:t>
      </w:r>
    </w:p>
    <w:p w14:paraId="3DF9B459" w14:textId="77777777" w:rsidR="00A1271E" w:rsidRPr="00A1271E" w:rsidRDefault="00A1271E" w:rsidP="00A1271E">
      <w:pPr>
        <w:rPr>
          <w:b/>
          <w:bCs/>
        </w:rPr>
      </w:pPr>
      <w:r w:rsidRPr="00A1271E">
        <w:rPr>
          <w:b/>
          <w:bCs/>
        </w:rPr>
        <w:t>Divestiture of Non-Core Assets</w:t>
      </w:r>
    </w:p>
    <w:p w14:paraId="19902F27" w14:textId="77777777" w:rsidR="00811CF3" w:rsidRDefault="00811CF3" w:rsidP="00811CF3">
      <w:r>
        <w:t xml:space="preserve">Divestiture has been one of the most effective ways of releasing trapped capital and focus </w:t>
      </w:r>
      <w:proofErr w:type="spellStart"/>
      <w:r>
        <w:t>organisation</w:t>
      </w:r>
      <w:proofErr w:type="spellEnd"/>
      <w:r>
        <w:t>. By determining non-core or non-performing units- segments whose profitability is declining, whose inventory turnover is long, or whose strategic synergy is minor, the firm can convert non-core or underperforming assets into liquid resources. As an example, the sale of slow-moving lines of products or geographically distant operations may produce immediate cash value used to strengthen working capital, cover short-term liabilities, or invest in growth initiatives (Uddin, Das. and Hasan, 2024).</w:t>
      </w:r>
    </w:p>
    <w:p w14:paraId="260249A6" w14:textId="4B6DBA38" w:rsidR="00A1271E" w:rsidRPr="00A1271E" w:rsidRDefault="00811CF3" w:rsidP="00811CF3">
      <w:r>
        <w:t xml:space="preserve">Divestitures also simplify the </w:t>
      </w:r>
      <w:proofErr w:type="spellStart"/>
      <w:r>
        <w:t>organisational</w:t>
      </w:r>
      <w:proofErr w:type="spellEnd"/>
      <w:r>
        <w:t xml:space="preserve"> structure and the management is able to concentrate on the higher margin, strategically aligned units. Importantly, not all divestiture is a sign of weakness; proactive divestiture could be an indicator of tight capital discipline. It also boosts agility of </w:t>
      </w:r>
      <w:proofErr w:type="spellStart"/>
      <w:r>
        <w:t>organisations</w:t>
      </w:r>
      <w:proofErr w:type="spellEnd"/>
      <w:r>
        <w:t xml:space="preserve"> by reducing the burden of fixed costs, </w:t>
      </w:r>
      <w:proofErr w:type="spellStart"/>
      <w:r>
        <w:t>minimising</w:t>
      </w:r>
      <w:proofErr w:type="spellEnd"/>
      <w:r>
        <w:t xml:space="preserve"> inventory exposure, and increasing the profitability of invested capital (ROIC).</w:t>
      </w:r>
      <w:r w:rsidR="00A1271E" w:rsidRPr="00A1271E">
        <w:t xml:space="preserve"> </w:t>
      </w:r>
    </w:p>
    <w:p w14:paraId="40D03208" w14:textId="77777777" w:rsidR="00A1271E" w:rsidRPr="00A1271E" w:rsidRDefault="00A1271E" w:rsidP="00A1271E">
      <w:pPr>
        <w:rPr>
          <w:b/>
          <w:bCs/>
        </w:rPr>
      </w:pPr>
      <w:r w:rsidRPr="00A1271E">
        <w:rPr>
          <w:b/>
          <w:bCs/>
        </w:rPr>
        <w:t>Merger or Strategic Acquisition</w:t>
      </w:r>
    </w:p>
    <w:p w14:paraId="0E1C36C0" w14:textId="6727DEAF" w:rsidR="00A1271E" w:rsidRPr="00A1271E" w:rsidRDefault="00811CF3" w:rsidP="00A1271E">
      <w:r w:rsidRPr="00811CF3">
        <w:t>It is a merger that particularly in an industry with price pressures, broken-supply chains or declining margins can help a business to pool its market share, expand its capability and to reach economies of scale. A merger allows the company to combine supply chain systems, align procurement contracts and reduce redundant functions (e.g., logistics, warehousing and administrative functions)</w:t>
      </w:r>
      <w:r w:rsidR="00A1271E" w:rsidRPr="00A1271E">
        <w:t xml:space="preserve">. </w:t>
      </w:r>
    </w:p>
    <w:p w14:paraId="3AEC8568" w14:textId="77777777" w:rsidR="00A1271E" w:rsidRPr="00A1271E" w:rsidRDefault="00A1271E" w:rsidP="00A1271E">
      <w:pPr>
        <w:rPr>
          <w:b/>
          <w:bCs/>
        </w:rPr>
      </w:pPr>
      <w:r w:rsidRPr="00A1271E">
        <w:rPr>
          <w:b/>
          <w:bCs/>
        </w:rPr>
        <w:t>Equity Injection and Capital Rebalancing</w:t>
      </w:r>
    </w:p>
    <w:p w14:paraId="2196E11A" w14:textId="295CC68D" w:rsidR="00A1271E" w:rsidRPr="00A1271E" w:rsidRDefault="004A33FF" w:rsidP="00A1271E">
      <w:r w:rsidRPr="004A33FF">
        <w:lastRenderedPageBreak/>
        <w:t xml:space="preserve">Equity injection; a rights issue, strategic institutional investment, or a private placement which provides a balance sheet benefit immediately. Unlike debt, equity does not contribute to fixed liabilities or interest. It is especially relevant when there </w:t>
      </w:r>
      <w:proofErr w:type="gramStart"/>
      <w:r w:rsidRPr="004A33FF">
        <w:t>is</w:t>
      </w:r>
      <w:proofErr w:type="gramEnd"/>
      <w:r w:rsidRPr="004A33FF">
        <w:t xml:space="preserve"> a fluctuating cash operating cycle and an increasing debt of the company, which intensifies the threat of liquidity restriction</w:t>
      </w:r>
      <w:r>
        <w:t xml:space="preserve"> </w:t>
      </w:r>
      <w:r w:rsidR="006545C7">
        <w:t>(</w:t>
      </w:r>
      <w:proofErr w:type="spellStart"/>
      <w:r w:rsidR="006545C7" w:rsidRPr="004D366B">
        <w:t>Mubarok</w:t>
      </w:r>
      <w:proofErr w:type="spellEnd"/>
      <w:r w:rsidR="006545C7">
        <w:t xml:space="preserve"> </w:t>
      </w:r>
      <w:r w:rsidR="006545C7" w:rsidRPr="00160673">
        <w:rPr>
          <w:i/>
          <w:iCs/>
        </w:rPr>
        <w:t>et al.</w:t>
      </w:r>
      <w:r w:rsidR="006545C7">
        <w:t xml:space="preserve"> 2024)</w:t>
      </w:r>
      <w:r w:rsidR="00A1271E" w:rsidRPr="00A1271E">
        <w:t>.</w:t>
      </w:r>
      <w:r w:rsidR="006545C7">
        <w:t xml:space="preserve"> </w:t>
      </w:r>
    </w:p>
    <w:p w14:paraId="34467372" w14:textId="77777777" w:rsidR="00A1271E" w:rsidRPr="00A1271E" w:rsidRDefault="00A1271E" w:rsidP="00857CE6">
      <w:pPr>
        <w:pStyle w:val="Heading2"/>
      </w:pPr>
      <w:bookmarkStart w:id="10" w:name="_Toc216277092"/>
      <w:r w:rsidRPr="00A1271E">
        <w:t>3.2 Impact on Shareholder Value, Debt Structure, and Operational Flexibility</w:t>
      </w:r>
      <w:bookmarkEnd w:id="10"/>
    </w:p>
    <w:p w14:paraId="0DC79D75" w14:textId="685E1CD6" w:rsidR="00A1271E" w:rsidRPr="00A1271E" w:rsidRDefault="004A33FF" w:rsidP="00A1271E">
      <w:r w:rsidRPr="004A33FF">
        <w:t xml:space="preserve">The strategic restructuring must be gauged not just on the amount of money raised but also on the </w:t>
      </w:r>
      <w:proofErr w:type="gramStart"/>
      <w:r w:rsidRPr="004A33FF">
        <w:t>long term</w:t>
      </w:r>
      <w:proofErr w:type="gramEnd"/>
      <w:r w:rsidRPr="004A33FF">
        <w:t xml:space="preserve"> effect on the shareholder wealth, debt structure and operating flexibility. Effective reorganization produces a ripple effect: improved liquidity leads to enhanced bargaining power, reduced gearing results in reduced financial stress risk, and increased operational flexibility leads to improved competitive continuity</w:t>
      </w:r>
      <w:r w:rsidR="00A1271E" w:rsidRPr="00A1271E">
        <w:t>.</w:t>
      </w:r>
    </w:p>
    <w:p w14:paraId="3DF03818" w14:textId="77777777" w:rsidR="00A1271E" w:rsidRPr="00A1271E" w:rsidRDefault="00A1271E" w:rsidP="00A1271E">
      <w:pPr>
        <w:rPr>
          <w:b/>
          <w:bCs/>
        </w:rPr>
      </w:pPr>
      <w:r w:rsidRPr="00A1271E">
        <w:rPr>
          <w:b/>
          <w:bCs/>
        </w:rPr>
        <w:t>Impact on Shareholder Value</w:t>
      </w:r>
    </w:p>
    <w:p w14:paraId="6D978932" w14:textId="77777777" w:rsidR="004A33FF" w:rsidRDefault="004A33FF" w:rsidP="004A33FF">
      <w:r>
        <w:t>Shareholder value is affected by short-term market reactions and long-term performance indicators such as earnings per share (EPS), ROIC and free cash flow (FCF). When debt is paid by divestiture proceeds, the resulting reduction in interest cost is a net-profit reduction and, consequently, a growth in shareholder payouts (</w:t>
      </w:r>
      <w:proofErr w:type="spellStart"/>
      <w:r>
        <w:t>Nurcahyono</w:t>
      </w:r>
      <w:proofErr w:type="spellEnd"/>
      <w:r>
        <w:t xml:space="preserve"> et al. 2025).</w:t>
      </w:r>
    </w:p>
    <w:p w14:paraId="295DC9A1" w14:textId="1B3E6E7D" w:rsidR="00A1271E" w:rsidRPr="00A1271E" w:rsidRDefault="004A33FF" w:rsidP="004A33FF">
      <w:r>
        <w:t xml:space="preserve">A </w:t>
      </w:r>
      <w:proofErr w:type="spellStart"/>
      <w:r>
        <w:t>well executed</w:t>
      </w:r>
      <w:proofErr w:type="spellEnd"/>
      <w:r>
        <w:t xml:space="preserve"> merger improves shareholder value through a created synergy, cost synergy through consolidation and revenue synergy through market expansion. However, overpaying during the acquisition process or underestimating the process complexity can destroy value. Therefore, the increase in shareholder value depends on the adequate valuation, integration planning, and communication with investors </w:t>
      </w:r>
      <w:r w:rsidR="006545C7">
        <w:t>(</w:t>
      </w:r>
      <w:proofErr w:type="spellStart"/>
      <w:r w:rsidR="006545C7" w:rsidRPr="00943E35">
        <w:t>Gultom</w:t>
      </w:r>
      <w:proofErr w:type="spellEnd"/>
      <w:r w:rsidR="006545C7">
        <w:t xml:space="preserve"> </w:t>
      </w:r>
      <w:r w:rsidR="006545C7" w:rsidRPr="00160673">
        <w:rPr>
          <w:i/>
          <w:iCs/>
        </w:rPr>
        <w:t>et al.</w:t>
      </w:r>
      <w:r w:rsidR="006545C7">
        <w:t xml:space="preserve"> 2024)</w:t>
      </w:r>
      <w:r w:rsidR="00A1271E" w:rsidRPr="00A1271E">
        <w:t>.</w:t>
      </w:r>
      <w:r w:rsidR="00857CE6">
        <w:t xml:space="preserve"> </w:t>
      </w:r>
    </w:p>
    <w:p w14:paraId="0E0CE927" w14:textId="77777777" w:rsidR="00A1271E" w:rsidRPr="00A1271E" w:rsidRDefault="00A1271E" w:rsidP="00A1271E">
      <w:pPr>
        <w:rPr>
          <w:b/>
          <w:bCs/>
        </w:rPr>
      </w:pPr>
      <w:r w:rsidRPr="00A1271E">
        <w:rPr>
          <w:b/>
          <w:bCs/>
        </w:rPr>
        <w:t>Impact on Debt Structure and Solvency</w:t>
      </w:r>
    </w:p>
    <w:p w14:paraId="6E278132" w14:textId="77777777" w:rsidR="004A33FF" w:rsidRDefault="004A33FF" w:rsidP="004A33FF">
      <w:r>
        <w:t>The debt structure must be in such a way that it will enable the firm to sustain itself, not create a burden on the daily liquidity. Cash inflows caused by divestitures present a natural opportunity to settle short-term high-interest debt, relieving the capital structure of the firm of short-term high-interest debt towards a more sustainable leverage ratio. A smaller debt level improves the creditworthiness, thus allowing the organization to renegotiate the current interest rates or fund future growth at lower costs (Rashid, 2021).</w:t>
      </w:r>
    </w:p>
    <w:p w14:paraId="55E71C39" w14:textId="614B84DC" w:rsidR="00A1271E" w:rsidRPr="00A1271E" w:rsidRDefault="004A33FF" w:rsidP="004A33FF">
      <w:r>
        <w:lastRenderedPageBreak/>
        <w:t>Mergers have varied effects in the debt structure: once again, depending on the type of the deal, the company may absorb the debt loads of the target, or can capitalize both balance sheets efficiently. An efficiently planned merger may simplify the debt repayment schedule, creating a balance between flexibility in the short term and long-term security. Direct equity injection effects are reduced dependence on debt through reinforcing the equity base that improves gearing ratios (debt-to-equity, interest coverage ratio). This raises adherence to covenants, reduces insolvency risk, and improves the ability of the firm to survive macroeconomic shocks</w:t>
      </w:r>
      <w:r w:rsidR="00A1271E" w:rsidRPr="00A1271E">
        <w:t>.</w:t>
      </w:r>
    </w:p>
    <w:p w14:paraId="1E32890E" w14:textId="77777777" w:rsidR="00A1271E" w:rsidRPr="00A1271E" w:rsidRDefault="00A1271E" w:rsidP="00A1271E">
      <w:pPr>
        <w:rPr>
          <w:b/>
          <w:bCs/>
        </w:rPr>
      </w:pPr>
      <w:r w:rsidRPr="00A1271E">
        <w:rPr>
          <w:b/>
          <w:bCs/>
        </w:rPr>
        <w:t>Impact on Operational Flexibility</w:t>
      </w:r>
    </w:p>
    <w:p w14:paraId="7F750448" w14:textId="77777777" w:rsidR="004A33FF" w:rsidRDefault="004A33FF" w:rsidP="004A33FF">
      <w:r>
        <w:t xml:space="preserve">Financial restructuring must be transformed to operational flexibility- a highly important skill in a world of unpredictable demand, fluctuating supply chains, and unpredictable costs. The sale of non-core assets simplifies </w:t>
      </w:r>
      <w:proofErr w:type="spellStart"/>
      <w:r>
        <w:t>organisational</w:t>
      </w:r>
      <w:proofErr w:type="spellEnd"/>
      <w:r>
        <w:t xml:space="preserve"> complexity, which allows managers to invest capital and concentrate in the high-performing units. This improves the responsiveness and reduces resource wastage (Adejumo, and </w:t>
      </w:r>
      <w:proofErr w:type="spellStart"/>
      <w:r>
        <w:t>Ogburie</w:t>
      </w:r>
      <w:proofErr w:type="spellEnd"/>
      <w:r>
        <w:t>, 2025).</w:t>
      </w:r>
    </w:p>
    <w:p w14:paraId="00708419" w14:textId="6B13DDD3" w:rsidR="00A1271E" w:rsidRPr="00A1271E" w:rsidRDefault="004A33FF" w:rsidP="004A33FF">
      <w:r>
        <w:t xml:space="preserve">Mergers enhance the flexibility of operations because they integrate complementary technology, supply chains, and workforce competences. Standard logistics, </w:t>
      </w:r>
      <w:proofErr w:type="spellStart"/>
      <w:r>
        <w:t>centralised</w:t>
      </w:r>
      <w:proofErr w:type="spellEnd"/>
      <w:r>
        <w:t xml:space="preserve"> procurement, and integrated systems reduce bottlenecks and lead times. M&amp;A also helps the company to re-position its strategic presence in regions where cost structures are </w:t>
      </w:r>
      <w:proofErr w:type="spellStart"/>
      <w:r>
        <w:t>favourable</w:t>
      </w:r>
      <w:proofErr w:type="spellEnd"/>
      <w:r>
        <w:t xml:space="preserve"> or where regulatory environments are stable. Equity injections enable strategic investments; it can be automation, digital supply chain solutions, and sustainability upgrades, that enhance long-term flexibility</w:t>
      </w:r>
      <w:r w:rsidR="00A1271E" w:rsidRPr="00A1271E">
        <w:t>.</w:t>
      </w:r>
    </w:p>
    <w:p w14:paraId="778873F8" w14:textId="77777777" w:rsidR="00A1271E" w:rsidRPr="00A1271E" w:rsidRDefault="00A1271E" w:rsidP="00857CE6">
      <w:pPr>
        <w:pStyle w:val="Heading2"/>
      </w:pPr>
      <w:bookmarkStart w:id="11" w:name="_Toc216277093"/>
      <w:r w:rsidRPr="00A1271E">
        <w:t>3.3 International and Ethical Considerations: Taxation, Currency Risk, Inflation, and CSR</w:t>
      </w:r>
      <w:bookmarkEnd w:id="11"/>
    </w:p>
    <w:p w14:paraId="48D5D679" w14:textId="6216E41F" w:rsidR="00A1271E" w:rsidRPr="00A1271E" w:rsidRDefault="004A33FF" w:rsidP="00A1271E">
      <w:r w:rsidRPr="004A33FF">
        <w:t>Making decisions to restructure is not done in a vacuum but is significantly conditioned by the financial state of affairs in the world, moral needs, and legal environment. Any strategic restructuring process should include international financial risks and principles of responsible governance in order to enable sustainable creation of long-term value</w:t>
      </w:r>
      <w:r w:rsidR="00A1271E" w:rsidRPr="00A1271E">
        <w:t>.</w:t>
      </w:r>
    </w:p>
    <w:p w14:paraId="4E91BC31" w14:textId="77777777" w:rsidR="00A1271E" w:rsidRPr="00A1271E" w:rsidRDefault="00A1271E" w:rsidP="00A1271E">
      <w:pPr>
        <w:rPr>
          <w:b/>
          <w:bCs/>
        </w:rPr>
      </w:pPr>
      <w:r w:rsidRPr="00A1271E">
        <w:rPr>
          <w:b/>
          <w:bCs/>
        </w:rPr>
        <w:t>Taxation and Cross-Border Regulatory Complexity</w:t>
      </w:r>
    </w:p>
    <w:p w14:paraId="006C468D" w14:textId="651F96F4" w:rsidR="00A1271E" w:rsidRPr="00A1271E" w:rsidRDefault="004A33FF" w:rsidP="00A1271E">
      <w:r w:rsidRPr="004A33FF">
        <w:lastRenderedPageBreak/>
        <w:t xml:space="preserve">International reorganization with particular emphasis on mergers, acquisitions, or divestitures, including foreign subsidiaries, which require a careful approach to tax regimes. The policies on transfer pricing, repatriation of profits between countries, withholding tax and the double taxation treaties can significantly impact the restructuring financial viability. A cross-border merger can open up tax efficiencies through consolidating losses or moving to a more </w:t>
      </w:r>
      <w:proofErr w:type="spellStart"/>
      <w:r w:rsidRPr="004A33FF">
        <w:t>favourable</w:t>
      </w:r>
      <w:proofErr w:type="spellEnd"/>
      <w:r w:rsidRPr="004A33FF">
        <w:t xml:space="preserve"> corporate tax regime (</w:t>
      </w:r>
      <w:proofErr w:type="spellStart"/>
      <w:r w:rsidRPr="004A33FF">
        <w:t>Bahodirovich</w:t>
      </w:r>
      <w:proofErr w:type="spellEnd"/>
      <w:r w:rsidRPr="004A33FF">
        <w:t xml:space="preserve">, 2024). However, aggressive tax policy may result in a tainted image and ethical inquiry. Material tax planning must strike the right balance between legal </w:t>
      </w:r>
      <w:proofErr w:type="spellStart"/>
      <w:r w:rsidRPr="004A33FF">
        <w:t>optimisation</w:t>
      </w:r>
      <w:proofErr w:type="spellEnd"/>
      <w:r w:rsidRPr="004A33FF">
        <w:t xml:space="preserve"> and clear compliance, and should be aligned with ESG and CSR undertakings</w:t>
      </w:r>
      <w:r w:rsidR="00A1271E" w:rsidRPr="00A1271E">
        <w:t>.</w:t>
      </w:r>
    </w:p>
    <w:p w14:paraId="54DB4312" w14:textId="77777777" w:rsidR="00A1271E" w:rsidRPr="00A1271E" w:rsidRDefault="00A1271E" w:rsidP="00A1271E">
      <w:pPr>
        <w:rPr>
          <w:b/>
          <w:bCs/>
        </w:rPr>
      </w:pPr>
      <w:r w:rsidRPr="00A1271E">
        <w:rPr>
          <w:b/>
          <w:bCs/>
        </w:rPr>
        <w:t>Currency Risk and Inflation Exposure</w:t>
      </w:r>
    </w:p>
    <w:p w14:paraId="40272F56" w14:textId="5AF88111" w:rsidR="00A1271E" w:rsidRPr="00A1271E" w:rsidRDefault="004A33FF" w:rsidP="00A1271E">
      <w:r w:rsidRPr="004A33FF">
        <w:t xml:space="preserve">Foreign exchange (FX) volatility is a risk facing cross-border transactions. Currency depreciation may also erode merger synergies, impose repayment pressures on foreign-currency debt, and alter corrupt valuation models. </w:t>
      </w:r>
      <w:proofErr w:type="gramStart"/>
      <w:r w:rsidRPr="004A33FF">
        <w:t>So</w:t>
      </w:r>
      <w:proofErr w:type="gramEnd"/>
      <w:r w:rsidRPr="004A33FF">
        <w:t xml:space="preserve"> the hedging mechanisms, such as forward contracts, natural hedging by the local revenue stream, and financing on currency, on which any international restructuring should be founded. Inflation is another grave problem. High inflation erodes real returns, increases working capital requirements, and distorts cost structures. Inflation-based financing instruments, supplier renegotiations, and price-adjustment provisions should be considered in the restructuring plans to maintain a steady margin</w:t>
      </w:r>
      <w:r w:rsidR="00A1271E" w:rsidRPr="00A1271E">
        <w:t>.</w:t>
      </w:r>
    </w:p>
    <w:p w14:paraId="3A4FBE66" w14:textId="77777777" w:rsidR="00A1271E" w:rsidRPr="00A1271E" w:rsidRDefault="00A1271E" w:rsidP="00A1271E">
      <w:pPr>
        <w:rPr>
          <w:b/>
          <w:bCs/>
        </w:rPr>
      </w:pPr>
      <w:r w:rsidRPr="00A1271E">
        <w:rPr>
          <w:b/>
          <w:bCs/>
        </w:rPr>
        <w:t>Corporate Social Responsibility and Ethical Governance</w:t>
      </w:r>
    </w:p>
    <w:p w14:paraId="0ADFD02B" w14:textId="381C0D7B" w:rsidR="00A1271E" w:rsidRPr="00A1271E" w:rsidRDefault="00186F97" w:rsidP="00A1271E">
      <w:r w:rsidRPr="00186F97">
        <w:t>Ethical considerations should be a key point of the restructuring plan. Divestitures should not result in job loss without adequate transition support. Mergers should be transparent, competitive, and environmentally friendly. Long-term sustainability objectives should enable the injection of equity by external investors rather than short-term profit extraction (</w:t>
      </w:r>
      <w:proofErr w:type="spellStart"/>
      <w:r w:rsidRPr="00186F97">
        <w:t>Challoumis</w:t>
      </w:r>
      <w:proofErr w:type="spellEnd"/>
      <w:r w:rsidRPr="00186F97">
        <w:t xml:space="preserve">, 2024). CSR commitments; such as minimization of carbon, community impact, sourcing with ethical purchasing, and employment that is inclusive, which have become major motivators of investor confidence. Reputation </w:t>
      </w:r>
      <w:proofErr w:type="spellStart"/>
      <w:r w:rsidRPr="00186F97">
        <w:t>defence</w:t>
      </w:r>
      <w:proofErr w:type="spellEnd"/>
      <w:r w:rsidRPr="00186F97">
        <w:t>, adherence to regulation, and long-term shareholder trust can be achieved through implementation of ESG standards in the restructuring process</w:t>
      </w:r>
      <w:r w:rsidR="00A1271E" w:rsidRPr="00A1271E">
        <w:t>.</w:t>
      </w:r>
    </w:p>
    <w:p w14:paraId="662DDAFF" w14:textId="77777777" w:rsidR="00972485" w:rsidRDefault="00972485">
      <w:pPr>
        <w:spacing w:line="278" w:lineRule="auto"/>
        <w:jc w:val="left"/>
        <w:rPr>
          <w:rFonts w:eastAsiaTheme="majorEastAsia" w:cstheme="majorBidi"/>
          <w:b/>
          <w:sz w:val="28"/>
          <w:szCs w:val="40"/>
        </w:rPr>
      </w:pPr>
      <w:r>
        <w:lastRenderedPageBreak/>
        <w:br w:type="page"/>
      </w:r>
    </w:p>
    <w:p w14:paraId="74702802" w14:textId="7C65BDC3" w:rsidR="00972485" w:rsidRPr="00972485" w:rsidRDefault="00972485" w:rsidP="00972485">
      <w:pPr>
        <w:pStyle w:val="Heading1"/>
      </w:pPr>
      <w:bookmarkStart w:id="12" w:name="_Toc216277094"/>
      <w:r w:rsidRPr="00972485">
        <w:lastRenderedPageBreak/>
        <w:t>4. Investment Appraisal and Capital Budgeting</w:t>
      </w:r>
      <w:bookmarkEnd w:id="12"/>
      <w:r w:rsidRPr="00972485">
        <w:t xml:space="preserve"> </w:t>
      </w:r>
    </w:p>
    <w:p w14:paraId="0DBBC20D" w14:textId="77777777" w:rsidR="00972485" w:rsidRPr="00972485" w:rsidRDefault="00972485" w:rsidP="00972485">
      <w:pPr>
        <w:pStyle w:val="Heading2"/>
      </w:pPr>
      <w:bookmarkStart w:id="13" w:name="_Toc216277095"/>
      <w:r w:rsidRPr="00972485">
        <w:t>4.1 Evaluation of the Three Investment Projects Using PBP, ARR, NPV, PI and IRR</w:t>
      </w:r>
      <w:bookmarkEnd w:id="13"/>
    </w:p>
    <w:p w14:paraId="771020CB" w14:textId="2AA0630D" w:rsidR="00972485" w:rsidRPr="00972485" w:rsidRDefault="00186F97" w:rsidP="00972485">
      <w:r w:rsidRPr="00186F97">
        <w:t>The capital budgeting analysis should be strict to determine the most viable investment with limited resources. The three proposed projects differ a lot concerning initial investment, scale of cash flow, consistency and predictability. A combined evaluation involving payback period (PBP), accounting rate of return (ARR), net present value (NPV), profitability index (PI), and internal rate of return (IRR) will provide a balanced picture of risk and profitability (</w:t>
      </w:r>
      <w:proofErr w:type="spellStart"/>
      <w:r w:rsidRPr="00186F97">
        <w:t>Bahodirovich</w:t>
      </w:r>
      <w:proofErr w:type="spellEnd"/>
      <w:r w:rsidRPr="00186F97">
        <w:t>, 2025). The discount rate is at 10 percent and depreciation is not being depreciated on a straight-line basis during the 5 years of each project life.</w:t>
      </w:r>
    </w:p>
    <w:p w14:paraId="40C7152A" w14:textId="77777777" w:rsidR="00972485" w:rsidRPr="00972485" w:rsidRDefault="00972485" w:rsidP="00972485">
      <w:pPr>
        <w:rPr>
          <w:b/>
          <w:bCs/>
        </w:rPr>
      </w:pPr>
      <w:r w:rsidRPr="00972485">
        <w:rPr>
          <w:b/>
          <w:bCs/>
        </w:rPr>
        <w:t>Payback Period (PBP)</w:t>
      </w:r>
    </w:p>
    <w:p w14:paraId="3083CB31" w14:textId="558FE8CD" w:rsidR="00972485" w:rsidRPr="00972485" w:rsidRDefault="00186F97" w:rsidP="00972485">
      <w:r w:rsidRPr="00186F97">
        <w:t>Payback period refers to the duration in which a cumulative inflow of cash covers the initial investment. It does not consider the time value of money but can be employed in a firm that is liquidity-constrained</w:t>
      </w:r>
      <w:r w:rsidR="00972485" w:rsidRPr="00972485">
        <w:t>.</w:t>
      </w:r>
    </w:p>
    <w:p w14:paraId="4B16F5F6" w14:textId="6B8CCD53" w:rsidR="00972485" w:rsidRPr="00972485" w:rsidRDefault="00972485" w:rsidP="00972485">
      <w:pPr>
        <w:numPr>
          <w:ilvl w:val="0"/>
          <w:numId w:val="7"/>
        </w:numPr>
      </w:pPr>
      <w:r w:rsidRPr="00972485">
        <w:rPr>
          <w:b/>
          <w:bCs/>
        </w:rPr>
        <w:t>Project A:</w:t>
      </w:r>
      <w:r w:rsidRPr="00972485">
        <w:t xml:space="preserve"> </w:t>
      </w:r>
      <w:r w:rsidR="00186F97" w:rsidRPr="00186F97">
        <w:t xml:space="preserve">First outlay </w:t>
      </w:r>
      <w:r w:rsidR="0067657E" w:rsidRPr="00972485">
        <w:t>£</w:t>
      </w:r>
      <w:r w:rsidR="00186F97" w:rsidRPr="00186F97">
        <w:t xml:space="preserve">40m. The cumulative cash inflows are about </w:t>
      </w:r>
      <w:r w:rsidR="0067657E" w:rsidRPr="00972485">
        <w:t>£</w:t>
      </w:r>
      <w:r w:rsidR="00186F97" w:rsidRPr="00186F97">
        <w:t>40m in Mid-Year 4 with a PBP of 3.4 years.</w:t>
      </w:r>
    </w:p>
    <w:p w14:paraId="4AE6AC11" w14:textId="76E7B6EB" w:rsidR="00972485" w:rsidRPr="00972485" w:rsidRDefault="00972485" w:rsidP="00972485">
      <w:pPr>
        <w:numPr>
          <w:ilvl w:val="0"/>
          <w:numId w:val="7"/>
        </w:numPr>
      </w:pPr>
      <w:r w:rsidRPr="00972485">
        <w:rPr>
          <w:b/>
          <w:bCs/>
        </w:rPr>
        <w:t>Project B:</w:t>
      </w:r>
      <w:r w:rsidRPr="00972485">
        <w:t xml:space="preserve"> </w:t>
      </w:r>
      <w:r w:rsidR="0067657E" w:rsidRPr="00972485">
        <w:t>£</w:t>
      </w:r>
      <w:r w:rsidR="00F24391" w:rsidRPr="00F24391">
        <w:t xml:space="preserve">30m starting capital and fixed inflows of </w:t>
      </w:r>
      <w:r w:rsidR="0067657E" w:rsidRPr="00972485">
        <w:t>£</w:t>
      </w:r>
      <w:r w:rsidR="00F24391" w:rsidRPr="00F24391">
        <w:t>6m/year would yield a full recovery in Year 5, therefore PBP = 5 years.</w:t>
      </w:r>
    </w:p>
    <w:p w14:paraId="0E63EFE1" w14:textId="02142D8F" w:rsidR="00972485" w:rsidRPr="00972485" w:rsidRDefault="00972485" w:rsidP="00972485">
      <w:pPr>
        <w:numPr>
          <w:ilvl w:val="0"/>
          <w:numId w:val="7"/>
        </w:numPr>
      </w:pPr>
      <w:r w:rsidRPr="00972485">
        <w:rPr>
          <w:b/>
          <w:bCs/>
        </w:rPr>
        <w:t>Project C:</w:t>
      </w:r>
      <w:r w:rsidRPr="00972485">
        <w:t xml:space="preserve"> </w:t>
      </w:r>
      <w:r w:rsidR="00F24391" w:rsidRPr="00F24391">
        <w:t xml:space="preserve">Years 3 and 4 inflows are good hence the initial investment of </w:t>
      </w:r>
      <w:r w:rsidR="0067657E" w:rsidRPr="00972485">
        <w:t>£</w:t>
      </w:r>
      <w:r w:rsidR="00F24391" w:rsidRPr="00F24391">
        <w:t>50m is paid back Years 4 and 5 with PBP of about 4.1 years.</w:t>
      </w:r>
    </w:p>
    <w:p w14:paraId="2AF64D34" w14:textId="42DC720F" w:rsidR="00972485" w:rsidRPr="00972485" w:rsidRDefault="00F24391" w:rsidP="00972485">
      <w:r w:rsidRPr="00F24391">
        <w:t>Project A is the project with the fastest payback, then comes Project C and lastly, Project B is least attractive in this context</w:t>
      </w:r>
      <w:r w:rsidR="00972485" w:rsidRPr="00972485">
        <w:t>.</w:t>
      </w:r>
    </w:p>
    <w:p w14:paraId="45FC7BC9" w14:textId="77777777" w:rsidR="00972485" w:rsidRPr="00972485" w:rsidRDefault="00972485" w:rsidP="00972485">
      <w:pPr>
        <w:rPr>
          <w:b/>
          <w:bCs/>
        </w:rPr>
      </w:pPr>
      <w:r w:rsidRPr="00972485">
        <w:rPr>
          <w:b/>
          <w:bCs/>
        </w:rPr>
        <w:t>Accounting Rate of Return (ARR)</w:t>
      </w:r>
    </w:p>
    <w:p w14:paraId="0225BB32" w14:textId="77777777" w:rsidR="00972485" w:rsidRPr="00972485" w:rsidRDefault="00972485" w:rsidP="00972485">
      <w:r w:rsidRPr="00972485">
        <w:t>ARR = (Average annual profit ÷ Initial investment)</w:t>
      </w:r>
    </w:p>
    <w:p w14:paraId="7C8B1339" w14:textId="77777777" w:rsidR="00972485" w:rsidRPr="00972485" w:rsidRDefault="00972485" w:rsidP="00972485">
      <w:r w:rsidRPr="00972485">
        <w:t>Using the provided results:</w:t>
      </w:r>
    </w:p>
    <w:p w14:paraId="7E6D7C66" w14:textId="77777777" w:rsidR="00972485" w:rsidRPr="00972485" w:rsidRDefault="00972485" w:rsidP="00972485">
      <w:pPr>
        <w:numPr>
          <w:ilvl w:val="0"/>
          <w:numId w:val="8"/>
        </w:numPr>
      </w:pPr>
      <w:r w:rsidRPr="00972485">
        <w:rPr>
          <w:b/>
          <w:bCs/>
        </w:rPr>
        <w:t>Project A:</w:t>
      </w:r>
      <w:r w:rsidRPr="00972485">
        <w:t xml:space="preserve"> ARR = 25%</w:t>
      </w:r>
    </w:p>
    <w:p w14:paraId="494A4E37" w14:textId="77777777" w:rsidR="00972485" w:rsidRPr="00972485" w:rsidRDefault="00972485" w:rsidP="00972485">
      <w:pPr>
        <w:numPr>
          <w:ilvl w:val="0"/>
          <w:numId w:val="8"/>
        </w:numPr>
      </w:pPr>
      <w:r w:rsidRPr="00972485">
        <w:rPr>
          <w:b/>
          <w:bCs/>
        </w:rPr>
        <w:lastRenderedPageBreak/>
        <w:t>Project B:</w:t>
      </w:r>
      <w:r w:rsidRPr="00972485">
        <w:t xml:space="preserve"> ARR = 20%</w:t>
      </w:r>
    </w:p>
    <w:p w14:paraId="42A762E1" w14:textId="77777777" w:rsidR="00972485" w:rsidRPr="00972485" w:rsidRDefault="00972485" w:rsidP="00972485">
      <w:pPr>
        <w:numPr>
          <w:ilvl w:val="0"/>
          <w:numId w:val="8"/>
        </w:numPr>
      </w:pPr>
      <w:r w:rsidRPr="00972485">
        <w:rPr>
          <w:b/>
          <w:bCs/>
        </w:rPr>
        <w:t>Project C:</w:t>
      </w:r>
      <w:r w:rsidRPr="00972485">
        <w:t xml:space="preserve"> ARR = 30%</w:t>
      </w:r>
    </w:p>
    <w:p w14:paraId="2A8935D8" w14:textId="076C4B14" w:rsidR="00972485" w:rsidRPr="00972485" w:rsidRDefault="00F24391" w:rsidP="00972485">
      <w:r w:rsidRPr="00F24391">
        <w:t>Project C yields the highest accounting profit, meaning it will be more profitable per annum than the capital invested. Project A follows, and the weakest project is Project B</w:t>
      </w:r>
      <w:r w:rsidR="00972485" w:rsidRPr="00972485">
        <w:t>.</w:t>
      </w:r>
    </w:p>
    <w:p w14:paraId="6CE36CB8" w14:textId="77777777" w:rsidR="00972485" w:rsidRPr="00972485" w:rsidRDefault="00972485" w:rsidP="00972485">
      <w:pPr>
        <w:rPr>
          <w:b/>
          <w:bCs/>
        </w:rPr>
      </w:pPr>
      <w:r w:rsidRPr="00972485">
        <w:rPr>
          <w:b/>
          <w:bCs/>
        </w:rPr>
        <w:t>Net Present Value (NPV)</w:t>
      </w:r>
    </w:p>
    <w:p w14:paraId="6BCEB318" w14:textId="42A18D21" w:rsidR="00972485" w:rsidRPr="00972485" w:rsidRDefault="00F24391" w:rsidP="00972485">
      <w:r w:rsidRPr="00F24391">
        <w:t>The NPV is the most concrete means of evaluation as it takes into account discounted cash flows in the future and reflects both profitability and shareholder value generation</w:t>
      </w:r>
      <w:r w:rsidR="00972485" w:rsidRPr="00972485">
        <w:t>.</w:t>
      </w:r>
    </w:p>
    <w:p w14:paraId="2FBBDE30" w14:textId="77777777" w:rsidR="00972485" w:rsidRDefault="00972485" w:rsidP="00972485">
      <w:pPr>
        <w:numPr>
          <w:ilvl w:val="0"/>
          <w:numId w:val="9"/>
        </w:numPr>
      </w:pPr>
      <w:r w:rsidRPr="00972485">
        <w:rPr>
          <w:b/>
          <w:bCs/>
        </w:rPr>
        <w:t>Project A:</w:t>
      </w:r>
      <w:r w:rsidRPr="00972485">
        <w:t xml:space="preserve"> Total PV of inflows = £41.323m, therefore</w:t>
      </w:r>
    </w:p>
    <w:p w14:paraId="73B9A16B" w14:textId="55479D45" w:rsidR="00972485" w:rsidRPr="00972485" w:rsidRDefault="00972485" w:rsidP="00972485">
      <w:pPr>
        <w:ind w:left="720"/>
      </w:pPr>
      <w:r w:rsidRPr="00972485">
        <w:t>NPV = £41.323m – £40m = £1.323m</w:t>
      </w:r>
    </w:p>
    <w:p w14:paraId="5C88B7D0" w14:textId="77777777" w:rsidR="00972485" w:rsidRDefault="00972485" w:rsidP="00972485">
      <w:pPr>
        <w:numPr>
          <w:ilvl w:val="0"/>
          <w:numId w:val="9"/>
        </w:numPr>
      </w:pPr>
      <w:r w:rsidRPr="00972485">
        <w:rPr>
          <w:b/>
          <w:bCs/>
        </w:rPr>
        <w:t>Project B:</w:t>
      </w:r>
      <w:r w:rsidRPr="00972485">
        <w:t xml:space="preserve"> Total PV of inflows = £22.663m, therefore</w:t>
      </w:r>
    </w:p>
    <w:p w14:paraId="33726FE5" w14:textId="040083DA" w:rsidR="00972485" w:rsidRPr="00972485" w:rsidRDefault="00972485" w:rsidP="00972485">
      <w:pPr>
        <w:ind w:left="720"/>
      </w:pPr>
      <w:r w:rsidRPr="00972485">
        <w:t>NPV = £22.663m – £30m = –£7.337m</w:t>
      </w:r>
    </w:p>
    <w:p w14:paraId="79856FB6" w14:textId="77777777" w:rsidR="00972485" w:rsidRDefault="00972485" w:rsidP="00972485">
      <w:pPr>
        <w:numPr>
          <w:ilvl w:val="0"/>
          <w:numId w:val="9"/>
        </w:numPr>
      </w:pPr>
      <w:r w:rsidRPr="00972485">
        <w:rPr>
          <w:b/>
          <w:bCs/>
        </w:rPr>
        <w:t>Project C:</w:t>
      </w:r>
      <w:r w:rsidRPr="00972485">
        <w:t xml:space="preserve"> Total PV of inflows = £54.225m, therefore</w:t>
      </w:r>
    </w:p>
    <w:p w14:paraId="483B7EEE" w14:textId="0F1B9EF1" w:rsidR="00972485" w:rsidRPr="00972485" w:rsidRDefault="00972485" w:rsidP="00972485">
      <w:pPr>
        <w:ind w:left="720"/>
      </w:pPr>
      <w:r w:rsidRPr="00972485">
        <w:t>NPV = £54.225m – £50m = £4.225m</w:t>
      </w:r>
    </w:p>
    <w:p w14:paraId="2D814907" w14:textId="14B1E973" w:rsidR="00972485" w:rsidRPr="00972485" w:rsidRDefault="00F24391" w:rsidP="00972485">
      <w:r w:rsidRPr="00F24391">
        <w:t>Project C has the highest NPV, with the greatest shareholder value. Project A has a low positive NPV and Project B annihilates at a 10% discount rate</w:t>
      </w:r>
      <w:r>
        <w:t xml:space="preserve"> </w:t>
      </w:r>
      <w:r w:rsidR="006545C7">
        <w:t>(</w:t>
      </w:r>
      <w:r w:rsidR="006545C7" w:rsidRPr="007E5106">
        <w:t>Ball</w:t>
      </w:r>
      <w:r w:rsidR="006545C7">
        <w:t xml:space="preserve"> </w:t>
      </w:r>
      <w:r w:rsidR="006545C7" w:rsidRPr="007E5106">
        <w:t xml:space="preserve">and Nikolaev, </w:t>
      </w:r>
      <w:r w:rsidR="006545C7">
        <w:t>2022)</w:t>
      </w:r>
      <w:r w:rsidR="00972485" w:rsidRPr="00972485">
        <w:t>.</w:t>
      </w:r>
    </w:p>
    <w:p w14:paraId="53DB5FD8" w14:textId="77777777" w:rsidR="00972485" w:rsidRPr="00972485" w:rsidRDefault="00972485" w:rsidP="00972485">
      <w:pPr>
        <w:rPr>
          <w:b/>
          <w:bCs/>
        </w:rPr>
      </w:pPr>
      <w:r w:rsidRPr="00972485">
        <w:rPr>
          <w:b/>
          <w:bCs/>
        </w:rPr>
        <w:t>Profitability Index (PI)</w:t>
      </w:r>
    </w:p>
    <w:p w14:paraId="21F8B431" w14:textId="38244857" w:rsidR="00972485" w:rsidRPr="00972485" w:rsidRDefault="00F24391" w:rsidP="00972485">
      <w:r w:rsidRPr="00F24391">
        <w:t>PI is a measurement of value created per unit of investment</w:t>
      </w:r>
      <w:r w:rsidR="00972485" w:rsidRPr="00972485">
        <w:t>.</w:t>
      </w:r>
    </w:p>
    <w:p w14:paraId="5D2583A8" w14:textId="77777777" w:rsidR="00972485" w:rsidRPr="00972485" w:rsidRDefault="00972485" w:rsidP="00972485">
      <w:pPr>
        <w:numPr>
          <w:ilvl w:val="0"/>
          <w:numId w:val="10"/>
        </w:numPr>
      </w:pPr>
      <w:r w:rsidRPr="00972485">
        <w:rPr>
          <w:b/>
          <w:bCs/>
        </w:rPr>
        <w:t>Project A:</w:t>
      </w:r>
      <w:r w:rsidRPr="00972485">
        <w:t xml:space="preserve"> PI = 1.033</w:t>
      </w:r>
    </w:p>
    <w:p w14:paraId="0338A54B" w14:textId="77777777" w:rsidR="00972485" w:rsidRPr="00972485" w:rsidRDefault="00972485" w:rsidP="00972485">
      <w:pPr>
        <w:numPr>
          <w:ilvl w:val="0"/>
          <w:numId w:val="10"/>
        </w:numPr>
      </w:pPr>
      <w:r w:rsidRPr="00972485">
        <w:rPr>
          <w:b/>
          <w:bCs/>
        </w:rPr>
        <w:t>Project B:</w:t>
      </w:r>
      <w:r w:rsidRPr="00972485">
        <w:t xml:space="preserve"> PI = 0.755</w:t>
      </w:r>
    </w:p>
    <w:p w14:paraId="2F29D8E2" w14:textId="77777777" w:rsidR="00972485" w:rsidRPr="00972485" w:rsidRDefault="00972485" w:rsidP="00972485">
      <w:pPr>
        <w:numPr>
          <w:ilvl w:val="0"/>
          <w:numId w:val="10"/>
        </w:numPr>
      </w:pPr>
      <w:r w:rsidRPr="00972485">
        <w:rPr>
          <w:b/>
          <w:bCs/>
        </w:rPr>
        <w:t>Project C:</w:t>
      </w:r>
      <w:r w:rsidRPr="00972485">
        <w:t xml:space="preserve"> PI = 1.0845</w:t>
      </w:r>
    </w:p>
    <w:p w14:paraId="73721724" w14:textId="510E3972" w:rsidR="00972485" w:rsidRPr="00972485" w:rsidRDefault="00905304" w:rsidP="00972485">
      <w:r w:rsidRPr="00905304">
        <w:t>Project C has the highest returns per pound invested, followed by Project A, and project B does not qualify as PI</w:t>
      </w:r>
      <w:r>
        <w:t>&gt;</w:t>
      </w:r>
      <w:r w:rsidRPr="00905304">
        <w:t>1</w:t>
      </w:r>
      <w:r w:rsidR="00972485" w:rsidRPr="00972485">
        <w:t>.</w:t>
      </w:r>
    </w:p>
    <w:p w14:paraId="7AEEA407" w14:textId="77777777" w:rsidR="00972485" w:rsidRPr="00972485" w:rsidRDefault="00972485" w:rsidP="00972485">
      <w:pPr>
        <w:rPr>
          <w:b/>
          <w:bCs/>
        </w:rPr>
      </w:pPr>
      <w:r w:rsidRPr="00972485">
        <w:rPr>
          <w:b/>
          <w:bCs/>
        </w:rPr>
        <w:t>Internal Rate of Return (IRR)</w:t>
      </w:r>
    </w:p>
    <w:p w14:paraId="3017ACBC" w14:textId="77777777" w:rsidR="00972485" w:rsidRPr="00972485" w:rsidRDefault="00972485" w:rsidP="00972485">
      <w:pPr>
        <w:numPr>
          <w:ilvl w:val="0"/>
          <w:numId w:val="11"/>
        </w:numPr>
      </w:pPr>
      <w:r w:rsidRPr="00972485">
        <w:rPr>
          <w:b/>
          <w:bCs/>
        </w:rPr>
        <w:t>Project A:</w:t>
      </w:r>
      <w:r w:rsidRPr="00972485">
        <w:t xml:space="preserve"> IRR = 11%</w:t>
      </w:r>
    </w:p>
    <w:p w14:paraId="174A7C72" w14:textId="77777777" w:rsidR="00972485" w:rsidRPr="00972485" w:rsidRDefault="00972485" w:rsidP="00972485">
      <w:pPr>
        <w:numPr>
          <w:ilvl w:val="0"/>
          <w:numId w:val="11"/>
        </w:numPr>
      </w:pPr>
      <w:r w:rsidRPr="00972485">
        <w:rPr>
          <w:b/>
          <w:bCs/>
        </w:rPr>
        <w:lastRenderedPageBreak/>
        <w:t>Project B:</w:t>
      </w:r>
      <w:r w:rsidRPr="00972485">
        <w:t xml:space="preserve"> IRR = 7%</w:t>
      </w:r>
    </w:p>
    <w:p w14:paraId="1F94D438" w14:textId="77777777" w:rsidR="00972485" w:rsidRPr="00972485" w:rsidRDefault="00972485" w:rsidP="00972485">
      <w:pPr>
        <w:numPr>
          <w:ilvl w:val="0"/>
          <w:numId w:val="11"/>
        </w:numPr>
      </w:pPr>
      <w:r w:rsidRPr="00972485">
        <w:rPr>
          <w:b/>
          <w:bCs/>
        </w:rPr>
        <w:t>Project C:</w:t>
      </w:r>
      <w:r w:rsidRPr="00972485">
        <w:t xml:space="preserve"> IRR = 14–15%</w:t>
      </w:r>
    </w:p>
    <w:p w14:paraId="7D564697" w14:textId="19D229E8" w:rsidR="00972485" w:rsidRPr="00972485" w:rsidRDefault="00905304" w:rsidP="00972485">
      <w:r w:rsidRPr="00905304">
        <w:t>Project C has the highest IRR, which is much higher than the cost of capital. Project A is just above 10 percent, but Project B is much less than the requirement. Project C records the highest financial performance in all the five appraisal techniques with large but back-loaded inflows. Project A has steady but low returns and a fair payback. Project B fails on all indicators and is not profitable</w:t>
      </w:r>
      <w:r>
        <w:t xml:space="preserve"> </w:t>
      </w:r>
      <w:r w:rsidR="006545C7">
        <w:t>(</w:t>
      </w:r>
      <w:proofErr w:type="spellStart"/>
      <w:r w:rsidR="006545C7" w:rsidRPr="007C2455">
        <w:t>Umamik</w:t>
      </w:r>
      <w:proofErr w:type="spellEnd"/>
      <w:r w:rsidR="006545C7" w:rsidRPr="007C2455">
        <w:t>, 2023</w:t>
      </w:r>
      <w:r w:rsidR="006545C7">
        <w:t>)</w:t>
      </w:r>
      <w:r w:rsidR="00972485" w:rsidRPr="00972485">
        <w:t>.</w:t>
      </w:r>
    </w:p>
    <w:p w14:paraId="71DF01CB" w14:textId="77777777" w:rsidR="00972485" w:rsidRPr="00972485" w:rsidRDefault="00972485" w:rsidP="00972485">
      <w:pPr>
        <w:pStyle w:val="Heading2"/>
      </w:pPr>
      <w:bookmarkStart w:id="14" w:name="_Toc216277096"/>
      <w:r w:rsidRPr="00972485">
        <w:t>4.2 Investment Recommendation Under Capital Rationing (£60m Limit)</w:t>
      </w:r>
      <w:bookmarkEnd w:id="14"/>
    </w:p>
    <w:p w14:paraId="1354BB2A" w14:textId="5B870518" w:rsidR="00972485" w:rsidRPr="00972485" w:rsidRDefault="00905304" w:rsidP="00972485">
      <w:r w:rsidRPr="00905304">
        <w:t xml:space="preserve">In capital rationing, investment decision must consider both the returns on money and the constraint of expendable capital. The number of projects that can be undertaken simultaneously is limited to a ceiling of </w:t>
      </w:r>
      <w:r w:rsidR="00EB099F" w:rsidRPr="00972485">
        <w:t>£</w:t>
      </w:r>
      <w:r w:rsidRPr="00905304">
        <w:t>60 million pounds. Possible combinations are 3</w:t>
      </w:r>
      <w:r w:rsidR="00972485" w:rsidRPr="00972485">
        <w:t>:</w:t>
      </w:r>
    </w:p>
    <w:p w14:paraId="349CFBD2" w14:textId="77777777" w:rsidR="00972485" w:rsidRPr="00972485" w:rsidRDefault="00972485" w:rsidP="00972485">
      <w:pPr>
        <w:rPr>
          <w:b/>
          <w:bCs/>
        </w:rPr>
      </w:pPr>
      <w:r w:rsidRPr="00972485">
        <w:rPr>
          <w:b/>
          <w:bCs/>
        </w:rPr>
        <w:t>Only Project A</w:t>
      </w:r>
    </w:p>
    <w:p w14:paraId="05757EA9" w14:textId="77777777" w:rsidR="00972485" w:rsidRPr="00972485" w:rsidRDefault="00972485" w:rsidP="00972485">
      <w:pPr>
        <w:numPr>
          <w:ilvl w:val="0"/>
          <w:numId w:val="12"/>
        </w:numPr>
      </w:pPr>
      <w:r w:rsidRPr="00972485">
        <w:t>Investment = £40m</w:t>
      </w:r>
    </w:p>
    <w:p w14:paraId="0788C4EF" w14:textId="77777777" w:rsidR="00972485" w:rsidRPr="00972485" w:rsidRDefault="00972485" w:rsidP="00972485">
      <w:pPr>
        <w:numPr>
          <w:ilvl w:val="0"/>
          <w:numId w:val="12"/>
        </w:numPr>
      </w:pPr>
      <w:r w:rsidRPr="00972485">
        <w:t>NPV = £1.323m</w:t>
      </w:r>
    </w:p>
    <w:p w14:paraId="24F7A665" w14:textId="15AF96DC" w:rsidR="00972485" w:rsidRPr="00972485" w:rsidRDefault="00905304" w:rsidP="00972485">
      <w:r w:rsidRPr="00905304">
        <w:t>Here, two-thirds of the capital is used, but the NPV is also positive and PI is the second-largest. However, it does not maximize shareholder value and under-uses the investment ceiling</w:t>
      </w:r>
      <w:r w:rsidR="00972485" w:rsidRPr="00972485">
        <w:t>.</w:t>
      </w:r>
    </w:p>
    <w:p w14:paraId="4BB7328E" w14:textId="77777777" w:rsidR="00972485" w:rsidRPr="00972485" w:rsidRDefault="00972485" w:rsidP="00972485">
      <w:pPr>
        <w:rPr>
          <w:b/>
          <w:bCs/>
        </w:rPr>
      </w:pPr>
      <w:r w:rsidRPr="00972485">
        <w:rPr>
          <w:b/>
          <w:bCs/>
        </w:rPr>
        <w:t>Only Project B</w:t>
      </w:r>
    </w:p>
    <w:p w14:paraId="4E1B3E76" w14:textId="77777777" w:rsidR="00972485" w:rsidRPr="00972485" w:rsidRDefault="00972485" w:rsidP="00972485">
      <w:pPr>
        <w:numPr>
          <w:ilvl w:val="0"/>
          <w:numId w:val="13"/>
        </w:numPr>
      </w:pPr>
      <w:r w:rsidRPr="00972485">
        <w:t>Investment = £30m</w:t>
      </w:r>
    </w:p>
    <w:p w14:paraId="06381CA6" w14:textId="77777777" w:rsidR="00972485" w:rsidRPr="00972485" w:rsidRDefault="00972485" w:rsidP="00972485">
      <w:pPr>
        <w:numPr>
          <w:ilvl w:val="0"/>
          <w:numId w:val="13"/>
        </w:numPr>
      </w:pPr>
      <w:r w:rsidRPr="00972485">
        <w:t>NPV = –£7.337m</w:t>
      </w:r>
    </w:p>
    <w:p w14:paraId="31AFAF5F" w14:textId="4D57F758" w:rsidR="00972485" w:rsidRPr="00972485" w:rsidRDefault="00905304" w:rsidP="00972485">
      <w:r w:rsidRPr="00905304">
        <w:t>It is not economically viable, as it has negative NPV, smallest IRR, and smallest ARR. Capital rationing principles should avoid value-destroying projects</w:t>
      </w:r>
      <w:r w:rsidR="00972485" w:rsidRPr="00972485">
        <w:t>.</w:t>
      </w:r>
    </w:p>
    <w:p w14:paraId="3BE7A9A7" w14:textId="77777777" w:rsidR="00972485" w:rsidRPr="00972485" w:rsidRDefault="00972485" w:rsidP="00972485">
      <w:pPr>
        <w:rPr>
          <w:b/>
          <w:bCs/>
        </w:rPr>
      </w:pPr>
      <w:r w:rsidRPr="00972485">
        <w:rPr>
          <w:b/>
          <w:bCs/>
        </w:rPr>
        <w:t>Only Project C</w:t>
      </w:r>
    </w:p>
    <w:p w14:paraId="416432DA" w14:textId="77777777" w:rsidR="00972485" w:rsidRPr="00972485" w:rsidRDefault="00972485" w:rsidP="00972485">
      <w:pPr>
        <w:numPr>
          <w:ilvl w:val="0"/>
          <w:numId w:val="14"/>
        </w:numPr>
      </w:pPr>
      <w:r w:rsidRPr="00972485">
        <w:t>Investment = £50m</w:t>
      </w:r>
    </w:p>
    <w:p w14:paraId="3BFF9E1A" w14:textId="77777777" w:rsidR="00972485" w:rsidRPr="00972485" w:rsidRDefault="00972485" w:rsidP="00972485">
      <w:pPr>
        <w:numPr>
          <w:ilvl w:val="0"/>
          <w:numId w:val="14"/>
        </w:numPr>
      </w:pPr>
      <w:r w:rsidRPr="00972485">
        <w:t>NPV = £4.225m</w:t>
      </w:r>
    </w:p>
    <w:p w14:paraId="58611B2B" w14:textId="4AD4FDA8" w:rsidR="00972485" w:rsidRPr="00972485" w:rsidRDefault="00905304" w:rsidP="00972485">
      <w:r w:rsidRPr="00905304">
        <w:lastRenderedPageBreak/>
        <w:t>Project C has the highest absolute NPV and PI. It offers the best combination of profitability, risk-adjusted performance, and shareholder value creation</w:t>
      </w:r>
      <w:r w:rsidR="00972485" w:rsidRPr="00972485">
        <w:t>.</w:t>
      </w:r>
    </w:p>
    <w:p w14:paraId="205C24A7" w14:textId="77777777" w:rsidR="00972485" w:rsidRPr="00972485" w:rsidRDefault="00972485" w:rsidP="00972485">
      <w:pPr>
        <w:rPr>
          <w:b/>
          <w:bCs/>
        </w:rPr>
      </w:pPr>
      <w:r w:rsidRPr="00972485">
        <w:rPr>
          <w:b/>
          <w:bCs/>
        </w:rPr>
        <w:t>Possible Combination: A + B</w:t>
      </w:r>
    </w:p>
    <w:p w14:paraId="20EA459D" w14:textId="77777777" w:rsidR="00972485" w:rsidRDefault="00972485" w:rsidP="00972485">
      <w:r w:rsidRPr="00972485">
        <w:t>Total investment = £40m + £30m = £70m</w:t>
      </w:r>
    </w:p>
    <w:p w14:paraId="09F6E0F4" w14:textId="15FF888A" w:rsidR="00972485" w:rsidRPr="00972485" w:rsidRDefault="00080AC5" w:rsidP="00972485">
      <w:r w:rsidRPr="00080AC5">
        <w:t xml:space="preserve">This exceeds the </w:t>
      </w:r>
      <w:r w:rsidRPr="00972485">
        <w:t>£</w:t>
      </w:r>
      <w:r w:rsidRPr="00080AC5">
        <w:t>60m limit and is therefore impractical</w:t>
      </w:r>
      <w:r w:rsidR="00972485" w:rsidRPr="00972485">
        <w:t>.</w:t>
      </w:r>
    </w:p>
    <w:p w14:paraId="5F20B2A7" w14:textId="77777777" w:rsidR="00972485" w:rsidRPr="00972485" w:rsidRDefault="00972485" w:rsidP="00972485">
      <w:pPr>
        <w:rPr>
          <w:b/>
          <w:bCs/>
        </w:rPr>
      </w:pPr>
      <w:r w:rsidRPr="00972485">
        <w:rPr>
          <w:b/>
          <w:bCs/>
        </w:rPr>
        <w:t>Possible Combination: B + C</w:t>
      </w:r>
    </w:p>
    <w:p w14:paraId="6585E2A7" w14:textId="77777777" w:rsidR="00972485" w:rsidRDefault="00972485" w:rsidP="00972485">
      <w:r w:rsidRPr="00972485">
        <w:t>Total investment = £30m + £50m = £80m</w:t>
      </w:r>
    </w:p>
    <w:p w14:paraId="04728B7C" w14:textId="223F3837" w:rsidR="00972485" w:rsidRPr="00972485" w:rsidRDefault="00080AC5" w:rsidP="00972485">
      <w:r w:rsidRPr="00080AC5">
        <w:t>And even the capital ceiling</w:t>
      </w:r>
      <w:r w:rsidR="00972485" w:rsidRPr="00972485">
        <w:t>.</w:t>
      </w:r>
    </w:p>
    <w:p w14:paraId="395DCD38" w14:textId="77777777" w:rsidR="00972485" w:rsidRPr="00972485" w:rsidRDefault="00972485" w:rsidP="00972485">
      <w:pPr>
        <w:rPr>
          <w:b/>
          <w:bCs/>
        </w:rPr>
      </w:pPr>
      <w:r w:rsidRPr="00972485">
        <w:rPr>
          <w:b/>
          <w:bCs/>
        </w:rPr>
        <w:t>Possible Combination: A + C</w:t>
      </w:r>
    </w:p>
    <w:p w14:paraId="3F4CE440" w14:textId="77777777" w:rsidR="00972485" w:rsidRDefault="00972485" w:rsidP="00972485">
      <w:r w:rsidRPr="00972485">
        <w:t>Total investment = £40m + £50m = £90m</w:t>
      </w:r>
    </w:p>
    <w:p w14:paraId="5E96A785" w14:textId="03DD4B16" w:rsidR="00972485" w:rsidRPr="00972485" w:rsidRDefault="00972485" w:rsidP="00972485">
      <w:r w:rsidRPr="00972485">
        <w:t>Not feasible.</w:t>
      </w:r>
    </w:p>
    <w:p w14:paraId="54A592C6" w14:textId="77777777" w:rsidR="00972485" w:rsidRPr="00972485" w:rsidRDefault="00972485" w:rsidP="00972485">
      <w:pPr>
        <w:rPr>
          <w:b/>
          <w:bCs/>
          <w:i/>
          <w:iCs/>
        </w:rPr>
      </w:pPr>
      <w:r w:rsidRPr="00972485">
        <w:rPr>
          <w:b/>
          <w:bCs/>
          <w:i/>
          <w:iCs/>
        </w:rPr>
        <w:t>Conclusion of Capital Rationing Decision</w:t>
      </w:r>
    </w:p>
    <w:p w14:paraId="23E6B809" w14:textId="77777777" w:rsidR="00080AC5" w:rsidRDefault="00080AC5" w:rsidP="00080AC5">
      <w:r>
        <w:t xml:space="preserve">The solution which </w:t>
      </w:r>
      <w:proofErr w:type="spellStart"/>
      <w:r>
        <w:t>maximises</w:t>
      </w:r>
      <w:proofErr w:type="spellEnd"/>
      <w:r>
        <w:t xml:space="preserve"> the value and still fits within the constraint of 60m is: Select Project C only.</w:t>
      </w:r>
    </w:p>
    <w:p w14:paraId="72E25003" w14:textId="652EF826" w:rsidR="00972485" w:rsidRPr="00972485" w:rsidRDefault="00080AC5" w:rsidP="00080AC5">
      <w:r>
        <w:t>It adheres to the limit of investment, gives maximum NPV, offers the highest PI, and has the best IRR. Project A is also profitable yet incompatible with Project C because of the budget limit. The selection of Project A would also come at the expense of a large portion of positive NPV in Project C.</w:t>
      </w:r>
    </w:p>
    <w:p w14:paraId="6F248563" w14:textId="77777777" w:rsidR="00972485" w:rsidRPr="00972485" w:rsidRDefault="00972485" w:rsidP="00972485">
      <w:pPr>
        <w:pStyle w:val="Heading2"/>
      </w:pPr>
      <w:bookmarkStart w:id="15" w:name="_Toc216277097"/>
      <w:r w:rsidRPr="00972485">
        <w:t>4.3 Justification Linked to Company Financial Performance and Project Risk Characteristics</w:t>
      </w:r>
      <w:bookmarkEnd w:id="15"/>
    </w:p>
    <w:p w14:paraId="671E225F" w14:textId="278F4227" w:rsidR="00972485" w:rsidRPr="00972485" w:rsidRDefault="00080AC5" w:rsidP="00972485">
      <w:r w:rsidRPr="00080AC5">
        <w:t xml:space="preserve">Investment in distress should be at the discretion of the entire </w:t>
      </w:r>
      <w:proofErr w:type="spellStart"/>
      <w:r w:rsidRPr="00080AC5">
        <w:t>organisation</w:t>
      </w:r>
      <w:proofErr w:type="spellEnd"/>
      <w:r w:rsidRPr="00080AC5">
        <w:t xml:space="preserve">. The </w:t>
      </w:r>
      <w:proofErr w:type="gramStart"/>
      <w:r w:rsidRPr="00080AC5">
        <w:t>five year</w:t>
      </w:r>
      <w:proofErr w:type="gramEnd"/>
      <w:r w:rsidRPr="00080AC5">
        <w:t xml:space="preserve"> performance of the company suggests material liquidity strain, declining margins, variable earnings and rising risk exposure. Such financial aspects play a major role in the decision of capital projects</w:t>
      </w:r>
      <w:r w:rsidR="00972485" w:rsidRPr="00972485">
        <w:t>.</w:t>
      </w:r>
    </w:p>
    <w:p w14:paraId="0A1976A6" w14:textId="77777777" w:rsidR="00972485" w:rsidRPr="00972485" w:rsidRDefault="00972485" w:rsidP="00972485">
      <w:pPr>
        <w:rPr>
          <w:b/>
          <w:bCs/>
        </w:rPr>
      </w:pPr>
      <w:r w:rsidRPr="00972485">
        <w:rPr>
          <w:b/>
          <w:bCs/>
        </w:rPr>
        <w:t>Connection to Profitability and Solvency Concerns</w:t>
      </w:r>
    </w:p>
    <w:p w14:paraId="5000F45A" w14:textId="06C9A389" w:rsidR="00972485" w:rsidRPr="00972485" w:rsidRDefault="00477478" w:rsidP="00972485">
      <w:r w:rsidRPr="00477478">
        <w:lastRenderedPageBreak/>
        <w:t xml:space="preserve">The company has reported a loss over a period of years and the net income has been adverse. Profit margins decline and </w:t>
      </w:r>
      <w:proofErr w:type="gramStart"/>
      <w:r w:rsidRPr="00477478">
        <w:t>returns</w:t>
      </w:r>
      <w:proofErr w:type="gramEnd"/>
      <w:r w:rsidRPr="00477478">
        <w:t xml:space="preserve"> on equity and assets are steadily declining. To turn around declining profitability, we need NPV-positive projects. Project C would best justify the need to better earnings, and it has the highest NPV and IRR, unlike Project B, which would further deteriorate the financial situation. Project A is a slightly profitable project that cannot match the earnings impact of Project C. Financial objective in a turnaround environment is concentration on high-value opportunities rather than a barrier of small cash-flow stability</w:t>
      </w:r>
      <w:r>
        <w:t xml:space="preserve"> </w:t>
      </w:r>
      <w:r w:rsidR="006545C7">
        <w:t>(</w:t>
      </w:r>
      <w:r w:rsidR="006545C7" w:rsidRPr="004E3540">
        <w:t>Jackson, 2022</w:t>
      </w:r>
      <w:r w:rsidR="006545C7">
        <w:t>)</w:t>
      </w:r>
      <w:r w:rsidR="00972485" w:rsidRPr="00972485">
        <w:t>.</w:t>
      </w:r>
    </w:p>
    <w:p w14:paraId="4FAB0E64" w14:textId="77777777" w:rsidR="00972485" w:rsidRPr="00972485" w:rsidRDefault="00972485" w:rsidP="00972485">
      <w:pPr>
        <w:rPr>
          <w:b/>
          <w:bCs/>
        </w:rPr>
      </w:pPr>
      <w:r w:rsidRPr="00972485">
        <w:rPr>
          <w:b/>
          <w:bCs/>
        </w:rPr>
        <w:t>Fit with Liquidity and Working Capital Constraints</w:t>
      </w:r>
    </w:p>
    <w:p w14:paraId="4D292E29" w14:textId="66595D1D" w:rsidR="00972485" w:rsidRPr="00972485" w:rsidRDefault="00477478" w:rsidP="00972485">
      <w:r w:rsidRPr="00477478">
        <w:t>The firm has a long working capital cycle, which has recently increased to 115 days. The liquidity metrics show chronic pressures, particularly as the days inventory outstanding and receivables turnover continue to rise. This wastage in operations reduces the capacity of the firm to finance long payback projects. Project C, even though the initial investment is the biggest, returns relatively quickly compared to its scale thanks to strong flows during Years 3 and 4. Project B with a payback of five years and low returns would not fit a liquidity-strained firm. Project A performs fairly well but with only a slight contribution to net present value. The company must select projects that generate high net cash surpluses within a manageable timeframe. Project C satisfies this criterion through its cash-flow profile</w:t>
      </w:r>
      <w:r>
        <w:t xml:space="preserve"> </w:t>
      </w:r>
      <w:r w:rsidR="006545C7">
        <w:t>(</w:t>
      </w:r>
      <w:r w:rsidR="006545C7" w:rsidRPr="004E3540">
        <w:t>Grennan</w:t>
      </w:r>
      <w:r w:rsidR="006545C7">
        <w:t xml:space="preserve"> </w:t>
      </w:r>
      <w:r w:rsidR="006545C7" w:rsidRPr="004E3540">
        <w:t>and Michaely, 2021</w:t>
      </w:r>
      <w:r w:rsidR="006545C7">
        <w:t>)</w:t>
      </w:r>
      <w:r w:rsidR="00972485" w:rsidRPr="00972485">
        <w:t>.</w:t>
      </w:r>
    </w:p>
    <w:p w14:paraId="3FDCA812" w14:textId="77777777" w:rsidR="00972485" w:rsidRPr="00972485" w:rsidRDefault="00972485" w:rsidP="00972485">
      <w:pPr>
        <w:rPr>
          <w:b/>
          <w:bCs/>
        </w:rPr>
      </w:pPr>
      <w:r w:rsidRPr="00972485">
        <w:rPr>
          <w:b/>
          <w:bCs/>
        </w:rPr>
        <w:t>Risk Characteristics and Cash Flow Volatility</w:t>
      </w:r>
    </w:p>
    <w:p w14:paraId="0F2897D4" w14:textId="114BFA0B" w:rsidR="00972485" w:rsidRPr="00972485" w:rsidRDefault="00477478" w:rsidP="00972485">
      <w:r w:rsidRPr="00477478">
        <w:t>Project risk is measured by the stability, magnitude, and timing of the expected cash inflows</w:t>
      </w:r>
      <w:r w:rsidR="00972485" w:rsidRPr="00972485">
        <w:t>.</w:t>
      </w:r>
    </w:p>
    <w:p w14:paraId="235558F7" w14:textId="28C23D63" w:rsidR="00972485" w:rsidRPr="00972485" w:rsidRDefault="00972485" w:rsidP="00972485">
      <w:pPr>
        <w:numPr>
          <w:ilvl w:val="0"/>
          <w:numId w:val="15"/>
        </w:numPr>
      </w:pPr>
      <w:r w:rsidRPr="00972485">
        <w:rPr>
          <w:b/>
          <w:bCs/>
        </w:rPr>
        <w:t>Project A:</w:t>
      </w:r>
      <w:r w:rsidRPr="00972485">
        <w:t xml:space="preserve"> </w:t>
      </w:r>
      <w:r w:rsidR="00477478" w:rsidRPr="00477478">
        <w:t>Small but predictable inflows; non-volatile; moderate pay-off.</w:t>
      </w:r>
    </w:p>
    <w:p w14:paraId="1C42B102" w14:textId="20929A37" w:rsidR="00972485" w:rsidRPr="00972485" w:rsidRDefault="00972485" w:rsidP="00972485">
      <w:pPr>
        <w:numPr>
          <w:ilvl w:val="0"/>
          <w:numId w:val="15"/>
        </w:numPr>
      </w:pPr>
      <w:r w:rsidRPr="00972485">
        <w:rPr>
          <w:b/>
          <w:bCs/>
        </w:rPr>
        <w:t>Project B:</w:t>
      </w:r>
      <w:r w:rsidRPr="00972485">
        <w:t xml:space="preserve"> </w:t>
      </w:r>
      <w:r w:rsidR="00477478" w:rsidRPr="00477478">
        <w:t>very low returns and very stable; great risk of underperforming relative to financing costs.</w:t>
      </w:r>
    </w:p>
    <w:p w14:paraId="458D52D2" w14:textId="71731E0E" w:rsidR="00972485" w:rsidRPr="00972485" w:rsidRDefault="00972485" w:rsidP="00972485">
      <w:pPr>
        <w:numPr>
          <w:ilvl w:val="0"/>
          <w:numId w:val="15"/>
        </w:numPr>
      </w:pPr>
      <w:r w:rsidRPr="00972485">
        <w:rPr>
          <w:b/>
          <w:bCs/>
        </w:rPr>
        <w:t>Project C:</w:t>
      </w:r>
      <w:r w:rsidRPr="00972485">
        <w:t xml:space="preserve"> </w:t>
      </w:r>
      <w:r w:rsidR="00477478" w:rsidRPr="00477478">
        <w:t>Bigger upside, more volatile.</w:t>
      </w:r>
    </w:p>
    <w:p w14:paraId="30329481" w14:textId="7EE9EF50" w:rsidR="00972485" w:rsidRPr="00972485" w:rsidRDefault="00477478" w:rsidP="00972485">
      <w:r w:rsidRPr="00477478">
        <w:t xml:space="preserve">Project C can be more uncertain but also comes with more returns, higher NPV, and improved PI. Risk must be assumed under a turnaround climate in which the value </w:t>
      </w:r>
      <w:r w:rsidRPr="00477478">
        <w:lastRenderedPageBreak/>
        <w:t>creation that follows is proportional. Both conservative alternatives, such as the B Project, would incur an opportunity cost that is not conducive to recovery strategy. Furthermore, the reduced profitability of the company makes incremental improvements insufficient. There is a transformative project that is financially significant required and Project C alone meets this condition.</w:t>
      </w:r>
    </w:p>
    <w:p w14:paraId="1F77DCD3" w14:textId="77777777" w:rsidR="00972485" w:rsidRPr="00972485" w:rsidRDefault="00972485" w:rsidP="00972485">
      <w:pPr>
        <w:rPr>
          <w:b/>
          <w:bCs/>
        </w:rPr>
      </w:pPr>
      <w:r w:rsidRPr="00972485">
        <w:rPr>
          <w:b/>
          <w:bCs/>
        </w:rPr>
        <w:t>Alignment with Long-Term Strategic Restructuring</w:t>
      </w:r>
    </w:p>
    <w:p w14:paraId="692C3820" w14:textId="3E00FA60" w:rsidR="00972485" w:rsidRPr="00972485" w:rsidRDefault="00477478" w:rsidP="00972485">
      <w:r w:rsidRPr="00477478">
        <w:t xml:space="preserve">Earlier restructuring debate pointed at the necessity of divestiture, capital infusion, and debt </w:t>
      </w:r>
      <w:proofErr w:type="spellStart"/>
      <w:r w:rsidRPr="00477478">
        <w:t>optimisation</w:t>
      </w:r>
      <w:proofErr w:type="spellEnd"/>
      <w:r w:rsidRPr="00477478">
        <w:t>. This strategy is supplemented by the decision to choose a high-return project in order to establish future internal financing, reduce reliance on debt markets, and increase gearing and interest coverage. Project C indirectly boosts the equity base through expansion of retained earnings and long-term capital. Projects with lower returns would not increase creditworthiness or debt service capacity</w:t>
      </w:r>
      <w:r>
        <w:t xml:space="preserve"> </w:t>
      </w:r>
      <w:r w:rsidR="006545C7">
        <w:t>(</w:t>
      </w:r>
      <w:r w:rsidR="006545C7" w:rsidRPr="007C2455">
        <w:t>Lestari, Antony</w:t>
      </w:r>
      <w:r w:rsidR="006545C7">
        <w:t xml:space="preserve"> </w:t>
      </w:r>
      <w:r w:rsidR="006545C7" w:rsidRPr="007C2455">
        <w:t xml:space="preserve">and </w:t>
      </w:r>
      <w:proofErr w:type="spellStart"/>
      <w:r w:rsidR="006545C7" w:rsidRPr="007C2455">
        <w:t>Alhidayatullah</w:t>
      </w:r>
      <w:proofErr w:type="spellEnd"/>
      <w:r w:rsidR="006545C7" w:rsidRPr="007C2455">
        <w:t>, 2023</w:t>
      </w:r>
      <w:r w:rsidR="006545C7">
        <w:t>)</w:t>
      </w:r>
      <w:r w:rsidR="00972485" w:rsidRPr="00972485">
        <w:t>.</w:t>
      </w:r>
    </w:p>
    <w:p w14:paraId="60721DE8" w14:textId="77777777" w:rsidR="00972485" w:rsidRPr="00972485" w:rsidRDefault="00972485" w:rsidP="00972485">
      <w:pPr>
        <w:rPr>
          <w:b/>
          <w:bCs/>
        </w:rPr>
      </w:pPr>
      <w:r w:rsidRPr="00972485">
        <w:rPr>
          <w:b/>
          <w:bCs/>
        </w:rPr>
        <w:t>Shareholder Value Considerations</w:t>
      </w:r>
    </w:p>
    <w:p w14:paraId="14F237E8" w14:textId="2AC240D3" w:rsidR="00972485" w:rsidRPr="00972485" w:rsidRDefault="00477478" w:rsidP="00972485">
      <w:r w:rsidRPr="00477478">
        <w:t>The shareholders should have a clear sign that the company can deliver sustainable future value. Project C offers</w:t>
      </w:r>
      <w:r w:rsidR="00972485" w:rsidRPr="00972485">
        <w:t>:</w:t>
      </w:r>
    </w:p>
    <w:p w14:paraId="0DC8F699" w14:textId="1CE32579" w:rsidR="005C5279" w:rsidRDefault="005C5279" w:rsidP="005C5279">
      <w:pPr>
        <w:numPr>
          <w:ilvl w:val="0"/>
          <w:numId w:val="16"/>
        </w:numPr>
      </w:pPr>
      <w:r>
        <w:t>Maximum value addition per unit capital.</w:t>
      </w:r>
    </w:p>
    <w:p w14:paraId="71A8F431" w14:textId="24E46171" w:rsidR="005C5279" w:rsidRDefault="005C5279" w:rsidP="005C5279">
      <w:pPr>
        <w:numPr>
          <w:ilvl w:val="0"/>
          <w:numId w:val="16"/>
        </w:numPr>
      </w:pPr>
      <w:r>
        <w:t>Strongest growth in FCF.</w:t>
      </w:r>
    </w:p>
    <w:p w14:paraId="02CB64A1" w14:textId="79ACE6DF" w:rsidR="00972485" w:rsidRPr="00972485" w:rsidRDefault="005C5279" w:rsidP="005C5279">
      <w:pPr>
        <w:numPr>
          <w:ilvl w:val="0"/>
          <w:numId w:val="16"/>
        </w:numPr>
      </w:pPr>
      <w:r>
        <w:t>Most effective in long-term valuation measures such as ROIC and EPS.</w:t>
      </w:r>
    </w:p>
    <w:p w14:paraId="4FE02AA9" w14:textId="487B1E2C" w:rsidR="00972485" w:rsidRPr="00972485" w:rsidRDefault="005C5279" w:rsidP="00972485">
      <w:r w:rsidRPr="005C5279">
        <w:t>Project B, on the other hand, kills shareholder value, with Project A providing a slight improvement</w:t>
      </w:r>
      <w:r w:rsidR="00972485" w:rsidRPr="00972485">
        <w:t>.</w:t>
      </w:r>
    </w:p>
    <w:p w14:paraId="65D17BBF" w14:textId="77777777" w:rsidR="00972485" w:rsidRPr="00972485" w:rsidRDefault="00972485" w:rsidP="00972485">
      <w:pPr>
        <w:rPr>
          <w:b/>
          <w:bCs/>
        </w:rPr>
      </w:pPr>
      <w:r w:rsidRPr="00972485">
        <w:rPr>
          <w:b/>
          <w:bCs/>
        </w:rPr>
        <w:t>Strategic Fit and Growth Potential</w:t>
      </w:r>
    </w:p>
    <w:p w14:paraId="0389BB06" w14:textId="77FAC438" w:rsidR="00972485" w:rsidRPr="00972485" w:rsidRDefault="005C5279" w:rsidP="00972485">
      <w:r w:rsidRPr="005C5279">
        <w:t>The inflow pattern of Project C suggests scales, i.e., can be matched with new product expansions, digital transformation, or high-growth markets. Projects A and B are closer to incremental, low impact operations. Financial turnaround requires investments that enable growth in order to reposition the firm back into the competitive environment</w:t>
      </w:r>
      <w:r w:rsidR="00972485" w:rsidRPr="00972485">
        <w:t>.</w:t>
      </w:r>
    </w:p>
    <w:p w14:paraId="55D89611" w14:textId="77777777" w:rsidR="00972485" w:rsidRPr="00972485" w:rsidRDefault="00972485" w:rsidP="00972485">
      <w:pPr>
        <w:rPr>
          <w:b/>
          <w:bCs/>
          <w:i/>
          <w:iCs/>
        </w:rPr>
      </w:pPr>
      <w:r w:rsidRPr="00972485">
        <w:rPr>
          <w:b/>
          <w:bCs/>
          <w:i/>
          <w:iCs/>
        </w:rPr>
        <w:t>Final Investment Recommendation</w:t>
      </w:r>
    </w:p>
    <w:p w14:paraId="7EFF3B2C" w14:textId="3DCD94B7" w:rsidR="00972485" w:rsidRPr="00972485" w:rsidRDefault="005C5279" w:rsidP="00972485">
      <w:r w:rsidRPr="005C5279">
        <w:lastRenderedPageBreak/>
        <w:t xml:space="preserve">Capital rationing limit of £60 million is reached and after careful analysis on the basis of PBP, ARR, NPV, PI, IRR, liquidity requirements, solvency issues and risks: Project C is the best investment and it should be selected. It </w:t>
      </w:r>
      <w:proofErr w:type="spellStart"/>
      <w:r w:rsidRPr="005C5279">
        <w:t>maximises</w:t>
      </w:r>
      <w:proofErr w:type="spellEnd"/>
      <w:r w:rsidRPr="005C5279">
        <w:t xml:space="preserve"> shareholder value, consistent with the financial pressures of the firm and highest strategic growth potential that is required in corporate recovery</w:t>
      </w:r>
      <w:r w:rsidR="00972485" w:rsidRPr="00972485">
        <w:t>.</w:t>
      </w:r>
    </w:p>
    <w:bookmarkEnd w:id="1"/>
    <w:p w14:paraId="51B725B3" w14:textId="606CF6FD" w:rsidR="00686485" w:rsidRDefault="00686485" w:rsidP="00972485">
      <w:r>
        <w:br w:type="page"/>
      </w:r>
    </w:p>
    <w:p w14:paraId="0BF322FF" w14:textId="77777777" w:rsidR="00686485" w:rsidRDefault="00686485" w:rsidP="00686485">
      <w:pPr>
        <w:pStyle w:val="Heading1"/>
      </w:pPr>
      <w:bookmarkStart w:id="16" w:name="_Toc216277098"/>
      <w:r>
        <w:lastRenderedPageBreak/>
        <w:t>References</w:t>
      </w:r>
      <w:bookmarkEnd w:id="16"/>
    </w:p>
    <w:p w14:paraId="5D3A30CB" w14:textId="77777777" w:rsidR="00A26255" w:rsidRDefault="00A26255" w:rsidP="00A26255">
      <w:r w:rsidRPr="00DC2648">
        <w:t>Adamu, I. and Hamidah, H., 2024. Assessing The Impact of Capital Structure on Firm Value: A Quantitative Study of Financial Ratios and Stock Prices of Nigeria Food and Beverage Companies. </w:t>
      </w:r>
      <w:r w:rsidRPr="00F1494D">
        <w:rPr>
          <w:i/>
          <w:iCs/>
        </w:rPr>
        <w:t>The Indonesian Journal of Accounting Research</w:t>
      </w:r>
      <w:r w:rsidRPr="00DC2648">
        <w:t>, </w:t>
      </w:r>
      <w:r w:rsidRPr="00F1494D">
        <w:rPr>
          <w:i/>
          <w:iCs/>
        </w:rPr>
        <w:t>26</w:t>
      </w:r>
      <w:r w:rsidRPr="00DC2648">
        <w:t>(3), pp.483-516.</w:t>
      </w:r>
      <w:r>
        <w:t xml:space="preserve"> </w:t>
      </w:r>
    </w:p>
    <w:p w14:paraId="1C6ED356" w14:textId="77777777" w:rsidR="00A26255" w:rsidRDefault="00A26255" w:rsidP="00A26255">
      <w:r w:rsidRPr="00E12D7F">
        <w:t xml:space="preserve">Adejumo, A. and </w:t>
      </w:r>
      <w:proofErr w:type="spellStart"/>
      <w:r w:rsidRPr="00E12D7F">
        <w:t>Ogburie</w:t>
      </w:r>
      <w:proofErr w:type="spellEnd"/>
      <w:r w:rsidRPr="00E12D7F">
        <w:t>, C., 2025. Financial statement manipulation: Ethical and regulatory perspectives. </w:t>
      </w:r>
      <w:r w:rsidRPr="00A26255">
        <w:rPr>
          <w:i/>
          <w:iCs/>
        </w:rPr>
        <w:t>GSC Advanced Research and Reviews</w:t>
      </w:r>
      <w:r w:rsidRPr="00E12D7F">
        <w:t>, </w:t>
      </w:r>
      <w:r w:rsidRPr="00A26255">
        <w:rPr>
          <w:i/>
          <w:iCs/>
        </w:rPr>
        <w:t>22</w:t>
      </w:r>
      <w:r w:rsidRPr="00E12D7F">
        <w:t>, pp.10-30574.</w:t>
      </w:r>
      <w:r>
        <w:t xml:space="preserve"> </w:t>
      </w:r>
    </w:p>
    <w:p w14:paraId="62AE50D3" w14:textId="77777777" w:rsidR="00A26255" w:rsidRDefault="00A26255" w:rsidP="00A26255">
      <w:proofErr w:type="spellStart"/>
      <w:r w:rsidRPr="00DC2648">
        <w:t>Arkaan</w:t>
      </w:r>
      <w:proofErr w:type="spellEnd"/>
      <w:r w:rsidRPr="00DC2648">
        <w:t xml:space="preserve">, D.U. and </w:t>
      </w:r>
      <w:proofErr w:type="spellStart"/>
      <w:r w:rsidRPr="00DC2648">
        <w:t>Budianto</w:t>
      </w:r>
      <w:proofErr w:type="spellEnd"/>
      <w:r w:rsidRPr="00DC2648">
        <w:t>, E.W.H., 2024. Does Financial Ratio Have an Impact on The Growth of Sharia Banking in The World. </w:t>
      </w:r>
      <w:proofErr w:type="spellStart"/>
      <w:r w:rsidRPr="00F1494D">
        <w:rPr>
          <w:i/>
          <w:iCs/>
        </w:rPr>
        <w:t>Jurnal</w:t>
      </w:r>
      <w:proofErr w:type="spellEnd"/>
      <w:r w:rsidRPr="00F1494D">
        <w:rPr>
          <w:i/>
          <w:iCs/>
        </w:rPr>
        <w:t xml:space="preserve"> </w:t>
      </w:r>
      <w:proofErr w:type="spellStart"/>
      <w:r w:rsidRPr="00F1494D">
        <w:rPr>
          <w:i/>
          <w:iCs/>
        </w:rPr>
        <w:t>Tabarru</w:t>
      </w:r>
      <w:proofErr w:type="spellEnd"/>
      <w:r w:rsidRPr="00F1494D">
        <w:rPr>
          <w:i/>
          <w:iCs/>
        </w:rPr>
        <w:t>': Islamic Banking and Finance</w:t>
      </w:r>
      <w:r w:rsidRPr="00DC2648">
        <w:t>, </w:t>
      </w:r>
      <w:r w:rsidRPr="00F1494D">
        <w:rPr>
          <w:i/>
          <w:iCs/>
        </w:rPr>
        <w:t>7</w:t>
      </w:r>
      <w:r w:rsidRPr="00DC2648">
        <w:t>(1), pp.299-309.</w:t>
      </w:r>
      <w:r>
        <w:t xml:space="preserve"> </w:t>
      </w:r>
    </w:p>
    <w:p w14:paraId="545F8C89" w14:textId="77777777" w:rsidR="00A26255" w:rsidRDefault="00A26255" w:rsidP="00A26255">
      <w:proofErr w:type="spellStart"/>
      <w:r w:rsidRPr="00E12D7F">
        <w:t>Bahodirovich</w:t>
      </w:r>
      <w:proofErr w:type="spellEnd"/>
      <w:r w:rsidRPr="00E12D7F">
        <w:t>, K.B., 2024. FINANCIAL LEVERAGE RATIOS AND ANALYSIS. </w:t>
      </w:r>
      <w:r w:rsidRPr="00F1494D">
        <w:rPr>
          <w:i/>
          <w:iCs/>
        </w:rPr>
        <w:t>Ethiopian International Journal of Multidisciplinary Research</w:t>
      </w:r>
      <w:r w:rsidRPr="00E12D7F">
        <w:t>, </w:t>
      </w:r>
      <w:r w:rsidRPr="00F1494D">
        <w:rPr>
          <w:i/>
          <w:iCs/>
        </w:rPr>
        <w:t>11</w:t>
      </w:r>
      <w:r w:rsidRPr="00E12D7F">
        <w:t>(11), pp.418-426.</w:t>
      </w:r>
      <w:r>
        <w:t xml:space="preserve"> </w:t>
      </w:r>
    </w:p>
    <w:p w14:paraId="709F5476" w14:textId="77777777" w:rsidR="00A26255" w:rsidRDefault="00A26255" w:rsidP="00A26255">
      <w:proofErr w:type="spellStart"/>
      <w:r w:rsidRPr="007E5106">
        <w:t>Bahodirovich</w:t>
      </w:r>
      <w:proofErr w:type="spellEnd"/>
      <w:r w:rsidRPr="007E5106">
        <w:t>, K.B., 2025, April. STRUCTURE OF THE CASH FLOWS STATEMENT. In </w:t>
      </w:r>
      <w:r w:rsidRPr="00F1494D">
        <w:rPr>
          <w:i/>
          <w:iCs/>
        </w:rPr>
        <w:t>CONFERENCE OF MODERN SCIENCE &amp; PEDAGOGY</w:t>
      </w:r>
      <w:r w:rsidRPr="007E5106">
        <w:t> (Vol. 1, No. 1, pp. 325-330</w:t>
      </w:r>
      <w:r>
        <w:t xml:space="preserve"> </w:t>
      </w:r>
    </w:p>
    <w:p w14:paraId="2B7813E7" w14:textId="77777777" w:rsidR="00A26255" w:rsidRDefault="00A26255" w:rsidP="00A26255">
      <w:r w:rsidRPr="007E5106">
        <w:t>Ball, R. and Nikolaev, V.V., 2022. On earnings and cash flows as predictors of future cash flows. </w:t>
      </w:r>
      <w:r w:rsidRPr="00F1494D">
        <w:rPr>
          <w:i/>
          <w:iCs/>
        </w:rPr>
        <w:t>Journal of Accounting and Economics</w:t>
      </w:r>
      <w:r w:rsidRPr="007E5106">
        <w:t>, </w:t>
      </w:r>
      <w:r w:rsidRPr="00F1494D">
        <w:rPr>
          <w:i/>
          <w:iCs/>
        </w:rPr>
        <w:t>73</w:t>
      </w:r>
      <w:r w:rsidRPr="007E5106">
        <w:t>(1), p.101430.</w:t>
      </w:r>
      <w:r>
        <w:t xml:space="preserve"> </w:t>
      </w:r>
    </w:p>
    <w:p w14:paraId="38A04116" w14:textId="77777777" w:rsidR="00A26255" w:rsidRDefault="00A26255" w:rsidP="00A26255">
      <w:proofErr w:type="spellStart"/>
      <w:r w:rsidRPr="007E5106">
        <w:t>Challoumis</w:t>
      </w:r>
      <w:proofErr w:type="spellEnd"/>
      <w:r w:rsidRPr="007E5106">
        <w:t>, C., 2024, November. HOW ARE BUSINESSES LEVERAGING AI TO ENHANCE CASH FLOW. In </w:t>
      </w:r>
      <w:r w:rsidRPr="00F1494D">
        <w:rPr>
          <w:i/>
          <w:iCs/>
        </w:rPr>
        <w:t>XVII International Scientific Conference</w:t>
      </w:r>
      <w:r w:rsidRPr="007E5106">
        <w:t> (pp. 145-178).</w:t>
      </w:r>
      <w:r>
        <w:t xml:space="preserve"> </w:t>
      </w:r>
    </w:p>
    <w:p w14:paraId="76EDBD5C" w14:textId="77777777" w:rsidR="00A26255" w:rsidRDefault="00A26255" w:rsidP="00A26255">
      <w:r w:rsidRPr="004E3540">
        <w:t xml:space="preserve">Grennan, J. and Michaely, R., 2021. </w:t>
      </w:r>
      <w:proofErr w:type="spellStart"/>
      <w:r w:rsidRPr="004E3540">
        <w:t>Fintechs</w:t>
      </w:r>
      <w:proofErr w:type="spellEnd"/>
      <w:r w:rsidRPr="004E3540">
        <w:t xml:space="preserve"> and the market for financial analysis. </w:t>
      </w:r>
      <w:r w:rsidRPr="00A26255">
        <w:rPr>
          <w:i/>
          <w:iCs/>
        </w:rPr>
        <w:t>Journal of Financial and Quantitative Analysis</w:t>
      </w:r>
      <w:r w:rsidRPr="004E3540">
        <w:t>, </w:t>
      </w:r>
      <w:r w:rsidRPr="00A26255">
        <w:rPr>
          <w:i/>
          <w:iCs/>
        </w:rPr>
        <w:t>56</w:t>
      </w:r>
      <w:r w:rsidRPr="004E3540">
        <w:t>(6), pp.1877-1907.</w:t>
      </w:r>
      <w:r>
        <w:t xml:space="preserve"> </w:t>
      </w:r>
    </w:p>
    <w:p w14:paraId="1986607F" w14:textId="77777777" w:rsidR="00A26255" w:rsidRDefault="00A26255" w:rsidP="00A26255">
      <w:proofErr w:type="spellStart"/>
      <w:r w:rsidRPr="00943E35">
        <w:t>Gultom</w:t>
      </w:r>
      <w:proofErr w:type="spellEnd"/>
      <w:r w:rsidRPr="00943E35">
        <w:t xml:space="preserve">, F.F., Simanjuntak, T., </w:t>
      </w:r>
      <w:proofErr w:type="spellStart"/>
      <w:r w:rsidRPr="00943E35">
        <w:t>Geopani</w:t>
      </w:r>
      <w:proofErr w:type="spellEnd"/>
      <w:r w:rsidRPr="00943E35">
        <w:t>, N. and Afdhal, A., 2024. The Influence of Financial Management Policy and Financial Performance on Company Value. </w:t>
      </w:r>
      <w:r w:rsidRPr="00A26255">
        <w:rPr>
          <w:i/>
          <w:iCs/>
        </w:rPr>
        <w:t>Economic: Journal Economic and Business</w:t>
      </w:r>
      <w:r w:rsidRPr="00943E35">
        <w:t>, </w:t>
      </w:r>
      <w:r w:rsidRPr="00A26255">
        <w:rPr>
          <w:i/>
          <w:iCs/>
        </w:rPr>
        <w:t>3</w:t>
      </w:r>
      <w:r w:rsidRPr="00943E35">
        <w:t>(1), pp.27-33</w:t>
      </w:r>
    </w:p>
    <w:p w14:paraId="5330952B" w14:textId="77777777" w:rsidR="00A26255" w:rsidRDefault="00A26255" w:rsidP="00A26255">
      <w:r w:rsidRPr="004E3540">
        <w:t>Jackson, A.B., 2022. Financial statement analysis: a review and current issues. </w:t>
      </w:r>
      <w:r w:rsidRPr="008F4ECE">
        <w:rPr>
          <w:i/>
          <w:iCs/>
        </w:rPr>
        <w:t>China Finance Review International</w:t>
      </w:r>
      <w:r w:rsidRPr="004E3540">
        <w:t>, </w:t>
      </w:r>
      <w:r w:rsidRPr="008F4ECE">
        <w:rPr>
          <w:i/>
          <w:iCs/>
        </w:rPr>
        <w:t>12</w:t>
      </w:r>
      <w:r w:rsidRPr="004E3540">
        <w:t>(1), pp.1-19.</w:t>
      </w:r>
      <w:r>
        <w:t xml:space="preserve"> </w:t>
      </w:r>
    </w:p>
    <w:p w14:paraId="09D772D5" w14:textId="77777777" w:rsidR="00A26255" w:rsidRDefault="00A26255" w:rsidP="00A26255">
      <w:proofErr w:type="spellStart"/>
      <w:r w:rsidRPr="004D366B">
        <w:lastRenderedPageBreak/>
        <w:t>Kinanthi</w:t>
      </w:r>
      <w:proofErr w:type="spellEnd"/>
      <w:r w:rsidRPr="004D366B">
        <w:t>, E.S. and Sukamulja, S., 2025. Investor Protection in Indonesia: Financial Ratios as Early Warning Indicators. </w:t>
      </w:r>
      <w:r w:rsidRPr="00F1494D">
        <w:rPr>
          <w:i/>
          <w:iCs/>
        </w:rPr>
        <w:t>Journal of Economics, Business, and Accountancy Ventura</w:t>
      </w:r>
      <w:r w:rsidRPr="004D366B">
        <w:t>, </w:t>
      </w:r>
      <w:r w:rsidRPr="00F1494D">
        <w:rPr>
          <w:i/>
          <w:iCs/>
        </w:rPr>
        <w:t>27</w:t>
      </w:r>
      <w:r w:rsidRPr="004D366B">
        <w:t>(3), pp.445-460</w:t>
      </w:r>
      <w:r>
        <w:t xml:space="preserve">. </w:t>
      </w:r>
    </w:p>
    <w:p w14:paraId="295D118C" w14:textId="77777777" w:rsidR="00A26255" w:rsidRDefault="00A26255" w:rsidP="00A26255">
      <w:r w:rsidRPr="007C2455">
        <w:t xml:space="preserve">Lestari, N.A., Antony, A. and </w:t>
      </w:r>
      <w:proofErr w:type="spellStart"/>
      <w:r w:rsidRPr="007C2455">
        <w:t>Alhidayatullah</w:t>
      </w:r>
      <w:proofErr w:type="spellEnd"/>
      <w:r w:rsidRPr="007C2455">
        <w:t xml:space="preserve">, A., 2023. Evaluation of Stock Through Fundamental Analysis </w:t>
      </w:r>
      <w:proofErr w:type="gramStart"/>
      <w:r w:rsidRPr="007C2455">
        <w:t>With</w:t>
      </w:r>
      <w:proofErr w:type="gramEnd"/>
      <w:r w:rsidRPr="007C2455">
        <w:t xml:space="preserve"> </w:t>
      </w:r>
      <w:proofErr w:type="gramStart"/>
      <w:r w:rsidRPr="007C2455">
        <w:t>The</w:t>
      </w:r>
      <w:proofErr w:type="gramEnd"/>
      <w:r w:rsidRPr="007C2455">
        <w:t xml:space="preserve"> Dividend Discount Model (DDM) Approach. </w:t>
      </w:r>
      <w:r w:rsidRPr="00A26255">
        <w:rPr>
          <w:i/>
          <w:iCs/>
        </w:rPr>
        <w:t>International Journal of Indonesian Business Review</w:t>
      </w:r>
      <w:r w:rsidRPr="007C2455">
        <w:t>, </w:t>
      </w:r>
      <w:r w:rsidRPr="00A26255">
        <w:rPr>
          <w:i/>
          <w:iCs/>
        </w:rPr>
        <w:t>2</w:t>
      </w:r>
      <w:r w:rsidRPr="007C2455">
        <w:t>(1), pp.85-95.</w:t>
      </w:r>
      <w:r>
        <w:t xml:space="preserve"> </w:t>
      </w:r>
    </w:p>
    <w:p w14:paraId="7276FC3A" w14:textId="77777777" w:rsidR="00A26255" w:rsidRPr="00F1494D" w:rsidRDefault="00A26255" w:rsidP="00A26255">
      <w:r w:rsidRPr="00F1494D">
        <w:t xml:space="preserve">Mawarti, W., </w:t>
      </w:r>
      <w:proofErr w:type="spellStart"/>
      <w:r w:rsidRPr="00F1494D">
        <w:t>Negoro</w:t>
      </w:r>
      <w:proofErr w:type="spellEnd"/>
      <w:r w:rsidRPr="00F1494D">
        <w:t>, D.A. and Syah, T.Y.R., 2022. The Effect of Financial Ratio in Determining Company Value:(Empirical Study on Banking Companies Listed on the Indonesia Stock Exchange for the 2015-2019 Period). </w:t>
      </w:r>
      <w:r w:rsidRPr="00A26255">
        <w:rPr>
          <w:i/>
          <w:iCs/>
        </w:rPr>
        <w:t>Budapest International Research and Critics Institute (BIRCI-Journal): Humanities and Social Sciences</w:t>
      </w:r>
      <w:r w:rsidRPr="00F1494D">
        <w:t>, </w:t>
      </w:r>
      <w:r w:rsidRPr="00A26255">
        <w:rPr>
          <w:i/>
          <w:iCs/>
        </w:rPr>
        <w:t>5</w:t>
      </w:r>
      <w:r w:rsidRPr="00F1494D">
        <w:t xml:space="preserve">(1), pp.3001-3013. </w:t>
      </w:r>
    </w:p>
    <w:p w14:paraId="59B72B24" w14:textId="77777777" w:rsidR="00A26255" w:rsidRDefault="00A26255" w:rsidP="00A26255">
      <w:proofErr w:type="spellStart"/>
      <w:r w:rsidRPr="004D366B">
        <w:t>Mubarok</w:t>
      </w:r>
      <w:proofErr w:type="spellEnd"/>
      <w:r w:rsidRPr="004D366B">
        <w:t xml:space="preserve">, F., Utami, T.S., </w:t>
      </w:r>
      <w:proofErr w:type="spellStart"/>
      <w:r w:rsidRPr="004D366B">
        <w:t>Ishanifah</w:t>
      </w:r>
      <w:proofErr w:type="spellEnd"/>
      <w:r w:rsidRPr="004D366B">
        <w:t xml:space="preserve">, A. and </w:t>
      </w:r>
      <w:proofErr w:type="spellStart"/>
      <w:r w:rsidRPr="004D366B">
        <w:t>Mawarni</w:t>
      </w:r>
      <w:proofErr w:type="spellEnd"/>
      <w:r w:rsidRPr="004D366B">
        <w:t>, A.P., 2024. Financial Strategy and Profitability Performance: Financial Ratio Analysis of the Telecommunications Industry on the Indonesia Stock Exchange. </w:t>
      </w:r>
      <w:proofErr w:type="spellStart"/>
      <w:r w:rsidRPr="00F1494D">
        <w:rPr>
          <w:i/>
          <w:iCs/>
        </w:rPr>
        <w:t>Telaah</w:t>
      </w:r>
      <w:proofErr w:type="spellEnd"/>
      <w:r w:rsidRPr="00F1494D">
        <w:rPr>
          <w:i/>
          <w:iCs/>
        </w:rPr>
        <w:t xml:space="preserve"> </w:t>
      </w:r>
      <w:proofErr w:type="spellStart"/>
      <w:r w:rsidRPr="00F1494D">
        <w:rPr>
          <w:i/>
          <w:iCs/>
        </w:rPr>
        <w:t>Bisnis</w:t>
      </w:r>
      <w:proofErr w:type="spellEnd"/>
      <w:r w:rsidRPr="004D366B">
        <w:t>, </w:t>
      </w:r>
      <w:r w:rsidRPr="00F1494D">
        <w:rPr>
          <w:i/>
          <w:iCs/>
        </w:rPr>
        <w:t>25</w:t>
      </w:r>
      <w:r w:rsidRPr="004D366B">
        <w:t>(2), pp.78-87.</w:t>
      </w:r>
      <w:r>
        <w:t xml:space="preserve"> </w:t>
      </w:r>
    </w:p>
    <w:p w14:paraId="62FED779" w14:textId="77777777" w:rsidR="00A26255" w:rsidRDefault="00A26255" w:rsidP="00A26255">
      <w:proofErr w:type="spellStart"/>
      <w:r w:rsidRPr="00943E35">
        <w:t>Nurcahyono</w:t>
      </w:r>
      <w:proofErr w:type="spellEnd"/>
      <w:r w:rsidRPr="00943E35">
        <w:t xml:space="preserve">, N., </w:t>
      </w:r>
      <w:proofErr w:type="spellStart"/>
      <w:r w:rsidRPr="00943E35">
        <w:t>Sinarasri</w:t>
      </w:r>
      <w:proofErr w:type="spellEnd"/>
      <w:r w:rsidRPr="00943E35">
        <w:t xml:space="preserve">, A., </w:t>
      </w:r>
      <w:proofErr w:type="spellStart"/>
      <w:r w:rsidRPr="00943E35">
        <w:t>Pamungkas</w:t>
      </w:r>
      <w:proofErr w:type="spellEnd"/>
      <w:r w:rsidRPr="00943E35">
        <w:t>, I.D. and Hanum, A.N., 2025. May intellectual capital and corporate governance reduce the probability of financial distress? </w:t>
      </w:r>
      <w:proofErr w:type="spellStart"/>
      <w:r w:rsidRPr="00A26255">
        <w:rPr>
          <w:i/>
          <w:iCs/>
        </w:rPr>
        <w:t>Contaduria</w:t>
      </w:r>
      <w:proofErr w:type="spellEnd"/>
      <w:r w:rsidRPr="00A26255">
        <w:rPr>
          <w:i/>
          <w:iCs/>
        </w:rPr>
        <w:t xml:space="preserve"> y </w:t>
      </w:r>
      <w:proofErr w:type="spellStart"/>
      <w:r w:rsidRPr="00A26255">
        <w:rPr>
          <w:i/>
          <w:iCs/>
        </w:rPr>
        <w:t>Administracion</w:t>
      </w:r>
      <w:proofErr w:type="spellEnd"/>
      <w:r w:rsidRPr="00943E35">
        <w:t>, </w:t>
      </w:r>
      <w:r w:rsidRPr="00A26255">
        <w:rPr>
          <w:i/>
          <w:iCs/>
        </w:rPr>
        <w:t>70</w:t>
      </w:r>
      <w:r w:rsidRPr="00943E35">
        <w:t>(1), pp.1-25.</w:t>
      </w:r>
      <w:r>
        <w:t xml:space="preserve"> </w:t>
      </w:r>
    </w:p>
    <w:p w14:paraId="659D1D2A" w14:textId="77777777" w:rsidR="00A26255" w:rsidRPr="00F1494D" w:rsidRDefault="00A26255" w:rsidP="00A26255">
      <w:r w:rsidRPr="00F1494D">
        <w:t>Olayinka, A.A., 2022. Financial statement analysis as a tool for investment decisions and assessment of companies’ performance. </w:t>
      </w:r>
      <w:r w:rsidRPr="00F1494D">
        <w:rPr>
          <w:i/>
          <w:iCs/>
        </w:rPr>
        <w:t>International Journal of Financial, Accounting, and Management</w:t>
      </w:r>
      <w:r w:rsidRPr="00F1494D">
        <w:t>, </w:t>
      </w:r>
      <w:r w:rsidRPr="00F1494D">
        <w:rPr>
          <w:i/>
          <w:iCs/>
        </w:rPr>
        <w:t>4</w:t>
      </w:r>
      <w:r w:rsidRPr="00F1494D">
        <w:t xml:space="preserve">(1), pp.49-66. </w:t>
      </w:r>
    </w:p>
    <w:p w14:paraId="5774B6CA" w14:textId="77777777" w:rsidR="00A26255" w:rsidRPr="00F1494D" w:rsidRDefault="00A26255" w:rsidP="00A26255">
      <w:r w:rsidRPr="00F1494D">
        <w:t>Rashid, C.A., 2021. The efficiency of financial ratios analysis to evaluate company’s profitability. </w:t>
      </w:r>
      <w:r w:rsidRPr="00F1494D">
        <w:rPr>
          <w:i/>
          <w:iCs/>
        </w:rPr>
        <w:t>Journal of Global Economics and Business</w:t>
      </w:r>
      <w:r w:rsidRPr="00F1494D">
        <w:t>, </w:t>
      </w:r>
      <w:r w:rsidRPr="00F1494D">
        <w:rPr>
          <w:i/>
          <w:iCs/>
        </w:rPr>
        <w:t>2</w:t>
      </w:r>
      <w:r w:rsidRPr="00F1494D">
        <w:t xml:space="preserve">(4), pp.119-132. </w:t>
      </w:r>
    </w:p>
    <w:p w14:paraId="339537C1" w14:textId="77777777" w:rsidR="00A26255" w:rsidRDefault="00A26255" w:rsidP="00A26255">
      <w:proofErr w:type="spellStart"/>
      <w:r w:rsidRPr="00F1494D">
        <w:t>Septyanto</w:t>
      </w:r>
      <w:proofErr w:type="spellEnd"/>
      <w:r w:rsidRPr="00F1494D">
        <w:t xml:space="preserve">, D., </w:t>
      </w:r>
      <w:proofErr w:type="spellStart"/>
      <w:r w:rsidRPr="00F1494D">
        <w:t>Welandasari</w:t>
      </w:r>
      <w:proofErr w:type="spellEnd"/>
      <w:r w:rsidRPr="00F1494D">
        <w:t xml:space="preserve">, N.F. and </w:t>
      </w:r>
      <w:proofErr w:type="spellStart"/>
      <w:r w:rsidRPr="00F1494D">
        <w:t>Sayidah</w:t>
      </w:r>
      <w:proofErr w:type="spellEnd"/>
      <w:r w:rsidRPr="00F1494D">
        <w:t>, N., 2022. An empirical test of the financial ratio effect on financial distress in Indonesia (study in garment and textile industry). </w:t>
      </w:r>
      <w:r w:rsidRPr="00A26255">
        <w:rPr>
          <w:i/>
          <w:iCs/>
        </w:rPr>
        <w:t>Economics and Business Quarterly Reviews</w:t>
      </w:r>
      <w:r w:rsidRPr="00F1494D">
        <w:t>, </w:t>
      </w:r>
      <w:r w:rsidRPr="00A26255">
        <w:rPr>
          <w:i/>
          <w:iCs/>
        </w:rPr>
        <w:t>5</w:t>
      </w:r>
      <w:r w:rsidRPr="00F1494D">
        <w:t xml:space="preserve">(2). </w:t>
      </w:r>
    </w:p>
    <w:p w14:paraId="7E88AED1" w14:textId="77777777" w:rsidR="00A26255" w:rsidRDefault="00A26255" w:rsidP="00A26255">
      <w:r w:rsidRPr="004D366B">
        <w:t>Uddin, M.R., Das, J. and Hasan, M., 2024. The role of financial ratios in signaling financial distress. </w:t>
      </w:r>
      <w:r w:rsidRPr="00F1494D">
        <w:rPr>
          <w:i/>
          <w:iCs/>
        </w:rPr>
        <w:t>International Research Journal of Economics and Management Studies IRJEMS</w:t>
      </w:r>
      <w:r w:rsidRPr="004D366B">
        <w:t>, </w:t>
      </w:r>
      <w:r w:rsidRPr="00F1494D">
        <w:rPr>
          <w:i/>
          <w:iCs/>
        </w:rPr>
        <w:t>3</w:t>
      </w:r>
      <w:r w:rsidRPr="004D366B">
        <w:t>(1).</w:t>
      </w:r>
      <w:r>
        <w:t xml:space="preserve"> </w:t>
      </w:r>
    </w:p>
    <w:p w14:paraId="5CA7819C" w14:textId="77777777" w:rsidR="00A26255" w:rsidRDefault="00A26255" w:rsidP="00A26255">
      <w:proofErr w:type="spellStart"/>
      <w:r w:rsidRPr="007C2455">
        <w:lastRenderedPageBreak/>
        <w:t>Umamik</w:t>
      </w:r>
      <w:proofErr w:type="spellEnd"/>
      <w:r w:rsidRPr="007C2455">
        <w:t xml:space="preserve">, D.F., 2023. </w:t>
      </w:r>
      <w:proofErr w:type="spellStart"/>
      <w:r w:rsidRPr="007C2455">
        <w:t>Analisis</w:t>
      </w:r>
      <w:proofErr w:type="spellEnd"/>
      <w:r w:rsidRPr="007C2455">
        <w:t xml:space="preserve"> Nilai Kewajaran Harga Saham </w:t>
      </w:r>
      <w:proofErr w:type="spellStart"/>
      <w:r w:rsidRPr="007C2455">
        <w:t>Menggunakan</w:t>
      </w:r>
      <w:proofErr w:type="spellEnd"/>
      <w:r w:rsidRPr="007C2455">
        <w:t xml:space="preserve"> Dividend Discount Model (DDM) </w:t>
      </w:r>
      <w:proofErr w:type="spellStart"/>
      <w:r w:rsidRPr="007C2455">
        <w:t>Sebagai</w:t>
      </w:r>
      <w:proofErr w:type="spellEnd"/>
      <w:r w:rsidRPr="007C2455">
        <w:t xml:space="preserve"> </w:t>
      </w:r>
      <w:proofErr w:type="spellStart"/>
      <w:r w:rsidRPr="007C2455">
        <w:t>Alternatif</w:t>
      </w:r>
      <w:proofErr w:type="spellEnd"/>
      <w:r w:rsidRPr="007C2455">
        <w:t xml:space="preserve"> </w:t>
      </w:r>
      <w:proofErr w:type="spellStart"/>
      <w:r w:rsidRPr="007C2455">
        <w:t>Pengambilan</w:t>
      </w:r>
      <w:proofErr w:type="spellEnd"/>
      <w:r w:rsidRPr="007C2455">
        <w:t xml:space="preserve"> Keputusan </w:t>
      </w:r>
      <w:proofErr w:type="spellStart"/>
      <w:r w:rsidRPr="007C2455">
        <w:t>Investasi</w:t>
      </w:r>
      <w:proofErr w:type="spellEnd"/>
      <w:r w:rsidRPr="007C2455">
        <w:t>. </w:t>
      </w:r>
      <w:proofErr w:type="spellStart"/>
      <w:r w:rsidRPr="00A26255">
        <w:rPr>
          <w:i/>
          <w:iCs/>
        </w:rPr>
        <w:t>Jurnal</w:t>
      </w:r>
      <w:proofErr w:type="spellEnd"/>
      <w:r w:rsidRPr="00A26255">
        <w:rPr>
          <w:i/>
          <w:iCs/>
        </w:rPr>
        <w:t xml:space="preserve"> Ekonomi Syariah Pelita </w:t>
      </w:r>
      <w:proofErr w:type="spellStart"/>
      <w:r w:rsidRPr="00A26255">
        <w:rPr>
          <w:i/>
          <w:iCs/>
        </w:rPr>
        <w:t>Bangsa</w:t>
      </w:r>
      <w:proofErr w:type="spellEnd"/>
      <w:r w:rsidRPr="007C2455">
        <w:t>, </w:t>
      </w:r>
      <w:r w:rsidRPr="00A26255">
        <w:rPr>
          <w:i/>
          <w:iCs/>
        </w:rPr>
        <w:t>8</w:t>
      </w:r>
      <w:r w:rsidRPr="007C2455">
        <w:t>(02), pp.147-158.</w:t>
      </w:r>
      <w:r>
        <w:t xml:space="preserve"> </w:t>
      </w:r>
    </w:p>
    <w:p w14:paraId="212416EA" w14:textId="77777777" w:rsidR="00A26255" w:rsidRPr="00F1494D" w:rsidRDefault="00A26255" w:rsidP="00A26255">
      <w:r w:rsidRPr="00F1494D">
        <w:t>Yousaf, M. and Dey, S.K., 2022. Best proxy to determine firm performance using financial ratios: A CHAID approach. </w:t>
      </w:r>
      <w:r w:rsidRPr="00F1494D">
        <w:rPr>
          <w:i/>
          <w:iCs/>
        </w:rPr>
        <w:t>Review of Economic Perspectives</w:t>
      </w:r>
      <w:r w:rsidRPr="00F1494D">
        <w:t>, </w:t>
      </w:r>
      <w:r w:rsidRPr="00F1494D">
        <w:rPr>
          <w:i/>
          <w:iCs/>
        </w:rPr>
        <w:t>22</w:t>
      </w:r>
      <w:r w:rsidRPr="00F1494D">
        <w:t xml:space="preserve">(3), pp.219-239. </w:t>
      </w:r>
    </w:p>
    <w:p w14:paraId="008FCF4D" w14:textId="77777777" w:rsidR="00A26255" w:rsidRDefault="00A26255" w:rsidP="00A26255">
      <w:proofErr w:type="spellStart"/>
      <w:r w:rsidRPr="00DC2648">
        <w:t>Zenzerović</w:t>
      </w:r>
      <w:proofErr w:type="spellEnd"/>
      <w:r w:rsidRPr="00DC2648">
        <w:t xml:space="preserve">, R. and </w:t>
      </w:r>
      <w:proofErr w:type="spellStart"/>
      <w:r w:rsidRPr="00DC2648">
        <w:t>Benazić</w:t>
      </w:r>
      <w:proofErr w:type="spellEnd"/>
      <w:r w:rsidRPr="00DC2648">
        <w:t>, M., 2024. The impact of selected financial ratios on economic value added: Evidence from Croatia. </w:t>
      </w:r>
      <w:r w:rsidRPr="00F1494D">
        <w:rPr>
          <w:i/>
          <w:iCs/>
        </w:rPr>
        <w:t>Journal of risk and financial management</w:t>
      </w:r>
      <w:r w:rsidRPr="00DC2648">
        <w:t>, </w:t>
      </w:r>
      <w:r w:rsidRPr="00F1494D">
        <w:rPr>
          <w:i/>
          <w:iCs/>
        </w:rPr>
        <w:t>17</w:t>
      </w:r>
      <w:r w:rsidRPr="00DC2648">
        <w:t>(8), p.338.</w:t>
      </w:r>
      <w:r>
        <w:t xml:space="preserve"> </w:t>
      </w:r>
    </w:p>
    <w:p w14:paraId="39A85908" w14:textId="20C6F6B4" w:rsidR="007B2882" w:rsidRDefault="007B2882" w:rsidP="00686485">
      <w:pPr>
        <w:pStyle w:val="Heading1"/>
      </w:pPr>
      <w:r>
        <w:br w:type="page"/>
      </w:r>
    </w:p>
    <w:p w14:paraId="7DEBA773" w14:textId="5D2DCE07" w:rsidR="004A7982" w:rsidRDefault="007B2882" w:rsidP="007B2882">
      <w:pPr>
        <w:pStyle w:val="Heading1"/>
      </w:pPr>
      <w:bookmarkStart w:id="17" w:name="_Toc216277099"/>
      <w:r>
        <w:lastRenderedPageBreak/>
        <w:t>Appendices</w:t>
      </w:r>
      <w:bookmarkEnd w:id="17"/>
    </w:p>
    <w:p w14:paraId="2C2AA3D6" w14:textId="4E1D7DFD" w:rsidR="007B2882" w:rsidRDefault="007B2882" w:rsidP="007B2882">
      <w:pPr>
        <w:pStyle w:val="Heading2"/>
      </w:pPr>
      <w:bookmarkStart w:id="18" w:name="_Toc216277100"/>
      <w:r>
        <w:t>Appendix 1: Ratio</w:t>
      </w:r>
      <w:r w:rsidR="00CC18AC">
        <w:t xml:space="preserve"> Analysis</w:t>
      </w:r>
      <w:bookmarkEnd w:id="18"/>
    </w:p>
    <w:p w14:paraId="43C0A36D" w14:textId="7F5E40E7" w:rsidR="00CC18AC" w:rsidRDefault="00CC18AC" w:rsidP="00CC18AC">
      <w:r>
        <w:rPr>
          <w:noProof/>
        </w:rPr>
        <w:drawing>
          <wp:inline distT="0" distB="0" distL="0" distR="0" wp14:anchorId="5DECCB64" wp14:editId="35615B9E">
            <wp:extent cx="5657850" cy="3857625"/>
            <wp:effectExtent l="76200" t="76200" r="133350" b="142875"/>
            <wp:docPr id="1435573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73491" name=""/>
                    <pic:cNvPicPr/>
                  </pic:nvPicPr>
                  <pic:blipFill>
                    <a:blip r:embed="rId7"/>
                    <a:stretch>
                      <a:fillRect/>
                    </a:stretch>
                  </pic:blipFill>
                  <pic:spPr>
                    <a:xfrm>
                      <a:off x="0" y="0"/>
                      <a:ext cx="5657850" cy="3857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F9F2A3" w14:textId="4CA1958F" w:rsidR="008F1390" w:rsidRPr="00CC18AC" w:rsidRDefault="008F1390" w:rsidP="00CC18AC">
      <w:r>
        <w:rPr>
          <w:noProof/>
        </w:rPr>
        <w:lastRenderedPageBreak/>
        <w:drawing>
          <wp:inline distT="0" distB="0" distL="0" distR="0" wp14:anchorId="6DF37AEB" wp14:editId="666355BA">
            <wp:extent cx="4819650" cy="3819525"/>
            <wp:effectExtent l="76200" t="76200" r="133350" b="142875"/>
            <wp:docPr id="1180620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20046" name=""/>
                    <pic:cNvPicPr/>
                  </pic:nvPicPr>
                  <pic:blipFill>
                    <a:blip r:embed="rId8"/>
                    <a:stretch>
                      <a:fillRect/>
                    </a:stretch>
                  </pic:blipFill>
                  <pic:spPr>
                    <a:xfrm>
                      <a:off x="0" y="0"/>
                      <a:ext cx="4819650" cy="3819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6369C2" w14:textId="77777777" w:rsidR="00E202DD" w:rsidRDefault="007B2882" w:rsidP="00E202DD">
      <w:pPr>
        <w:pStyle w:val="Heading2"/>
      </w:pPr>
      <w:bookmarkStart w:id="19" w:name="_Toc216277101"/>
      <w:r>
        <w:lastRenderedPageBreak/>
        <w:t xml:space="preserve">Appendix 2: </w:t>
      </w:r>
      <w:r w:rsidRPr="00686485">
        <w:t>Altman</w:t>
      </w:r>
      <w:r w:rsidRPr="007B2882">
        <w:t xml:space="preserve"> Z-Score Model</w:t>
      </w:r>
      <w:bookmarkEnd w:id="19"/>
      <w:r w:rsidRPr="007B2882">
        <w:t xml:space="preserve"> </w:t>
      </w:r>
    </w:p>
    <w:p w14:paraId="5E758984" w14:textId="247695F4" w:rsidR="007B2882" w:rsidRDefault="007B2882" w:rsidP="00E202DD">
      <w:r>
        <w:rPr>
          <w:noProof/>
        </w:rPr>
        <w:drawing>
          <wp:inline distT="0" distB="0" distL="0" distR="0" wp14:anchorId="4E31169C" wp14:editId="2D13738E">
            <wp:extent cx="5429250" cy="3952875"/>
            <wp:effectExtent l="76200" t="76200" r="133350" b="142875"/>
            <wp:docPr id="27060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607387" name=""/>
                    <pic:cNvPicPr/>
                  </pic:nvPicPr>
                  <pic:blipFill>
                    <a:blip r:embed="rId9"/>
                    <a:stretch>
                      <a:fillRect/>
                    </a:stretch>
                  </pic:blipFill>
                  <pic:spPr>
                    <a:xfrm>
                      <a:off x="0" y="0"/>
                      <a:ext cx="5429250" cy="3952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51F35F" w14:textId="57866FAE" w:rsidR="00686485" w:rsidRPr="00686485" w:rsidRDefault="00686485" w:rsidP="00262836">
      <w:pPr>
        <w:pStyle w:val="Heading2"/>
      </w:pPr>
      <w:bookmarkStart w:id="20" w:name="_Toc216277102"/>
      <w:r>
        <w:t xml:space="preserve">Appendix </w:t>
      </w:r>
      <w:r w:rsidR="00262836">
        <w:t>3</w:t>
      </w:r>
      <w:r>
        <w:t xml:space="preserve">: </w:t>
      </w:r>
      <w:r w:rsidR="00262836" w:rsidRPr="00262836">
        <w:t>Cash operating cycle</w:t>
      </w:r>
      <w:bookmarkEnd w:id="20"/>
    </w:p>
    <w:p w14:paraId="4DAAA0C2" w14:textId="75A27877" w:rsidR="007B2882" w:rsidRDefault="00686485" w:rsidP="007B2882">
      <w:r>
        <w:rPr>
          <w:noProof/>
        </w:rPr>
        <w:drawing>
          <wp:inline distT="0" distB="0" distL="0" distR="0" wp14:anchorId="74F45168" wp14:editId="5B7077C4">
            <wp:extent cx="5943600" cy="1797685"/>
            <wp:effectExtent l="76200" t="76200" r="133350" b="126365"/>
            <wp:docPr id="1697250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250754" name=""/>
                    <pic:cNvPicPr/>
                  </pic:nvPicPr>
                  <pic:blipFill>
                    <a:blip r:embed="rId10"/>
                    <a:stretch>
                      <a:fillRect/>
                    </a:stretch>
                  </pic:blipFill>
                  <pic:spPr>
                    <a:xfrm>
                      <a:off x="0" y="0"/>
                      <a:ext cx="5943600" cy="17976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CAA04F" w14:textId="3464AC92" w:rsidR="00D01358" w:rsidRDefault="00D01358" w:rsidP="00D01358">
      <w:pPr>
        <w:pStyle w:val="Heading2"/>
      </w:pPr>
      <w:bookmarkStart w:id="21" w:name="_Toc216277103"/>
      <w:r>
        <w:t xml:space="preserve">Appendix 4: </w:t>
      </w:r>
      <w:r w:rsidRPr="00D01358">
        <w:t>Investment Appraisal &amp; Capital</w:t>
      </w:r>
      <w:r>
        <w:t xml:space="preserve"> Budget</w:t>
      </w:r>
      <w:bookmarkEnd w:id="21"/>
    </w:p>
    <w:p w14:paraId="08F20144" w14:textId="77777777" w:rsidR="0009130B" w:rsidRDefault="0009130B" w:rsidP="00D01358"/>
    <w:p w14:paraId="69243F43" w14:textId="4263C7BA" w:rsidR="00D01358" w:rsidRDefault="00B848CB" w:rsidP="00D01358">
      <w:r>
        <w:rPr>
          <w:noProof/>
        </w:rPr>
        <w:lastRenderedPageBreak/>
        <w:drawing>
          <wp:inline distT="0" distB="0" distL="0" distR="0" wp14:anchorId="11382B5A" wp14:editId="557DCA26">
            <wp:extent cx="3411089" cy="1743075"/>
            <wp:effectExtent l="76200" t="76200" r="132715" b="123825"/>
            <wp:docPr id="1265002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02655" name=""/>
                    <pic:cNvPicPr/>
                  </pic:nvPicPr>
                  <pic:blipFill>
                    <a:blip r:embed="rId11"/>
                    <a:stretch>
                      <a:fillRect/>
                    </a:stretch>
                  </pic:blipFill>
                  <pic:spPr>
                    <a:xfrm>
                      <a:off x="0" y="0"/>
                      <a:ext cx="3415172" cy="174516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E528E8" w14:textId="5D91DE4C" w:rsidR="0009130B" w:rsidRDefault="0009130B" w:rsidP="00D01358">
      <w:r>
        <w:rPr>
          <w:noProof/>
        </w:rPr>
        <w:drawing>
          <wp:inline distT="0" distB="0" distL="0" distR="0" wp14:anchorId="4009FB80" wp14:editId="37E44EAC">
            <wp:extent cx="2609850" cy="4391025"/>
            <wp:effectExtent l="76200" t="76200" r="133350" b="142875"/>
            <wp:docPr id="259694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694952" name=""/>
                    <pic:cNvPicPr/>
                  </pic:nvPicPr>
                  <pic:blipFill>
                    <a:blip r:embed="rId12"/>
                    <a:stretch>
                      <a:fillRect/>
                    </a:stretch>
                  </pic:blipFill>
                  <pic:spPr>
                    <a:xfrm>
                      <a:off x="0" y="0"/>
                      <a:ext cx="2609850" cy="4391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18A5B4" w14:textId="424BA4B2" w:rsidR="0009130B" w:rsidRPr="00D01358" w:rsidRDefault="0009130B" w:rsidP="00D01358">
      <w:r>
        <w:rPr>
          <w:noProof/>
        </w:rPr>
        <w:lastRenderedPageBreak/>
        <w:drawing>
          <wp:inline distT="0" distB="0" distL="0" distR="0" wp14:anchorId="6AFA2870" wp14:editId="7BB80E09">
            <wp:extent cx="5943600" cy="1848485"/>
            <wp:effectExtent l="76200" t="76200" r="133350" b="132715"/>
            <wp:docPr id="113780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07262" name=""/>
                    <pic:cNvPicPr/>
                  </pic:nvPicPr>
                  <pic:blipFill>
                    <a:blip r:embed="rId13"/>
                    <a:stretch>
                      <a:fillRect/>
                    </a:stretch>
                  </pic:blipFill>
                  <pic:spPr>
                    <a:xfrm>
                      <a:off x="0" y="0"/>
                      <a:ext cx="5943600" cy="18484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09130B" w:rsidRPr="00D01358" w:rsidSect="003E7B8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62B26"/>
    <w:multiLevelType w:val="multilevel"/>
    <w:tmpl w:val="229C2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966D0A"/>
    <w:multiLevelType w:val="multilevel"/>
    <w:tmpl w:val="D848F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26A72"/>
    <w:multiLevelType w:val="multilevel"/>
    <w:tmpl w:val="B4C8D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0605CB"/>
    <w:multiLevelType w:val="multilevel"/>
    <w:tmpl w:val="C06A1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61606E"/>
    <w:multiLevelType w:val="multilevel"/>
    <w:tmpl w:val="532C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B61DD"/>
    <w:multiLevelType w:val="multilevel"/>
    <w:tmpl w:val="48B8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292971"/>
    <w:multiLevelType w:val="multilevel"/>
    <w:tmpl w:val="1F4CF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0733D"/>
    <w:multiLevelType w:val="multilevel"/>
    <w:tmpl w:val="9312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2312168"/>
    <w:multiLevelType w:val="multilevel"/>
    <w:tmpl w:val="B59CA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CB315B"/>
    <w:multiLevelType w:val="multilevel"/>
    <w:tmpl w:val="5042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FC7C32"/>
    <w:multiLevelType w:val="multilevel"/>
    <w:tmpl w:val="C5CEE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A31C08"/>
    <w:multiLevelType w:val="hybridMultilevel"/>
    <w:tmpl w:val="3BDCF84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5DDE6827"/>
    <w:multiLevelType w:val="multilevel"/>
    <w:tmpl w:val="C1161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EC3523"/>
    <w:multiLevelType w:val="multilevel"/>
    <w:tmpl w:val="715E8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FE1F7D"/>
    <w:multiLevelType w:val="multilevel"/>
    <w:tmpl w:val="508A3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B85A8B"/>
    <w:multiLevelType w:val="multilevel"/>
    <w:tmpl w:val="B268D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12971">
    <w:abstractNumId w:val="11"/>
  </w:num>
  <w:num w:numId="2" w16cid:durableId="1428573492">
    <w:abstractNumId w:val="4"/>
  </w:num>
  <w:num w:numId="3" w16cid:durableId="1840849950">
    <w:abstractNumId w:val="2"/>
  </w:num>
  <w:num w:numId="4" w16cid:durableId="1669483174">
    <w:abstractNumId w:val="10"/>
  </w:num>
  <w:num w:numId="5" w16cid:durableId="1691101556">
    <w:abstractNumId w:val="1"/>
  </w:num>
  <w:num w:numId="6" w16cid:durableId="654917559">
    <w:abstractNumId w:val="14"/>
  </w:num>
  <w:num w:numId="7" w16cid:durableId="885407300">
    <w:abstractNumId w:val="0"/>
  </w:num>
  <w:num w:numId="8" w16cid:durableId="866680287">
    <w:abstractNumId w:val="15"/>
  </w:num>
  <w:num w:numId="9" w16cid:durableId="1157720115">
    <w:abstractNumId w:val="7"/>
  </w:num>
  <w:num w:numId="10" w16cid:durableId="455754685">
    <w:abstractNumId w:val="5"/>
  </w:num>
  <w:num w:numId="11" w16cid:durableId="1315790785">
    <w:abstractNumId w:val="12"/>
  </w:num>
  <w:num w:numId="12" w16cid:durableId="747574739">
    <w:abstractNumId w:val="8"/>
  </w:num>
  <w:num w:numId="13" w16cid:durableId="699671231">
    <w:abstractNumId w:val="13"/>
  </w:num>
  <w:num w:numId="14" w16cid:durableId="1125656642">
    <w:abstractNumId w:val="6"/>
  </w:num>
  <w:num w:numId="15" w16cid:durableId="1451510123">
    <w:abstractNumId w:val="3"/>
  </w:num>
  <w:num w:numId="16" w16cid:durableId="3292622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71B"/>
    <w:rsid w:val="00012987"/>
    <w:rsid w:val="0002291B"/>
    <w:rsid w:val="00080AC5"/>
    <w:rsid w:val="0009130B"/>
    <w:rsid w:val="000A5D33"/>
    <w:rsid w:val="000E6B2D"/>
    <w:rsid w:val="00112553"/>
    <w:rsid w:val="00133DF9"/>
    <w:rsid w:val="001467C5"/>
    <w:rsid w:val="001825FA"/>
    <w:rsid w:val="00186F97"/>
    <w:rsid w:val="00213F51"/>
    <w:rsid w:val="00262836"/>
    <w:rsid w:val="002A604A"/>
    <w:rsid w:val="002B5DCA"/>
    <w:rsid w:val="00331D49"/>
    <w:rsid w:val="003E7B83"/>
    <w:rsid w:val="003F1943"/>
    <w:rsid w:val="00407406"/>
    <w:rsid w:val="00477478"/>
    <w:rsid w:val="004A33FF"/>
    <w:rsid w:val="004A7982"/>
    <w:rsid w:val="004F77DF"/>
    <w:rsid w:val="00545F61"/>
    <w:rsid w:val="00562BAC"/>
    <w:rsid w:val="005B5411"/>
    <w:rsid w:val="005C5279"/>
    <w:rsid w:val="0060759F"/>
    <w:rsid w:val="00637DA1"/>
    <w:rsid w:val="006545C7"/>
    <w:rsid w:val="00654886"/>
    <w:rsid w:val="0067657E"/>
    <w:rsid w:val="00686485"/>
    <w:rsid w:val="007348EF"/>
    <w:rsid w:val="007B2882"/>
    <w:rsid w:val="00811CF3"/>
    <w:rsid w:val="00812C3C"/>
    <w:rsid w:val="00854322"/>
    <w:rsid w:val="00857CE6"/>
    <w:rsid w:val="008C5D53"/>
    <w:rsid w:val="008F1390"/>
    <w:rsid w:val="0090253C"/>
    <w:rsid w:val="00905304"/>
    <w:rsid w:val="009612CE"/>
    <w:rsid w:val="00972485"/>
    <w:rsid w:val="009803EA"/>
    <w:rsid w:val="009D4B47"/>
    <w:rsid w:val="00A1271E"/>
    <w:rsid w:val="00A2056C"/>
    <w:rsid w:val="00A26255"/>
    <w:rsid w:val="00A304C6"/>
    <w:rsid w:val="00A66ADC"/>
    <w:rsid w:val="00AE36CF"/>
    <w:rsid w:val="00AE51B7"/>
    <w:rsid w:val="00B01E08"/>
    <w:rsid w:val="00B5626B"/>
    <w:rsid w:val="00B848CB"/>
    <w:rsid w:val="00BD2E8E"/>
    <w:rsid w:val="00C0191B"/>
    <w:rsid w:val="00C8171B"/>
    <w:rsid w:val="00CC18AC"/>
    <w:rsid w:val="00CD5C4A"/>
    <w:rsid w:val="00D01358"/>
    <w:rsid w:val="00D13805"/>
    <w:rsid w:val="00DB0D72"/>
    <w:rsid w:val="00DF35C8"/>
    <w:rsid w:val="00DF6B50"/>
    <w:rsid w:val="00E00B89"/>
    <w:rsid w:val="00E202DD"/>
    <w:rsid w:val="00E55193"/>
    <w:rsid w:val="00E630F5"/>
    <w:rsid w:val="00EB099F"/>
    <w:rsid w:val="00F24391"/>
    <w:rsid w:val="00FF06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AEA2E"/>
  <w15:chartTrackingRefBased/>
  <w15:docId w15:val="{00F42455-CBC2-4CD6-806B-951DEC70B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7DA1"/>
    <w:pPr>
      <w:spacing w:line="360" w:lineRule="auto"/>
      <w:jc w:val="both"/>
    </w:pPr>
    <w:rPr>
      <w:rFonts w:ascii="Arial" w:hAnsi="Arial"/>
      <w:color w:val="000000" w:themeColor="text1"/>
    </w:rPr>
  </w:style>
  <w:style w:type="paragraph" w:styleId="Heading1">
    <w:name w:val="heading 1"/>
    <w:basedOn w:val="Normal"/>
    <w:next w:val="Normal"/>
    <w:link w:val="Heading1Char"/>
    <w:autoRedefine/>
    <w:uiPriority w:val="9"/>
    <w:qFormat/>
    <w:rsid w:val="003F1943"/>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62836"/>
    <w:pPr>
      <w:keepNext/>
      <w:keepLines/>
      <w:spacing w:before="160" w:after="80" w:line="480" w:lineRule="auto"/>
      <w:jc w:val="left"/>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C8171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171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171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817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817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817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817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94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62836"/>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C8171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171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171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17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17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17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171B"/>
    <w:rPr>
      <w:rFonts w:eastAsiaTheme="majorEastAsia" w:cstheme="majorBidi"/>
      <w:color w:val="272727" w:themeColor="text1" w:themeTint="D8"/>
    </w:rPr>
  </w:style>
  <w:style w:type="paragraph" w:styleId="Title">
    <w:name w:val="Title"/>
    <w:basedOn w:val="Normal"/>
    <w:next w:val="Normal"/>
    <w:link w:val="TitleChar"/>
    <w:uiPriority w:val="10"/>
    <w:qFormat/>
    <w:rsid w:val="00C8171B"/>
    <w:pPr>
      <w:spacing w:after="8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817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17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17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171B"/>
    <w:pPr>
      <w:spacing w:before="160"/>
      <w:jc w:val="center"/>
    </w:pPr>
    <w:rPr>
      <w:i/>
      <w:iCs/>
      <w:color w:val="404040" w:themeColor="text1" w:themeTint="BF"/>
    </w:rPr>
  </w:style>
  <w:style w:type="character" w:customStyle="1" w:styleId="QuoteChar">
    <w:name w:val="Quote Char"/>
    <w:basedOn w:val="DefaultParagraphFont"/>
    <w:link w:val="Quote"/>
    <w:uiPriority w:val="29"/>
    <w:rsid w:val="00C8171B"/>
    <w:rPr>
      <w:rFonts w:ascii="Times New Roman" w:hAnsi="Times New Roman"/>
      <w:i/>
      <w:iCs/>
      <w:color w:val="404040" w:themeColor="text1" w:themeTint="BF"/>
    </w:rPr>
  </w:style>
  <w:style w:type="paragraph" w:styleId="ListParagraph">
    <w:name w:val="List Paragraph"/>
    <w:basedOn w:val="Normal"/>
    <w:uiPriority w:val="34"/>
    <w:qFormat/>
    <w:rsid w:val="00C8171B"/>
    <w:pPr>
      <w:ind w:left="720"/>
      <w:contextualSpacing/>
    </w:pPr>
  </w:style>
  <w:style w:type="character" w:styleId="IntenseEmphasis">
    <w:name w:val="Intense Emphasis"/>
    <w:basedOn w:val="DefaultParagraphFont"/>
    <w:uiPriority w:val="21"/>
    <w:qFormat/>
    <w:rsid w:val="00C8171B"/>
    <w:rPr>
      <w:i/>
      <w:iCs/>
      <w:color w:val="2F5496" w:themeColor="accent1" w:themeShade="BF"/>
    </w:rPr>
  </w:style>
  <w:style w:type="paragraph" w:styleId="IntenseQuote">
    <w:name w:val="Intense Quote"/>
    <w:basedOn w:val="Normal"/>
    <w:next w:val="Normal"/>
    <w:link w:val="IntenseQuoteChar"/>
    <w:uiPriority w:val="30"/>
    <w:qFormat/>
    <w:rsid w:val="00C817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171B"/>
    <w:rPr>
      <w:rFonts w:ascii="Times New Roman" w:hAnsi="Times New Roman"/>
      <w:i/>
      <w:iCs/>
      <w:color w:val="2F5496" w:themeColor="accent1" w:themeShade="BF"/>
    </w:rPr>
  </w:style>
  <w:style w:type="character" w:styleId="IntenseReference">
    <w:name w:val="Intense Reference"/>
    <w:basedOn w:val="DefaultParagraphFont"/>
    <w:uiPriority w:val="32"/>
    <w:qFormat/>
    <w:rsid w:val="00C8171B"/>
    <w:rPr>
      <w:b/>
      <w:bCs/>
      <w:smallCaps/>
      <w:color w:val="2F5496" w:themeColor="accent1" w:themeShade="BF"/>
      <w:spacing w:val="5"/>
    </w:rPr>
  </w:style>
  <w:style w:type="paragraph" w:styleId="TOCHeading">
    <w:name w:val="TOC Heading"/>
    <w:basedOn w:val="Heading1"/>
    <w:next w:val="Normal"/>
    <w:uiPriority w:val="39"/>
    <w:unhideWhenUsed/>
    <w:qFormat/>
    <w:rsid w:val="00E202DD"/>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2">
    <w:name w:val="toc 2"/>
    <w:basedOn w:val="Normal"/>
    <w:next w:val="Normal"/>
    <w:autoRedefine/>
    <w:uiPriority w:val="39"/>
    <w:unhideWhenUsed/>
    <w:rsid w:val="00E202DD"/>
    <w:pPr>
      <w:spacing w:after="100"/>
      <w:ind w:left="240"/>
    </w:pPr>
  </w:style>
  <w:style w:type="paragraph" w:styleId="TOC1">
    <w:name w:val="toc 1"/>
    <w:basedOn w:val="Normal"/>
    <w:next w:val="Normal"/>
    <w:autoRedefine/>
    <w:uiPriority w:val="39"/>
    <w:unhideWhenUsed/>
    <w:rsid w:val="00E202DD"/>
    <w:pPr>
      <w:spacing w:after="100"/>
    </w:pPr>
  </w:style>
  <w:style w:type="character" w:styleId="Hyperlink">
    <w:name w:val="Hyperlink"/>
    <w:basedOn w:val="DefaultParagraphFont"/>
    <w:uiPriority w:val="99"/>
    <w:unhideWhenUsed/>
    <w:rsid w:val="00E202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3677D-DB58-428F-9BC4-9A4F1C83F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31</Pages>
  <Words>6202</Words>
  <Characters>35356</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Mustakim kazi</cp:lastModifiedBy>
  <cp:revision>23</cp:revision>
  <dcterms:created xsi:type="dcterms:W3CDTF">2025-12-10T10:29:00Z</dcterms:created>
  <dcterms:modified xsi:type="dcterms:W3CDTF">2025-12-21T13:52:00Z</dcterms:modified>
</cp:coreProperties>
</file>