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EC898" w14:textId="61C7BD3D" w:rsidR="00CF74C8" w:rsidRPr="00A1775E" w:rsidRDefault="00CF74C8" w:rsidP="00CF74C8">
      <w:pPr>
        <w:jc w:val="center"/>
        <w:rPr>
          <w:rFonts w:ascii="Arial" w:hAnsi="Arial" w:cs="Arial"/>
          <w:b/>
          <w:spacing w:val="-2"/>
          <w:sz w:val="44"/>
          <w:szCs w:val="44"/>
        </w:rPr>
      </w:pPr>
      <w:r w:rsidRPr="00A1775E">
        <w:rPr>
          <w:rFonts w:ascii="Arial" w:hAnsi="Arial" w:cs="Arial"/>
          <w:b/>
          <w:spacing w:val="-2"/>
          <w:sz w:val="44"/>
          <w:szCs w:val="44"/>
        </w:rPr>
        <w:t>NAME: CHINEMEREM IHENACHO</w:t>
      </w:r>
    </w:p>
    <w:p w14:paraId="2CE48013" w14:textId="77777777" w:rsidR="00A1775E" w:rsidRPr="00A1775E" w:rsidRDefault="00A1775E" w:rsidP="00CF74C8">
      <w:pPr>
        <w:jc w:val="center"/>
        <w:rPr>
          <w:rFonts w:ascii="Arial" w:hAnsi="Arial" w:cs="Arial"/>
          <w:b/>
          <w:spacing w:val="-2"/>
          <w:sz w:val="44"/>
          <w:szCs w:val="44"/>
        </w:rPr>
      </w:pPr>
    </w:p>
    <w:p w14:paraId="29286EA1" w14:textId="17D6FCC1" w:rsidR="00CF74C8" w:rsidRPr="00A1775E" w:rsidRDefault="00CF74C8" w:rsidP="00CF74C8">
      <w:pPr>
        <w:jc w:val="center"/>
        <w:rPr>
          <w:rFonts w:ascii="Arial" w:hAnsi="Arial" w:cs="Arial"/>
          <w:b/>
          <w:spacing w:val="-2"/>
          <w:sz w:val="44"/>
          <w:szCs w:val="44"/>
        </w:rPr>
      </w:pPr>
      <w:r w:rsidRPr="00A1775E">
        <w:rPr>
          <w:rFonts w:ascii="Arial" w:hAnsi="Arial" w:cs="Arial"/>
          <w:b/>
          <w:spacing w:val="-2"/>
          <w:sz w:val="44"/>
          <w:szCs w:val="44"/>
        </w:rPr>
        <w:t xml:space="preserve">STUDENT NUMBER: </w:t>
      </w:r>
      <w:r w:rsidR="00A1775E" w:rsidRPr="00A1775E">
        <w:rPr>
          <w:rFonts w:ascii="Arial" w:hAnsi="Arial" w:cs="Arial"/>
          <w:b/>
          <w:spacing w:val="-2"/>
          <w:sz w:val="44"/>
          <w:szCs w:val="44"/>
        </w:rPr>
        <w:t>2311669</w:t>
      </w:r>
    </w:p>
    <w:p w14:paraId="32BEFC66" w14:textId="77777777" w:rsidR="00A1775E" w:rsidRPr="00A1775E" w:rsidRDefault="00A1775E" w:rsidP="00CF74C8">
      <w:pPr>
        <w:jc w:val="center"/>
        <w:rPr>
          <w:rFonts w:ascii="Arial" w:hAnsi="Arial" w:cs="Arial"/>
          <w:b/>
          <w:spacing w:val="-2"/>
          <w:sz w:val="44"/>
          <w:szCs w:val="44"/>
        </w:rPr>
      </w:pPr>
    </w:p>
    <w:p w14:paraId="5A0E2AB4" w14:textId="0A66E388" w:rsidR="00CF74C8" w:rsidRPr="00A1775E" w:rsidRDefault="00A1775E" w:rsidP="00CF74C8">
      <w:pPr>
        <w:jc w:val="center"/>
        <w:rPr>
          <w:rFonts w:ascii="Arial" w:hAnsi="Arial" w:cs="Arial"/>
          <w:b/>
          <w:spacing w:val="-2"/>
          <w:sz w:val="44"/>
          <w:szCs w:val="44"/>
        </w:rPr>
      </w:pPr>
      <w:r w:rsidRPr="00A1775E">
        <w:rPr>
          <w:rFonts w:ascii="Arial" w:hAnsi="Arial" w:cs="Arial"/>
          <w:b/>
          <w:spacing w:val="-2"/>
          <w:sz w:val="44"/>
          <w:szCs w:val="44"/>
        </w:rPr>
        <w:t>COURSE</w:t>
      </w:r>
      <w:r w:rsidR="00CF74C8" w:rsidRPr="00A1775E">
        <w:rPr>
          <w:rFonts w:ascii="Arial" w:hAnsi="Arial" w:cs="Arial"/>
          <w:b/>
          <w:spacing w:val="-2"/>
          <w:sz w:val="44"/>
          <w:szCs w:val="44"/>
        </w:rPr>
        <w:t xml:space="preserve"> </w:t>
      </w:r>
      <w:proofErr w:type="gramStart"/>
      <w:r w:rsidR="00CF74C8" w:rsidRPr="00A1775E">
        <w:rPr>
          <w:rFonts w:ascii="Arial" w:hAnsi="Arial" w:cs="Arial"/>
          <w:b/>
          <w:spacing w:val="-2"/>
          <w:sz w:val="44"/>
          <w:szCs w:val="44"/>
        </w:rPr>
        <w:t>CODE :</w:t>
      </w:r>
      <w:proofErr w:type="gramEnd"/>
      <w:r w:rsidR="00CF74C8" w:rsidRPr="00A1775E">
        <w:rPr>
          <w:rFonts w:ascii="Arial" w:hAnsi="Arial" w:cs="Arial"/>
          <w:b/>
          <w:spacing w:val="-2"/>
          <w:sz w:val="44"/>
          <w:szCs w:val="44"/>
        </w:rPr>
        <w:t xml:space="preserve"> BMHP6029 </w:t>
      </w:r>
    </w:p>
    <w:p w14:paraId="7D427B0F" w14:textId="77777777" w:rsidR="00A1775E" w:rsidRPr="00A1775E" w:rsidRDefault="00A1775E" w:rsidP="00CF74C8">
      <w:pPr>
        <w:jc w:val="center"/>
        <w:rPr>
          <w:rFonts w:ascii="Arial" w:hAnsi="Arial" w:cs="Arial"/>
          <w:b/>
          <w:spacing w:val="-2"/>
          <w:sz w:val="44"/>
          <w:szCs w:val="44"/>
        </w:rPr>
      </w:pPr>
    </w:p>
    <w:p w14:paraId="01A4C343" w14:textId="38B7F7AC" w:rsidR="00CF74C8" w:rsidRPr="00A1775E" w:rsidRDefault="00A1775E" w:rsidP="00CF74C8">
      <w:pPr>
        <w:spacing w:line="360" w:lineRule="auto"/>
        <w:jc w:val="center"/>
        <w:rPr>
          <w:rFonts w:ascii="Arial" w:hAnsi="Arial" w:cs="Arial"/>
          <w:b/>
          <w:spacing w:val="-2"/>
          <w:sz w:val="44"/>
          <w:szCs w:val="44"/>
        </w:rPr>
      </w:pPr>
      <w:proofErr w:type="gramStart"/>
      <w:r w:rsidRPr="00A1775E">
        <w:rPr>
          <w:rFonts w:ascii="Arial" w:hAnsi="Arial" w:cs="Arial"/>
          <w:b/>
          <w:spacing w:val="-2"/>
          <w:sz w:val="44"/>
          <w:szCs w:val="44"/>
        </w:rPr>
        <w:t xml:space="preserve">COURSE </w:t>
      </w:r>
      <w:r w:rsidR="00CF74C8" w:rsidRPr="00A1775E">
        <w:rPr>
          <w:rFonts w:ascii="Arial" w:hAnsi="Arial" w:cs="Arial"/>
          <w:b/>
          <w:spacing w:val="-2"/>
          <w:sz w:val="44"/>
          <w:szCs w:val="44"/>
        </w:rPr>
        <w:t>:</w:t>
      </w:r>
      <w:proofErr w:type="gramEnd"/>
      <w:r w:rsidR="00CF74C8" w:rsidRPr="00A1775E">
        <w:rPr>
          <w:rFonts w:ascii="Arial" w:hAnsi="Arial" w:cs="Arial"/>
          <w:b/>
          <w:spacing w:val="-2"/>
          <w:sz w:val="44"/>
          <w:szCs w:val="44"/>
        </w:rPr>
        <w:t xml:space="preserve"> </w:t>
      </w:r>
      <w:r w:rsidR="00CF74C8" w:rsidRPr="00A1775E">
        <w:rPr>
          <w:rFonts w:ascii="Arial" w:hAnsi="Arial" w:cs="Arial"/>
          <w:b/>
          <w:sz w:val="44"/>
          <w:szCs w:val="44"/>
        </w:rPr>
        <w:t>PSYCHOLOGICAL</w:t>
      </w:r>
      <w:r w:rsidR="00CF74C8" w:rsidRPr="00A1775E">
        <w:rPr>
          <w:rFonts w:ascii="Arial" w:hAnsi="Arial" w:cs="Arial"/>
          <w:b/>
          <w:spacing w:val="-7"/>
          <w:sz w:val="44"/>
          <w:szCs w:val="44"/>
        </w:rPr>
        <w:t xml:space="preserve"> </w:t>
      </w:r>
      <w:r w:rsidR="00CF74C8" w:rsidRPr="00A1775E">
        <w:rPr>
          <w:rFonts w:ascii="Arial" w:hAnsi="Arial" w:cs="Arial"/>
          <w:b/>
          <w:sz w:val="44"/>
          <w:szCs w:val="44"/>
        </w:rPr>
        <w:t>CLASSIFICATIONS</w:t>
      </w:r>
      <w:r w:rsidR="00CF74C8" w:rsidRPr="00A1775E">
        <w:rPr>
          <w:rFonts w:ascii="Arial" w:hAnsi="Arial" w:cs="Arial"/>
          <w:b/>
          <w:spacing w:val="-7"/>
          <w:sz w:val="44"/>
          <w:szCs w:val="44"/>
        </w:rPr>
        <w:t xml:space="preserve"> </w:t>
      </w:r>
      <w:r w:rsidR="00CF74C8" w:rsidRPr="00A1775E">
        <w:rPr>
          <w:rFonts w:ascii="Arial" w:hAnsi="Arial" w:cs="Arial"/>
          <w:b/>
          <w:sz w:val="44"/>
          <w:szCs w:val="44"/>
        </w:rPr>
        <w:t>AND</w:t>
      </w:r>
      <w:r w:rsidR="00CF74C8" w:rsidRPr="00A1775E">
        <w:rPr>
          <w:rFonts w:ascii="Arial" w:hAnsi="Arial" w:cs="Arial"/>
          <w:b/>
          <w:spacing w:val="-4"/>
          <w:sz w:val="44"/>
          <w:szCs w:val="44"/>
        </w:rPr>
        <w:t xml:space="preserve"> </w:t>
      </w:r>
      <w:r w:rsidR="00CF74C8" w:rsidRPr="00A1775E">
        <w:rPr>
          <w:rFonts w:ascii="Arial" w:hAnsi="Arial" w:cs="Arial"/>
          <w:b/>
          <w:spacing w:val="-2"/>
          <w:sz w:val="44"/>
          <w:szCs w:val="44"/>
        </w:rPr>
        <w:t>PROVISIONS</w:t>
      </w:r>
    </w:p>
    <w:p w14:paraId="64FA3AA0" w14:textId="77777777" w:rsidR="00A1775E" w:rsidRPr="00A1775E" w:rsidRDefault="00A1775E" w:rsidP="00CF74C8">
      <w:pPr>
        <w:spacing w:line="360" w:lineRule="auto"/>
        <w:jc w:val="center"/>
        <w:rPr>
          <w:rFonts w:ascii="Arial" w:hAnsi="Arial" w:cs="Arial"/>
          <w:b/>
          <w:spacing w:val="-2"/>
          <w:sz w:val="44"/>
          <w:szCs w:val="44"/>
        </w:rPr>
      </w:pPr>
    </w:p>
    <w:p w14:paraId="54EFC4DE" w14:textId="37CEF8E7" w:rsidR="00A1775E" w:rsidRPr="00A1775E" w:rsidRDefault="00A1775E" w:rsidP="00CF74C8">
      <w:pPr>
        <w:spacing w:line="360" w:lineRule="auto"/>
        <w:jc w:val="center"/>
        <w:rPr>
          <w:rFonts w:ascii="Arial" w:hAnsi="Arial" w:cs="Arial"/>
          <w:b/>
          <w:spacing w:val="-2"/>
          <w:sz w:val="44"/>
          <w:szCs w:val="44"/>
        </w:rPr>
      </w:pPr>
      <w:proofErr w:type="gramStart"/>
      <w:r w:rsidRPr="00A1775E">
        <w:rPr>
          <w:rFonts w:ascii="Arial" w:hAnsi="Arial" w:cs="Arial"/>
          <w:b/>
          <w:spacing w:val="-2"/>
          <w:sz w:val="44"/>
          <w:szCs w:val="44"/>
        </w:rPr>
        <w:t>LECTURER  :</w:t>
      </w:r>
      <w:proofErr w:type="gramEnd"/>
      <w:r w:rsidRPr="00A1775E">
        <w:rPr>
          <w:rFonts w:ascii="Arial" w:hAnsi="Arial" w:cs="Arial"/>
          <w:b/>
          <w:spacing w:val="-2"/>
          <w:sz w:val="44"/>
          <w:szCs w:val="44"/>
        </w:rPr>
        <w:t xml:space="preserve">  NEALE HADDON</w:t>
      </w:r>
    </w:p>
    <w:p w14:paraId="34899379" w14:textId="28E39CC2" w:rsidR="00CF74C8" w:rsidRPr="00A1775E" w:rsidRDefault="00CF74C8" w:rsidP="00CF74C8">
      <w:pPr>
        <w:jc w:val="center"/>
        <w:rPr>
          <w:rFonts w:ascii="Arial" w:hAnsi="Arial" w:cs="Arial"/>
          <w:b/>
          <w:spacing w:val="-2"/>
          <w:sz w:val="44"/>
          <w:szCs w:val="44"/>
        </w:rPr>
      </w:pPr>
    </w:p>
    <w:p w14:paraId="4277DD5D" w14:textId="77777777" w:rsidR="00CF74C8" w:rsidRPr="00A1775E" w:rsidRDefault="00CF74C8">
      <w:pPr>
        <w:rPr>
          <w:rFonts w:ascii="Arial" w:hAnsi="Arial" w:cs="Arial"/>
          <w:b/>
          <w:bCs/>
          <w:sz w:val="44"/>
          <w:szCs w:val="44"/>
        </w:rPr>
      </w:pPr>
      <w:r w:rsidRPr="00A1775E">
        <w:rPr>
          <w:rFonts w:ascii="Arial" w:hAnsi="Arial" w:cs="Arial"/>
          <w:b/>
          <w:bCs/>
          <w:sz w:val="44"/>
          <w:szCs w:val="44"/>
        </w:rPr>
        <w:br w:type="page"/>
      </w:r>
    </w:p>
    <w:p w14:paraId="59C98F2D" w14:textId="3B7995E2" w:rsidR="00194075" w:rsidRPr="00A760BD" w:rsidRDefault="00194075" w:rsidP="003934BD">
      <w:pPr>
        <w:spacing w:line="360" w:lineRule="auto"/>
        <w:jc w:val="both"/>
        <w:rPr>
          <w:rFonts w:ascii="Arial" w:hAnsi="Arial" w:cs="Arial"/>
          <w:b/>
          <w:bCs/>
        </w:rPr>
      </w:pPr>
      <w:r w:rsidRPr="00A760BD">
        <w:rPr>
          <w:rFonts w:ascii="Arial" w:hAnsi="Arial" w:cs="Arial"/>
          <w:b/>
          <w:bCs/>
        </w:rPr>
        <w:lastRenderedPageBreak/>
        <w:t>1. Introduction</w:t>
      </w:r>
    </w:p>
    <w:p w14:paraId="31CC1A1D" w14:textId="1241450E" w:rsidR="00194075" w:rsidRPr="00A760BD" w:rsidRDefault="00194075" w:rsidP="003934BD">
      <w:pPr>
        <w:spacing w:line="360" w:lineRule="auto"/>
        <w:jc w:val="both"/>
        <w:rPr>
          <w:rFonts w:ascii="Arial" w:hAnsi="Arial" w:cs="Arial"/>
        </w:rPr>
      </w:pPr>
      <w:r w:rsidRPr="00A760BD">
        <w:rPr>
          <w:rFonts w:ascii="Arial" w:hAnsi="Arial" w:cs="Arial"/>
        </w:rPr>
        <w:t xml:space="preserve">Attention-deficit/hyperactivity disorder (ADHD) is a neurodevelopmental condition characterised by persistent patterns of inattention, hyperactivity and impulsivity that impede normal </w:t>
      </w:r>
      <w:r w:rsidR="00E96E88" w:rsidRPr="00A760BD">
        <w:rPr>
          <w:rFonts w:ascii="Arial" w:hAnsi="Arial" w:cs="Arial"/>
        </w:rPr>
        <w:t>functioning</w:t>
      </w:r>
      <w:r w:rsidRPr="00A760BD">
        <w:rPr>
          <w:rFonts w:ascii="Arial" w:hAnsi="Arial" w:cs="Arial"/>
        </w:rPr>
        <w:t xml:space="preserve"> or development (Yaco</w:t>
      </w:r>
      <w:r w:rsidR="00C75A01" w:rsidRPr="00A760BD">
        <w:rPr>
          <w:rFonts w:ascii="Arial" w:hAnsi="Arial" w:cs="Arial"/>
        </w:rPr>
        <w:t>u</w:t>
      </w:r>
      <w:r w:rsidRPr="00A760BD">
        <w:rPr>
          <w:rFonts w:ascii="Arial" w:hAnsi="Arial" w:cs="Arial"/>
        </w:rPr>
        <w:t xml:space="preserve">b et al., 2025). </w:t>
      </w:r>
      <w:r w:rsidR="00066968" w:rsidRPr="00A760BD">
        <w:rPr>
          <w:rFonts w:ascii="Arial" w:hAnsi="Arial" w:cs="Arial"/>
        </w:rPr>
        <w:t xml:space="preserve">ADHD affects about 5% of children </w:t>
      </w:r>
      <w:r w:rsidR="00BC0B8C" w:rsidRPr="00A760BD">
        <w:rPr>
          <w:rFonts w:ascii="Arial" w:hAnsi="Arial" w:cs="Arial"/>
        </w:rPr>
        <w:t>(Friedman &amp; Rapoport, 2015)</w:t>
      </w:r>
      <w:r w:rsidR="00C4088D" w:rsidRPr="00A760BD">
        <w:rPr>
          <w:rFonts w:ascii="Arial" w:hAnsi="Arial" w:cs="Arial"/>
        </w:rPr>
        <w:t xml:space="preserve"> </w:t>
      </w:r>
      <w:r w:rsidR="00066968" w:rsidRPr="00A760BD">
        <w:rPr>
          <w:rFonts w:ascii="Arial" w:hAnsi="Arial" w:cs="Arial"/>
        </w:rPr>
        <w:t>and 6.76% of adults</w:t>
      </w:r>
      <w:r w:rsidR="00E73997" w:rsidRPr="00A760BD">
        <w:rPr>
          <w:rFonts w:ascii="Arial" w:hAnsi="Arial" w:cs="Arial"/>
        </w:rPr>
        <w:t xml:space="preserve"> (Song et al., 2021)</w:t>
      </w:r>
      <w:r w:rsidR="0067149F" w:rsidRPr="00A760BD">
        <w:rPr>
          <w:rFonts w:ascii="Arial" w:hAnsi="Arial" w:cs="Arial"/>
        </w:rPr>
        <w:t xml:space="preserve">, and males are diagnosed twice as frequently </w:t>
      </w:r>
      <w:r w:rsidR="00B735F9" w:rsidRPr="00A760BD">
        <w:rPr>
          <w:rFonts w:ascii="Arial" w:hAnsi="Arial" w:cs="Arial"/>
        </w:rPr>
        <w:t>as</w:t>
      </w:r>
      <w:r w:rsidR="00050432" w:rsidRPr="00A760BD">
        <w:rPr>
          <w:rFonts w:ascii="Arial" w:hAnsi="Arial" w:cs="Arial"/>
        </w:rPr>
        <w:t xml:space="preserve"> females (</w:t>
      </w:r>
      <w:r w:rsidR="00E73997" w:rsidRPr="00A760BD">
        <w:rPr>
          <w:rFonts w:ascii="Arial" w:hAnsi="Arial" w:cs="Arial"/>
        </w:rPr>
        <w:t>Wilcutt, 2012</w:t>
      </w:r>
      <w:r w:rsidR="00050432" w:rsidRPr="00A760BD">
        <w:rPr>
          <w:rFonts w:ascii="Arial" w:hAnsi="Arial" w:cs="Arial"/>
        </w:rPr>
        <w:t xml:space="preserve">). </w:t>
      </w:r>
    </w:p>
    <w:p w14:paraId="01C79E7C" w14:textId="654529A6" w:rsidR="00FE3004" w:rsidRPr="00A760BD" w:rsidRDefault="00492ABD" w:rsidP="003934BD">
      <w:pPr>
        <w:spacing w:line="360" w:lineRule="auto"/>
        <w:jc w:val="both"/>
        <w:rPr>
          <w:rFonts w:ascii="Arial" w:hAnsi="Arial" w:cs="Arial"/>
        </w:rPr>
      </w:pPr>
      <w:r w:rsidRPr="00A760BD">
        <w:rPr>
          <w:rFonts w:ascii="Arial" w:hAnsi="Arial" w:cs="Arial"/>
        </w:rPr>
        <w:t xml:space="preserve">In the International Classification of Diseases (ICD-11), ADHD is </w:t>
      </w:r>
      <w:r w:rsidR="006749C8" w:rsidRPr="00A760BD">
        <w:rPr>
          <w:rFonts w:ascii="Arial" w:hAnsi="Arial" w:cs="Arial"/>
        </w:rPr>
        <w:t>classified</w:t>
      </w:r>
      <w:r w:rsidRPr="00A760BD">
        <w:rPr>
          <w:rFonts w:ascii="Arial" w:hAnsi="Arial" w:cs="Arial"/>
        </w:rPr>
        <w:t xml:space="preserve"> under neurodevelopmental disorders (ICD-11: 6A0</w:t>
      </w:r>
      <w:r w:rsidR="00306FEA" w:rsidRPr="00A760BD">
        <w:rPr>
          <w:rFonts w:ascii="Arial" w:hAnsi="Arial" w:cs="Arial"/>
        </w:rPr>
        <w:t>5</w:t>
      </w:r>
      <w:r w:rsidRPr="00A760BD">
        <w:rPr>
          <w:rFonts w:ascii="Arial" w:hAnsi="Arial" w:cs="Arial"/>
        </w:rPr>
        <w:t>)</w:t>
      </w:r>
      <w:r w:rsidR="00591B38" w:rsidRPr="00A760BD">
        <w:rPr>
          <w:rFonts w:ascii="Arial" w:hAnsi="Arial" w:cs="Arial"/>
        </w:rPr>
        <w:t xml:space="preserve"> </w:t>
      </w:r>
      <w:r w:rsidR="00A80563" w:rsidRPr="00A760BD">
        <w:rPr>
          <w:rFonts w:ascii="Arial" w:hAnsi="Arial" w:cs="Arial"/>
        </w:rPr>
        <w:t>(Linden, 2025)</w:t>
      </w:r>
      <w:r w:rsidRPr="00A760BD">
        <w:rPr>
          <w:rFonts w:ascii="Arial" w:hAnsi="Arial" w:cs="Arial"/>
        </w:rPr>
        <w:t>.</w:t>
      </w:r>
      <w:r w:rsidR="00712E06" w:rsidRPr="00A760BD">
        <w:rPr>
          <w:rFonts w:ascii="Arial" w:hAnsi="Arial" w:cs="Arial"/>
        </w:rPr>
        <w:t xml:space="preserve"> </w:t>
      </w:r>
      <w:r w:rsidR="003934BD" w:rsidRPr="00A760BD">
        <w:rPr>
          <w:rFonts w:ascii="Arial" w:hAnsi="Arial" w:cs="Arial"/>
        </w:rPr>
        <w:t xml:space="preserve">While classification is important </w:t>
      </w:r>
      <w:r w:rsidR="00715427" w:rsidRPr="00A760BD">
        <w:rPr>
          <w:rFonts w:ascii="Arial" w:hAnsi="Arial" w:cs="Arial"/>
        </w:rPr>
        <w:t xml:space="preserve">for </w:t>
      </w:r>
      <w:r w:rsidR="00415921" w:rsidRPr="00A760BD">
        <w:rPr>
          <w:rFonts w:ascii="Arial" w:hAnsi="Arial" w:cs="Arial"/>
        </w:rPr>
        <w:t>diagnosis, it does not guarantee early assessment or effective treatment</w:t>
      </w:r>
      <w:r w:rsidR="00DD5798" w:rsidRPr="00A760BD">
        <w:rPr>
          <w:rFonts w:ascii="Arial" w:hAnsi="Arial" w:cs="Arial"/>
        </w:rPr>
        <w:t xml:space="preserve">, which </w:t>
      </w:r>
      <w:r w:rsidR="00954F03" w:rsidRPr="00A760BD">
        <w:rPr>
          <w:rFonts w:ascii="Arial" w:hAnsi="Arial" w:cs="Arial"/>
        </w:rPr>
        <w:t>can ultimately lead to prolonged unmanaged symptoms and significant life impa</w:t>
      </w:r>
      <w:r w:rsidR="00D6089D" w:rsidRPr="00A760BD">
        <w:rPr>
          <w:rFonts w:ascii="Arial" w:hAnsi="Arial" w:cs="Arial"/>
        </w:rPr>
        <w:t xml:space="preserve">irments (da Silva Leandro et al., 2024). </w:t>
      </w:r>
      <w:r w:rsidR="0088539A" w:rsidRPr="00A760BD">
        <w:rPr>
          <w:rFonts w:ascii="Arial" w:hAnsi="Arial" w:cs="Arial"/>
        </w:rPr>
        <w:t xml:space="preserve">According to the WHO (2024), </w:t>
      </w:r>
      <w:r w:rsidR="006A442E" w:rsidRPr="00A760BD">
        <w:rPr>
          <w:rFonts w:ascii="Arial" w:hAnsi="Arial" w:cs="Arial"/>
        </w:rPr>
        <w:t xml:space="preserve">for mental, behavioural and neurodevelopmental disorders, </w:t>
      </w:r>
      <w:r w:rsidR="003030DC" w:rsidRPr="00A760BD">
        <w:rPr>
          <w:rFonts w:ascii="Arial" w:hAnsi="Arial" w:cs="Arial"/>
        </w:rPr>
        <w:t>an accurate diagnosis is generally the first step towards appropriate care and treatment</w:t>
      </w:r>
      <w:r w:rsidR="003F576A" w:rsidRPr="00A760BD">
        <w:rPr>
          <w:rFonts w:ascii="Arial" w:hAnsi="Arial" w:cs="Arial"/>
        </w:rPr>
        <w:t xml:space="preserve">, while the </w:t>
      </w:r>
      <w:r w:rsidR="00194075" w:rsidRPr="00A760BD">
        <w:rPr>
          <w:rFonts w:ascii="Arial" w:hAnsi="Arial" w:cs="Arial"/>
        </w:rPr>
        <w:t xml:space="preserve">National Institute for Health and Care Excellence (NICE, 2018) </w:t>
      </w:r>
      <w:r w:rsidR="009A1D01" w:rsidRPr="00A760BD">
        <w:rPr>
          <w:rFonts w:ascii="Arial" w:hAnsi="Arial" w:cs="Arial"/>
        </w:rPr>
        <w:t xml:space="preserve">emphasises comprehensive assessment of the person with ADHD and </w:t>
      </w:r>
      <w:r w:rsidR="0004096C" w:rsidRPr="00A760BD">
        <w:rPr>
          <w:rFonts w:ascii="Arial" w:hAnsi="Arial" w:cs="Arial"/>
        </w:rPr>
        <w:t>care that is tailored to their individual needs and circumstances</w:t>
      </w:r>
      <w:r w:rsidR="009715EA" w:rsidRPr="00A760BD">
        <w:rPr>
          <w:rFonts w:ascii="Arial" w:hAnsi="Arial" w:cs="Arial"/>
        </w:rPr>
        <w:t>.</w:t>
      </w:r>
      <w:r w:rsidR="00667EC6" w:rsidRPr="00A760BD">
        <w:rPr>
          <w:rFonts w:ascii="Arial" w:hAnsi="Arial" w:cs="Arial"/>
        </w:rPr>
        <w:t xml:space="preserve"> </w:t>
      </w:r>
    </w:p>
    <w:p w14:paraId="0B474D77" w14:textId="2F74252A" w:rsidR="00DC1F15" w:rsidRPr="0058407B" w:rsidRDefault="00302A1A" w:rsidP="003934BD">
      <w:pPr>
        <w:spacing w:line="360" w:lineRule="auto"/>
        <w:jc w:val="both"/>
        <w:rPr>
          <w:rFonts w:ascii="Arial" w:hAnsi="Arial" w:cs="Arial"/>
        </w:rPr>
      </w:pPr>
      <w:r w:rsidRPr="00A760BD">
        <w:rPr>
          <w:rFonts w:ascii="Arial" w:hAnsi="Arial" w:cs="Arial"/>
        </w:rPr>
        <w:t xml:space="preserve">This </w:t>
      </w:r>
      <w:r w:rsidR="00E11E21" w:rsidRPr="00A760BD">
        <w:rPr>
          <w:rFonts w:ascii="Arial" w:hAnsi="Arial" w:cs="Arial"/>
        </w:rPr>
        <w:t xml:space="preserve">report </w:t>
      </w:r>
      <w:r w:rsidR="00DC1F15" w:rsidRPr="00A760BD">
        <w:rPr>
          <w:rFonts w:ascii="Arial" w:hAnsi="Arial" w:cs="Arial"/>
        </w:rPr>
        <w:t>critically examines the classification, diagnosis, treatment, and rehabilitation processes for</w:t>
      </w:r>
      <w:r w:rsidR="00F82FF1" w:rsidRPr="00A760BD">
        <w:rPr>
          <w:rFonts w:ascii="Arial" w:hAnsi="Arial" w:cs="Arial"/>
        </w:rPr>
        <w:t xml:space="preserve"> ADHD. Additionally, </w:t>
      </w:r>
      <w:r w:rsidR="004902A5" w:rsidRPr="00A760BD">
        <w:rPr>
          <w:rFonts w:ascii="Arial" w:hAnsi="Arial" w:cs="Arial"/>
        </w:rPr>
        <w:t xml:space="preserve">the report </w:t>
      </w:r>
      <w:r w:rsidR="00D96DA4" w:rsidRPr="00A760BD">
        <w:rPr>
          <w:rFonts w:ascii="Arial" w:hAnsi="Arial" w:cs="Arial"/>
        </w:rPr>
        <w:t>explore</w:t>
      </w:r>
      <w:r w:rsidR="0015007D" w:rsidRPr="00A760BD">
        <w:rPr>
          <w:rFonts w:ascii="Arial" w:hAnsi="Arial" w:cs="Arial"/>
        </w:rPr>
        <w:t>s</w:t>
      </w:r>
      <w:r w:rsidR="00D96DA4" w:rsidRPr="00A760BD">
        <w:rPr>
          <w:rFonts w:ascii="Arial" w:hAnsi="Arial" w:cs="Arial"/>
        </w:rPr>
        <w:t xml:space="preserve"> </w:t>
      </w:r>
      <w:r w:rsidR="00415C1C" w:rsidRPr="00A760BD">
        <w:rPr>
          <w:rFonts w:ascii="Arial" w:hAnsi="Arial" w:cs="Arial"/>
        </w:rPr>
        <w:t xml:space="preserve">current </w:t>
      </w:r>
      <w:r w:rsidR="00335C68" w:rsidRPr="00A760BD">
        <w:rPr>
          <w:rFonts w:ascii="Arial" w:hAnsi="Arial" w:cs="Arial"/>
        </w:rPr>
        <w:t>debates surrounding ADHD</w:t>
      </w:r>
      <w:r w:rsidR="008617E1" w:rsidRPr="00A760BD">
        <w:rPr>
          <w:rFonts w:ascii="Arial" w:hAnsi="Arial" w:cs="Arial"/>
        </w:rPr>
        <w:t>, particularly its classification and treatment</w:t>
      </w:r>
      <w:r w:rsidR="00DC1F15" w:rsidRPr="00A760BD">
        <w:rPr>
          <w:rFonts w:ascii="Arial" w:hAnsi="Arial" w:cs="Arial"/>
        </w:rPr>
        <w:t>.</w:t>
      </w:r>
    </w:p>
    <w:p w14:paraId="7057C202" w14:textId="44469A33" w:rsidR="00DC1F15" w:rsidRPr="00A760BD" w:rsidRDefault="00DC1F15" w:rsidP="003934BD">
      <w:pPr>
        <w:spacing w:line="360" w:lineRule="auto"/>
        <w:jc w:val="both"/>
        <w:rPr>
          <w:rFonts w:ascii="Arial" w:hAnsi="Arial" w:cs="Arial"/>
          <w:b/>
          <w:bCs/>
        </w:rPr>
      </w:pPr>
      <w:r w:rsidRPr="00A760BD">
        <w:rPr>
          <w:rFonts w:ascii="Arial" w:hAnsi="Arial" w:cs="Arial"/>
          <w:b/>
          <w:bCs/>
        </w:rPr>
        <w:t xml:space="preserve">2. </w:t>
      </w:r>
      <w:r w:rsidR="00922A40" w:rsidRPr="00A760BD">
        <w:rPr>
          <w:rFonts w:ascii="Arial" w:hAnsi="Arial" w:cs="Arial"/>
          <w:b/>
          <w:bCs/>
        </w:rPr>
        <w:t>Classification and Diagnosis</w:t>
      </w:r>
    </w:p>
    <w:p w14:paraId="663D064E" w14:textId="745A6A38" w:rsidR="00F919BE" w:rsidRPr="00A760BD" w:rsidRDefault="006048BD" w:rsidP="003934BD">
      <w:pPr>
        <w:spacing w:line="360" w:lineRule="auto"/>
        <w:jc w:val="both"/>
        <w:rPr>
          <w:rFonts w:ascii="Arial" w:hAnsi="Arial" w:cs="Arial"/>
        </w:rPr>
      </w:pPr>
      <w:r w:rsidRPr="00A760BD">
        <w:rPr>
          <w:rFonts w:ascii="Arial" w:hAnsi="Arial" w:cs="Arial"/>
        </w:rPr>
        <w:t>In the International Classification of Diseases (ICD-11), ADHD is classified under neurodevelopmental disorders (ICD-11: 6A05)</w:t>
      </w:r>
      <w:r w:rsidR="001A686C" w:rsidRPr="00A760BD">
        <w:rPr>
          <w:rFonts w:ascii="Arial" w:hAnsi="Arial" w:cs="Arial"/>
        </w:rPr>
        <w:t xml:space="preserve"> (Linden, 2025)</w:t>
      </w:r>
      <w:r w:rsidRPr="00A760BD">
        <w:rPr>
          <w:rFonts w:ascii="Arial" w:hAnsi="Arial" w:cs="Arial"/>
        </w:rPr>
        <w:t xml:space="preserve">. </w:t>
      </w:r>
      <w:r w:rsidR="0002333A" w:rsidRPr="00A760BD">
        <w:rPr>
          <w:rFonts w:ascii="Arial" w:hAnsi="Arial" w:cs="Arial"/>
        </w:rPr>
        <w:t xml:space="preserve">While ADHD is often </w:t>
      </w:r>
      <w:r w:rsidR="009039EE" w:rsidRPr="00A760BD">
        <w:rPr>
          <w:rFonts w:ascii="Arial" w:hAnsi="Arial" w:cs="Arial"/>
        </w:rPr>
        <w:t>misunderstood as a behavio</w:t>
      </w:r>
      <w:r w:rsidR="0002333A" w:rsidRPr="00A760BD">
        <w:rPr>
          <w:rFonts w:ascii="Arial" w:hAnsi="Arial" w:cs="Arial"/>
        </w:rPr>
        <w:t>u</w:t>
      </w:r>
      <w:r w:rsidR="009039EE" w:rsidRPr="00A760BD">
        <w:rPr>
          <w:rFonts w:ascii="Arial" w:hAnsi="Arial" w:cs="Arial"/>
        </w:rPr>
        <w:t>ral problem</w:t>
      </w:r>
      <w:r w:rsidR="002B3A07" w:rsidRPr="00A760BD">
        <w:rPr>
          <w:rFonts w:ascii="Arial" w:hAnsi="Arial" w:cs="Arial"/>
        </w:rPr>
        <w:t xml:space="preserve">, this classification correctly </w:t>
      </w:r>
      <w:r w:rsidR="00AF77C3" w:rsidRPr="00A760BD">
        <w:rPr>
          <w:rFonts w:ascii="Arial" w:hAnsi="Arial" w:cs="Arial"/>
        </w:rPr>
        <w:t>conceptualises</w:t>
      </w:r>
      <w:r w:rsidR="002B3A07" w:rsidRPr="00A760BD">
        <w:rPr>
          <w:rFonts w:ascii="Arial" w:hAnsi="Arial" w:cs="Arial"/>
        </w:rPr>
        <w:t xml:space="preserve"> it as </w:t>
      </w:r>
      <w:r w:rsidR="00CE262E" w:rsidRPr="00A760BD">
        <w:rPr>
          <w:rFonts w:ascii="Arial" w:hAnsi="Arial" w:cs="Arial"/>
        </w:rPr>
        <w:t xml:space="preserve">a </w:t>
      </w:r>
      <w:r w:rsidR="008C5A66" w:rsidRPr="00A760BD">
        <w:rPr>
          <w:rFonts w:ascii="Arial" w:hAnsi="Arial" w:cs="Arial"/>
        </w:rPr>
        <w:t xml:space="preserve">developmental </w:t>
      </w:r>
      <w:r w:rsidR="000E0E5F" w:rsidRPr="00A760BD">
        <w:rPr>
          <w:rFonts w:ascii="Arial" w:hAnsi="Arial" w:cs="Arial"/>
        </w:rPr>
        <w:t>condition</w:t>
      </w:r>
      <w:r w:rsidR="00CE262E" w:rsidRPr="00A760BD">
        <w:rPr>
          <w:rFonts w:ascii="Arial" w:hAnsi="Arial" w:cs="Arial"/>
        </w:rPr>
        <w:t xml:space="preserve"> </w:t>
      </w:r>
      <w:r w:rsidR="00FC0442" w:rsidRPr="00A760BD">
        <w:rPr>
          <w:rFonts w:ascii="Arial" w:hAnsi="Arial" w:cs="Arial"/>
        </w:rPr>
        <w:t>(Prasad and Kumminimana, 2025)</w:t>
      </w:r>
      <w:r w:rsidR="000E0E5F" w:rsidRPr="00A760BD">
        <w:rPr>
          <w:rFonts w:ascii="Arial" w:hAnsi="Arial" w:cs="Arial"/>
        </w:rPr>
        <w:t xml:space="preserve">. </w:t>
      </w:r>
      <w:r w:rsidR="00275A56" w:rsidRPr="00A760BD">
        <w:rPr>
          <w:rFonts w:ascii="Arial" w:hAnsi="Arial" w:cs="Arial"/>
        </w:rPr>
        <w:t xml:space="preserve">Three </w:t>
      </w:r>
      <w:r w:rsidR="00AE6248" w:rsidRPr="00A760BD">
        <w:rPr>
          <w:rFonts w:ascii="Arial" w:hAnsi="Arial" w:cs="Arial"/>
        </w:rPr>
        <w:t>principal presentations are identified by ICD-11</w:t>
      </w:r>
      <w:r w:rsidR="000B3501" w:rsidRPr="00A760BD">
        <w:rPr>
          <w:rFonts w:ascii="Arial" w:hAnsi="Arial" w:cs="Arial"/>
        </w:rPr>
        <w:t>;</w:t>
      </w:r>
      <w:r w:rsidR="00C2391E" w:rsidRPr="00A760BD">
        <w:rPr>
          <w:rFonts w:ascii="Arial" w:hAnsi="Arial" w:cs="Arial"/>
        </w:rPr>
        <w:t xml:space="preserve"> </w:t>
      </w:r>
      <w:r w:rsidR="0037266C" w:rsidRPr="00A760BD">
        <w:rPr>
          <w:rFonts w:ascii="Arial" w:hAnsi="Arial" w:cs="Arial"/>
        </w:rPr>
        <w:t xml:space="preserve">thus, ADHD is classified into </w:t>
      </w:r>
      <w:r w:rsidR="002F61E2" w:rsidRPr="00A760BD">
        <w:rPr>
          <w:rFonts w:ascii="Arial" w:hAnsi="Arial" w:cs="Arial"/>
        </w:rPr>
        <w:t xml:space="preserve">subtypes of </w:t>
      </w:r>
      <w:r w:rsidR="000B3501" w:rsidRPr="00A760BD">
        <w:rPr>
          <w:rFonts w:ascii="Arial" w:hAnsi="Arial" w:cs="Arial"/>
        </w:rPr>
        <w:t>predominantly</w:t>
      </w:r>
      <w:r w:rsidR="002F61E2" w:rsidRPr="00A760BD">
        <w:rPr>
          <w:rFonts w:ascii="Arial" w:hAnsi="Arial" w:cs="Arial"/>
        </w:rPr>
        <w:t xml:space="preserve"> inattentive (</w:t>
      </w:r>
      <w:r w:rsidR="00306877" w:rsidRPr="00A760BD">
        <w:rPr>
          <w:rFonts w:ascii="Arial" w:hAnsi="Arial" w:cs="Arial"/>
        </w:rPr>
        <w:t>6A05.0</w:t>
      </w:r>
      <w:r w:rsidR="002F61E2" w:rsidRPr="00A760BD">
        <w:rPr>
          <w:rFonts w:ascii="Arial" w:hAnsi="Arial" w:cs="Arial"/>
        </w:rPr>
        <w:t xml:space="preserve">), </w:t>
      </w:r>
      <w:r w:rsidR="00691D36" w:rsidRPr="00A760BD">
        <w:rPr>
          <w:rFonts w:ascii="Arial" w:hAnsi="Arial" w:cs="Arial"/>
        </w:rPr>
        <w:t xml:space="preserve">predominantly </w:t>
      </w:r>
      <w:r w:rsidR="002F61E2" w:rsidRPr="00A760BD">
        <w:rPr>
          <w:rFonts w:ascii="Arial" w:hAnsi="Arial" w:cs="Arial"/>
        </w:rPr>
        <w:t>hyperactive (</w:t>
      </w:r>
      <w:r w:rsidR="00306877" w:rsidRPr="00A760BD">
        <w:rPr>
          <w:rFonts w:ascii="Arial" w:hAnsi="Arial" w:cs="Arial"/>
        </w:rPr>
        <w:t>6A05.1</w:t>
      </w:r>
      <w:r w:rsidR="002F61E2" w:rsidRPr="00A760BD">
        <w:rPr>
          <w:rFonts w:ascii="Arial" w:hAnsi="Arial" w:cs="Arial"/>
        </w:rPr>
        <w:t>) or combined (</w:t>
      </w:r>
      <w:r w:rsidR="00306877" w:rsidRPr="00A760BD">
        <w:rPr>
          <w:rFonts w:ascii="Arial" w:hAnsi="Arial" w:cs="Arial"/>
        </w:rPr>
        <w:t>6A05.2</w:t>
      </w:r>
      <w:r w:rsidR="002F61E2" w:rsidRPr="00A760BD">
        <w:rPr>
          <w:rFonts w:ascii="Arial" w:hAnsi="Arial" w:cs="Arial"/>
        </w:rPr>
        <w:t>)</w:t>
      </w:r>
      <w:r w:rsidR="00D24BF7" w:rsidRPr="00A760BD">
        <w:rPr>
          <w:rFonts w:ascii="Arial" w:hAnsi="Arial" w:cs="Arial"/>
        </w:rPr>
        <w:t xml:space="preserve"> (Gomez et al., </w:t>
      </w:r>
      <w:r w:rsidR="0021074F" w:rsidRPr="00A760BD">
        <w:rPr>
          <w:rFonts w:ascii="Arial" w:hAnsi="Arial" w:cs="Arial"/>
        </w:rPr>
        <w:t>2023)</w:t>
      </w:r>
      <w:r w:rsidR="00670423" w:rsidRPr="00A760BD">
        <w:rPr>
          <w:rFonts w:ascii="Arial" w:hAnsi="Arial" w:cs="Arial"/>
        </w:rPr>
        <w:t>.</w:t>
      </w:r>
      <w:r w:rsidR="00306877" w:rsidRPr="00A760BD">
        <w:rPr>
          <w:rFonts w:ascii="Arial" w:hAnsi="Arial" w:cs="Arial"/>
        </w:rPr>
        <w:t xml:space="preserve"> </w:t>
      </w:r>
      <w:r w:rsidR="00C71BB3" w:rsidRPr="00A760BD">
        <w:rPr>
          <w:rFonts w:ascii="Arial" w:hAnsi="Arial" w:cs="Arial"/>
        </w:rPr>
        <w:t xml:space="preserve">These specifiers are important, as they </w:t>
      </w:r>
      <w:r w:rsidR="00CA19DC" w:rsidRPr="00A760BD">
        <w:rPr>
          <w:rFonts w:ascii="Arial" w:hAnsi="Arial" w:cs="Arial"/>
        </w:rPr>
        <w:t xml:space="preserve">describe the </w:t>
      </w:r>
      <w:r w:rsidR="00C71BB3" w:rsidRPr="00A760BD">
        <w:rPr>
          <w:rFonts w:ascii="Arial" w:hAnsi="Arial" w:cs="Arial"/>
        </w:rPr>
        <w:t xml:space="preserve">extent of inattention and hyperactivity symptoms </w:t>
      </w:r>
      <w:r w:rsidR="00CA19DC" w:rsidRPr="00A760BD">
        <w:rPr>
          <w:rFonts w:ascii="Arial" w:hAnsi="Arial" w:cs="Arial"/>
        </w:rPr>
        <w:t>and how they</w:t>
      </w:r>
      <w:r w:rsidR="00C71BB3" w:rsidRPr="00A760BD">
        <w:rPr>
          <w:rFonts w:ascii="Arial" w:hAnsi="Arial" w:cs="Arial"/>
        </w:rPr>
        <w:t xml:space="preserve"> </w:t>
      </w:r>
      <w:r w:rsidR="00464492" w:rsidRPr="00A760BD">
        <w:rPr>
          <w:rFonts w:ascii="Arial" w:hAnsi="Arial" w:cs="Arial"/>
        </w:rPr>
        <w:t>differ between</w:t>
      </w:r>
      <w:r w:rsidR="00C71BB3" w:rsidRPr="00A760BD">
        <w:rPr>
          <w:rFonts w:ascii="Arial" w:hAnsi="Arial" w:cs="Arial"/>
        </w:rPr>
        <w:t xml:space="preserve"> children and adults</w:t>
      </w:r>
      <w:r w:rsidR="00800E14" w:rsidRPr="00A760BD">
        <w:rPr>
          <w:rFonts w:ascii="Arial" w:hAnsi="Arial" w:cs="Arial"/>
        </w:rPr>
        <w:t xml:space="preserve"> (</w:t>
      </w:r>
      <w:r w:rsidR="00C75A01" w:rsidRPr="00A760BD">
        <w:rPr>
          <w:rFonts w:ascii="Arial" w:hAnsi="Arial" w:cs="Arial"/>
        </w:rPr>
        <w:t xml:space="preserve">Yacoub et al., 2025). </w:t>
      </w:r>
      <w:r w:rsidR="00F919BE" w:rsidRPr="00A760BD">
        <w:rPr>
          <w:rFonts w:ascii="Arial" w:hAnsi="Arial" w:cs="Arial"/>
        </w:rPr>
        <w:t xml:space="preserve">However, </w:t>
      </w:r>
      <w:r w:rsidR="00945332" w:rsidRPr="00A760BD">
        <w:rPr>
          <w:rFonts w:ascii="Arial" w:hAnsi="Arial" w:cs="Arial"/>
        </w:rPr>
        <w:t>given that n</w:t>
      </w:r>
      <w:r w:rsidR="00F919BE" w:rsidRPr="00A760BD">
        <w:rPr>
          <w:rFonts w:ascii="Arial" w:hAnsi="Arial" w:cs="Arial"/>
        </w:rPr>
        <w:t>eurocognitive impairments are not necessary for diagnosing ADHD</w:t>
      </w:r>
      <w:r w:rsidR="00945332" w:rsidRPr="00A760BD">
        <w:rPr>
          <w:rFonts w:ascii="Arial" w:hAnsi="Arial" w:cs="Arial"/>
        </w:rPr>
        <w:t xml:space="preserve">, </w:t>
      </w:r>
      <w:r w:rsidR="000B60D6" w:rsidRPr="00A760BD">
        <w:rPr>
          <w:rFonts w:ascii="Arial" w:hAnsi="Arial" w:cs="Arial"/>
        </w:rPr>
        <w:t xml:space="preserve">diagnostic categorisation </w:t>
      </w:r>
      <w:r w:rsidR="003136B5" w:rsidRPr="00A760BD">
        <w:rPr>
          <w:rFonts w:ascii="Arial" w:hAnsi="Arial" w:cs="Arial"/>
        </w:rPr>
        <w:t xml:space="preserve">alone cannot establish the extent of an individual’s functional ability and </w:t>
      </w:r>
      <w:r w:rsidR="00D039B0" w:rsidRPr="00A760BD">
        <w:rPr>
          <w:rFonts w:ascii="Arial" w:hAnsi="Arial" w:cs="Arial"/>
        </w:rPr>
        <w:t>the level of support they need (</w:t>
      </w:r>
      <w:r w:rsidR="002A5A61" w:rsidRPr="00A760BD">
        <w:rPr>
          <w:rFonts w:ascii="Arial" w:hAnsi="Arial" w:cs="Arial"/>
        </w:rPr>
        <w:t>Malhotra et al., 2025)</w:t>
      </w:r>
      <w:r w:rsidR="007779F1" w:rsidRPr="00A760BD">
        <w:rPr>
          <w:rFonts w:ascii="Arial" w:hAnsi="Arial" w:cs="Arial"/>
        </w:rPr>
        <w:t>.</w:t>
      </w:r>
    </w:p>
    <w:p w14:paraId="17A57D17" w14:textId="4688F0CB" w:rsidR="009F2121" w:rsidRPr="00A760BD" w:rsidRDefault="001371A8" w:rsidP="003934BD">
      <w:pPr>
        <w:spacing w:line="360" w:lineRule="auto"/>
        <w:jc w:val="both"/>
        <w:rPr>
          <w:rFonts w:ascii="Arial" w:hAnsi="Arial" w:cs="Arial"/>
        </w:rPr>
      </w:pPr>
      <w:r w:rsidRPr="00A760BD">
        <w:rPr>
          <w:rFonts w:ascii="Arial" w:hAnsi="Arial" w:cs="Arial"/>
        </w:rPr>
        <w:t xml:space="preserve">In certain cases, a diagnosis of ADHD might not be made because the individual does not present with </w:t>
      </w:r>
      <w:r w:rsidR="001A4957" w:rsidRPr="00A760BD">
        <w:rPr>
          <w:rFonts w:ascii="Arial" w:hAnsi="Arial" w:cs="Arial"/>
        </w:rPr>
        <w:t xml:space="preserve">the typical behaviours associated with the disorder (Young et al., 2020). </w:t>
      </w:r>
      <w:r w:rsidR="006A6AB9" w:rsidRPr="00A760BD">
        <w:rPr>
          <w:rFonts w:ascii="Arial" w:hAnsi="Arial" w:cs="Arial"/>
        </w:rPr>
        <w:t xml:space="preserve">As a result, NICE (2018) recommends </w:t>
      </w:r>
      <w:r w:rsidR="00D928AC" w:rsidRPr="00A760BD">
        <w:rPr>
          <w:rFonts w:ascii="Arial" w:hAnsi="Arial" w:cs="Arial"/>
        </w:rPr>
        <w:t xml:space="preserve">that a specialist conduct an assessment that incorporates the individual’s full developmental and psychiatric history, clinical and psychosocial </w:t>
      </w:r>
      <w:r w:rsidR="00D928AC" w:rsidRPr="00A760BD">
        <w:rPr>
          <w:rFonts w:ascii="Arial" w:hAnsi="Arial" w:cs="Arial"/>
        </w:rPr>
        <w:lastRenderedPageBreak/>
        <w:t xml:space="preserve">assessment, observer reports and an </w:t>
      </w:r>
      <w:r w:rsidR="009F2121" w:rsidRPr="00A760BD">
        <w:rPr>
          <w:rFonts w:ascii="Arial" w:hAnsi="Arial" w:cs="Arial"/>
        </w:rPr>
        <w:t>assessment of the person's mental state</w:t>
      </w:r>
      <w:r w:rsidR="00426907" w:rsidRPr="00A760BD">
        <w:rPr>
          <w:rFonts w:ascii="Arial" w:hAnsi="Arial" w:cs="Arial"/>
        </w:rPr>
        <w:t xml:space="preserve">. </w:t>
      </w:r>
      <w:r w:rsidR="00872FEB" w:rsidRPr="00A760BD">
        <w:rPr>
          <w:rFonts w:ascii="Arial" w:hAnsi="Arial" w:cs="Arial"/>
        </w:rPr>
        <w:t>Additionally, NICE recommends that ADHD diagnosis should</w:t>
      </w:r>
      <w:r w:rsidR="00940524" w:rsidRPr="00A760BD">
        <w:rPr>
          <w:rFonts w:ascii="Arial" w:hAnsi="Arial" w:cs="Arial"/>
        </w:rPr>
        <w:t xml:space="preserve"> meet the diagnostic criteria for hyperkinetic disorder in DSM</w:t>
      </w:r>
      <w:r w:rsidR="00940524" w:rsidRPr="00A760BD">
        <w:rPr>
          <w:rFonts w:ascii="Arial" w:hAnsi="Arial" w:cs="Arial"/>
        </w:rPr>
        <w:noBreakHyphen/>
        <w:t>5 or ICD</w:t>
      </w:r>
      <w:r w:rsidR="00940524" w:rsidRPr="00A760BD">
        <w:rPr>
          <w:rFonts w:ascii="Arial" w:hAnsi="Arial" w:cs="Arial"/>
        </w:rPr>
        <w:noBreakHyphen/>
        <w:t xml:space="preserve">11, </w:t>
      </w:r>
      <w:r w:rsidR="00B708DB" w:rsidRPr="00A760BD">
        <w:rPr>
          <w:rFonts w:ascii="Arial" w:hAnsi="Arial" w:cs="Arial"/>
        </w:rPr>
        <w:t xml:space="preserve">should not be made solely on the basis of rating </w:t>
      </w:r>
      <w:r w:rsidR="00037884" w:rsidRPr="00A760BD">
        <w:rPr>
          <w:rFonts w:ascii="Arial" w:hAnsi="Arial" w:cs="Arial"/>
        </w:rPr>
        <w:t>scales</w:t>
      </w:r>
      <w:r w:rsidR="00B708DB" w:rsidRPr="00A760BD">
        <w:rPr>
          <w:rFonts w:ascii="Arial" w:hAnsi="Arial" w:cs="Arial"/>
        </w:rPr>
        <w:t xml:space="preserve"> or observational data and </w:t>
      </w:r>
      <w:r w:rsidR="00D047B8" w:rsidRPr="00A760BD">
        <w:rPr>
          <w:rFonts w:ascii="Arial" w:hAnsi="Arial" w:cs="Arial"/>
        </w:rPr>
        <w:t>should include an assessment of the person's needs, coexisting conditions, social, famil</w:t>
      </w:r>
      <w:r w:rsidR="00BE07A6" w:rsidRPr="00A760BD">
        <w:rPr>
          <w:rFonts w:ascii="Arial" w:hAnsi="Arial" w:cs="Arial"/>
        </w:rPr>
        <w:t>y</w:t>
      </w:r>
      <w:r w:rsidR="00D047B8" w:rsidRPr="00A760BD">
        <w:rPr>
          <w:rFonts w:ascii="Arial" w:hAnsi="Arial" w:cs="Arial"/>
        </w:rPr>
        <w:t xml:space="preserve"> and educational or occupational circumstances, and physical health</w:t>
      </w:r>
      <w:r w:rsidR="00BE07A6" w:rsidRPr="00A760BD">
        <w:rPr>
          <w:rFonts w:ascii="Arial" w:hAnsi="Arial" w:cs="Arial"/>
        </w:rPr>
        <w:t>.</w:t>
      </w:r>
      <w:r w:rsidR="00037884" w:rsidRPr="00A760BD">
        <w:rPr>
          <w:rFonts w:ascii="Arial" w:hAnsi="Arial" w:cs="Arial"/>
        </w:rPr>
        <w:t xml:space="preserve"> This approach is important because </w:t>
      </w:r>
      <w:r w:rsidR="007A08BE" w:rsidRPr="00A760BD">
        <w:rPr>
          <w:rFonts w:ascii="Arial" w:hAnsi="Arial" w:cs="Arial"/>
        </w:rPr>
        <w:t xml:space="preserve">ADHD symptoms may overlap with other neurodevelopmental </w:t>
      </w:r>
      <w:r w:rsidR="0061741E" w:rsidRPr="00A760BD">
        <w:rPr>
          <w:rFonts w:ascii="Arial" w:hAnsi="Arial" w:cs="Arial"/>
        </w:rPr>
        <w:t>conditions such as autism spectrum disorder (ASD) (</w:t>
      </w:r>
      <w:r w:rsidR="001711C5" w:rsidRPr="00A760BD">
        <w:rPr>
          <w:rFonts w:ascii="Arial" w:hAnsi="Arial" w:cs="Arial"/>
        </w:rPr>
        <w:t>Gnanavel et al., 2019)</w:t>
      </w:r>
      <w:r w:rsidR="0061741E" w:rsidRPr="00A760BD">
        <w:rPr>
          <w:rFonts w:ascii="Arial" w:hAnsi="Arial" w:cs="Arial"/>
        </w:rPr>
        <w:t xml:space="preserve">. </w:t>
      </w:r>
    </w:p>
    <w:p w14:paraId="7DBD99CE" w14:textId="6B14B85B" w:rsidR="007241D5" w:rsidRPr="00A760BD" w:rsidRDefault="007721E3" w:rsidP="00895598">
      <w:pPr>
        <w:spacing w:line="360" w:lineRule="auto"/>
        <w:jc w:val="both"/>
        <w:rPr>
          <w:rFonts w:ascii="Arial" w:hAnsi="Arial" w:cs="Arial"/>
        </w:rPr>
      </w:pPr>
      <w:r w:rsidRPr="00A760BD">
        <w:rPr>
          <w:rFonts w:ascii="Arial" w:hAnsi="Arial" w:cs="Arial"/>
        </w:rPr>
        <w:t xml:space="preserve">Nevertheless, these recommendations </w:t>
      </w:r>
      <w:r w:rsidR="00141C4D" w:rsidRPr="00A760BD">
        <w:rPr>
          <w:rFonts w:ascii="Arial" w:hAnsi="Arial" w:cs="Arial"/>
        </w:rPr>
        <w:t>face practical challenges, particularly because</w:t>
      </w:r>
      <w:r w:rsidR="007E1CAB" w:rsidRPr="00A760BD">
        <w:rPr>
          <w:rFonts w:ascii="Arial" w:hAnsi="Arial" w:cs="Arial"/>
        </w:rPr>
        <w:t xml:space="preserve"> they do not specify detailed procedures for clinical practice (</w:t>
      </w:r>
      <w:r w:rsidR="00A159B8" w:rsidRPr="00A760BD">
        <w:rPr>
          <w:rFonts w:ascii="Arial" w:hAnsi="Arial" w:cs="Arial"/>
        </w:rPr>
        <w:t>Young et al., 2024)</w:t>
      </w:r>
      <w:r w:rsidRPr="00A760BD">
        <w:rPr>
          <w:rFonts w:ascii="Arial" w:hAnsi="Arial" w:cs="Arial"/>
        </w:rPr>
        <w:t xml:space="preserve">. </w:t>
      </w:r>
      <w:r w:rsidR="00BF09FF" w:rsidRPr="00A760BD">
        <w:rPr>
          <w:rFonts w:ascii="Arial" w:hAnsi="Arial" w:cs="Arial"/>
        </w:rPr>
        <w:t xml:space="preserve">While standardised criteria enhance consistency, </w:t>
      </w:r>
      <w:r w:rsidR="0021084D" w:rsidRPr="00A760BD">
        <w:rPr>
          <w:rFonts w:ascii="Arial" w:hAnsi="Arial" w:cs="Arial"/>
        </w:rPr>
        <w:t xml:space="preserve">clinical judgment </w:t>
      </w:r>
      <w:r w:rsidR="00BF09FF" w:rsidRPr="00A760BD">
        <w:rPr>
          <w:rFonts w:ascii="Arial" w:hAnsi="Arial" w:cs="Arial"/>
        </w:rPr>
        <w:t>is</w:t>
      </w:r>
      <w:r w:rsidR="0021084D" w:rsidRPr="00A760BD">
        <w:rPr>
          <w:rFonts w:ascii="Arial" w:hAnsi="Arial" w:cs="Arial"/>
        </w:rPr>
        <w:t xml:space="preserve"> critical in interpreting these assessments, as the distinctions between ADHD and ASD symptoms are often blurred</w:t>
      </w:r>
      <w:r w:rsidR="00456660" w:rsidRPr="00A760BD">
        <w:rPr>
          <w:rFonts w:ascii="Arial" w:hAnsi="Arial" w:cs="Arial"/>
        </w:rPr>
        <w:t xml:space="preserve"> </w:t>
      </w:r>
      <w:r w:rsidR="009109FF" w:rsidRPr="00A760BD">
        <w:rPr>
          <w:rFonts w:ascii="Arial" w:hAnsi="Arial" w:cs="Arial"/>
        </w:rPr>
        <w:t>(Musullulu, 2025)</w:t>
      </w:r>
      <w:r w:rsidR="0021084D" w:rsidRPr="00A760BD">
        <w:rPr>
          <w:rFonts w:ascii="Arial" w:hAnsi="Arial" w:cs="Arial"/>
        </w:rPr>
        <w:t>.</w:t>
      </w:r>
      <w:r w:rsidR="009109FF" w:rsidRPr="00A760BD">
        <w:rPr>
          <w:rFonts w:ascii="Arial" w:hAnsi="Arial" w:cs="Arial"/>
        </w:rPr>
        <w:t xml:space="preserve"> </w:t>
      </w:r>
      <w:r w:rsidR="00C0767B" w:rsidRPr="00A760BD">
        <w:rPr>
          <w:rFonts w:ascii="Arial" w:hAnsi="Arial" w:cs="Arial"/>
        </w:rPr>
        <w:t xml:space="preserve">Diagnosis of ADHD is further complicated by </w:t>
      </w:r>
      <w:r w:rsidR="00385CE6" w:rsidRPr="00A760BD">
        <w:rPr>
          <w:rFonts w:ascii="Arial" w:hAnsi="Arial" w:cs="Arial"/>
        </w:rPr>
        <w:t xml:space="preserve">overlapping presentations with other neurodevelopmental disorders and mental </w:t>
      </w:r>
      <w:r w:rsidR="00A51AB1" w:rsidRPr="00A760BD">
        <w:rPr>
          <w:rFonts w:ascii="Arial" w:hAnsi="Arial" w:cs="Arial"/>
        </w:rPr>
        <w:t xml:space="preserve">conditions, which may result in difficulties and delays in decision-making (NICE, 2024). </w:t>
      </w:r>
      <w:r w:rsidR="00695B25" w:rsidRPr="00A760BD">
        <w:rPr>
          <w:rFonts w:ascii="Arial" w:hAnsi="Arial" w:cs="Arial"/>
        </w:rPr>
        <w:t xml:space="preserve">Consequently, </w:t>
      </w:r>
      <w:r w:rsidR="001F2F17" w:rsidRPr="00A760BD">
        <w:rPr>
          <w:rFonts w:ascii="Arial" w:hAnsi="Arial" w:cs="Arial"/>
        </w:rPr>
        <w:t xml:space="preserve">attention </w:t>
      </w:r>
      <w:r w:rsidR="00BC522F" w:rsidRPr="00A760BD">
        <w:rPr>
          <w:rFonts w:ascii="Arial" w:hAnsi="Arial" w:cs="Arial"/>
        </w:rPr>
        <w:t xml:space="preserve">and activity </w:t>
      </w:r>
      <w:r w:rsidR="000C063E" w:rsidRPr="00A760BD">
        <w:rPr>
          <w:rFonts w:ascii="Arial" w:hAnsi="Arial" w:cs="Arial"/>
        </w:rPr>
        <w:t xml:space="preserve">should not be interpreted as </w:t>
      </w:r>
      <w:r w:rsidR="00B33026" w:rsidRPr="00A760BD">
        <w:rPr>
          <w:rFonts w:ascii="Arial" w:hAnsi="Arial" w:cs="Arial"/>
        </w:rPr>
        <w:t>evidence of a mental disorder</w:t>
      </w:r>
      <w:r w:rsidR="00B103E5" w:rsidRPr="00A760BD">
        <w:rPr>
          <w:rFonts w:ascii="Arial" w:hAnsi="Arial" w:cs="Arial"/>
        </w:rPr>
        <w:t xml:space="preserve"> and ADHD diagnosis should </w:t>
      </w:r>
      <w:r w:rsidR="00895598" w:rsidRPr="00A760BD">
        <w:rPr>
          <w:rFonts w:ascii="Arial" w:hAnsi="Arial" w:cs="Arial"/>
        </w:rPr>
        <w:t xml:space="preserve">be distinguished from </w:t>
      </w:r>
      <w:r w:rsidR="007241D5" w:rsidRPr="00A760BD">
        <w:rPr>
          <w:rFonts w:ascii="Arial" w:hAnsi="Arial" w:cs="Arial"/>
        </w:rPr>
        <w:t>debilitating symptoms, in order to avoid overdiagnosis</w:t>
      </w:r>
      <w:r w:rsidR="00895598" w:rsidRPr="00A760BD">
        <w:rPr>
          <w:rFonts w:ascii="Arial" w:hAnsi="Arial" w:cs="Arial"/>
        </w:rPr>
        <w:t xml:space="preserve"> (</w:t>
      </w:r>
      <w:r w:rsidR="00FB7A30" w:rsidRPr="00A760BD">
        <w:rPr>
          <w:rFonts w:ascii="Arial" w:hAnsi="Arial" w:cs="Arial"/>
        </w:rPr>
        <w:t xml:space="preserve">Linden, 2025). </w:t>
      </w:r>
    </w:p>
    <w:p w14:paraId="057A8337" w14:textId="3B032589" w:rsidR="0062503B" w:rsidRPr="00A760BD" w:rsidRDefault="00331344" w:rsidP="0062503B">
      <w:pPr>
        <w:spacing w:line="360" w:lineRule="auto"/>
        <w:jc w:val="both"/>
        <w:rPr>
          <w:rFonts w:ascii="Arial" w:hAnsi="Arial" w:cs="Arial"/>
        </w:rPr>
      </w:pPr>
      <w:r w:rsidRPr="00A760BD">
        <w:rPr>
          <w:rFonts w:ascii="Arial" w:hAnsi="Arial" w:cs="Arial"/>
        </w:rPr>
        <w:t xml:space="preserve">The </w:t>
      </w:r>
      <w:r w:rsidR="00690905" w:rsidRPr="00A760BD">
        <w:rPr>
          <w:rFonts w:ascii="Arial" w:hAnsi="Arial" w:cs="Arial"/>
        </w:rPr>
        <w:t xml:space="preserve">terminology used for ADHD also raises </w:t>
      </w:r>
      <w:r w:rsidR="00F66C25" w:rsidRPr="00A760BD">
        <w:rPr>
          <w:rFonts w:ascii="Arial" w:hAnsi="Arial" w:cs="Arial"/>
        </w:rPr>
        <w:t xml:space="preserve">critical considerations. </w:t>
      </w:r>
      <w:r w:rsidR="00023758" w:rsidRPr="00A760BD">
        <w:rPr>
          <w:rFonts w:ascii="Arial" w:hAnsi="Arial" w:cs="Arial"/>
        </w:rPr>
        <w:t xml:space="preserve">The ADHD diagnostic label </w:t>
      </w:r>
      <w:r w:rsidR="00496E32" w:rsidRPr="00A760BD">
        <w:rPr>
          <w:rFonts w:ascii="Arial" w:hAnsi="Arial" w:cs="Arial"/>
        </w:rPr>
        <w:t xml:space="preserve">uses the term ‘disorder’, causing it to be </w:t>
      </w:r>
      <w:r w:rsidR="00756986" w:rsidRPr="00A760BD">
        <w:rPr>
          <w:rFonts w:ascii="Arial" w:hAnsi="Arial" w:cs="Arial"/>
        </w:rPr>
        <w:t xml:space="preserve">considered a </w:t>
      </w:r>
      <w:r w:rsidR="00496E32" w:rsidRPr="00A760BD">
        <w:rPr>
          <w:rFonts w:ascii="Arial" w:hAnsi="Arial" w:cs="Arial"/>
        </w:rPr>
        <w:t>deficit to be cured</w:t>
      </w:r>
      <w:r w:rsidR="00756986" w:rsidRPr="00A760BD">
        <w:rPr>
          <w:rFonts w:ascii="Arial" w:hAnsi="Arial" w:cs="Arial"/>
        </w:rPr>
        <w:t xml:space="preserve"> or a societal problem compromising identity, fostering stigma and inducing medication use</w:t>
      </w:r>
      <w:r w:rsidR="00496E32" w:rsidRPr="00A760BD">
        <w:rPr>
          <w:rFonts w:ascii="Arial" w:hAnsi="Arial" w:cs="Arial"/>
        </w:rPr>
        <w:t xml:space="preserve"> </w:t>
      </w:r>
      <w:r w:rsidR="0062503B" w:rsidRPr="00A760BD">
        <w:rPr>
          <w:rFonts w:ascii="Arial" w:hAnsi="Arial" w:cs="Arial"/>
        </w:rPr>
        <w:t>(van der Oord, Vanaken and French, 2026)</w:t>
      </w:r>
      <w:r w:rsidR="004509FD" w:rsidRPr="00A760BD">
        <w:rPr>
          <w:rFonts w:ascii="Arial" w:hAnsi="Arial" w:cs="Arial"/>
        </w:rPr>
        <w:t xml:space="preserve">. </w:t>
      </w:r>
      <w:r w:rsidR="008D541A" w:rsidRPr="00A760BD">
        <w:rPr>
          <w:rFonts w:ascii="Arial" w:hAnsi="Arial" w:cs="Arial"/>
        </w:rPr>
        <w:t xml:space="preserve">In contrast, </w:t>
      </w:r>
      <w:r w:rsidR="00A5232F" w:rsidRPr="00A760BD">
        <w:rPr>
          <w:rFonts w:ascii="Arial" w:hAnsi="Arial" w:cs="Arial"/>
        </w:rPr>
        <w:t xml:space="preserve">neurodiversity perspectives </w:t>
      </w:r>
      <w:r w:rsidR="00B04919" w:rsidRPr="00A760BD">
        <w:rPr>
          <w:rFonts w:ascii="Arial" w:hAnsi="Arial" w:cs="Arial"/>
        </w:rPr>
        <w:t xml:space="preserve">describe ADHD characteristics as </w:t>
      </w:r>
      <w:r w:rsidR="00D648E7" w:rsidRPr="00A760BD">
        <w:rPr>
          <w:rFonts w:ascii="Arial" w:hAnsi="Arial" w:cs="Arial"/>
        </w:rPr>
        <w:t>a value-neutral, minority neurotype</w:t>
      </w:r>
      <w:r w:rsidR="0049551D" w:rsidRPr="00A760BD">
        <w:rPr>
          <w:rFonts w:ascii="Arial" w:hAnsi="Arial" w:cs="Arial"/>
        </w:rPr>
        <w:t xml:space="preserve"> </w:t>
      </w:r>
      <w:r w:rsidR="00720391" w:rsidRPr="00A760BD">
        <w:rPr>
          <w:rFonts w:ascii="Arial" w:hAnsi="Arial" w:cs="Arial"/>
        </w:rPr>
        <w:t xml:space="preserve">instead of a universal deficit </w:t>
      </w:r>
      <w:r w:rsidR="00FA404D" w:rsidRPr="00A760BD">
        <w:rPr>
          <w:rFonts w:ascii="Arial" w:hAnsi="Arial" w:cs="Arial"/>
        </w:rPr>
        <w:t>(Quintero et al., 2025).</w:t>
      </w:r>
      <w:r w:rsidR="00030236" w:rsidRPr="00A760BD">
        <w:rPr>
          <w:rFonts w:ascii="Arial" w:hAnsi="Arial" w:cs="Arial"/>
        </w:rPr>
        <w:t xml:space="preserve"> </w:t>
      </w:r>
      <w:r w:rsidR="00954A99" w:rsidRPr="00A760BD">
        <w:rPr>
          <w:rFonts w:ascii="Arial" w:hAnsi="Arial" w:cs="Arial"/>
        </w:rPr>
        <w:t xml:space="preserve">These differences </w:t>
      </w:r>
      <w:r w:rsidR="00745E95" w:rsidRPr="00A760BD">
        <w:rPr>
          <w:rFonts w:ascii="Arial" w:hAnsi="Arial" w:cs="Arial"/>
        </w:rPr>
        <w:t>raise critical questions about the relationship between diagnostic language, stigma, access to support,</w:t>
      </w:r>
      <w:r w:rsidR="00750F69" w:rsidRPr="00A760BD">
        <w:rPr>
          <w:rFonts w:ascii="Arial" w:hAnsi="Arial" w:cs="Arial"/>
        </w:rPr>
        <w:t xml:space="preserve"> and identity. </w:t>
      </w:r>
    </w:p>
    <w:p w14:paraId="6A764F4E" w14:textId="77777777" w:rsidR="00A760BD" w:rsidRPr="00A760BD" w:rsidRDefault="00A760BD" w:rsidP="00A760BD">
      <w:pPr>
        <w:spacing w:line="360" w:lineRule="auto"/>
        <w:jc w:val="both"/>
        <w:rPr>
          <w:rFonts w:ascii="Arial" w:hAnsi="Arial" w:cs="Arial"/>
          <w:b/>
          <w:bCs/>
        </w:rPr>
      </w:pPr>
      <w:r w:rsidRPr="00A760BD">
        <w:rPr>
          <w:rFonts w:ascii="Arial" w:eastAsia="Arial" w:hAnsi="Arial" w:cs="Arial"/>
          <w:b/>
          <w:bCs/>
        </w:rPr>
        <w:t>3. Treatment</w:t>
      </w:r>
    </w:p>
    <w:p w14:paraId="57CD5560" w14:textId="1BEF375B" w:rsidR="00A760BD" w:rsidRPr="00A760BD" w:rsidRDefault="00A760BD" w:rsidP="00A760BD">
      <w:pPr>
        <w:spacing w:line="360" w:lineRule="auto"/>
        <w:jc w:val="both"/>
        <w:rPr>
          <w:rFonts w:ascii="Arial" w:eastAsia="Arial" w:hAnsi="Arial" w:cs="Arial"/>
        </w:rPr>
      </w:pPr>
      <w:r w:rsidRPr="00A760BD">
        <w:rPr>
          <w:rFonts w:ascii="Arial" w:eastAsia="Arial" w:hAnsi="Arial" w:cs="Arial"/>
        </w:rPr>
        <w:t>NICE (2018) guideline NG87 remains the principal framework for ADHD management in England. Although last updated in 2019 and reviewed in July 2026, this guidance remains valid and recommends that adults use lisdexamfetamine as first-line treatment</w:t>
      </w:r>
      <w:r w:rsidR="007432C5">
        <w:rPr>
          <w:rFonts w:ascii="Arial" w:eastAsia="Arial" w:hAnsi="Arial" w:cs="Arial"/>
        </w:rPr>
        <w:t>,</w:t>
      </w:r>
      <w:r w:rsidRPr="00A760BD">
        <w:rPr>
          <w:rFonts w:ascii="Arial" w:eastAsia="Arial" w:hAnsi="Arial" w:cs="Arial"/>
        </w:rPr>
        <w:t xml:space="preserve"> then, if required, methylphenidate. As for children who have milder impairments, it emphasises environmental adaptations and psychoeducation. Despite the </w:t>
      </w:r>
      <w:r w:rsidR="007432C5">
        <w:rPr>
          <w:rFonts w:ascii="Arial" w:eastAsia="Arial" w:hAnsi="Arial" w:cs="Arial"/>
        </w:rPr>
        <w:t>Fonagy review's call for new NICE guidance, NG87 remains</w:t>
      </w:r>
      <w:r w:rsidRPr="00A760BD">
        <w:rPr>
          <w:rFonts w:ascii="Arial" w:eastAsia="Arial" w:hAnsi="Arial" w:cs="Arial"/>
        </w:rPr>
        <w:t xml:space="preserve"> in force (DHSC, 2026a).</w:t>
      </w:r>
    </w:p>
    <w:p w14:paraId="7B512F3E" w14:textId="0B56788D"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This is supported by a large body of evidence, with some caveats. In a review of 113 RCTs with adults, Ostinelli et al. (2025) reported stimulants and atomoxetine to be effective in reducing core ADHD symptoms. However, </w:t>
      </w:r>
      <w:r w:rsidR="007432C5">
        <w:rPr>
          <w:rFonts w:ascii="Arial" w:eastAsia="Arial" w:hAnsi="Arial" w:cs="Arial"/>
        </w:rPr>
        <w:t xml:space="preserve">data were limited beyond 12 weeks, and no evidence showed </w:t>
      </w:r>
      <w:r w:rsidRPr="00A760BD">
        <w:rPr>
          <w:rFonts w:ascii="Arial" w:eastAsia="Arial" w:hAnsi="Arial" w:cs="Arial"/>
        </w:rPr>
        <w:t xml:space="preserve">that medications improved quality of life. This is significant because </w:t>
      </w:r>
      <w:r w:rsidRPr="00A760BD">
        <w:rPr>
          <w:rFonts w:ascii="Arial" w:eastAsia="Arial" w:hAnsi="Arial" w:cs="Arial"/>
        </w:rPr>
        <w:lastRenderedPageBreak/>
        <w:t xml:space="preserve">successful rehabilitation should not only reduce symptoms but also </w:t>
      </w:r>
      <w:r w:rsidR="007432C5" w:rsidRPr="00A760BD">
        <w:rPr>
          <w:rFonts w:ascii="Arial" w:eastAsia="Arial" w:hAnsi="Arial" w:cs="Arial"/>
        </w:rPr>
        <w:t xml:space="preserve">improve </w:t>
      </w:r>
      <w:r w:rsidRPr="00A760BD">
        <w:rPr>
          <w:rFonts w:ascii="Arial" w:eastAsia="Arial" w:hAnsi="Arial" w:cs="Arial"/>
        </w:rPr>
        <w:t>function</w:t>
      </w:r>
      <w:r w:rsidR="007432C5">
        <w:rPr>
          <w:rFonts w:ascii="Arial" w:eastAsia="Arial" w:hAnsi="Arial" w:cs="Arial"/>
        </w:rPr>
        <w:t>ing</w:t>
      </w:r>
      <w:r w:rsidRPr="00A760BD">
        <w:rPr>
          <w:rFonts w:ascii="Arial" w:eastAsia="Arial" w:hAnsi="Arial" w:cs="Arial"/>
        </w:rPr>
        <w:t xml:space="preserve"> and quality of life. Safety considerations further complicate treatment decisions. According to Zhang et al. (2024), each additional year of using ADHD medication was linked to a 4% higher risk of cardiovascular problems, particularly hypertension. This justifies the use of cardiovascular monitoring, which has been recommended by NICE; however, observational design cannot prove causality.</w:t>
      </w:r>
    </w:p>
    <w:p w14:paraId="748E68E3" w14:textId="1ECC8020"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Psychological interventions thus seem more suitable to be used as an adjunct rather than as a replacement for medication. Ostinelli et al. (2025) reported inconsistent benefits, with most </w:t>
      </w:r>
      <w:r w:rsidR="007432C5">
        <w:rPr>
          <w:rFonts w:ascii="Arial" w:eastAsia="Arial" w:hAnsi="Arial" w:cs="Arial"/>
        </w:rPr>
        <w:t>benefits self-reported, which can be affected by expectancy effects because</w:t>
      </w:r>
      <w:r w:rsidRPr="00A760BD">
        <w:rPr>
          <w:rFonts w:ascii="Arial" w:eastAsia="Arial" w:hAnsi="Arial" w:cs="Arial"/>
        </w:rPr>
        <w:t xml:space="preserve"> participants cannot be blinded to psychological interventions. In contrast, Yang et al. (2025) found extremely high effects for cognitive behavioural therapy (CBT). The magnitude of these reported effects should be interpreted cautiously, as such substantial benefits may not necessarily translate into comparable improvements in routine clinical practice (Lutz et al., 2026; Cuijpers et al., 2023).</w:t>
      </w:r>
    </w:p>
    <w:p w14:paraId="165AC6FA" w14:textId="701B2F5B"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Nevertheless, the effectiveness of these interventions depends partly on equitable access to treatment. </w:t>
      </w:r>
      <w:r w:rsidR="00753B7E">
        <w:rPr>
          <w:rFonts w:ascii="Arial" w:eastAsia="Arial" w:hAnsi="Arial" w:cs="Arial"/>
        </w:rPr>
        <w:t xml:space="preserve">During the 2023 medication shortage, a national patient safety alert was issued to prescribers </w:t>
      </w:r>
      <w:r w:rsidRPr="00A760BD">
        <w:rPr>
          <w:rFonts w:ascii="Arial" w:eastAsia="Arial" w:hAnsi="Arial" w:cs="Arial"/>
        </w:rPr>
        <w:t>not to start new patients on affected medicines (DHSC, 2023). In addition, NHS England (2025) states that only roughly 15% of adults with ADHD are taking medication. These limitations indicate a gap between evidence-based recommendations and implementation, and emphasise the need for accessible and well-resourced, individually tailored ADHD care.</w:t>
      </w:r>
    </w:p>
    <w:p w14:paraId="339017B3" w14:textId="77777777" w:rsidR="00A760BD" w:rsidRPr="00A760BD" w:rsidRDefault="00A760BD" w:rsidP="00A760BD">
      <w:pPr>
        <w:spacing w:line="360" w:lineRule="auto"/>
        <w:jc w:val="both"/>
        <w:rPr>
          <w:rFonts w:ascii="Arial" w:hAnsi="Arial" w:cs="Arial"/>
          <w:b/>
          <w:bCs/>
        </w:rPr>
      </w:pPr>
    </w:p>
    <w:p w14:paraId="39E9EE51" w14:textId="77777777" w:rsidR="00A760BD" w:rsidRPr="00A760BD" w:rsidRDefault="00A760BD" w:rsidP="00A760BD">
      <w:pPr>
        <w:spacing w:line="360" w:lineRule="auto"/>
        <w:jc w:val="both"/>
        <w:rPr>
          <w:rFonts w:ascii="Arial" w:hAnsi="Arial" w:cs="Arial"/>
          <w:b/>
          <w:bCs/>
        </w:rPr>
      </w:pPr>
      <w:r w:rsidRPr="00A760BD">
        <w:rPr>
          <w:rFonts w:ascii="Arial" w:eastAsia="Arial" w:hAnsi="Arial" w:cs="Arial"/>
          <w:b/>
          <w:bCs/>
        </w:rPr>
        <w:t>4. Rehabilitation</w:t>
      </w:r>
    </w:p>
    <w:p w14:paraId="5E686D6B" w14:textId="1C77DD9A"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ICD-11 provides limited guidance on rehabilitation. For 6A05, </w:t>
      </w:r>
      <w:r w:rsidR="00753B7E">
        <w:rPr>
          <w:rFonts w:ascii="Arial" w:eastAsia="Arial" w:hAnsi="Arial" w:cs="Arial"/>
        </w:rPr>
        <w:t>the entry focuses on identification, distinguishes between normal variation and differential diagnosis, and does not refer to interventions or recovery goals</w:t>
      </w:r>
      <w:r w:rsidRPr="00A760BD">
        <w:rPr>
          <w:rFonts w:ascii="Arial" w:eastAsia="Arial" w:hAnsi="Arial" w:cs="Arial"/>
        </w:rPr>
        <w:t xml:space="preserve"> (WHO, 2024). Although the International Classification of Functioning, Disability and Health (ICF) addresses activity limitations, participation</w:t>
      </w:r>
      <w:r w:rsidR="00753B7E">
        <w:rPr>
          <w:rFonts w:ascii="Arial" w:eastAsia="Arial" w:hAnsi="Arial" w:cs="Arial"/>
        </w:rPr>
        <w:t xml:space="preserve">, and environmental factors, ICD-11 does not require its use within the </w:t>
      </w:r>
      <w:r w:rsidRPr="00A760BD">
        <w:rPr>
          <w:rFonts w:ascii="Arial" w:eastAsia="Arial" w:hAnsi="Arial" w:cs="Arial"/>
        </w:rPr>
        <w:t xml:space="preserve">ADHD framework. Bölte et al. (2018) developed ICF Core Sets comprising 72 categories to support functional assessment in ADHD. </w:t>
      </w:r>
      <w:r w:rsidR="00753B7E">
        <w:rPr>
          <w:rFonts w:ascii="Arial" w:eastAsia="Arial" w:hAnsi="Arial" w:cs="Arial"/>
        </w:rPr>
        <w:t xml:space="preserve">However, without their routine integration, a weak connection remains </w:t>
      </w:r>
      <w:r w:rsidRPr="00A760BD">
        <w:rPr>
          <w:rFonts w:ascii="Arial" w:eastAsia="Arial" w:hAnsi="Arial" w:cs="Arial"/>
        </w:rPr>
        <w:t>between diagnosis and rehabilitation.</w:t>
      </w:r>
    </w:p>
    <w:p w14:paraId="673A9376" w14:textId="067A3DE3"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Furthermore, while clinical pathways are an important part of rehabilitation, they are not the sole basis of rehabilitation practice (Wade, 2020; Jacob et al., 2026). According to these scholars, rehabilitation relies on educational, workplace and community-based support. </w:t>
      </w:r>
      <w:r w:rsidR="00753B7E">
        <w:rPr>
          <w:rFonts w:ascii="Arial" w:eastAsia="Arial" w:hAnsi="Arial" w:cs="Arial"/>
        </w:rPr>
        <w:t xml:space="preserve">School-based support can include special educational arrangements, while workplace support </w:t>
      </w:r>
      <w:r w:rsidR="00753B7E">
        <w:rPr>
          <w:rFonts w:ascii="Arial" w:eastAsia="Arial" w:hAnsi="Arial" w:cs="Arial"/>
        </w:rPr>
        <w:lastRenderedPageBreak/>
        <w:t>can include flexible deadlines, written instructions,</w:t>
      </w:r>
      <w:r w:rsidRPr="00A760BD">
        <w:rPr>
          <w:rFonts w:ascii="Arial" w:eastAsia="Arial" w:hAnsi="Arial" w:cs="Arial"/>
        </w:rPr>
        <w:t xml:space="preserve"> and quiet work spaces. However, </w:t>
      </w:r>
      <w:r w:rsidR="00753B7E">
        <w:rPr>
          <w:rFonts w:ascii="Arial" w:eastAsia="Arial" w:hAnsi="Arial" w:cs="Arial"/>
        </w:rPr>
        <w:t>evidence of their effectiveness remains limited</w:t>
      </w:r>
      <w:r w:rsidRPr="00A760BD">
        <w:rPr>
          <w:rFonts w:ascii="Arial" w:eastAsia="Arial" w:hAnsi="Arial" w:cs="Arial"/>
        </w:rPr>
        <w:t>. Lauder et al. (2022) found significant research gaps regarding ADHD interventions in the workplace.</w:t>
      </w:r>
    </w:p>
    <w:p w14:paraId="4D37FDCB" w14:textId="4378A229"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Eligibility for support is another issue; eligibility is often based on a formal diagnosis. This was disputed by the ADHD Taskforce, which suggested that support need not be formally diagnosed (NHS England 2025). This </w:t>
      </w:r>
      <w:r w:rsidR="00753B7E">
        <w:rPr>
          <w:rFonts w:ascii="Arial" w:eastAsia="Arial" w:hAnsi="Arial" w:cs="Arial"/>
        </w:rPr>
        <w:t>aligns with a needs-based approach to rehabilitation that treats rehabilitation need as a criterion based on functional limitations</w:t>
      </w:r>
      <w:r w:rsidRPr="00A760BD">
        <w:rPr>
          <w:rFonts w:ascii="Arial" w:eastAsia="Arial" w:hAnsi="Arial" w:cs="Arial"/>
        </w:rPr>
        <w:t xml:space="preserve"> rather than diagnosis (Shen et al., 2025). As a result, the current lack of emphasis on rehabilitation in ICD-11 may lead to a diagnosis-focused practice in which functional support becomes a secondary issue.</w:t>
      </w:r>
    </w:p>
    <w:p w14:paraId="78102C1C" w14:textId="77777777" w:rsidR="00A760BD" w:rsidRPr="00A760BD" w:rsidRDefault="00A760BD" w:rsidP="00A760BD">
      <w:pPr>
        <w:spacing w:line="360" w:lineRule="auto"/>
        <w:jc w:val="both"/>
        <w:rPr>
          <w:rFonts w:ascii="Arial" w:hAnsi="Arial" w:cs="Arial"/>
          <w:b/>
          <w:bCs/>
        </w:rPr>
      </w:pPr>
      <w:r w:rsidRPr="00A760BD">
        <w:rPr>
          <w:rFonts w:ascii="Arial" w:eastAsia="Arial" w:hAnsi="Arial" w:cs="Arial"/>
          <w:b/>
          <w:bCs/>
        </w:rPr>
        <w:t>5. Current Debates, Neurodivergence and Policy Impact</w:t>
      </w:r>
    </w:p>
    <w:p w14:paraId="1F79266F" w14:textId="77777777" w:rsidR="00A760BD" w:rsidRPr="00A760BD" w:rsidRDefault="00A760BD" w:rsidP="00A760BD">
      <w:pPr>
        <w:spacing w:line="360" w:lineRule="auto"/>
        <w:jc w:val="both"/>
        <w:rPr>
          <w:rFonts w:ascii="Arial" w:hAnsi="Arial" w:cs="Arial"/>
        </w:rPr>
      </w:pPr>
      <w:r w:rsidRPr="00A760BD">
        <w:rPr>
          <w:rFonts w:ascii="Arial" w:eastAsia="Arial" w:hAnsi="Arial" w:cs="Arial"/>
          <w:b/>
        </w:rPr>
        <w:t>5.1 Medical model and the neurodiversity paradigm</w:t>
      </w:r>
    </w:p>
    <w:p w14:paraId="05C43856" w14:textId="2AE08CCA"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It is a central question whether ADHD is a disease that needs to be treated or a difference to be accommodated. The medical model, as reflected in ICD-11, locates impairment in the person and focuses on reducing symptoms through clinical interventions (Lemay, 2024). </w:t>
      </w:r>
      <w:r w:rsidR="00753B7E">
        <w:rPr>
          <w:rFonts w:ascii="Arial" w:eastAsia="Arial" w:hAnsi="Arial" w:cs="Arial"/>
        </w:rPr>
        <w:t>By contrast, the neurodiversity paradigm</w:t>
      </w:r>
      <w:r w:rsidRPr="00A760BD">
        <w:rPr>
          <w:rFonts w:ascii="Arial" w:eastAsia="Arial" w:hAnsi="Arial" w:cs="Arial"/>
        </w:rPr>
        <w:t xml:space="preserve"> views ADHD as a natural variation in cognition and suggests that the problem may be that the environment does not support varied cognitive needs (Quintero et al., 2025). However, these perspectives need not be mutually exclusive. Sonuga-Barke and Thapar (2021) contend that a neurodiversity perspective can help minimise the stigma and widen the scope of support without undermining the role of diagnosis for individuals experiencing significant impairment.</w:t>
      </w:r>
    </w:p>
    <w:p w14:paraId="53B1DDB5" w14:textId="3283887F"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Nevertheless, neither perspective is sufficient </w:t>
      </w:r>
      <w:r w:rsidR="00753B7E">
        <w:rPr>
          <w:rFonts w:ascii="Arial" w:eastAsia="Arial" w:hAnsi="Arial" w:cs="Arial"/>
        </w:rPr>
        <w:t>on its own</w:t>
      </w:r>
      <w:r w:rsidRPr="00A760BD">
        <w:rPr>
          <w:rFonts w:ascii="Arial" w:eastAsia="Arial" w:hAnsi="Arial" w:cs="Arial"/>
        </w:rPr>
        <w:t xml:space="preserve">. Diagnosing ADHD as a difference can ignore serious symptoms, comorbidities, and the need for clinical treatment. On the other hand, deficit descriptions can perpetuate stigma and discourage seeking help (van der Oord et al., 2026). Despite the classification of ADHD as a neurodevelopmental disorder in ICD-11, the ADHD diagnostic framework is still based on clinically significant impairment. A balanced approach, therefore, </w:t>
      </w:r>
      <w:r w:rsidR="00753B7E">
        <w:rPr>
          <w:rFonts w:ascii="Arial" w:eastAsia="Arial" w:hAnsi="Arial" w:cs="Arial"/>
        </w:rPr>
        <w:t>keeps diagnosis as a tool to access appropriate treatment and support</w:t>
      </w:r>
      <w:r w:rsidRPr="00A760BD">
        <w:rPr>
          <w:rFonts w:ascii="Arial" w:eastAsia="Arial" w:hAnsi="Arial" w:cs="Arial"/>
        </w:rPr>
        <w:t xml:space="preserve"> while extending rehabilitation beyond symptom management. This includes making adjustments to the environment and meeting individual needs, aligning with clinical guidelines </w:t>
      </w:r>
      <w:r w:rsidR="00753B7E">
        <w:rPr>
          <w:rFonts w:ascii="Arial" w:eastAsia="Arial" w:hAnsi="Arial" w:cs="Arial"/>
        </w:rPr>
        <w:t>that support</w:t>
      </w:r>
      <w:r w:rsidRPr="00A760BD">
        <w:rPr>
          <w:rFonts w:ascii="Arial" w:eastAsia="Arial" w:hAnsi="Arial" w:cs="Arial"/>
        </w:rPr>
        <w:t xml:space="preserve"> personalised care and environmental adaptations for those with ADHD (NICE, 2018). It </w:t>
      </w:r>
      <w:r w:rsidR="00753B7E">
        <w:rPr>
          <w:rFonts w:ascii="Arial" w:eastAsia="Arial" w:hAnsi="Arial" w:cs="Arial"/>
        </w:rPr>
        <w:t xml:space="preserve">also requires recognising neurodiversity and challenging the view that </w:t>
      </w:r>
      <w:r w:rsidRPr="00A760BD">
        <w:rPr>
          <w:rFonts w:ascii="Arial" w:eastAsia="Arial" w:hAnsi="Arial" w:cs="Arial"/>
        </w:rPr>
        <w:t>successful rehabilitation relies on adherence to conventional expectations of behaviour and performance (Kapp et al., 2023; Chapman and Botha, 2023).</w:t>
      </w:r>
    </w:p>
    <w:p w14:paraId="699357DF" w14:textId="77777777" w:rsidR="00A760BD" w:rsidRPr="00A760BD" w:rsidRDefault="00A760BD" w:rsidP="00A760BD">
      <w:pPr>
        <w:spacing w:line="360" w:lineRule="auto"/>
        <w:jc w:val="both"/>
        <w:rPr>
          <w:rFonts w:ascii="Arial" w:hAnsi="Arial" w:cs="Arial"/>
        </w:rPr>
      </w:pPr>
      <w:r w:rsidRPr="00A760BD">
        <w:rPr>
          <w:rFonts w:ascii="Arial" w:eastAsia="Arial" w:hAnsi="Arial" w:cs="Arial"/>
          <w:b/>
        </w:rPr>
        <w:t>5.2 Diagnostic debates</w:t>
      </w:r>
    </w:p>
    <w:p w14:paraId="549EEE29"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lastRenderedPageBreak/>
        <w:t>While several referrals have raised concerns about overdiagnosis, John et al. (2026) found only 1.19% of people in English primary care records had a recorded diagnosis, whereas international estimates range from 3-5%, especially in older people. Women may also be underdiagnosed, meaning that the diagnostic criteria have been historically dominated by male presentations and that inattentive and internalising symptoms are frequently interpreted as symptoms of anxiety or depression (Hinshaw et al., 2022). The rise in women since 2020 could therefore be attributed to corrected under-recognition rather than inflation (John et al., 2026). The Fonagy review found population prevalence broadly stable while diagnoses rose (DHSC, 2026a), and its interim report acknowledged that underdiagnosis, misdiagnosis and overdiagnosis may coexist (DHSC, 2026b). That reading is more convincing than either extreme, although recorded diagnoses remain an imperfect proxy for need.</w:t>
      </w:r>
    </w:p>
    <w:p w14:paraId="7023872A" w14:textId="77777777" w:rsidR="00A760BD" w:rsidRPr="00A760BD" w:rsidRDefault="00A760BD" w:rsidP="00A760BD">
      <w:pPr>
        <w:spacing w:line="360" w:lineRule="auto"/>
        <w:jc w:val="both"/>
        <w:rPr>
          <w:rFonts w:ascii="Arial" w:eastAsia="Arial" w:hAnsi="Arial" w:cs="Arial"/>
          <w:b/>
          <w:bCs/>
        </w:rPr>
      </w:pPr>
      <w:r w:rsidRPr="00A760BD">
        <w:rPr>
          <w:rFonts w:ascii="Arial" w:eastAsia="Arial" w:hAnsi="Arial" w:cs="Arial"/>
          <w:b/>
          <w:bCs/>
        </w:rPr>
        <w:t>5.3 Impact on practice and policy</w:t>
      </w:r>
    </w:p>
    <w:p w14:paraId="1E054228" w14:textId="4E8417F6"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The number of </w:t>
      </w:r>
      <w:r w:rsidR="00753B7E">
        <w:rPr>
          <w:rFonts w:ascii="Arial" w:eastAsia="Arial" w:hAnsi="Arial" w:cs="Arial"/>
        </w:rPr>
        <w:t xml:space="preserve">diagnosis requests has exceeded </w:t>
      </w:r>
      <w:r w:rsidRPr="00A760BD">
        <w:rPr>
          <w:rFonts w:ascii="Arial" w:eastAsia="Arial" w:hAnsi="Arial" w:cs="Arial"/>
        </w:rPr>
        <w:t xml:space="preserve">available capacity, with waiting times of over two years reported by the NHS England (2025) Taskforce and as long as 10–15 years in some areas. According to Batista et al. (2026), waiting is not without consequences, as prolonged delays often leave people without adequate interim support, potentially worsening overall wellbeing. </w:t>
      </w:r>
      <w:r w:rsidR="00753B7E">
        <w:rPr>
          <w:rFonts w:ascii="Arial" w:eastAsia="Arial" w:hAnsi="Arial" w:cs="Arial"/>
        </w:rPr>
        <w:t>Seeing as</w:t>
      </w:r>
      <w:r w:rsidRPr="00A760BD">
        <w:rPr>
          <w:rFonts w:ascii="Arial" w:eastAsia="Arial" w:hAnsi="Arial" w:cs="Arial"/>
        </w:rPr>
        <w:t xml:space="preserve"> diagnosis is the usual gateway to support, doubts about its validity push services towards gatekeeping, while some adults turn to costly private providers. Policy is now moving towards needs-led support. Hence, the Fonagy review recommends a 'needs-led plus diagnosis' model, integrated neurodevelopmental and mental health assessment, Care Quality Commission regulation of all ADHD diagnostic assessments and updated NICE guidance (DHSC, 2026a). This reconciles the two paradigms by decoupling support from diagnosis.</w:t>
      </w:r>
    </w:p>
    <w:p w14:paraId="4AC7C196" w14:textId="77777777" w:rsidR="00A760BD" w:rsidRPr="00A760BD" w:rsidRDefault="00A760BD" w:rsidP="00A760BD">
      <w:pPr>
        <w:spacing w:line="360" w:lineRule="auto"/>
        <w:jc w:val="both"/>
        <w:rPr>
          <w:rFonts w:ascii="Arial" w:eastAsia="Arial" w:hAnsi="Arial" w:cs="Arial"/>
        </w:rPr>
      </w:pPr>
    </w:p>
    <w:p w14:paraId="6C5A7526" w14:textId="77777777" w:rsidR="00A760BD" w:rsidRPr="00A760BD" w:rsidRDefault="00A760BD" w:rsidP="00A760BD">
      <w:pPr>
        <w:spacing w:line="360" w:lineRule="auto"/>
        <w:jc w:val="both"/>
        <w:rPr>
          <w:rFonts w:ascii="Arial" w:eastAsia="Arial" w:hAnsi="Arial" w:cs="Arial"/>
          <w:b/>
          <w:bCs/>
        </w:rPr>
      </w:pPr>
      <w:r w:rsidRPr="00A760BD">
        <w:rPr>
          <w:rFonts w:ascii="Arial" w:eastAsia="Arial" w:hAnsi="Arial" w:cs="Arial"/>
          <w:b/>
          <w:bCs/>
        </w:rPr>
        <w:t>6. Recommendations</w:t>
      </w:r>
    </w:p>
    <w:p w14:paraId="15529A5A" w14:textId="33AA52DB" w:rsidR="00753B7E" w:rsidRPr="00753B7E" w:rsidRDefault="00A760BD" w:rsidP="00753B7E">
      <w:pPr>
        <w:pStyle w:val="ListParagraph"/>
        <w:numPr>
          <w:ilvl w:val="0"/>
          <w:numId w:val="2"/>
        </w:numPr>
        <w:spacing w:line="360" w:lineRule="auto"/>
        <w:jc w:val="both"/>
        <w:rPr>
          <w:rFonts w:ascii="Arial" w:eastAsia="Arial" w:hAnsi="Arial" w:cs="Arial"/>
        </w:rPr>
      </w:pPr>
      <w:r w:rsidRPr="00753B7E">
        <w:rPr>
          <w:rFonts w:ascii="Arial" w:eastAsia="Arial" w:hAnsi="Arial" w:cs="Arial"/>
        </w:rPr>
        <w:t xml:space="preserve">ICD-11 should incorporate functional guidance that can help inform rehabilitation, as its ADHD classification (6A05) does not provide much guidance to inform rehabilitation needs and functional recovery (WHO, 2024). Future clinical descriptions should </w:t>
      </w:r>
      <w:r w:rsidR="00753B7E">
        <w:rPr>
          <w:rFonts w:ascii="Arial" w:eastAsia="Arial" w:hAnsi="Arial" w:cs="Arial"/>
        </w:rPr>
        <w:t>include functional profiling alongside</w:t>
      </w:r>
      <w:r w:rsidRPr="00753B7E">
        <w:rPr>
          <w:rFonts w:ascii="Arial" w:eastAsia="Arial" w:hAnsi="Arial" w:cs="Arial"/>
        </w:rPr>
        <w:t xml:space="preserve"> diagnosis, based on the ICF Core Sets for ADHD (Bölte et al., 2018). NHS services could adopt the 38-category Common Brief Core Set in their assessment reports, establishing a shared language for schools and employers. </w:t>
      </w:r>
      <w:r w:rsidRPr="00753B7E">
        <w:rPr>
          <w:rFonts w:ascii="Arial" w:hAnsi="Arial" w:cs="Arial"/>
        </w:rPr>
        <w:t>Training costs are relatively low, but further research is needed to determine whether functional profiles identify support needs more accurately than ADHD presentation subtypes.</w:t>
      </w:r>
    </w:p>
    <w:p w14:paraId="29C1B479" w14:textId="427B755F" w:rsidR="00A760BD" w:rsidRPr="00753B7E" w:rsidRDefault="00A760BD" w:rsidP="00A760BD">
      <w:pPr>
        <w:pStyle w:val="ListParagraph"/>
        <w:numPr>
          <w:ilvl w:val="0"/>
          <w:numId w:val="2"/>
        </w:numPr>
        <w:spacing w:line="360" w:lineRule="auto"/>
        <w:jc w:val="both"/>
        <w:rPr>
          <w:rFonts w:ascii="Arial" w:eastAsia="Arial" w:hAnsi="Arial" w:cs="Arial"/>
        </w:rPr>
      </w:pPr>
      <w:r w:rsidRPr="00753B7E">
        <w:rPr>
          <w:rFonts w:ascii="Arial" w:eastAsia="Arial" w:hAnsi="Arial" w:cs="Arial"/>
        </w:rPr>
        <w:t xml:space="preserve">Deliver needs-led support, irrespective of diagnostic status, as long waiting lists and diagnosis-dependent pathways can mean that individuals may not receive timely access </w:t>
      </w:r>
      <w:r w:rsidRPr="00753B7E">
        <w:rPr>
          <w:rFonts w:ascii="Arial" w:eastAsia="Arial" w:hAnsi="Arial" w:cs="Arial"/>
        </w:rPr>
        <w:lastRenderedPageBreak/>
        <w:t xml:space="preserve">to the appropriate support. NHS England should implement the Taskforce and Fonagy proposals by funding structured interim support, such as psychoeducation, school adjustments and workplace guidance, available while people wait (NHS England, 2025; DHSC, 2026a). </w:t>
      </w:r>
      <w:r w:rsidRPr="00753B7E">
        <w:rPr>
          <w:rFonts w:ascii="Arial" w:hAnsi="Arial" w:cs="Arial"/>
        </w:rPr>
        <w:t xml:space="preserve">Primary </w:t>
      </w:r>
      <w:r w:rsidRPr="00753B7E">
        <w:rPr>
          <w:rFonts w:ascii="Arial" w:eastAsia="Arial" w:hAnsi="Arial" w:cs="Arial"/>
        </w:rPr>
        <w:t xml:space="preserve">care and schools should be resourced as first points of contact. </w:t>
      </w:r>
      <w:r w:rsidRPr="00753B7E">
        <w:rPr>
          <w:rFonts w:ascii="Arial" w:hAnsi="Arial" w:cs="Arial"/>
        </w:rPr>
        <w:t>Sustained funding and workforce training are needed, and policymakers must consider whether the approach reduces demand or simply shifts it elsewhere.</w:t>
      </w:r>
    </w:p>
    <w:p w14:paraId="073559CE" w14:textId="77777777" w:rsidR="00A760BD" w:rsidRPr="00A760BD" w:rsidRDefault="00A760BD" w:rsidP="00A760BD">
      <w:pPr>
        <w:spacing w:line="360" w:lineRule="auto"/>
        <w:jc w:val="both"/>
        <w:rPr>
          <w:rFonts w:ascii="Arial" w:eastAsia="Arial" w:hAnsi="Arial" w:cs="Arial"/>
          <w:b/>
          <w:bCs/>
        </w:rPr>
      </w:pPr>
      <w:r w:rsidRPr="00A760BD">
        <w:rPr>
          <w:rFonts w:ascii="Arial" w:eastAsia="Arial" w:hAnsi="Arial" w:cs="Arial"/>
          <w:b/>
          <w:bCs/>
        </w:rPr>
        <w:t>7. Conclusion</w:t>
      </w:r>
    </w:p>
    <w:p w14:paraId="24C2F121" w14:textId="3D8AD08C" w:rsidR="00A760BD" w:rsidRDefault="00A760BD" w:rsidP="00A760BD">
      <w:pPr>
        <w:spacing w:line="360" w:lineRule="auto"/>
        <w:jc w:val="both"/>
        <w:rPr>
          <w:rFonts w:ascii="Arial" w:eastAsia="Arial" w:hAnsi="Arial" w:cs="Arial"/>
        </w:rPr>
      </w:pPr>
      <w:r w:rsidRPr="00A760BD">
        <w:rPr>
          <w:rFonts w:ascii="Arial" w:eastAsia="Arial" w:hAnsi="Arial" w:cs="Arial"/>
        </w:rPr>
        <w:t xml:space="preserve">While the classification of ADHD as a neurodevelopmental disorder (6A05) in ICD-11 represents a significant step forward, this report has suggested that classification is not enough to provide care. Treatment has some efficacy for core symptoms, but is limited in evidence, availability and supply, and psychological treatments are promising but overstated. Also, the ICD-11 </w:t>
      </w:r>
      <w:r w:rsidR="00753B7E">
        <w:rPr>
          <w:rFonts w:ascii="Arial" w:eastAsia="Arial" w:hAnsi="Arial" w:cs="Arial"/>
        </w:rPr>
        <w:t>provides little information on rehabilitation, and support relies</w:t>
      </w:r>
      <w:r w:rsidRPr="00A760BD">
        <w:rPr>
          <w:rFonts w:ascii="Arial" w:eastAsia="Arial" w:hAnsi="Arial" w:cs="Arial"/>
        </w:rPr>
        <w:t xml:space="preserve"> on diagnosis, with education and workplace systems having very limited evidence. Whether to diagnose should be considered pragmatically, retaining diagnosis where it is clinically useful while moving towards needs-led, functionally informed support, as recommended by the Taskforce and Fonagy review. Implementing these recommendations would better align classification, treatment and rehabilitation with the realities of people living with ADHD, irrespective of their age, sex or diagnostic status.</w:t>
      </w:r>
    </w:p>
    <w:p w14:paraId="68459269" w14:textId="500EA29B" w:rsidR="00A760BD" w:rsidRDefault="00A760BD" w:rsidP="00A760BD">
      <w:pPr>
        <w:spacing w:line="360" w:lineRule="auto"/>
        <w:jc w:val="both"/>
        <w:rPr>
          <w:rFonts w:ascii="Arial" w:eastAsia="Arial" w:hAnsi="Arial" w:cs="Arial"/>
        </w:rPr>
      </w:pPr>
    </w:p>
    <w:p w14:paraId="5C80F3B1" w14:textId="5A11AFE8" w:rsidR="00A760BD" w:rsidRDefault="00A760BD" w:rsidP="00A760BD">
      <w:pPr>
        <w:spacing w:line="360" w:lineRule="auto"/>
        <w:jc w:val="both"/>
        <w:rPr>
          <w:rFonts w:ascii="Arial" w:eastAsia="Arial" w:hAnsi="Arial" w:cs="Arial"/>
        </w:rPr>
      </w:pPr>
    </w:p>
    <w:p w14:paraId="7396329E" w14:textId="6420C158" w:rsidR="00A760BD" w:rsidRDefault="00A760BD" w:rsidP="00A760BD">
      <w:pPr>
        <w:spacing w:line="360" w:lineRule="auto"/>
        <w:jc w:val="both"/>
        <w:rPr>
          <w:rFonts w:ascii="Arial" w:eastAsia="Arial" w:hAnsi="Arial" w:cs="Arial"/>
        </w:rPr>
      </w:pPr>
    </w:p>
    <w:p w14:paraId="57A6472D" w14:textId="21056D01" w:rsidR="00A760BD" w:rsidRDefault="00A760BD" w:rsidP="00A760BD">
      <w:pPr>
        <w:spacing w:line="360" w:lineRule="auto"/>
        <w:jc w:val="both"/>
        <w:rPr>
          <w:rFonts w:ascii="Arial" w:eastAsia="Arial" w:hAnsi="Arial" w:cs="Arial"/>
        </w:rPr>
      </w:pPr>
    </w:p>
    <w:p w14:paraId="6833892A" w14:textId="1C220D3E" w:rsidR="00A760BD" w:rsidRDefault="00A760BD" w:rsidP="00A760BD">
      <w:pPr>
        <w:spacing w:line="360" w:lineRule="auto"/>
        <w:jc w:val="both"/>
        <w:rPr>
          <w:rFonts w:ascii="Arial" w:eastAsia="Arial" w:hAnsi="Arial" w:cs="Arial"/>
        </w:rPr>
      </w:pPr>
    </w:p>
    <w:p w14:paraId="6162B619" w14:textId="22F0CE3A" w:rsidR="00A760BD" w:rsidRDefault="00A760BD" w:rsidP="00A760BD">
      <w:pPr>
        <w:spacing w:line="360" w:lineRule="auto"/>
        <w:jc w:val="both"/>
        <w:rPr>
          <w:rFonts w:ascii="Arial" w:eastAsia="Arial" w:hAnsi="Arial" w:cs="Arial"/>
        </w:rPr>
      </w:pPr>
    </w:p>
    <w:p w14:paraId="0B244530" w14:textId="097F0C2C" w:rsidR="00A760BD" w:rsidRDefault="00A760BD" w:rsidP="00A760BD">
      <w:pPr>
        <w:spacing w:line="360" w:lineRule="auto"/>
        <w:jc w:val="both"/>
        <w:rPr>
          <w:rFonts w:ascii="Arial" w:eastAsia="Arial" w:hAnsi="Arial" w:cs="Arial"/>
        </w:rPr>
      </w:pPr>
    </w:p>
    <w:p w14:paraId="6A029D45" w14:textId="01583D22" w:rsidR="00A760BD" w:rsidRDefault="00A760BD" w:rsidP="00A760BD">
      <w:pPr>
        <w:spacing w:line="360" w:lineRule="auto"/>
        <w:jc w:val="both"/>
        <w:rPr>
          <w:rFonts w:ascii="Arial" w:eastAsia="Arial" w:hAnsi="Arial" w:cs="Arial"/>
        </w:rPr>
      </w:pPr>
    </w:p>
    <w:p w14:paraId="65A948CA" w14:textId="77777777" w:rsidR="00A760BD" w:rsidRPr="00A760BD" w:rsidRDefault="00A760BD" w:rsidP="00A760BD">
      <w:pPr>
        <w:spacing w:line="360" w:lineRule="auto"/>
        <w:jc w:val="both"/>
        <w:rPr>
          <w:rFonts w:ascii="Arial" w:eastAsia="Arial" w:hAnsi="Arial" w:cs="Arial"/>
        </w:rPr>
      </w:pPr>
    </w:p>
    <w:p w14:paraId="7B17C5F2" w14:textId="77777777" w:rsidR="00753B7E" w:rsidRDefault="00753B7E">
      <w:pPr>
        <w:rPr>
          <w:rFonts w:ascii="Arial" w:eastAsia="Arial" w:hAnsi="Arial" w:cs="Arial"/>
          <w:b/>
          <w:bCs/>
        </w:rPr>
      </w:pPr>
      <w:r>
        <w:rPr>
          <w:rFonts w:ascii="Arial" w:eastAsia="Arial" w:hAnsi="Arial" w:cs="Arial"/>
          <w:b/>
          <w:bCs/>
        </w:rPr>
        <w:br w:type="page"/>
      </w:r>
    </w:p>
    <w:p w14:paraId="2A5A6A5D" w14:textId="116F6F91" w:rsidR="00A760BD" w:rsidRPr="00A760BD" w:rsidRDefault="00A760BD" w:rsidP="00A760BD">
      <w:pPr>
        <w:spacing w:line="360" w:lineRule="auto"/>
        <w:jc w:val="both"/>
        <w:rPr>
          <w:rFonts w:ascii="Arial" w:eastAsia="Arial" w:hAnsi="Arial" w:cs="Arial"/>
          <w:b/>
          <w:bCs/>
        </w:rPr>
      </w:pPr>
      <w:r w:rsidRPr="00A760BD">
        <w:rPr>
          <w:rFonts w:ascii="Arial" w:eastAsia="Arial" w:hAnsi="Arial" w:cs="Arial"/>
          <w:b/>
          <w:bCs/>
        </w:rPr>
        <w:lastRenderedPageBreak/>
        <w:t>REFERENCES</w:t>
      </w:r>
    </w:p>
    <w:p w14:paraId="69AF4AB9" w14:textId="77777777" w:rsidR="00A760BD" w:rsidRPr="00A760BD" w:rsidRDefault="00A760BD" w:rsidP="00A760BD">
      <w:pPr>
        <w:spacing w:line="360" w:lineRule="auto"/>
        <w:jc w:val="both"/>
        <w:rPr>
          <w:rFonts w:ascii="Arial" w:eastAsia="Arial" w:hAnsi="Arial" w:cs="Arial"/>
        </w:rPr>
      </w:pPr>
      <w:r w:rsidRPr="00A760BD">
        <w:rPr>
          <w:rFonts w:ascii="Arial" w:hAnsi="Arial" w:cs="Arial"/>
        </w:rPr>
        <w:t xml:space="preserve">Batista, L.R., Valente, L.F., Spina, F., Celso, D.S.G., Gomy, I. and Mariotini-Moura, C. (2026) ‘Repercussions of diagnostic delay in rare diseases’, </w:t>
      </w:r>
      <w:r w:rsidRPr="00A760BD">
        <w:rPr>
          <w:rStyle w:val="w6asjqtextbase"/>
          <w:rFonts w:ascii="Arial" w:hAnsi="Arial" w:cs="Arial"/>
          <w:i/>
          <w:iCs/>
        </w:rPr>
        <w:t>Journal of Genetic Counseling</w:t>
      </w:r>
      <w:r w:rsidRPr="00A760BD">
        <w:rPr>
          <w:rFonts w:ascii="Arial" w:hAnsi="Arial" w:cs="Arial"/>
          <w:i/>
          <w:iCs/>
        </w:rPr>
        <w:t>,</w:t>
      </w:r>
      <w:r w:rsidRPr="00A760BD">
        <w:rPr>
          <w:rFonts w:ascii="Arial" w:hAnsi="Arial" w:cs="Arial"/>
        </w:rPr>
        <w:t xml:space="preserve"> 35(4), e70258. Available at: </w:t>
      </w:r>
      <w:hyperlink r:id="rId7" w:tgtFrame="_blank" w:history="1">
        <w:r w:rsidRPr="00A760BD">
          <w:rPr>
            <w:rStyle w:val="w6asjqtextbase"/>
            <w:rFonts w:ascii="Arial" w:hAnsi="Arial" w:cs="Arial"/>
            <w:color w:val="0000FF"/>
            <w:u w:val="single"/>
          </w:rPr>
          <w:t>https://doi.org/10.1002/jgc4.70258</w:t>
        </w:r>
      </w:hyperlink>
      <w:r w:rsidRPr="00A760BD">
        <w:rPr>
          <w:rFonts w:ascii="Arial" w:hAnsi="Arial" w:cs="Arial"/>
        </w:rPr>
        <w:t xml:space="preserve"> (Accessed: 14 October 2026).</w:t>
      </w:r>
    </w:p>
    <w:p w14:paraId="04D28C5A"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Bölte, S., Mahdi, S., Coghill, D., Gau, S.S.-F., Granlund, M., Holtmann, M., Karande, S., Levy, F., Rohde, L.A., Segerer, W., de Vries, P.J. and Selb, M. (2018) ‘Standardised assessment of functioning in ADHD: consensus on the ICF Core Sets for ADHD’, </w:t>
      </w:r>
      <w:r w:rsidRPr="00A760BD">
        <w:rPr>
          <w:rFonts w:ascii="Arial" w:eastAsia="Arial" w:hAnsi="Arial" w:cs="Arial"/>
          <w:i/>
          <w:iCs/>
        </w:rPr>
        <w:t>European Child &amp; Adolescent Psychiatry,</w:t>
      </w:r>
      <w:r w:rsidRPr="00A760BD">
        <w:rPr>
          <w:rFonts w:ascii="Arial" w:eastAsia="Arial" w:hAnsi="Arial" w:cs="Arial"/>
        </w:rPr>
        <w:t xml:space="preserve"> 27(10), pp. 1261–1281. Available at: </w:t>
      </w:r>
      <w:hyperlink r:id="rId8" w:history="1">
        <w:r w:rsidRPr="00A760BD">
          <w:rPr>
            <w:rStyle w:val="Hyperlink"/>
            <w:rFonts w:ascii="Arial" w:eastAsia="Arial" w:hAnsi="Arial" w:cs="Arial"/>
          </w:rPr>
          <w:t>https://www.researchgate.net/publication/323128069_Standardised_assessment_of_functioning_in_ADHD_consensus_on_the_ICF_Core_Sets_for_ADHD</w:t>
        </w:r>
      </w:hyperlink>
      <w:r w:rsidRPr="00A760BD">
        <w:rPr>
          <w:rFonts w:ascii="Arial" w:eastAsia="Arial" w:hAnsi="Arial" w:cs="Arial"/>
        </w:rPr>
        <w:t xml:space="preserve"> (Accessed: 14 October 2026).</w:t>
      </w:r>
    </w:p>
    <w:p w14:paraId="1C5F16D0" w14:textId="77777777" w:rsidR="00A760BD" w:rsidRPr="00A760BD" w:rsidRDefault="00A760BD" w:rsidP="00A760BD">
      <w:pPr>
        <w:spacing w:line="360" w:lineRule="auto"/>
        <w:jc w:val="both"/>
        <w:rPr>
          <w:rFonts w:ascii="Arial" w:eastAsia="Arial" w:hAnsi="Arial" w:cs="Arial"/>
        </w:rPr>
      </w:pPr>
      <w:r w:rsidRPr="00A760BD">
        <w:rPr>
          <w:rFonts w:ascii="Arial" w:hAnsi="Arial" w:cs="Arial"/>
        </w:rPr>
        <w:t xml:space="preserve">Chapman, R. and Botha, M. (2023) ‘Neurodivergence-informed therapy’, </w:t>
      </w:r>
      <w:r w:rsidRPr="00A760BD">
        <w:rPr>
          <w:rStyle w:val="w6asjqtextbase"/>
          <w:rFonts w:ascii="Arial" w:hAnsi="Arial" w:cs="Arial"/>
          <w:i/>
          <w:iCs/>
        </w:rPr>
        <w:t>Developmental Medicine &amp; Child Neurology</w:t>
      </w:r>
      <w:r w:rsidRPr="00A760BD">
        <w:rPr>
          <w:rFonts w:ascii="Arial" w:hAnsi="Arial" w:cs="Arial"/>
        </w:rPr>
        <w:t xml:space="preserve">, 65(3), pp. 310–317. Available at: </w:t>
      </w:r>
      <w:hyperlink r:id="rId9" w:tgtFrame="_blank" w:history="1">
        <w:r w:rsidRPr="00A760BD">
          <w:rPr>
            <w:rStyle w:val="w6asjqtextbase"/>
            <w:rFonts w:ascii="Arial" w:hAnsi="Arial" w:cs="Arial"/>
            <w:color w:val="0000FF"/>
            <w:u w:val="single"/>
          </w:rPr>
          <w:t>https://doi.org/10.1111/dmcn.15384</w:t>
        </w:r>
      </w:hyperlink>
      <w:r w:rsidRPr="00A760BD">
        <w:rPr>
          <w:rFonts w:ascii="Arial" w:hAnsi="Arial" w:cs="Arial"/>
        </w:rPr>
        <w:t xml:space="preserve"> (Accessed: 14 October 2026). </w:t>
      </w:r>
    </w:p>
    <w:p w14:paraId="06FAF34C"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Cuijpers, P., Miguel, C., Harrer, M., Plessen, C.Y., Ciharova, M., Ebert, D. and Karyotaki, E. (2023) ‘Cognitive behavior therapy vs. control conditions, other psychotherapies, pharmacotherapies and combined treatment for depression: A comprehensive meta-analysis including 409 trials with 52,702 patients’, </w:t>
      </w:r>
      <w:r w:rsidRPr="00A760BD">
        <w:rPr>
          <w:rFonts w:ascii="Arial" w:eastAsia="Arial" w:hAnsi="Arial" w:cs="Arial"/>
          <w:i/>
          <w:iCs/>
        </w:rPr>
        <w:t>World Psychiatry</w:t>
      </w:r>
      <w:r w:rsidRPr="00A760BD">
        <w:rPr>
          <w:rFonts w:ascii="Arial" w:eastAsia="Arial" w:hAnsi="Arial" w:cs="Arial"/>
        </w:rPr>
        <w:t xml:space="preserve">, 22(1), pp. 105–115. Available at: </w:t>
      </w:r>
      <w:hyperlink r:id="rId10" w:history="1">
        <w:r w:rsidRPr="00A760BD">
          <w:rPr>
            <w:rStyle w:val="Hyperlink"/>
            <w:rFonts w:ascii="Arial" w:eastAsia="Arial" w:hAnsi="Arial" w:cs="Arial"/>
          </w:rPr>
          <w:t>https://doi.org/10.1002/wps.21069.</w:t>
        </w:r>
      </w:hyperlink>
      <w:r w:rsidRPr="00A760BD">
        <w:rPr>
          <w:rFonts w:ascii="Arial" w:eastAsia="Arial" w:hAnsi="Arial" w:cs="Arial"/>
        </w:rPr>
        <w:t xml:space="preserve"> (</w:t>
      </w:r>
      <w:r w:rsidRPr="00A760BD">
        <w:rPr>
          <w:rFonts w:ascii="Arial" w:hAnsi="Arial" w:cs="Arial"/>
        </w:rPr>
        <w:t>Accessed: 14 October 2026)</w:t>
      </w:r>
    </w:p>
    <w:p w14:paraId="645453E5"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da Silva Leandro, S.I., Alves, K.C.M., de Oliveira, F.Í.S., de Aquino Matoso, L.Y., Zamoner, B.M., Romano, T.M., de Lima Nardin, K., Cavalcante, F.S.B.M., Müller, P.G., Gervásio, B.C., Gusmão, C.T.P. and dos Santos, J.C.C. (2024) ‘Addressing treatment hurdles in adults with late-onset attention-deficit/hyperactivity disorder: A detailed case report,’ </w:t>
      </w:r>
      <w:r w:rsidRPr="00A760BD">
        <w:rPr>
          <w:rFonts w:ascii="Arial" w:hAnsi="Arial" w:cs="Arial"/>
          <w:i/>
          <w:iCs/>
        </w:rPr>
        <w:t>The Egyptian Journal of Neurology, Psychiatry and Neurosurgery</w:t>
      </w:r>
      <w:r w:rsidRPr="00A760BD">
        <w:rPr>
          <w:rFonts w:ascii="Arial" w:hAnsi="Arial" w:cs="Arial"/>
        </w:rPr>
        <w:t xml:space="preserve">, 60(1). Available at: </w:t>
      </w:r>
      <w:hyperlink r:id="rId11" w:history="1">
        <w:r w:rsidRPr="00A760BD">
          <w:rPr>
            <w:rStyle w:val="Hyperlink"/>
            <w:rFonts w:ascii="Arial" w:hAnsi="Arial" w:cs="Arial"/>
          </w:rPr>
          <w:t>https://link.springer.com/article/10.1186/s41983-024-00907-8</w:t>
        </w:r>
      </w:hyperlink>
      <w:r w:rsidRPr="00A760BD">
        <w:rPr>
          <w:rFonts w:ascii="Arial" w:hAnsi="Arial" w:cs="Arial"/>
        </w:rPr>
        <w:t xml:space="preserve"> (Accessed: 12 October 2026)</w:t>
      </w:r>
    </w:p>
    <w:p w14:paraId="12235541"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Department of Health and Social Care (2023) </w:t>
      </w:r>
      <w:r w:rsidRPr="00A760BD">
        <w:rPr>
          <w:rFonts w:ascii="Arial" w:eastAsia="Arial" w:hAnsi="Arial" w:cs="Arial"/>
          <w:i/>
          <w:iCs/>
        </w:rPr>
        <w:t>National Patient Safety Alert: shortage of medicines used to treat attention deficit hyperactivity disorder (ADHD).</w:t>
      </w:r>
      <w:r w:rsidRPr="00A760BD">
        <w:rPr>
          <w:rFonts w:ascii="Arial" w:eastAsia="Arial" w:hAnsi="Arial" w:cs="Arial"/>
        </w:rPr>
        <w:t xml:space="preserve"> NatPSA/2023/011/DHSC, Available at: </w:t>
      </w:r>
      <w:hyperlink r:id="rId12" w:history="1">
        <w:r w:rsidRPr="00A760BD">
          <w:rPr>
            <w:rStyle w:val="Hyperlink"/>
            <w:rFonts w:ascii="Arial" w:eastAsia="Arial" w:hAnsi="Arial" w:cs="Arial"/>
          </w:rPr>
          <w:t>https://www.publications.scot.nhs.uk/files/dc20230927adhd.pdf</w:t>
        </w:r>
      </w:hyperlink>
      <w:r w:rsidRPr="00A760BD">
        <w:rPr>
          <w:rFonts w:ascii="Arial" w:eastAsia="Arial" w:hAnsi="Arial" w:cs="Arial"/>
        </w:rPr>
        <w:t xml:space="preserve">  (Accessed: 14 October 2026).</w:t>
      </w:r>
    </w:p>
    <w:p w14:paraId="708A6904"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Department of Health and Social Care (2026a) </w:t>
      </w:r>
      <w:r w:rsidRPr="00A760BD">
        <w:rPr>
          <w:rFonts w:ascii="Arial" w:eastAsia="Arial" w:hAnsi="Arial" w:cs="Arial"/>
          <w:i/>
          <w:iCs/>
        </w:rPr>
        <w:t>Independent review into mental health conditions, ADHD and autism: final report.</w:t>
      </w:r>
      <w:r w:rsidRPr="00A760BD">
        <w:rPr>
          <w:rFonts w:ascii="Arial" w:eastAsia="Arial" w:hAnsi="Arial" w:cs="Arial"/>
        </w:rPr>
        <w:t xml:space="preserve"> 9 October. Available at: </w:t>
      </w:r>
      <w:hyperlink r:id="rId13" w:history="1">
        <w:r w:rsidRPr="00A760BD">
          <w:rPr>
            <w:rStyle w:val="Hyperlink"/>
            <w:rFonts w:ascii="Arial" w:eastAsia="Arial" w:hAnsi="Arial" w:cs="Arial"/>
          </w:rPr>
          <w:t>https://www.gov.uk/government/publications/independent-review-into-mental-health-conditions-adhd-and-autism-final-report</w:t>
        </w:r>
      </w:hyperlink>
      <w:r w:rsidRPr="00A760BD">
        <w:rPr>
          <w:rFonts w:ascii="Arial" w:eastAsia="Arial" w:hAnsi="Arial" w:cs="Arial"/>
        </w:rPr>
        <w:t xml:space="preserve">  (Accessed: 14 October 2026).</w:t>
      </w:r>
    </w:p>
    <w:p w14:paraId="08EBA675"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lastRenderedPageBreak/>
        <w:t xml:space="preserve">Department of Health and Social Care (2026b) </w:t>
      </w:r>
      <w:r w:rsidRPr="00A760BD">
        <w:rPr>
          <w:rFonts w:ascii="Arial" w:eastAsia="Arial" w:hAnsi="Arial" w:cs="Arial"/>
          <w:i/>
          <w:iCs/>
        </w:rPr>
        <w:t>Independent review into mental health conditions, ADHD and autism: interim repor</w:t>
      </w:r>
      <w:r w:rsidRPr="00A760BD">
        <w:rPr>
          <w:rFonts w:ascii="Arial" w:eastAsia="Arial" w:hAnsi="Arial" w:cs="Arial"/>
        </w:rPr>
        <w:t xml:space="preserve">t. 31 March. Available at: </w:t>
      </w:r>
      <w:hyperlink r:id="rId14" w:history="1">
        <w:r w:rsidRPr="00A760BD">
          <w:rPr>
            <w:rStyle w:val="Hyperlink"/>
            <w:rFonts w:ascii="Arial" w:eastAsia="Arial" w:hAnsi="Arial" w:cs="Arial"/>
          </w:rPr>
          <w:t>https://www.gov.uk/government/publications/independent-review-into-mental-health-conditions-adhd-and-autism-interim-report</w:t>
        </w:r>
      </w:hyperlink>
      <w:r w:rsidRPr="00A760BD">
        <w:rPr>
          <w:rFonts w:ascii="Arial" w:eastAsia="Arial" w:hAnsi="Arial" w:cs="Arial"/>
        </w:rPr>
        <w:t xml:space="preserve">  (Accessed: 14 October 2026).</w:t>
      </w:r>
    </w:p>
    <w:p w14:paraId="535D8E79"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Friedman, L.A. and Rapoport, J.L. (2015). Brain development in ADHD. </w:t>
      </w:r>
      <w:r w:rsidRPr="00A760BD">
        <w:rPr>
          <w:rFonts w:ascii="Arial" w:hAnsi="Arial" w:cs="Arial"/>
          <w:i/>
          <w:iCs/>
        </w:rPr>
        <w:t>Current Opinion in Neurobiology</w:t>
      </w:r>
      <w:r w:rsidRPr="00A760BD">
        <w:rPr>
          <w:rFonts w:ascii="Arial" w:hAnsi="Arial" w:cs="Arial"/>
        </w:rPr>
        <w:t xml:space="preserve">, 30(1), pp.106–111. Available at: </w:t>
      </w:r>
      <w:hyperlink r:id="rId15" w:history="1">
        <w:r w:rsidRPr="00A760BD">
          <w:rPr>
            <w:rStyle w:val="Hyperlink"/>
            <w:rFonts w:ascii="Arial" w:hAnsi="Arial" w:cs="Arial"/>
          </w:rPr>
          <w:t>https://pubmed.ncbi.nlm.nih.gov/33692893/</w:t>
        </w:r>
      </w:hyperlink>
      <w:r w:rsidRPr="00A760BD">
        <w:rPr>
          <w:rFonts w:ascii="Arial" w:hAnsi="Arial" w:cs="Arial"/>
        </w:rPr>
        <w:t xml:space="preserve"> (Accessed: 12 October 2026)</w:t>
      </w:r>
    </w:p>
    <w:p w14:paraId="472FAC19"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Gnanavel, S., Sharma, P., Kaushal, P. and Hussain, S. (2019) ‘Attention deficit hyperactivity disorder and comorbidity: A review of literature,’ </w:t>
      </w:r>
      <w:r w:rsidRPr="00A760BD">
        <w:rPr>
          <w:rFonts w:ascii="Arial" w:hAnsi="Arial" w:cs="Arial"/>
          <w:i/>
          <w:iCs/>
        </w:rPr>
        <w:t>World Journal of Clinical Cases</w:t>
      </w:r>
      <w:r w:rsidRPr="00A760BD">
        <w:rPr>
          <w:rFonts w:ascii="Arial" w:hAnsi="Arial" w:cs="Arial"/>
        </w:rPr>
        <w:t xml:space="preserve">, 7(17), pp.2420–2426. Available at: </w:t>
      </w:r>
      <w:hyperlink r:id="rId16" w:history="1">
        <w:r w:rsidRPr="00A760BD">
          <w:rPr>
            <w:rStyle w:val="Hyperlink"/>
            <w:rFonts w:ascii="Arial" w:hAnsi="Arial" w:cs="Arial"/>
          </w:rPr>
          <w:t>https://pmc.ncbi.nlm.nih.gov/articles/PMC6745333/</w:t>
        </w:r>
      </w:hyperlink>
      <w:r w:rsidRPr="00A760BD">
        <w:rPr>
          <w:rFonts w:ascii="Arial" w:hAnsi="Arial" w:cs="Arial"/>
        </w:rPr>
        <w:t xml:space="preserve"> (Accessed: 13 October 2026)</w:t>
      </w:r>
    </w:p>
    <w:p w14:paraId="0AEA0364"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Gomez, R., Chen, W. and Houghton, S. (2023) ‘Differences between DSM-5-TR and ICD-11 revisions of attention deficit/hyperactivity disorder: A commentary on implications and opportunities,’ </w:t>
      </w:r>
      <w:r w:rsidRPr="00A760BD">
        <w:rPr>
          <w:rFonts w:ascii="Arial" w:hAnsi="Arial" w:cs="Arial"/>
          <w:i/>
          <w:iCs/>
        </w:rPr>
        <w:t>World Journal of Psychiatry</w:t>
      </w:r>
      <w:r w:rsidRPr="00A760BD">
        <w:rPr>
          <w:rFonts w:ascii="Arial" w:hAnsi="Arial" w:cs="Arial"/>
        </w:rPr>
        <w:t xml:space="preserve">, 13(5), pp.138–143. Available at: </w:t>
      </w:r>
      <w:hyperlink r:id="rId17" w:history="1">
        <w:r w:rsidRPr="00A760BD">
          <w:rPr>
            <w:rStyle w:val="Hyperlink"/>
            <w:rFonts w:ascii="Arial" w:hAnsi="Arial" w:cs="Arial"/>
          </w:rPr>
          <w:t>https://pmc.ncbi.nlm.nih.gov/articles/PMC10251354/</w:t>
        </w:r>
      </w:hyperlink>
      <w:r w:rsidRPr="00A760BD">
        <w:rPr>
          <w:rFonts w:ascii="Arial" w:hAnsi="Arial" w:cs="Arial"/>
        </w:rPr>
        <w:t xml:space="preserve"> (Accessed: 12 October 2026)</w:t>
      </w:r>
    </w:p>
    <w:p w14:paraId="4E90D1AB"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Great Britain (2010) Equality Act 2010. Chapter 15. London: The Stationery Office. Available at: </w:t>
      </w:r>
      <w:hyperlink r:id="rId18" w:history="1">
        <w:r w:rsidRPr="00A760BD">
          <w:rPr>
            <w:rStyle w:val="Hyperlink"/>
            <w:rFonts w:ascii="Arial" w:eastAsia="Arial" w:hAnsi="Arial" w:cs="Arial"/>
          </w:rPr>
          <w:t>https://www.legislation.gov.uk/ukpga/2010/15</w:t>
        </w:r>
      </w:hyperlink>
      <w:r w:rsidRPr="00A760BD">
        <w:rPr>
          <w:rFonts w:ascii="Arial" w:eastAsia="Arial" w:hAnsi="Arial" w:cs="Arial"/>
        </w:rPr>
        <w:t xml:space="preserve">  (Accessed: 14 October 2026).</w:t>
      </w:r>
    </w:p>
    <w:p w14:paraId="24C86BC2" w14:textId="77777777" w:rsidR="00A760BD" w:rsidRPr="00A760BD" w:rsidRDefault="00A760BD" w:rsidP="00A760BD">
      <w:pPr>
        <w:spacing w:line="360" w:lineRule="auto"/>
        <w:jc w:val="both"/>
        <w:rPr>
          <w:rFonts w:ascii="Arial" w:eastAsia="Arial" w:hAnsi="Arial" w:cs="Arial"/>
        </w:rPr>
      </w:pPr>
      <w:r w:rsidRPr="00A760BD">
        <w:rPr>
          <w:rFonts w:ascii="Arial" w:hAnsi="Arial" w:cs="Arial"/>
        </w:rPr>
        <w:t xml:space="preserve">Hinshaw, S.P., Nguyen, P.T., O’Grady, S.M. and Rosenthal, E.A. (2022) ‘Annual research review: Attention-deficit/hyperactivity disorder in girls and women: Underrepresentation, longitudinal processes, and key directions’, </w:t>
      </w:r>
      <w:r w:rsidRPr="00A760BD">
        <w:rPr>
          <w:rStyle w:val="w6asjqtextbase"/>
          <w:rFonts w:ascii="Arial" w:hAnsi="Arial" w:cs="Arial"/>
          <w:i/>
          <w:iCs/>
        </w:rPr>
        <w:t>Journal of Child Psychology and Psychiatry</w:t>
      </w:r>
      <w:r w:rsidRPr="00A760BD">
        <w:rPr>
          <w:rFonts w:ascii="Arial" w:hAnsi="Arial" w:cs="Arial"/>
        </w:rPr>
        <w:t xml:space="preserve">, 63(4), pp. 484–496. Available at: </w:t>
      </w:r>
      <w:hyperlink r:id="rId19" w:tgtFrame="_blank" w:history="1">
        <w:r w:rsidRPr="00A760BD">
          <w:rPr>
            <w:rStyle w:val="w6asjqtextbase"/>
            <w:rFonts w:ascii="Arial" w:hAnsi="Arial" w:cs="Arial"/>
            <w:color w:val="0000FF"/>
            <w:u w:val="single"/>
          </w:rPr>
          <w:t>https://doi.org/10.1111/jcpp.13480</w:t>
        </w:r>
      </w:hyperlink>
      <w:r w:rsidRPr="00A760BD">
        <w:rPr>
          <w:rFonts w:ascii="Arial" w:hAnsi="Arial" w:cs="Arial"/>
        </w:rPr>
        <w:t xml:space="preserve"> (Accessed: 14 October 2026).</w:t>
      </w:r>
    </w:p>
    <w:p w14:paraId="37DAB4C3"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Jacob, U.S., Mbulaheni, M. and Maguvhe, O. (2026) ‘Advancing inclusive development through community-based rehabilitation: a systematic literature review’, </w:t>
      </w:r>
      <w:r w:rsidRPr="00A760BD">
        <w:rPr>
          <w:rFonts w:ascii="Arial" w:hAnsi="Arial" w:cs="Arial"/>
          <w:i/>
          <w:iCs/>
        </w:rPr>
        <w:t>Frontiers in Rehabilitation</w:t>
      </w:r>
      <w:r w:rsidRPr="00A760BD">
        <w:rPr>
          <w:rFonts w:ascii="Arial" w:hAnsi="Arial" w:cs="Arial"/>
        </w:rPr>
        <w:t xml:space="preserve"> Sciences, 7, Article 1824043. Available at: </w:t>
      </w:r>
      <w:hyperlink r:id="rId20" w:history="1">
        <w:r w:rsidRPr="00A760BD">
          <w:rPr>
            <w:rStyle w:val="Hyperlink"/>
            <w:rFonts w:ascii="Arial" w:hAnsi="Arial" w:cs="Arial"/>
          </w:rPr>
          <w:t>https://www.frontiersin.org/journals/rehabilitation-sciences/articles/10.3389/fresc.2026.1824043/full</w:t>
        </w:r>
      </w:hyperlink>
      <w:r w:rsidRPr="00A760BD">
        <w:rPr>
          <w:rFonts w:ascii="Arial" w:hAnsi="Arial" w:cs="Arial"/>
        </w:rPr>
        <w:t xml:space="preserve"> (Accessed: 14 October 2026).</w:t>
      </w:r>
    </w:p>
    <w:p w14:paraId="5C557B06" w14:textId="77777777" w:rsidR="00A760BD" w:rsidRPr="00A760BD" w:rsidRDefault="00A760BD" w:rsidP="00A760BD">
      <w:pPr>
        <w:spacing w:line="360" w:lineRule="auto"/>
        <w:jc w:val="both"/>
        <w:rPr>
          <w:rFonts w:ascii="Arial" w:eastAsia="Arial" w:hAnsi="Arial" w:cs="Arial"/>
        </w:rPr>
      </w:pPr>
      <w:r w:rsidRPr="00A760BD">
        <w:rPr>
          <w:rFonts w:ascii="Arial" w:hAnsi="Arial" w:cs="Arial"/>
        </w:rPr>
        <w:t xml:space="preserve">John, A., Stewart, G.R., Mandy, W., El Baou, C., O’Nions, E., Corrigan, L., Shelford, H., Saunders, R., McKechnie, D.G.J., Suh, J.W., Pavlopoulou, G., Asherson, P., Agnew-Blais, J. and Stott, J. (2026) ‘Attention-Deficit/Hyperactivity Disorder in Children and Adults in England, 2000–2025: Recorded Prevalence and Diagnostic Trends in a Population-Based Observational Study Using Routinely Collected Primary Care Data’, </w:t>
      </w:r>
      <w:r w:rsidRPr="00A760BD">
        <w:rPr>
          <w:rStyle w:val="w6asjqtextbase"/>
          <w:rFonts w:ascii="Arial" w:hAnsi="Arial" w:cs="Arial"/>
          <w:i/>
          <w:iCs/>
        </w:rPr>
        <w:t>The Lancet Regional Health – Europe</w:t>
      </w:r>
      <w:r w:rsidRPr="00A760BD">
        <w:rPr>
          <w:rFonts w:ascii="Arial" w:hAnsi="Arial" w:cs="Arial"/>
          <w:i/>
          <w:iCs/>
        </w:rPr>
        <w:t>,</w:t>
      </w:r>
      <w:r w:rsidRPr="00A760BD">
        <w:rPr>
          <w:rFonts w:ascii="Arial" w:hAnsi="Arial" w:cs="Arial"/>
        </w:rPr>
        <w:t xml:space="preserve"> 67, 101740. Available at: </w:t>
      </w:r>
      <w:hyperlink r:id="rId21" w:tgtFrame="_blank" w:history="1">
        <w:r w:rsidRPr="00A760BD">
          <w:rPr>
            <w:rStyle w:val="w6asjqtextbase"/>
            <w:rFonts w:ascii="Arial" w:hAnsi="Arial" w:cs="Arial"/>
            <w:color w:val="0000FF"/>
            <w:u w:val="single"/>
          </w:rPr>
          <w:t>https://doi.org/10.1016/j.lanepe.2026.101740</w:t>
        </w:r>
      </w:hyperlink>
      <w:r w:rsidRPr="00A760BD">
        <w:rPr>
          <w:rFonts w:ascii="Arial" w:hAnsi="Arial" w:cs="Arial"/>
        </w:rPr>
        <w:t xml:space="preserve"> (Accessed: 14 October 2026).</w:t>
      </w:r>
    </w:p>
    <w:p w14:paraId="565D7B61" w14:textId="77777777" w:rsidR="00A760BD" w:rsidRPr="00A760BD" w:rsidRDefault="00A760BD" w:rsidP="00A760BD">
      <w:pPr>
        <w:spacing w:line="360" w:lineRule="auto"/>
        <w:jc w:val="both"/>
        <w:rPr>
          <w:rFonts w:ascii="Arial" w:hAnsi="Arial" w:cs="Arial"/>
        </w:rPr>
      </w:pPr>
      <w:r w:rsidRPr="00A760BD">
        <w:rPr>
          <w:rFonts w:ascii="Arial" w:hAnsi="Arial" w:cs="Arial"/>
        </w:rPr>
        <w:lastRenderedPageBreak/>
        <w:t xml:space="preserve">Kapp, S.K., Gillespie-Lynch, K., Sherman, L.E. and Hutman, T. (2013) ‘Deficit, difference, or both? Autism and neurodiversity’, </w:t>
      </w:r>
      <w:r w:rsidRPr="00A760BD">
        <w:rPr>
          <w:rStyle w:val="w6asjqtextbase"/>
          <w:rFonts w:ascii="Arial" w:hAnsi="Arial" w:cs="Arial"/>
          <w:i/>
          <w:iCs/>
        </w:rPr>
        <w:t>Developmental Psychology</w:t>
      </w:r>
      <w:r w:rsidRPr="00A760BD">
        <w:rPr>
          <w:rFonts w:ascii="Arial" w:hAnsi="Arial" w:cs="Arial"/>
        </w:rPr>
        <w:t xml:space="preserve">, 49(1), pp. 59–71. Available at: </w:t>
      </w:r>
      <w:hyperlink r:id="rId22" w:tgtFrame="_blank" w:history="1">
        <w:r w:rsidRPr="00A760BD">
          <w:rPr>
            <w:rStyle w:val="w6asjqtextbase"/>
            <w:rFonts w:ascii="Arial" w:hAnsi="Arial" w:cs="Arial"/>
            <w:color w:val="0000FF"/>
            <w:u w:val="single"/>
          </w:rPr>
          <w:t>https://doi.org/10.1037/a0028353</w:t>
        </w:r>
      </w:hyperlink>
      <w:r w:rsidRPr="00A760BD">
        <w:rPr>
          <w:rFonts w:ascii="Arial" w:hAnsi="Arial" w:cs="Arial"/>
        </w:rPr>
        <w:t xml:space="preserve"> (Accessed: 14 October 2026).</w:t>
      </w:r>
    </w:p>
    <w:p w14:paraId="5B532F26"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Lauder, K., McDowall, A. and Tenenbaum, H.R. (2022) 'A systematic review of interventions to support adults with ADHD at work—implications from the paucity of context-specific research for theory and practice', </w:t>
      </w:r>
      <w:r w:rsidRPr="00A760BD">
        <w:rPr>
          <w:rFonts w:ascii="Arial" w:eastAsia="Arial" w:hAnsi="Arial" w:cs="Arial"/>
          <w:i/>
          <w:iCs/>
        </w:rPr>
        <w:t>Frontiers in Psychology,</w:t>
      </w:r>
      <w:r w:rsidRPr="00A760BD">
        <w:rPr>
          <w:rFonts w:ascii="Arial" w:eastAsia="Arial" w:hAnsi="Arial" w:cs="Arial"/>
        </w:rPr>
        <w:t xml:space="preserve"> 13, article 893469. Available at: </w:t>
      </w:r>
      <w:hyperlink r:id="rId23" w:history="1">
        <w:r w:rsidRPr="00A760BD">
          <w:rPr>
            <w:rStyle w:val="Hyperlink"/>
            <w:rFonts w:ascii="Arial" w:eastAsia="Arial" w:hAnsi="Arial" w:cs="Arial"/>
          </w:rPr>
          <w:t>https://www.frontiersin.org/journals/psychology/articles/10.3389/fpsyg.2022.893469/full</w:t>
        </w:r>
      </w:hyperlink>
      <w:r w:rsidRPr="00A760BD">
        <w:rPr>
          <w:rFonts w:ascii="Arial" w:eastAsia="Arial" w:hAnsi="Arial" w:cs="Arial"/>
        </w:rPr>
        <w:t xml:space="preserve"> (Accessed:  </w:t>
      </w:r>
      <w:r w:rsidRPr="00A760BD">
        <w:rPr>
          <w:rFonts w:ascii="Arial" w:hAnsi="Arial" w:cs="Arial"/>
        </w:rPr>
        <w:t>14 October 2026).</w:t>
      </w:r>
    </w:p>
    <w:p w14:paraId="2144A8C3"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Lemay, K. (2024) ICD-11 behavioural indicators: a comprehensive evaluation of the International Classification of Diseases, Eleventh Revision behavioural indicators for disorders of intellectual development. Doctoral dissertation. University of Ottawa. Available at: </w:t>
      </w:r>
      <w:hyperlink r:id="rId24" w:history="1">
        <w:r w:rsidRPr="00A760BD">
          <w:rPr>
            <w:rStyle w:val="Hyperlink"/>
            <w:rFonts w:ascii="Arial" w:hAnsi="Arial" w:cs="Arial"/>
          </w:rPr>
          <w:t>https://ruor.uottawa.ca/bitstreams/580ab12f-1918-4560-8b77-3f12520e2d88/download</w:t>
        </w:r>
      </w:hyperlink>
      <w:r w:rsidRPr="00A760BD">
        <w:rPr>
          <w:rFonts w:ascii="Arial" w:hAnsi="Arial" w:cs="Arial"/>
        </w:rPr>
        <w:t xml:space="preserve"> (Accessed: 14 October 2026)</w:t>
      </w:r>
    </w:p>
    <w:p w14:paraId="620B0027"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Linden, M. (2025) ‘ADHD from the perspective of the international classification of diseases (ICD-11) and the international classification of functioning, disability and health (ICF),’ </w:t>
      </w:r>
      <w:r w:rsidRPr="00A760BD">
        <w:rPr>
          <w:rFonts w:ascii="Arial" w:hAnsi="Arial" w:cs="Arial"/>
          <w:i/>
          <w:iCs/>
        </w:rPr>
        <w:t>Exploration of Neuroprotective Therapy</w:t>
      </w:r>
      <w:r w:rsidRPr="00A760BD">
        <w:rPr>
          <w:rFonts w:ascii="Arial" w:hAnsi="Arial" w:cs="Arial"/>
        </w:rPr>
        <w:t xml:space="preserve">. [online] Available at: </w:t>
      </w:r>
      <w:hyperlink r:id="rId25" w:history="1">
        <w:r w:rsidRPr="00A760BD">
          <w:rPr>
            <w:rStyle w:val="Hyperlink"/>
            <w:rFonts w:ascii="Arial" w:hAnsi="Arial" w:cs="Arial"/>
          </w:rPr>
          <w:t>https://www.explorationpub.com/Journals/ent/Article/1004103</w:t>
        </w:r>
      </w:hyperlink>
      <w:r w:rsidRPr="00A760BD">
        <w:rPr>
          <w:rFonts w:ascii="Arial" w:hAnsi="Arial" w:cs="Arial"/>
        </w:rPr>
        <w:t xml:space="preserve"> (Accessed: 12 October 2026)</w:t>
      </w:r>
    </w:p>
    <w:p w14:paraId="5B11C4AA"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Lutz, W., Schiefele, A.-K., Wucherpfennig, F., Rubel, J. and Stulz, N. (2016) ‘Clinical effectiveness of cognitive behavioral therapy for depression in routine care: A propensity score based comparison between randomized controlled trials and clinical practice’, </w:t>
      </w:r>
      <w:r w:rsidRPr="00A760BD">
        <w:rPr>
          <w:rFonts w:ascii="Arial" w:hAnsi="Arial" w:cs="Arial"/>
          <w:i/>
          <w:iCs/>
        </w:rPr>
        <w:t>Journal of Affective Disorders,</w:t>
      </w:r>
      <w:r w:rsidRPr="00A760BD">
        <w:rPr>
          <w:rFonts w:ascii="Arial" w:hAnsi="Arial" w:cs="Arial"/>
        </w:rPr>
        <w:t xml:space="preserve"> 189, pp. 150–158. Available at: </w:t>
      </w:r>
      <w:hyperlink r:id="rId26" w:history="1">
        <w:r w:rsidRPr="00A760BD">
          <w:rPr>
            <w:rStyle w:val="Hyperlink"/>
            <w:rFonts w:ascii="Arial" w:hAnsi="Arial" w:cs="Arial"/>
          </w:rPr>
          <w:t>https://doi.org/10.1016/j.jad.2015.08.072</w:t>
        </w:r>
      </w:hyperlink>
      <w:r w:rsidRPr="00A760BD">
        <w:rPr>
          <w:rFonts w:ascii="Arial" w:hAnsi="Arial" w:cs="Arial"/>
        </w:rPr>
        <w:t xml:space="preserve"> (Accessed: 14 October 2026)</w:t>
      </w:r>
    </w:p>
    <w:p w14:paraId="53B28832"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Malhotra, S., Kishore, M.T. and De Sousa, A. (2025) ‘Clinical practice guidelines on cognitive impairment and ADHD-Assessment and Management,’ </w:t>
      </w:r>
      <w:r w:rsidRPr="00A760BD">
        <w:rPr>
          <w:rFonts w:ascii="Arial" w:hAnsi="Arial" w:cs="Arial"/>
          <w:i/>
          <w:iCs/>
        </w:rPr>
        <w:t>Indian journal of psychiatry</w:t>
      </w:r>
      <w:r w:rsidRPr="00A760BD">
        <w:rPr>
          <w:rFonts w:ascii="Arial" w:hAnsi="Arial" w:cs="Arial"/>
        </w:rPr>
        <w:t xml:space="preserve">, [online] 67(1), pp.106–116. Available at: </w:t>
      </w:r>
      <w:hyperlink r:id="rId27" w:history="1">
        <w:r w:rsidRPr="00A760BD">
          <w:rPr>
            <w:rStyle w:val="Hyperlink"/>
            <w:rFonts w:ascii="Arial" w:hAnsi="Arial" w:cs="Arial"/>
          </w:rPr>
          <w:t>https://pmc.ncbi.nlm.nih.gov/articles/PMC11878471/</w:t>
        </w:r>
      </w:hyperlink>
      <w:r w:rsidRPr="00A760BD">
        <w:rPr>
          <w:rFonts w:ascii="Arial" w:hAnsi="Arial" w:cs="Arial"/>
        </w:rPr>
        <w:t xml:space="preserve"> (Accessed: 13 October 2026)</w:t>
      </w:r>
    </w:p>
    <w:p w14:paraId="031FC939"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Musullulu, H. (2025) ‘Evaluating attention deficit and hyperactivity disorder (ADHD): A review of current methods and issues,’ </w:t>
      </w:r>
      <w:r w:rsidRPr="00A760BD">
        <w:rPr>
          <w:rFonts w:ascii="Arial" w:hAnsi="Arial" w:cs="Arial"/>
          <w:i/>
          <w:iCs/>
        </w:rPr>
        <w:t>Frontiers in Psychology</w:t>
      </w:r>
      <w:r w:rsidRPr="00A760BD">
        <w:rPr>
          <w:rFonts w:ascii="Arial" w:hAnsi="Arial" w:cs="Arial"/>
        </w:rPr>
        <w:t xml:space="preserve">, 16(1). Available at: </w:t>
      </w:r>
      <w:hyperlink r:id="rId28" w:history="1">
        <w:r w:rsidRPr="00A760BD">
          <w:rPr>
            <w:rStyle w:val="Hyperlink"/>
            <w:rFonts w:ascii="Arial" w:hAnsi="Arial" w:cs="Arial"/>
          </w:rPr>
          <w:t>https://www.frontiersin.org/journals/psychology/articles/10.3389/fpsyg.2025.1466088/full</w:t>
        </w:r>
      </w:hyperlink>
      <w:r w:rsidRPr="00A760BD">
        <w:rPr>
          <w:rFonts w:ascii="Arial" w:hAnsi="Arial" w:cs="Arial"/>
        </w:rPr>
        <w:t xml:space="preserve"> (Accessed: 13 October 2026)</w:t>
      </w:r>
    </w:p>
    <w:p w14:paraId="75774820" w14:textId="77777777" w:rsidR="00A760BD" w:rsidRPr="00A760BD" w:rsidRDefault="00A760BD" w:rsidP="00A760BD">
      <w:pPr>
        <w:spacing w:line="360" w:lineRule="auto"/>
        <w:jc w:val="both"/>
        <w:rPr>
          <w:rFonts w:ascii="Arial" w:hAnsi="Arial" w:cs="Arial"/>
        </w:rPr>
      </w:pPr>
    </w:p>
    <w:p w14:paraId="7C16EB36"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lastRenderedPageBreak/>
        <w:t xml:space="preserve">National Institute for Health and Care Excellence (2018) </w:t>
      </w:r>
      <w:r w:rsidRPr="00A760BD">
        <w:rPr>
          <w:rFonts w:ascii="Arial" w:eastAsia="Arial" w:hAnsi="Arial" w:cs="Arial"/>
          <w:i/>
          <w:iCs/>
        </w:rPr>
        <w:t>Attention deficit hyperactivity disorder: diagnosis and management (NG87</w:t>
      </w:r>
      <w:r w:rsidRPr="00A760BD">
        <w:rPr>
          <w:rFonts w:ascii="Arial" w:eastAsia="Arial" w:hAnsi="Arial" w:cs="Arial"/>
        </w:rPr>
        <w:t xml:space="preserve">). Last updated 13 September 2019. Available at: </w:t>
      </w:r>
      <w:hyperlink r:id="rId29" w:history="1">
        <w:r w:rsidRPr="00A760BD">
          <w:rPr>
            <w:rStyle w:val="Hyperlink"/>
            <w:rFonts w:ascii="Arial" w:eastAsia="Arial" w:hAnsi="Arial" w:cs="Arial"/>
          </w:rPr>
          <w:t>https://www.nice.org.uk/guidance/ng87</w:t>
        </w:r>
      </w:hyperlink>
      <w:r w:rsidRPr="00A760BD">
        <w:rPr>
          <w:rFonts w:ascii="Arial" w:eastAsia="Arial" w:hAnsi="Arial" w:cs="Arial"/>
        </w:rPr>
        <w:t xml:space="preserve">  (Accessed: 14 October 2026).</w:t>
      </w:r>
    </w:p>
    <w:p w14:paraId="164A63A4"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NICE (2018) </w:t>
      </w:r>
      <w:r w:rsidRPr="00A760BD">
        <w:rPr>
          <w:rFonts w:ascii="Arial" w:hAnsi="Arial" w:cs="Arial"/>
          <w:i/>
          <w:iCs/>
        </w:rPr>
        <w:t>Recommendations | attention deficit hyperactivity disorder: Diagnosis and management | guidance | NICE</w:t>
      </w:r>
      <w:r w:rsidRPr="00A760BD">
        <w:rPr>
          <w:rFonts w:ascii="Arial" w:hAnsi="Arial" w:cs="Arial"/>
        </w:rPr>
        <w:t xml:space="preserve">. [online] Nice.org.uk. Available at: </w:t>
      </w:r>
      <w:hyperlink r:id="rId30" w:history="1">
        <w:r w:rsidRPr="00A760BD">
          <w:rPr>
            <w:rStyle w:val="Hyperlink"/>
            <w:rFonts w:ascii="Arial" w:hAnsi="Arial" w:cs="Arial"/>
          </w:rPr>
          <w:t>https://www.nice.org.uk/guidance/ng87/chapter/Recommendations</w:t>
        </w:r>
      </w:hyperlink>
      <w:r w:rsidRPr="00A760BD">
        <w:rPr>
          <w:rFonts w:ascii="Arial" w:hAnsi="Arial" w:cs="Arial"/>
        </w:rPr>
        <w:t xml:space="preserve"> (Accessed: 12 October 2026)</w:t>
      </w:r>
    </w:p>
    <w:p w14:paraId="3EDD4925" w14:textId="77777777" w:rsidR="00A760BD" w:rsidRPr="00A760BD" w:rsidRDefault="00A760BD" w:rsidP="00A760BD">
      <w:pPr>
        <w:spacing w:line="360" w:lineRule="auto"/>
        <w:jc w:val="both"/>
        <w:rPr>
          <w:rFonts w:ascii="Arial" w:hAnsi="Arial" w:cs="Arial"/>
        </w:rPr>
      </w:pPr>
      <w:r w:rsidRPr="00A760BD">
        <w:rPr>
          <w:rFonts w:ascii="Arial" w:hAnsi="Arial" w:cs="Arial"/>
        </w:rPr>
        <w:t>Nice.org.uk. (2024)</w:t>
      </w:r>
      <w:r w:rsidRPr="00A760BD">
        <w:rPr>
          <w:rFonts w:ascii="Arial" w:hAnsi="Arial" w:cs="Arial"/>
          <w:i/>
          <w:iCs/>
        </w:rPr>
        <w:t xml:space="preserve"> Digital Technologies for assessing attention deficit hyperactivity disorder (ADHD) | guidance | NICE</w:t>
      </w:r>
      <w:r w:rsidRPr="00A760BD">
        <w:rPr>
          <w:rFonts w:ascii="Arial" w:hAnsi="Arial" w:cs="Arial"/>
        </w:rPr>
        <w:t xml:space="preserve">. [online] Available at: </w:t>
      </w:r>
      <w:hyperlink r:id="rId31" w:history="1">
        <w:r w:rsidRPr="00A760BD">
          <w:rPr>
            <w:rStyle w:val="Hyperlink"/>
            <w:rFonts w:ascii="Arial" w:hAnsi="Arial" w:cs="Arial"/>
          </w:rPr>
          <w:t>https://www.nice.org.uk/guidance/htg729/chapter/2-The-diagnostic-tests</w:t>
        </w:r>
      </w:hyperlink>
      <w:r w:rsidRPr="00A760BD">
        <w:rPr>
          <w:rFonts w:ascii="Arial" w:hAnsi="Arial" w:cs="Arial"/>
        </w:rPr>
        <w:t xml:space="preserve"> (Accessed: 13 October 2026)</w:t>
      </w:r>
    </w:p>
    <w:p w14:paraId="4A4BDD9E"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NHS England (2025) ADHD Taskforce report: plain English summary. Available at: </w:t>
      </w:r>
      <w:hyperlink r:id="rId32" w:history="1">
        <w:r w:rsidRPr="00A760BD">
          <w:rPr>
            <w:rStyle w:val="Hyperlink"/>
            <w:rFonts w:ascii="Arial" w:eastAsia="Arial" w:hAnsi="Arial" w:cs="Arial"/>
          </w:rPr>
          <w:t>https://www.england.nhs.uk/long-read/plain-english-summary-of-the-adhd-taskforce-report/</w:t>
        </w:r>
      </w:hyperlink>
      <w:r w:rsidRPr="00A760BD">
        <w:rPr>
          <w:rFonts w:ascii="Arial" w:eastAsia="Arial" w:hAnsi="Arial" w:cs="Arial"/>
        </w:rPr>
        <w:t xml:space="preserve">  (Accessed: 14 October 2026).</w:t>
      </w:r>
    </w:p>
    <w:p w14:paraId="5B81D3AF"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Ostinelli, E.G., Schulze, M., Zangani, C., Farhat, L.C., Tomlinson, A., Del Giovane, C., Chamberlain, S.R., Philipsen, A., Young, S., Cowen, P.J., Bilbow, A., Cipriani, A. and Cortese, S. (2025) ‘Comparative efficacy and acceptability of pharmacological, psychological, and neurostimulatory interventions for ADHD in adults: a systematic review and component network meta-analysis’, </w:t>
      </w:r>
      <w:r w:rsidRPr="00A760BD">
        <w:rPr>
          <w:rFonts w:ascii="Arial" w:eastAsia="Arial" w:hAnsi="Arial" w:cs="Arial"/>
          <w:i/>
          <w:iCs/>
        </w:rPr>
        <w:t>The Lancet Psychiatry,</w:t>
      </w:r>
      <w:r w:rsidRPr="00A760BD">
        <w:rPr>
          <w:rFonts w:ascii="Arial" w:eastAsia="Arial" w:hAnsi="Arial" w:cs="Arial"/>
        </w:rPr>
        <w:t xml:space="preserve"> 12(1), pp. 32–43. Available at: </w:t>
      </w:r>
      <w:hyperlink r:id="rId33" w:history="1">
        <w:r w:rsidRPr="00A760BD">
          <w:rPr>
            <w:rStyle w:val="Hyperlink"/>
            <w:rFonts w:ascii="Arial" w:eastAsia="Arial" w:hAnsi="Arial" w:cs="Arial"/>
          </w:rPr>
          <w:t>https://pubmed.ncbi.nlm.nih.gov/39701638/</w:t>
        </w:r>
      </w:hyperlink>
      <w:r w:rsidRPr="00A760BD">
        <w:rPr>
          <w:rFonts w:ascii="Arial" w:eastAsia="Arial" w:hAnsi="Arial" w:cs="Arial"/>
        </w:rPr>
        <w:t xml:space="preserve"> (Accessed: 14 October 2026). </w:t>
      </w:r>
    </w:p>
    <w:p w14:paraId="1EA2BFE3"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Shen, Y., Jiang, L., Lai, J., Hu, J., Liang, F., Zhang, X. and Ma, F. (2025) ‘A comprehensive review of rehabilitation approaches for traumatic brain injury: efficacy and outcomes’, </w:t>
      </w:r>
      <w:r w:rsidRPr="00A760BD">
        <w:rPr>
          <w:rFonts w:ascii="Arial" w:eastAsia="Arial" w:hAnsi="Arial" w:cs="Arial"/>
          <w:i/>
          <w:iCs/>
        </w:rPr>
        <w:t>Frontiers in Neurology</w:t>
      </w:r>
      <w:r w:rsidRPr="00A760BD">
        <w:rPr>
          <w:rFonts w:ascii="Arial" w:eastAsia="Arial" w:hAnsi="Arial" w:cs="Arial"/>
        </w:rPr>
        <w:t xml:space="preserve">, 16, Article 1608645. Available at: </w:t>
      </w:r>
      <w:hyperlink r:id="rId34" w:history="1">
        <w:r w:rsidRPr="00A760BD">
          <w:rPr>
            <w:rStyle w:val="Hyperlink"/>
            <w:rFonts w:ascii="Arial" w:eastAsia="Arial" w:hAnsi="Arial" w:cs="Arial"/>
          </w:rPr>
          <w:t>https://doi.org/10.3389/fneur.2025.1608645</w:t>
        </w:r>
      </w:hyperlink>
      <w:r w:rsidRPr="00A760BD">
        <w:rPr>
          <w:rFonts w:ascii="Arial" w:eastAsia="Arial" w:hAnsi="Arial" w:cs="Arial"/>
        </w:rPr>
        <w:t xml:space="preserve"> (Accessed: 14 October 2026).</w:t>
      </w:r>
    </w:p>
    <w:p w14:paraId="64A81CBD"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Siva Prasad M.S and Rahul Kumminimana (2025) ‘Attention-deficit/hyperactivity disorder: Insights, advances and challenges in research and practice,’ </w:t>
      </w:r>
      <w:r w:rsidRPr="00A760BD">
        <w:rPr>
          <w:rFonts w:ascii="Arial" w:hAnsi="Arial" w:cs="Arial"/>
          <w:i/>
          <w:iCs/>
        </w:rPr>
        <w:t>Postępy Psychiatrii i Neurologii</w:t>
      </w:r>
      <w:r w:rsidRPr="00A760BD">
        <w:rPr>
          <w:rFonts w:ascii="Arial" w:hAnsi="Arial" w:cs="Arial"/>
        </w:rPr>
        <w:t xml:space="preserve">, [online] 34(3), pp.196–206. Available at: </w:t>
      </w:r>
      <w:hyperlink r:id="rId35" w:history="1">
        <w:r w:rsidRPr="00A760BD">
          <w:rPr>
            <w:rStyle w:val="Hyperlink"/>
            <w:rFonts w:ascii="Arial" w:hAnsi="Arial" w:cs="Arial"/>
          </w:rPr>
          <w:t>https://pmc.ncbi.nlm.nih.gov/articles/PMC12435561/</w:t>
        </w:r>
      </w:hyperlink>
      <w:r w:rsidRPr="00A760BD">
        <w:rPr>
          <w:rFonts w:ascii="Arial" w:hAnsi="Arial" w:cs="Arial"/>
        </w:rPr>
        <w:t xml:space="preserve"> (Accessed: 12 October 2026)</w:t>
      </w:r>
    </w:p>
    <w:p w14:paraId="20635E1F" w14:textId="77777777" w:rsidR="00A760BD" w:rsidRPr="00A760BD" w:rsidRDefault="00A760BD" w:rsidP="00A760BD">
      <w:pPr>
        <w:spacing w:line="360" w:lineRule="auto"/>
        <w:jc w:val="both"/>
        <w:rPr>
          <w:rFonts w:ascii="Arial" w:eastAsia="Arial" w:hAnsi="Arial" w:cs="Arial"/>
        </w:rPr>
      </w:pPr>
      <w:r w:rsidRPr="00452F31">
        <w:rPr>
          <w:rFonts w:ascii="Arial" w:eastAsia="Arial" w:hAnsi="Arial" w:cs="Arial"/>
        </w:rPr>
        <w:t xml:space="preserve">Song, P., Zha, M., Yang, Q., Zhang, Y., Li, X. and Rudan, I. (2021) ‘The prevalence of adult attention-deficit hyperactivity disorder: A global systematic review and meta-analysis,’ </w:t>
      </w:r>
      <w:r w:rsidRPr="00452F31">
        <w:rPr>
          <w:rFonts w:ascii="Arial" w:eastAsia="Arial" w:hAnsi="Arial" w:cs="Arial"/>
          <w:i/>
          <w:iCs/>
        </w:rPr>
        <w:t>Journal of Global Health</w:t>
      </w:r>
      <w:r w:rsidRPr="00452F31">
        <w:rPr>
          <w:rFonts w:ascii="Arial" w:eastAsia="Arial" w:hAnsi="Arial" w:cs="Arial"/>
        </w:rPr>
        <w:t xml:space="preserve">, 11(04009). Available at: </w:t>
      </w:r>
      <w:hyperlink r:id="rId36" w:history="1">
        <w:r w:rsidRPr="00452F31">
          <w:rPr>
            <w:rStyle w:val="Hyperlink"/>
            <w:rFonts w:ascii="Arial" w:eastAsia="Arial" w:hAnsi="Arial" w:cs="Arial"/>
          </w:rPr>
          <w:t>https://pubmed.ncbi.nlm.nih.gov/33692893/</w:t>
        </w:r>
      </w:hyperlink>
      <w:r w:rsidRPr="00452F31">
        <w:rPr>
          <w:rFonts w:ascii="Arial" w:eastAsia="Arial" w:hAnsi="Arial" w:cs="Arial"/>
        </w:rPr>
        <w:t xml:space="preserve"> (Accessed: 12 October 2026)</w:t>
      </w:r>
    </w:p>
    <w:p w14:paraId="1F1E8E7A"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lastRenderedPageBreak/>
        <w:t xml:space="preserve">Sonuga-Barke, E.J.S. and Thapar, A. (2021) ‘The neurodiversity concept: is it helpful for clinicians and scientists?’, </w:t>
      </w:r>
      <w:r w:rsidRPr="00A760BD">
        <w:rPr>
          <w:rFonts w:ascii="Arial" w:eastAsia="Arial" w:hAnsi="Arial" w:cs="Arial"/>
          <w:i/>
          <w:iCs/>
        </w:rPr>
        <w:t>The Lancet Psychiatry,</w:t>
      </w:r>
      <w:r w:rsidRPr="00A760BD">
        <w:rPr>
          <w:rFonts w:ascii="Arial" w:eastAsia="Arial" w:hAnsi="Arial" w:cs="Arial"/>
        </w:rPr>
        <w:t xml:space="preserve"> 8(7), pp. 559–561. Available at: </w:t>
      </w:r>
      <w:hyperlink r:id="rId37" w:history="1">
        <w:r w:rsidRPr="00A760BD">
          <w:rPr>
            <w:rStyle w:val="Hyperlink"/>
            <w:rFonts w:ascii="Arial" w:eastAsia="Arial" w:hAnsi="Arial" w:cs="Arial"/>
          </w:rPr>
          <w:t>https://doi.org/10.1016/S2215-0366(21)00167-X</w:t>
        </w:r>
      </w:hyperlink>
      <w:r w:rsidRPr="00A760BD">
        <w:rPr>
          <w:rFonts w:ascii="Arial" w:eastAsia="Arial" w:hAnsi="Arial" w:cs="Arial"/>
        </w:rPr>
        <w:t xml:space="preserve"> (Accessed: 14 October 2026). </w:t>
      </w:r>
    </w:p>
    <w:p w14:paraId="724C8F2C"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Quintero, J., Rodríguez-Quiroga, A., Medina, J., Galvez-Fernandez, M., Nuevo, J., Ruiz, C., Sánchez, E., Alonso, V. and Pérez Domínguez, A. (2025) ‘A survey of knowledge and perceptions of ADHD and autism spectrum disorder in the workplace at a large corporation’, </w:t>
      </w:r>
      <w:r w:rsidRPr="00A760BD">
        <w:rPr>
          <w:rFonts w:ascii="Arial" w:eastAsia="Arial" w:hAnsi="Arial" w:cs="Arial"/>
          <w:i/>
          <w:iCs/>
        </w:rPr>
        <w:t>Scientific Reports</w:t>
      </w:r>
      <w:r w:rsidRPr="00A760BD">
        <w:rPr>
          <w:rFonts w:ascii="Arial" w:eastAsia="Arial" w:hAnsi="Arial" w:cs="Arial"/>
        </w:rPr>
        <w:t xml:space="preserve">, 15, Article 34424. Available at: </w:t>
      </w:r>
      <w:hyperlink r:id="rId38" w:history="1">
        <w:r w:rsidRPr="00A760BD">
          <w:rPr>
            <w:rStyle w:val="Hyperlink"/>
            <w:rFonts w:ascii="Arial" w:eastAsia="Arial" w:hAnsi="Arial" w:cs="Arial"/>
          </w:rPr>
          <w:t>https://doi.org/10.1038/s41598-025-17470-8</w:t>
        </w:r>
      </w:hyperlink>
      <w:r w:rsidRPr="00A760BD">
        <w:rPr>
          <w:rFonts w:ascii="Arial" w:eastAsia="Arial" w:hAnsi="Arial" w:cs="Arial"/>
        </w:rPr>
        <w:t xml:space="preserve"> (Accessed: 13 October 2026). </w:t>
      </w:r>
    </w:p>
    <w:p w14:paraId="7E1D754E"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van der Oord, S., Vanaken, G.-J. and French, B. (2026) ‘Can the neurodiversity approach apply to ADHD? Exploring the lived experience of ADHD as neurodivergence’, </w:t>
      </w:r>
      <w:r w:rsidRPr="00A760BD">
        <w:rPr>
          <w:rFonts w:ascii="Arial" w:eastAsia="Arial" w:hAnsi="Arial" w:cs="Arial"/>
          <w:i/>
          <w:iCs/>
        </w:rPr>
        <w:t>Journal of Attention Disorders.</w:t>
      </w:r>
      <w:r w:rsidRPr="00A760BD">
        <w:rPr>
          <w:rFonts w:ascii="Arial" w:eastAsia="Arial" w:hAnsi="Arial" w:cs="Arial"/>
        </w:rPr>
        <w:t xml:space="preserve">. Available at: </w:t>
      </w:r>
      <w:hyperlink r:id="rId39" w:history="1">
        <w:r w:rsidRPr="00A760BD">
          <w:rPr>
            <w:rStyle w:val="Hyperlink"/>
            <w:rFonts w:ascii="Arial" w:eastAsia="Arial" w:hAnsi="Arial" w:cs="Arial"/>
          </w:rPr>
          <w:t>https://doi.org/10.1177/10870547261459222</w:t>
        </w:r>
      </w:hyperlink>
      <w:r w:rsidRPr="00A760BD">
        <w:rPr>
          <w:rFonts w:ascii="Arial" w:eastAsia="Arial" w:hAnsi="Arial" w:cs="Arial"/>
        </w:rPr>
        <w:t xml:space="preserve"> (Accessed: 13 October 2026). </w:t>
      </w:r>
    </w:p>
    <w:p w14:paraId="4B2A27F2"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Wade, D.T. (2020) ‘What is rehabilitation? An empirical investigation leading to an evidence-based description’, Clinical Rehabilitation, 34(5), pp. 571–583. Available at: </w:t>
      </w:r>
      <w:hyperlink r:id="rId40" w:history="1">
        <w:r w:rsidRPr="00A760BD">
          <w:rPr>
            <w:rStyle w:val="Hyperlink"/>
            <w:rFonts w:ascii="Arial" w:hAnsi="Arial" w:cs="Arial"/>
          </w:rPr>
          <w:t>https://pmc.ncbi.nlm.nih.gov/articles/PMC7350200/</w:t>
        </w:r>
      </w:hyperlink>
      <w:r w:rsidRPr="00A760BD">
        <w:rPr>
          <w:rFonts w:ascii="Arial" w:hAnsi="Arial" w:cs="Arial"/>
        </w:rPr>
        <w:t xml:space="preserve"> (Accessed: 14 October 2026).</w:t>
      </w:r>
    </w:p>
    <w:p w14:paraId="2B4B5D6F"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Willcutt, E.G. (2012) ‘The prevalence of DSM-IV attention-deficit/hyperactivity disorder: A meta-analytic review,’ </w:t>
      </w:r>
      <w:r w:rsidRPr="00A760BD">
        <w:rPr>
          <w:rFonts w:ascii="Arial" w:hAnsi="Arial" w:cs="Arial"/>
          <w:i/>
          <w:iCs/>
        </w:rPr>
        <w:t>Neurotherapeutics</w:t>
      </w:r>
      <w:r w:rsidRPr="00A760BD">
        <w:rPr>
          <w:rFonts w:ascii="Arial" w:hAnsi="Arial" w:cs="Arial"/>
        </w:rPr>
        <w:t xml:space="preserve">, [online] 9(3), pp.490–499. Available at: </w:t>
      </w:r>
      <w:hyperlink r:id="rId41" w:history="1">
        <w:r w:rsidRPr="00A760BD">
          <w:rPr>
            <w:rStyle w:val="Hyperlink"/>
            <w:rFonts w:ascii="Arial" w:hAnsi="Arial" w:cs="Arial"/>
          </w:rPr>
          <w:t>https://pubmed.ncbi.nlm.nih.gov/22976615/</w:t>
        </w:r>
      </w:hyperlink>
      <w:r w:rsidRPr="00A760BD">
        <w:rPr>
          <w:rFonts w:ascii="Arial" w:hAnsi="Arial" w:cs="Arial"/>
        </w:rPr>
        <w:t xml:space="preserve"> (Accessed: 12 October 2026)</w:t>
      </w:r>
    </w:p>
    <w:p w14:paraId="054C4218"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World Health Organization (2024) </w:t>
      </w:r>
      <w:r w:rsidRPr="00A760BD">
        <w:rPr>
          <w:rFonts w:ascii="Arial" w:eastAsia="Arial" w:hAnsi="Arial" w:cs="Arial"/>
          <w:i/>
          <w:iCs/>
        </w:rPr>
        <w:t>Clinical descriptions and diagnostic requirements for ICD-11 mental, behavioural and neurodevelopmental disorders.</w:t>
      </w:r>
      <w:r w:rsidRPr="00A760BD">
        <w:rPr>
          <w:rFonts w:ascii="Arial" w:eastAsia="Arial" w:hAnsi="Arial" w:cs="Arial"/>
        </w:rPr>
        <w:t xml:space="preserve"> Geneva: World Health Organization. Available at: </w:t>
      </w:r>
      <w:hyperlink r:id="rId42" w:history="1">
        <w:r w:rsidRPr="00A760BD">
          <w:rPr>
            <w:rStyle w:val="Hyperlink"/>
            <w:rFonts w:ascii="Arial" w:eastAsia="Arial" w:hAnsi="Arial" w:cs="Arial"/>
          </w:rPr>
          <w:t>https://www.who.int/publications/i/item/9789240077263</w:t>
        </w:r>
      </w:hyperlink>
      <w:r w:rsidRPr="00A760BD">
        <w:rPr>
          <w:rFonts w:ascii="Arial" w:eastAsia="Arial" w:hAnsi="Arial" w:cs="Arial"/>
        </w:rPr>
        <w:t xml:space="preserve"> (Accessed: 12 October 2026)</w:t>
      </w:r>
    </w:p>
    <w:p w14:paraId="5990533B" w14:textId="77777777" w:rsidR="00A760BD" w:rsidRPr="00A760BD" w:rsidRDefault="00A760BD" w:rsidP="00A760BD">
      <w:pPr>
        <w:spacing w:line="360" w:lineRule="auto"/>
        <w:jc w:val="both"/>
        <w:rPr>
          <w:rFonts w:ascii="Arial" w:hAnsi="Arial" w:cs="Arial"/>
        </w:rPr>
      </w:pPr>
      <w:r w:rsidRPr="00452F31">
        <w:rPr>
          <w:rFonts w:ascii="Arial" w:hAnsi="Arial" w:cs="Arial"/>
        </w:rPr>
        <w:t xml:space="preserve">Yacoub, M.W., Smith, S.R., Abbas, B., Iqbal, F., Jazieh, C.M.O., Al Shaer, N.S.H., Luk, C.C.-F. and Syed, N.I. (2025) ‘Attention-deficit hyperactivity disorder (ADHD): A comprehensive overview of the mechanistic insights from human studies to animal models,’ </w:t>
      </w:r>
      <w:r w:rsidRPr="00452F31">
        <w:rPr>
          <w:rFonts w:ascii="Arial" w:hAnsi="Arial" w:cs="Arial"/>
          <w:i/>
          <w:iCs/>
        </w:rPr>
        <w:t>Cells</w:t>
      </w:r>
      <w:r w:rsidRPr="00452F31">
        <w:rPr>
          <w:rFonts w:ascii="Arial" w:hAnsi="Arial" w:cs="Arial"/>
        </w:rPr>
        <w:t xml:space="preserve">, [online] 14(17), p.1367. Available at: </w:t>
      </w:r>
      <w:hyperlink r:id="rId43" w:history="1">
        <w:r w:rsidRPr="00452F31">
          <w:rPr>
            <w:rStyle w:val="Hyperlink"/>
            <w:rFonts w:ascii="Arial" w:hAnsi="Arial" w:cs="Arial"/>
          </w:rPr>
          <w:t>https://pmc.ncbi.nlm.nih.gov/articles/PMC12428297/</w:t>
        </w:r>
      </w:hyperlink>
      <w:r w:rsidRPr="00452F31">
        <w:rPr>
          <w:rFonts w:ascii="Arial" w:hAnsi="Arial" w:cs="Arial"/>
        </w:rPr>
        <w:t xml:space="preserve"> (Accessed: 12 October 2026)</w:t>
      </w:r>
    </w:p>
    <w:p w14:paraId="10D5E756" w14:textId="77777777" w:rsidR="00A760BD" w:rsidRPr="00A760BD" w:rsidRDefault="00A760BD" w:rsidP="00A760BD">
      <w:pPr>
        <w:spacing w:line="360" w:lineRule="auto"/>
        <w:jc w:val="both"/>
        <w:rPr>
          <w:rFonts w:ascii="Arial" w:eastAsia="Arial" w:hAnsi="Arial" w:cs="Arial"/>
        </w:rPr>
      </w:pPr>
      <w:r w:rsidRPr="00A760BD">
        <w:rPr>
          <w:rFonts w:ascii="Arial" w:eastAsia="Arial" w:hAnsi="Arial" w:cs="Arial"/>
        </w:rPr>
        <w:t xml:space="preserve">Yang, X., Zhang, L., Yu, J. and Wang, M. (2025) ‘Short-term and long-term effect of non-pharmacotherapy for adults with ADHD: a systematic review and network meta-analysis’, </w:t>
      </w:r>
      <w:r w:rsidRPr="00A760BD">
        <w:rPr>
          <w:rFonts w:ascii="Arial" w:eastAsia="Arial" w:hAnsi="Arial" w:cs="Arial"/>
          <w:i/>
          <w:iCs/>
        </w:rPr>
        <w:t>Frontiers in Psychiatry,</w:t>
      </w:r>
      <w:r w:rsidRPr="00A760BD">
        <w:rPr>
          <w:rFonts w:ascii="Arial" w:eastAsia="Arial" w:hAnsi="Arial" w:cs="Arial"/>
        </w:rPr>
        <w:t xml:space="preserve"> 16, Article 1516878. Available at: </w:t>
      </w:r>
      <w:hyperlink r:id="rId44" w:history="1">
        <w:r w:rsidRPr="00A760BD">
          <w:rPr>
            <w:rStyle w:val="Hyperlink"/>
            <w:rFonts w:ascii="Arial" w:eastAsia="Arial" w:hAnsi="Arial" w:cs="Arial"/>
          </w:rPr>
          <w:t>https://www.frontiersin.org/journals/psychiatry/articles/10.3389/fpsyt.2025.1516878/full</w:t>
        </w:r>
      </w:hyperlink>
      <w:r w:rsidRPr="00A760BD">
        <w:rPr>
          <w:rFonts w:ascii="Arial" w:eastAsia="Arial" w:hAnsi="Arial" w:cs="Arial"/>
        </w:rPr>
        <w:t xml:space="preserve"> (Accessed: 14 October 2026)</w:t>
      </w:r>
    </w:p>
    <w:p w14:paraId="79188D1B" w14:textId="77777777" w:rsidR="00A760BD" w:rsidRPr="00A760BD" w:rsidRDefault="00A760BD" w:rsidP="00A760BD">
      <w:pPr>
        <w:spacing w:line="360" w:lineRule="auto"/>
        <w:jc w:val="both"/>
        <w:rPr>
          <w:rFonts w:ascii="Arial" w:hAnsi="Arial" w:cs="Arial"/>
        </w:rPr>
      </w:pPr>
      <w:r w:rsidRPr="00A760BD">
        <w:rPr>
          <w:rFonts w:ascii="Arial" w:hAnsi="Arial" w:cs="Arial"/>
        </w:rPr>
        <w:lastRenderedPageBreak/>
        <w:t xml:space="preserve">Young, S., Hollingdale, J., Absoud, M., Bolton, P., Branney, P., Colley, W., Craze, E., Dave, M., Deeley, Q., Farrag, E., Gudjonsson, G., Hill, P., Liang, H., Murphy, C., Mackintosh, P., Murin, M., O’Regan, F., Ougrin, D., Rios, P., Stover, N., Taylor, E. and Woodhouse, E. (2020). Guidance for identification and treatment of individuals with attention deficit/hyperactivity disorder and autism spectrum disorder based upon expert consensus. </w:t>
      </w:r>
      <w:r w:rsidRPr="00A760BD">
        <w:rPr>
          <w:rFonts w:ascii="Arial" w:hAnsi="Arial" w:cs="Arial"/>
          <w:i/>
          <w:iCs/>
        </w:rPr>
        <w:t>BMC Medicine</w:t>
      </w:r>
      <w:r w:rsidRPr="00A760BD">
        <w:rPr>
          <w:rFonts w:ascii="Arial" w:hAnsi="Arial" w:cs="Arial"/>
        </w:rPr>
        <w:t xml:space="preserve">, [online] 18(146). Available at: </w:t>
      </w:r>
      <w:hyperlink r:id="rId45" w:history="1">
        <w:r w:rsidRPr="00A760BD">
          <w:rPr>
            <w:rStyle w:val="Hyperlink"/>
            <w:rFonts w:ascii="Arial" w:hAnsi="Arial" w:cs="Arial"/>
          </w:rPr>
          <w:t>https://link.springer.com/article/10.1186/s12916-020-01585-y</w:t>
        </w:r>
      </w:hyperlink>
      <w:r w:rsidRPr="00A760BD">
        <w:rPr>
          <w:rFonts w:ascii="Arial" w:hAnsi="Arial" w:cs="Arial"/>
        </w:rPr>
        <w:t xml:space="preserve"> (Accessed: 13 October 2026)</w:t>
      </w:r>
    </w:p>
    <w:p w14:paraId="3DEA2DDC" w14:textId="77777777" w:rsidR="00A760BD" w:rsidRPr="00A760BD" w:rsidRDefault="00A760BD" w:rsidP="00A760BD">
      <w:pPr>
        <w:spacing w:line="360" w:lineRule="auto"/>
        <w:jc w:val="both"/>
        <w:rPr>
          <w:rFonts w:ascii="Arial" w:hAnsi="Arial" w:cs="Arial"/>
        </w:rPr>
      </w:pPr>
      <w:r w:rsidRPr="00A760BD">
        <w:rPr>
          <w:rFonts w:ascii="Arial" w:hAnsi="Arial" w:cs="Arial"/>
        </w:rPr>
        <w:t xml:space="preserve">Young, S., Absoud, M., Al-Attar, Z., Ani, C., Colley, W., Cortese, S., Crame, J., Gudjonsson, G., Hill, P., Hollingdale, J., Mukherjee, R., Ozer, S., Partridge, G., Smith, J., Woodhouse, E. and Lewis, A. (2024) ‘The ADHD assessment quality assurance standard for children and teenagers (CAAQAS),’ </w:t>
      </w:r>
      <w:r w:rsidRPr="00A760BD">
        <w:rPr>
          <w:rFonts w:ascii="Arial" w:hAnsi="Arial" w:cs="Arial"/>
          <w:i/>
          <w:iCs/>
        </w:rPr>
        <w:t>Neuropsychiatric Disease and Treatment</w:t>
      </w:r>
      <w:r w:rsidRPr="00A760BD">
        <w:rPr>
          <w:rFonts w:ascii="Arial" w:hAnsi="Arial" w:cs="Arial"/>
        </w:rPr>
        <w:t xml:space="preserve">, [online] Volume 20, pp.2603–2628. Available at: </w:t>
      </w:r>
      <w:hyperlink r:id="rId46" w:history="1">
        <w:r w:rsidRPr="00A760BD">
          <w:rPr>
            <w:rStyle w:val="Hyperlink"/>
            <w:rFonts w:ascii="Arial" w:hAnsi="Arial" w:cs="Arial"/>
          </w:rPr>
          <w:t>https://pmc.ncbi.nlm.nih.gov/articles/PMC11682937/</w:t>
        </w:r>
      </w:hyperlink>
      <w:r w:rsidRPr="00A760BD">
        <w:rPr>
          <w:rFonts w:ascii="Arial" w:hAnsi="Arial" w:cs="Arial"/>
        </w:rPr>
        <w:t xml:space="preserve"> (Accessed: 13 October 2026)</w:t>
      </w:r>
    </w:p>
    <w:p w14:paraId="5BEE1DDF" w14:textId="77777777" w:rsidR="00A760BD" w:rsidRPr="00A760BD" w:rsidRDefault="00A760BD" w:rsidP="00A760BD">
      <w:pPr>
        <w:spacing w:line="360" w:lineRule="auto"/>
        <w:jc w:val="both"/>
        <w:rPr>
          <w:rFonts w:ascii="Arial" w:hAnsi="Arial" w:cs="Arial"/>
        </w:rPr>
      </w:pPr>
      <w:r w:rsidRPr="00A760BD">
        <w:rPr>
          <w:rFonts w:ascii="Arial" w:eastAsia="Arial" w:hAnsi="Arial" w:cs="Arial"/>
        </w:rPr>
        <w:t xml:space="preserve">Zhang, L., Li, L., Andell, P., Garcia-Argibay, M., Quinn, P.D., D’Onofrio, B.M., Brikell, I., Kuja-Halkola, R., Lichtenstein, P., Johnell, K., Larsson, H. and Chang, Z. (2024) ‘Attention-deficit/hyperactivity disorder medications and long-term risk of cardiovascular diseases’, </w:t>
      </w:r>
      <w:r w:rsidRPr="00A760BD">
        <w:rPr>
          <w:rFonts w:ascii="Arial" w:eastAsia="Arial" w:hAnsi="Arial" w:cs="Arial"/>
          <w:i/>
          <w:iCs/>
        </w:rPr>
        <w:t>JAMA Psychiatry</w:t>
      </w:r>
      <w:r w:rsidRPr="00A760BD">
        <w:rPr>
          <w:rFonts w:ascii="Arial" w:eastAsia="Arial" w:hAnsi="Arial" w:cs="Arial"/>
        </w:rPr>
        <w:t xml:space="preserve">, 81(2), pp. 178–187. Available at: </w:t>
      </w:r>
      <w:hyperlink r:id="rId47" w:history="1">
        <w:r w:rsidRPr="00A760BD">
          <w:rPr>
            <w:rStyle w:val="Hyperlink"/>
            <w:rFonts w:ascii="Arial" w:eastAsia="Arial" w:hAnsi="Arial" w:cs="Arial"/>
          </w:rPr>
          <w:t>https://jamanetwork.com/journals/jamapsychiatry/fullarticle/2811812</w:t>
        </w:r>
      </w:hyperlink>
      <w:r w:rsidRPr="00A760BD">
        <w:rPr>
          <w:rFonts w:ascii="Arial" w:eastAsia="Arial" w:hAnsi="Arial" w:cs="Arial"/>
        </w:rPr>
        <w:t xml:space="preserve"> (Accessed: 14 October 2026).</w:t>
      </w:r>
    </w:p>
    <w:p w14:paraId="58FCE2C1" w14:textId="77777777" w:rsidR="00A760BD" w:rsidRPr="00A760BD" w:rsidRDefault="00A760BD" w:rsidP="00A760BD">
      <w:pPr>
        <w:spacing w:line="360" w:lineRule="auto"/>
        <w:jc w:val="both"/>
        <w:rPr>
          <w:rFonts w:ascii="Arial" w:hAnsi="Arial" w:cs="Arial"/>
        </w:rPr>
      </w:pPr>
    </w:p>
    <w:p w14:paraId="7893F1C8" w14:textId="77777777" w:rsidR="00A760BD" w:rsidRPr="00A760BD" w:rsidRDefault="00A760BD" w:rsidP="00A760BD">
      <w:pPr>
        <w:spacing w:line="360" w:lineRule="auto"/>
        <w:jc w:val="both"/>
        <w:rPr>
          <w:rFonts w:ascii="Arial" w:eastAsia="Arial" w:hAnsi="Arial" w:cs="Arial"/>
        </w:rPr>
      </w:pPr>
    </w:p>
    <w:p w14:paraId="5EAF8688" w14:textId="77777777" w:rsidR="00A760BD" w:rsidRPr="00A760BD" w:rsidRDefault="00A760BD" w:rsidP="00A760BD">
      <w:pPr>
        <w:rPr>
          <w:rFonts w:ascii="Arial" w:hAnsi="Arial" w:cs="Arial"/>
        </w:rPr>
      </w:pPr>
    </w:p>
    <w:p w14:paraId="1F5E800B" w14:textId="0FF63CB2" w:rsidR="00E5213C" w:rsidRPr="00A760BD" w:rsidRDefault="00E5213C" w:rsidP="00A760BD">
      <w:pPr>
        <w:jc w:val="both"/>
        <w:rPr>
          <w:rFonts w:ascii="Arial" w:hAnsi="Arial" w:cs="Arial"/>
        </w:rPr>
      </w:pPr>
    </w:p>
    <w:sectPr w:rsidR="00E5213C" w:rsidRPr="00A760BD">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86929" w14:textId="77777777" w:rsidR="00686408" w:rsidRDefault="00686408" w:rsidP="00194075">
      <w:pPr>
        <w:spacing w:after="0" w:line="240" w:lineRule="auto"/>
      </w:pPr>
      <w:r>
        <w:separator/>
      </w:r>
    </w:p>
  </w:endnote>
  <w:endnote w:type="continuationSeparator" w:id="0">
    <w:p w14:paraId="43C2BB1F" w14:textId="77777777" w:rsidR="00686408" w:rsidRDefault="00686408" w:rsidP="00194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634810"/>
      <w:docPartObj>
        <w:docPartGallery w:val="Page Numbers (Bottom of Page)"/>
        <w:docPartUnique/>
      </w:docPartObj>
    </w:sdtPr>
    <w:sdtContent>
      <w:p w14:paraId="4AEA606F" w14:textId="0E86037A" w:rsidR="00A1775E" w:rsidRDefault="00A1775E">
        <w:pPr>
          <w:pStyle w:val="Footer"/>
          <w:jc w:val="center"/>
        </w:pPr>
        <w:r>
          <w:fldChar w:fldCharType="begin"/>
        </w:r>
        <w:r>
          <w:instrText>PAGE   \* MERGEFORMAT</w:instrText>
        </w:r>
        <w:r>
          <w:fldChar w:fldCharType="separate"/>
        </w:r>
        <w:r>
          <w:t>2</w:t>
        </w:r>
        <w:r>
          <w:fldChar w:fldCharType="end"/>
        </w:r>
      </w:p>
    </w:sdtContent>
  </w:sdt>
  <w:p w14:paraId="29BC818F" w14:textId="77777777" w:rsidR="00CF74C8" w:rsidRDefault="00CF7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2B024" w14:textId="77777777" w:rsidR="00686408" w:rsidRDefault="00686408" w:rsidP="00194075">
      <w:pPr>
        <w:spacing w:after="0" w:line="240" w:lineRule="auto"/>
      </w:pPr>
      <w:r>
        <w:separator/>
      </w:r>
    </w:p>
  </w:footnote>
  <w:footnote w:type="continuationSeparator" w:id="0">
    <w:p w14:paraId="63BF0DD7" w14:textId="77777777" w:rsidR="00686408" w:rsidRDefault="00686408" w:rsidP="00194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286500"/>
    <w:multiLevelType w:val="hybridMultilevel"/>
    <w:tmpl w:val="CEC26DE0"/>
    <w:lvl w:ilvl="0" w:tplc="B3289D7A">
      <w:start w:val="1"/>
      <w:numFmt w:val="lowerRoman"/>
      <w:lvlText w:val="%1."/>
      <w:lvlJc w:val="left"/>
      <w:pPr>
        <w:ind w:left="360" w:hanging="360"/>
      </w:pPr>
      <w:rPr>
        <w:rFonts w:ascii="Arial" w:eastAsia="Arial" w:hAnsi="Arial" w:cs="Arial"/>
      </w:rPr>
    </w:lvl>
    <w:lvl w:ilvl="1" w:tplc="0C000019" w:tentative="1">
      <w:start w:val="1"/>
      <w:numFmt w:val="lowerLetter"/>
      <w:lvlText w:val="%2."/>
      <w:lvlJc w:val="left"/>
      <w:pPr>
        <w:ind w:left="1080" w:hanging="360"/>
      </w:pPr>
    </w:lvl>
    <w:lvl w:ilvl="2" w:tplc="0C00001B" w:tentative="1">
      <w:start w:val="1"/>
      <w:numFmt w:val="lowerRoman"/>
      <w:lvlText w:val="%3."/>
      <w:lvlJc w:val="right"/>
      <w:pPr>
        <w:ind w:left="1800" w:hanging="180"/>
      </w:pPr>
    </w:lvl>
    <w:lvl w:ilvl="3" w:tplc="0C00000F" w:tentative="1">
      <w:start w:val="1"/>
      <w:numFmt w:val="decimal"/>
      <w:lvlText w:val="%4."/>
      <w:lvlJc w:val="left"/>
      <w:pPr>
        <w:ind w:left="2520" w:hanging="360"/>
      </w:pPr>
    </w:lvl>
    <w:lvl w:ilvl="4" w:tplc="0C000019" w:tentative="1">
      <w:start w:val="1"/>
      <w:numFmt w:val="lowerLetter"/>
      <w:lvlText w:val="%5."/>
      <w:lvlJc w:val="left"/>
      <w:pPr>
        <w:ind w:left="3240" w:hanging="360"/>
      </w:pPr>
    </w:lvl>
    <w:lvl w:ilvl="5" w:tplc="0C00001B" w:tentative="1">
      <w:start w:val="1"/>
      <w:numFmt w:val="lowerRoman"/>
      <w:lvlText w:val="%6."/>
      <w:lvlJc w:val="right"/>
      <w:pPr>
        <w:ind w:left="3960" w:hanging="180"/>
      </w:pPr>
    </w:lvl>
    <w:lvl w:ilvl="6" w:tplc="0C00000F" w:tentative="1">
      <w:start w:val="1"/>
      <w:numFmt w:val="decimal"/>
      <w:lvlText w:val="%7."/>
      <w:lvlJc w:val="left"/>
      <w:pPr>
        <w:ind w:left="4680" w:hanging="360"/>
      </w:pPr>
    </w:lvl>
    <w:lvl w:ilvl="7" w:tplc="0C000019" w:tentative="1">
      <w:start w:val="1"/>
      <w:numFmt w:val="lowerLetter"/>
      <w:lvlText w:val="%8."/>
      <w:lvlJc w:val="left"/>
      <w:pPr>
        <w:ind w:left="5400" w:hanging="360"/>
      </w:pPr>
    </w:lvl>
    <w:lvl w:ilvl="8" w:tplc="0C00001B" w:tentative="1">
      <w:start w:val="1"/>
      <w:numFmt w:val="lowerRoman"/>
      <w:lvlText w:val="%9."/>
      <w:lvlJc w:val="right"/>
      <w:pPr>
        <w:ind w:left="6120" w:hanging="180"/>
      </w:pPr>
    </w:lvl>
  </w:abstractNum>
  <w:abstractNum w:abstractNumId="1" w15:restartNumberingAfterBreak="0">
    <w:nsid w:val="62F220FE"/>
    <w:multiLevelType w:val="hybridMultilevel"/>
    <w:tmpl w:val="67BC20E6"/>
    <w:lvl w:ilvl="0" w:tplc="4F4A5702">
      <w:start w:val="1"/>
      <w:numFmt w:val="lowerRoman"/>
      <w:lvlText w:val="%1."/>
      <w:lvlJc w:val="left"/>
      <w:pPr>
        <w:ind w:left="1080" w:hanging="720"/>
      </w:pPr>
      <w:rPr>
        <w:rFonts w:eastAsia="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7F4251"/>
    <w:multiLevelType w:val="multilevel"/>
    <w:tmpl w:val="D638A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3075629">
    <w:abstractNumId w:val="2"/>
  </w:num>
  <w:num w:numId="2" w16cid:durableId="2084982136">
    <w:abstractNumId w:val="0"/>
  </w:num>
  <w:num w:numId="3" w16cid:durableId="1189828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075"/>
    <w:rsid w:val="00017C96"/>
    <w:rsid w:val="0002333A"/>
    <w:rsid w:val="00023489"/>
    <w:rsid w:val="00023758"/>
    <w:rsid w:val="00030236"/>
    <w:rsid w:val="00032FA8"/>
    <w:rsid w:val="00037884"/>
    <w:rsid w:val="0004096C"/>
    <w:rsid w:val="00050432"/>
    <w:rsid w:val="00066968"/>
    <w:rsid w:val="000B3501"/>
    <w:rsid w:val="000B60D6"/>
    <w:rsid w:val="000C063E"/>
    <w:rsid w:val="000C45D1"/>
    <w:rsid w:val="000E0E5F"/>
    <w:rsid w:val="000F7B53"/>
    <w:rsid w:val="00135C1A"/>
    <w:rsid w:val="001371A8"/>
    <w:rsid w:val="00141C4D"/>
    <w:rsid w:val="0015007D"/>
    <w:rsid w:val="001711C5"/>
    <w:rsid w:val="00194075"/>
    <w:rsid w:val="001A4957"/>
    <w:rsid w:val="001A686C"/>
    <w:rsid w:val="001E734C"/>
    <w:rsid w:val="001F2F17"/>
    <w:rsid w:val="0021074F"/>
    <w:rsid w:val="0021084D"/>
    <w:rsid w:val="00267F9A"/>
    <w:rsid w:val="00275A56"/>
    <w:rsid w:val="00294F76"/>
    <w:rsid w:val="002A5A61"/>
    <w:rsid w:val="002B3A07"/>
    <w:rsid w:val="002F61E2"/>
    <w:rsid w:val="0030035E"/>
    <w:rsid w:val="00302A1A"/>
    <w:rsid w:val="003030DC"/>
    <w:rsid w:val="00303F3F"/>
    <w:rsid w:val="00306877"/>
    <w:rsid w:val="00306FEA"/>
    <w:rsid w:val="003136B5"/>
    <w:rsid w:val="00331344"/>
    <w:rsid w:val="00335C68"/>
    <w:rsid w:val="00366996"/>
    <w:rsid w:val="0037266C"/>
    <w:rsid w:val="00385CE6"/>
    <w:rsid w:val="003934BD"/>
    <w:rsid w:val="003D6935"/>
    <w:rsid w:val="003F576A"/>
    <w:rsid w:val="00405222"/>
    <w:rsid w:val="00414AAA"/>
    <w:rsid w:val="00415921"/>
    <w:rsid w:val="00415C1C"/>
    <w:rsid w:val="00426907"/>
    <w:rsid w:val="004370A0"/>
    <w:rsid w:val="004509FD"/>
    <w:rsid w:val="00456660"/>
    <w:rsid w:val="00460668"/>
    <w:rsid w:val="00464492"/>
    <w:rsid w:val="004902A5"/>
    <w:rsid w:val="004911C6"/>
    <w:rsid w:val="00492ABD"/>
    <w:rsid w:val="0049551D"/>
    <w:rsid w:val="00496E32"/>
    <w:rsid w:val="004E763D"/>
    <w:rsid w:val="005422CA"/>
    <w:rsid w:val="00571437"/>
    <w:rsid w:val="0058407B"/>
    <w:rsid w:val="00591B38"/>
    <w:rsid w:val="005C4E95"/>
    <w:rsid w:val="006048BD"/>
    <w:rsid w:val="0061741E"/>
    <w:rsid w:val="0062503B"/>
    <w:rsid w:val="0065325D"/>
    <w:rsid w:val="00667EC6"/>
    <w:rsid w:val="00670423"/>
    <w:rsid w:val="0067149F"/>
    <w:rsid w:val="006749C8"/>
    <w:rsid w:val="00686408"/>
    <w:rsid w:val="00690905"/>
    <w:rsid w:val="00690E64"/>
    <w:rsid w:val="00691D36"/>
    <w:rsid w:val="00695B25"/>
    <w:rsid w:val="006A442E"/>
    <w:rsid w:val="006A6AB9"/>
    <w:rsid w:val="006B41C3"/>
    <w:rsid w:val="00712E06"/>
    <w:rsid w:val="00715427"/>
    <w:rsid w:val="00720391"/>
    <w:rsid w:val="00720FF4"/>
    <w:rsid w:val="007241D5"/>
    <w:rsid w:val="007432C5"/>
    <w:rsid w:val="00745E95"/>
    <w:rsid w:val="00750F69"/>
    <w:rsid w:val="00753B7E"/>
    <w:rsid w:val="00756986"/>
    <w:rsid w:val="007721E3"/>
    <w:rsid w:val="007779F1"/>
    <w:rsid w:val="007A08BE"/>
    <w:rsid w:val="007A6789"/>
    <w:rsid w:val="007B4618"/>
    <w:rsid w:val="007B5744"/>
    <w:rsid w:val="007C3222"/>
    <w:rsid w:val="007E1CAB"/>
    <w:rsid w:val="00800E14"/>
    <w:rsid w:val="008617E1"/>
    <w:rsid w:val="00870C17"/>
    <w:rsid w:val="00872FEB"/>
    <w:rsid w:val="0088539A"/>
    <w:rsid w:val="00895598"/>
    <w:rsid w:val="008C5A66"/>
    <w:rsid w:val="008D2855"/>
    <w:rsid w:val="008D541A"/>
    <w:rsid w:val="008D59B6"/>
    <w:rsid w:val="009039EE"/>
    <w:rsid w:val="009109FF"/>
    <w:rsid w:val="00913404"/>
    <w:rsid w:val="00922A40"/>
    <w:rsid w:val="00940524"/>
    <w:rsid w:val="00945332"/>
    <w:rsid w:val="00954A99"/>
    <w:rsid w:val="00954F03"/>
    <w:rsid w:val="00956C61"/>
    <w:rsid w:val="009715EA"/>
    <w:rsid w:val="009A1D01"/>
    <w:rsid w:val="009C2608"/>
    <w:rsid w:val="009F2121"/>
    <w:rsid w:val="00A159B8"/>
    <w:rsid w:val="00A1775E"/>
    <w:rsid w:val="00A366B1"/>
    <w:rsid w:val="00A4198E"/>
    <w:rsid w:val="00A51AB1"/>
    <w:rsid w:val="00A5232F"/>
    <w:rsid w:val="00A760BD"/>
    <w:rsid w:val="00A80563"/>
    <w:rsid w:val="00AA6A74"/>
    <w:rsid w:val="00AB5DED"/>
    <w:rsid w:val="00AD7787"/>
    <w:rsid w:val="00AE6248"/>
    <w:rsid w:val="00AF77C3"/>
    <w:rsid w:val="00B04919"/>
    <w:rsid w:val="00B103E5"/>
    <w:rsid w:val="00B33026"/>
    <w:rsid w:val="00B35E9A"/>
    <w:rsid w:val="00B708DB"/>
    <w:rsid w:val="00B72BF2"/>
    <w:rsid w:val="00B735F9"/>
    <w:rsid w:val="00BC0B8C"/>
    <w:rsid w:val="00BC522F"/>
    <w:rsid w:val="00BE07A6"/>
    <w:rsid w:val="00BF09FF"/>
    <w:rsid w:val="00BF666E"/>
    <w:rsid w:val="00C0767B"/>
    <w:rsid w:val="00C2037E"/>
    <w:rsid w:val="00C2391E"/>
    <w:rsid w:val="00C4088D"/>
    <w:rsid w:val="00C71BB3"/>
    <w:rsid w:val="00C75A01"/>
    <w:rsid w:val="00CA19DC"/>
    <w:rsid w:val="00CE262E"/>
    <w:rsid w:val="00CF74C8"/>
    <w:rsid w:val="00D039B0"/>
    <w:rsid w:val="00D03AD7"/>
    <w:rsid w:val="00D03FFA"/>
    <w:rsid w:val="00D047B8"/>
    <w:rsid w:val="00D24BF7"/>
    <w:rsid w:val="00D30D3B"/>
    <w:rsid w:val="00D36B13"/>
    <w:rsid w:val="00D57ACC"/>
    <w:rsid w:val="00D6089D"/>
    <w:rsid w:val="00D648E7"/>
    <w:rsid w:val="00D928AC"/>
    <w:rsid w:val="00D96DA4"/>
    <w:rsid w:val="00DB3230"/>
    <w:rsid w:val="00DC1F15"/>
    <w:rsid w:val="00DD5798"/>
    <w:rsid w:val="00E10DEC"/>
    <w:rsid w:val="00E11E21"/>
    <w:rsid w:val="00E5213C"/>
    <w:rsid w:val="00E73997"/>
    <w:rsid w:val="00E96E88"/>
    <w:rsid w:val="00EB3608"/>
    <w:rsid w:val="00EC7F50"/>
    <w:rsid w:val="00F029A8"/>
    <w:rsid w:val="00F65147"/>
    <w:rsid w:val="00F66C25"/>
    <w:rsid w:val="00F82FF1"/>
    <w:rsid w:val="00F919BE"/>
    <w:rsid w:val="00FA404D"/>
    <w:rsid w:val="00FB5189"/>
    <w:rsid w:val="00FB7A30"/>
    <w:rsid w:val="00FC0442"/>
    <w:rsid w:val="00FE3004"/>
    <w:rsid w:val="00FF2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ED9A1"/>
  <w15:chartTrackingRefBased/>
  <w15:docId w15:val="{6786D9F1-230B-445A-A8AD-945929677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0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40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40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40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40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40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0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0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0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0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40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40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40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40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40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0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0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075"/>
    <w:rPr>
      <w:rFonts w:eastAsiaTheme="majorEastAsia" w:cstheme="majorBidi"/>
      <w:color w:val="272727" w:themeColor="text1" w:themeTint="D8"/>
    </w:rPr>
  </w:style>
  <w:style w:type="paragraph" w:styleId="Title">
    <w:name w:val="Title"/>
    <w:basedOn w:val="Normal"/>
    <w:next w:val="Normal"/>
    <w:link w:val="TitleChar"/>
    <w:uiPriority w:val="10"/>
    <w:qFormat/>
    <w:rsid w:val="00194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0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0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0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075"/>
    <w:pPr>
      <w:spacing w:before="160"/>
      <w:jc w:val="center"/>
    </w:pPr>
    <w:rPr>
      <w:i/>
      <w:iCs/>
      <w:color w:val="404040" w:themeColor="text1" w:themeTint="BF"/>
    </w:rPr>
  </w:style>
  <w:style w:type="character" w:customStyle="1" w:styleId="QuoteChar">
    <w:name w:val="Quote Char"/>
    <w:basedOn w:val="DefaultParagraphFont"/>
    <w:link w:val="Quote"/>
    <w:uiPriority w:val="29"/>
    <w:rsid w:val="00194075"/>
    <w:rPr>
      <w:i/>
      <w:iCs/>
      <w:color w:val="404040" w:themeColor="text1" w:themeTint="BF"/>
    </w:rPr>
  </w:style>
  <w:style w:type="paragraph" w:styleId="ListParagraph">
    <w:name w:val="List Paragraph"/>
    <w:basedOn w:val="Normal"/>
    <w:uiPriority w:val="34"/>
    <w:qFormat/>
    <w:rsid w:val="00194075"/>
    <w:pPr>
      <w:ind w:left="720"/>
      <w:contextualSpacing/>
    </w:pPr>
  </w:style>
  <w:style w:type="character" w:styleId="IntenseEmphasis">
    <w:name w:val="Intense Emphasis"/>
    <w:basedOn w:val="DefaultParagraphFont"/>
    <w:uiPriority w:val="21"/>
    <w:qFormat/>
    <w:rsid w:val="00194075"/>
    <w:rPr>
      <w:i/>
      <w:iCs/>
      <w:color w:val="2F5496" w:themeColor="accent1" w:themeShade="BF"/>
    </w:rPr>
  </w:style>
  <w:style w:type="paragraph" w:styleId="IntenseQuote">
    <w:name w:val="Intense Quote"/>
    <w:basedOn w:val="Normal"/>
    <w:next w:val="Normal"/>
    <w:link w:val="IntenseQuoteChar"/>
    <w:uiPriority w:val="30"/>
    <w:qFormat/>
    <w:rsid w:val="001940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4075"/>
    <w:rPr>
      <w:i/>
      <w:iCs/>
      <w:color w:val="2F5496" w:themeColor="accent1" w:themeShade="BF"/>
    </w:rPr>
  </w:style>
  <w:style w:type="character" w:styleId="IntenseReference">
    <w:name w:val="Intense Reference"/>
    <w:basedOn w:val="DefaultParagraphFont"/>
    <w:uiPriority w:val="32"/>
    <w:qFormat/>
    <w:rsid w:val="00194075"/>
    <w:rPr>
      <w:b/>
      <w:bCs/>
      <w:smallCaps/>
      <w:color w:val="2F5496" w:themeColor="accent1" w:themeShade="BF"/>
      <w:spacing w:val="5"/>
    </w:rPr>
  </w:style>
  <w:style w:type="paragraph" w:styleId="Header">
    <w:name w:val="header"/>
    <w:basedOn w:val="Normal"/>
    <w:link w:val="HeaderChar"/>
    <w:uiPriority w:val="99"/>
    <w:unhideWhenUsed/>
    <w:rsid w:val="00194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075"/>
  </w:style>
  <w:style w:type="paragraph" w:styleId="Footer">
    <w:name w:val="footer"/>
    <w:basedOn w:val="Normal"/>
    <w:link w:val="FooterChar"/>
    <w:uiPriority w:val="99"/>
    <w:unhideWhenUsed/>
    <w:rsid w:val="00194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075"/>
  </w:style>
  <w:style w:type="character" w:styleId="Hyperlink">
    <w:name w:val="Hyperlink"/>
    <w:basedOn w:val="DefaultParagraphFont"/>
    <w:uiPriority w:val="99"/>
    <w:unhideWhenUsed/>
    <w:rsid w:val="00F029A8"/>
    <w:rPr>
      <w:color w:val="0563C1" w:themeColor="hyperlink"/>
      <w:u w:val="single"/>
    </w:rPr>
  </w:style>
  <w:style w:type="character" w:styleId="UnresolvedMention">
    <w:name w:val="Unresolved Mention"/>
    <w:basedOn w:val="DefaultParagraphFont"/>
    <w:uiPriority w:val="99"/>
    <w:semiHidden/>
    <w:unhideWhenUsed/>
    <w:rsid w:val="00F029A8"/>
    <w:rPr>
      <w:color w:val="605E5C"/>
      <w:shd w:val="clear" w:color="auto" w:fill="E1DFDD"/>
    </w:rPr>
  </w:style>
  <w:style w:type="character" w:customStyle="1" w:styleId="w6asjqtextbase">
    <w:name w:val="w6asjq_textbase"/>
    <w:basedOn w:val="DefaultParagraphFont"/>
    <w:rsid w:val="00A760BD"/>
  </w:style>
  <w:style w:type="character" w:customStyle="1" w:styleId="wl3jgtrigger">
    <w:name w:val="wl_3jg_trigger"/>
    <w:basedOn w:val="DefaultParagraphFont"/>
    <w:rsid w:val="00A76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independent-review-into-mental-health-conditions-adhd-and-autism-final-report" TargetMode="External"/><Relationship Id="rId18" Type="http://schemas.openxmlformats.org/officeDocument/2006/relationships/hyperlink" Target="https://www.legislation.gov.uk/ukpga/2010/15" TargetMode="External"/><Relationship Id="rId26" Type="http://schemas.openxmlformats.org/officeDocument/2006/relationships/hyperlink" Target="https://doi.org/10.1016/j.jad.2015.08.072" TargetMode="External"/><Relationship Id="rId39" Type="http://schemas.openxmlformats.org/officeDocument/2006/relationships/hyperlink" Target="https://doi.org/10.1177/10870547261459222" TargetMode="External"/><Relationship Id="rId21" Type="http://schemas.openxmlformats.org/officeDocument/2006/relationships/hyperlink" Target="https://doi.org/10.1016/j.lanepe.2026.101740" TargetMode="External"/><Relationship Id="rId34" Type="http://schemas.openxmlformats.org/officeDocument/2006/relationships/hyperlink" Target="https://doi.org/10.3389/fneur.2025.1608645" TargetMode="External"/><Relationship Id="rId42" Type="http://schemas.openxmlformats.org/officeDocument/2006/relationships/hyperlink" Target="https://www.who.int/publications/i/item/9789240077263" TargetMode="External"/><Relationship Id="rId47" Type="http://schemas.openxmlformats.org/officeDocument/2006/relationships/hyperlink" Target="https://jamanetwork.com/journals/jamapsychiatry/fullarticle/2811812" TargetMode="External"/><Relationship Id="rId50" Type="http://schemas.openxmlformats.org/officeDocument/2006/relationships/theme" Target="theme/theme1.xml"/><Relationship Id="rId7" Type="http://schemas.openxmlformats.org/officeDocument/2006/relationships/hyperlink" Target="https://doi.org/10.1002/jgc4.70258" TargetMode="External"/><Relationship Id="rId2" Type="http://schemas.openxmlformats.org/officeDocument/2006/relationships/styles" Target="styles.xml"/><Relationship Id="rId16" Type="http://schemas.openxmlformats.org/officeDocument/2006/relationships/hyperlink" Target="https://pmc.ncbi.nlm.nih.gov/articles/PMC6745333/" TargetMode="External"/><Relationship Id="rId29" Type="http://schemas.openxmlformats.org/officeDocument/2006/relationships/hyperlink" Target="https://www.nice.org.uk/guidance/ng87" TargetMode="External"/><Relationship Id="rId11" Type="http://schemas.openxmlformats.org/officeDocument/2006/relationships/hyperlink" Target="https://link.springer.com/article/10.1186/s41983-024-00907-8" TargetMode="External"/><Relationship Id="rId24" Type="http://schemas.openxmlformats.org/officeDocument/2006/relationships/hyperlink" Target="https://ruor.uottawa.ca/bitstreams/580ab12f-1918-4560-8b77-3f12520e2d88/download" TargetMode="External"/><Relationship Id="rId32" Type="http://schemas.openxmlformats.org/officeDocument/2006/relationships/hyperlink" Target="https://www.england.nhs.uk/long-read/plain-english-summary-of-the-adhd-taskforce-report/" TargetMode="External"/><Relationship Id="rId37" Type="http://schemas.openxmlformats.org/officeDocument/2006/relationships/hyperlink" Target="https://doi.org/10.1016/S2215-0366(21)00167-X" TargetMode="External"/><Relationship Id="rId40" Type="http://schemas.openxmlformats.org/officeDocument/2006/relationships/hyperlink" Target="https://pmc.ncbi.nlm.nih.gov/articles/PMC7350200/" TargetMode="External"/><Relationship Id="rId45" Type="http://schemas.openxmlformats.org/officeDocument/2006/relationships/hyperlink" Target="https://link.springer.com/article/10.1186/s12916-020-01585-y" TargetMode="External"/><Relationship Id="rId5" Type="http://schemas.openxmlformats.org/officeDocument/2006/relationships/footnotes" Target="footnotes.xml"/><Relationship Id="rId15" Type="http://schemas.openxmlformats.org/officeDocument/2006/relationships/hyperlink" Target="https://pubmed.ncbi.nlm.nih.gov/33692893/" TargetMode="External"/><Relationship Id="rId23" Type="http://schemas.openxmlformats.org/officeDocument/2006/relationships/hyperlink" Target="https://www.frontiersin.org/journals/psychology/articles/10.3389/fpsyg.2022.893469/full" TargetMode="External"/><Relationship Id="rId28" Type="http://schemas.openxmlformats.org/officeDocument/2006/relationships/hyperlink" Target="https://www.frontiersin.org/journals/psychology/articles/10.3389/fpsyg.2025.1466088/full" TargetMode="External"/><Relationship Id="rId36" Type="http://schemas.openxmlformats.org/officeDocument/2006/relationships/hyperlink" Target="https://pubmed.ncbi.nlm.nih.gov/33692893/" TargetMode="External"/><Relationship Id="rId49" Type="http://schemas.openxmlformats.org/officeDocument/2006/relationships/fontTable" Target="fontTable.xml"/><Relationship Id="rId10" Type="http://schemas.openxmlformats.org/officeDocument/2006/relationships/hyperlink" Target="https://doi.org/10.1002/wps.21069" TargetMode="External"/><Relationship Id="rId19" Type="http://schemas.openxmlformats.org/officeDocument/2006/relationships/hyperlink" Target="https://doi.org/10.1111/jcpp.13480" TargetMode="External"/><Relationship Id="rId31" Type="http://schemas.openxmlformats.org/officeDocument/2006/relationships/hyperlink" Target="https://www.nice.org.uk/guidance/htg729/chapter/2-The-diagnostic-tests" TargetMode="External"/><Relationship Id="rId44" Type="http://schemas.openxmlformats.org/officeDocument/2006/relationships/hyperlink" Target="https://www.frontiersin.org/journals/psychiatry/articles/10.3389/fpsyt.2025.1516878/full" TargetMode="External"/><Relationship Id="rId4" Type="http://schemas.openxmlformats.org/officeDocument/2006/relationships/webSettings" Target="webSettings.xml"/><Relationship Id="rId9" Type="http://schemas.openxmlformats.org/officeDocument/2006/relationships/hyperlink" Target="https://doi.org/10.1111/dmcn.15384" TargetMode="External"/><Relationship Id="rId14" Type="http://schemas.openxmlformats.org/officeDocument/2006/relationships/hyperlink" Target="https://www.gov.uk/government/publications/independent-review-into-mental-health-conditions-adhd-and-autism-interim-report" TargetMode="External"/><Relationship Id="rId22" Type="http://schemas.openxmlformats.org/officeDocument/2006/relationships/hyperlink" Target="https://doi.org/10.1037/a0028353" TargetMode="External"/><Relationship Id="rId27" Type="http://schemas.openxmlformats.org/officeDocument/2006/relationships/hyperlink" Target="https://pmc.ncbi.nlm.nih.gov/articles/PMC11878471/" TargetMode="External"/><Relationship Id="rId30" Type="http://schemas.openxmlformats.org/officeDocument/2006/relationships/hyperlink" Target="https://www.nice.org.uk/guidance/ng87/chapter/Recommendations" TargetMode="External"/><Relationship Id="rId35" Type="http://schemas.openxmlformats.org/officeDocument/2006/relationships/hyperlink" Target="https://pmc.ncbi.nlm.nih.gov/articles/PMC12435561/" TargetMode="External"/><Relationship Id="rId43" Type="http://schemas.openxmlformats.org/officeDocument/2006/relationships/hyperlink" Target="https://pmc.ncbi.nlm.nih.gov/articles/PMC12428297/" TargetMode="External"/><Relationship Id="rId48" Type="http://schemas.openxmlformats.org/officeDocument/2006/relationships/footer" Target="footer1.xml"/><Relationship Id="rId8" Type="http://schemas.openxmlformats.org/officeDocument/2006/relationships/hyperlink" Target="https://www.researchgate.net/publication/323128069_Standardised_assessment_of_functioning_in_ADHD_consensus_on_the_ICF_Core_Sets_for_ADHD" TargetMode="External"/><Relationship Id="rId3" Type="http://schemas.openxmlformats.org/officeDocument/2006/relationships/settings" Target="settings.xml"/><Relationship Id="rId12" Type="http://schemas.openxmlformats.org/officeDocument/2006/relationships/hyperlink" Target="https://www.publications.scot.nhs.uk/files/dc20230927adhd.pdf" TargetMode="External"/><Relationship Id="rId17" Type="http://schemas.openxmlformats.org/officeDocument/2006/relationships/hyperlink" Target="https://pmc.ncbi.nlm.nih.gov/articles/PMC10251354/" TargetMode="External"/><Relationship Id="rId25" Type="http://schemas.openxmlformats.org/officeDocument/2006/relationships/hyperlink" Target="https://www.explorationpub.com/Journals/ent/Article/1004103" TargetMode="External"/><Relationship Id="rId33" Type="http://schemas.openxmlformats.org/officeDocument/2006/relationships/hyperlink" Target="https://pubmed.ncbi.nlm.nih.gov/39701638/" TargetMode="External"/><Relationship Id="rId38" Type="http://schemas.openxmlformats.org/officeDocument/2006/relationships/hyperlink" Target="https://doi.org/10.1038/s41598-025-17470-8" TargetMode="External"/><Relationship Id="rId46" Type="http://schemas.openxmlformats.org/officeDocument/2006/relationships/hyperlink" Target="https://pmc.ncbi.nlm.nih.gov/articles/PMC11682937/" TargetMode="External"/><Relationship Id="rId20" Type="http://schemas.openxmlformats.org/officeDocument/2006/relationships/hyperlink" Target="https://www.frontiersin.org/journals/rehabilitation-sciences/articles/10.3389/fresc.2026.1824043/full" TargetMode="External"/><Relationship Id="rId41" Type="http://schemas.openxmlformats.org/officeDocument/2006/relationships/hyperlink" Target="https://pubmed.ncbi.nlm.nih.gov/22976615/"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4825</Words>
  <Characters>27509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percy ani</dc:creator>
  <cp:keywords/>
  <dc:description/>
  <cp:lastModifiedBy>Chinaemerem Ihenacho</cp:lastModifiedBy>
  <cp:revision>2</cp:revision>
  <dcterms:created xsi:type="dcterms:W3CDTF">2026-10-22T05:29:00Z</dcterms:created>
  <dcterms:modified xsi:type="dcterms:W3CDTF">2026-10-22T05:29:00Z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f860a67d-6d4b-4c1a-b99e-e0a893810e5f</vt:lpwstr>
  </property>
</Properties>
</file>