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1164" w:rsidRDefault="003D1164">
      <w:pPr>
        <w:spacing w:after="0" w:line="240" w:lineRule="auto"/>
        <w:rPr>
          <w:rFonts w:ascii="Times New Roman" w:hAnsi="Times New Roman" w:cs="Times New Roman"/>
          <w:sz w:val="24"/>
          <w:szCs w:val="24"/>
        </w:rPr>
      </w:pPr>
      <w:r>
        <w:rPr>
          <w:rFonts w:ascii="Times New Roman" w:hAnsi="Times New Roman" w:cs="Times New Roman"/>
          <w:sz w:val="24"/>
          <w:szCs w:val="24"/>
        </w:rPr>
        <w:t>Part 1: Critical analysis of a Journal article</w:t>
      </w:r>
    </w:p>
    <w:p w:rsidR="003D1164" w:rsidRDefault="003D1164">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article that I have chosen to critique is </w:t>
      </w:r>
      <w:r w:rsidR="00EE726A">
        <w:rPr>
          <w:rFonts w:ascii="Times New Roman" w:hAnsi="Times New Roman" w:cs="Times New Roman"/>
          <w:sz w:val="24"/>
          <w:szCs w:val="24"/>
        </w:rPr>
        <w:t>“</w:t>
      </w:r>
      <w:r>
        <w:rPr>
          <w:rFonts w:ascii="Times New Roman" w:hAnsi="Times New Roman" w:cs="Times New Roman"/>
          <w:sz w:val="24"/>
          <w:szCs w:val="24"/>
        </w:rPr>
        <w:t>Partnership between mainstream and special schools</w:t>
      </w:r>
      <w:r w:rsidR="00EE726A">
        <w:rPr>
          <w:rFonts w:ascii="Times New Roman" w:hAnsi="Times New Roman" w:cs="Times New Roman"/>
          <w:sz w:val="24"/>
          <w:szCs w:val="24"/>
        </w:rPr>
        <w:t>”</w:t>
      </w:r>
      <w:r>
        <w:rPr>
          <w:rFonts w:ascii="Times New Roman" w:hAnsi="Times New Roman" w:cs="Times New Roman"/>
          <w:sz w:val="24"/>
          <w:szCs w:val="24"/>
        </w:rPr>
        <w:t xml:space="preserve"> by </w:t>
      </w:r>
      <w:proofErr w:type="spellStart"/>
      <w:r>
        <w:rPr>
          <w:rFonts w:ascii="Times New Roman" w:hAnsi="Times New Roman" w:cs="Times New Roman"/>
          <w:sz w:val="24"/>
          <w:szCs w:val="24"/>
        </w:rPr>
        <w:t>Gilada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Avissar</w:t>
      </w:r>
      <w:proofErr w:type="spellEnd"/>
      <w:r w:rsidR="003D35C6">
        <w:rPr>
          <w:rFonts w:ascii="Times New Roman" w:hAnsi="Times New Roman" w:cs="Times New Roman"/>
          <w:sz w:val="24"/>
          <w:szCs w:val="24"/>
        </w:rPr>
        <w:t xml:space="preserve"> (2017)</w:t>
      </w:r>
      <w:r>
        <w:rPr>
          <w:rFonts w:ascii="Times New Roman" w:hAnsi="Times New Roman" w:cs="Times New Roman"/>
          <w:sz w:val="24"/>
          <w:szCs w:val="24"/>
        </w:rPr>
        <w:t xml:space="preserve">. The aim of the article is to establish the key role of special school provision against a background and general acknowledgement that inclusive education is the ideal provision for all pupils regardless of </w:t>
      </w:r>
      <w:r w:rsidR="00595683">
        <w:rPr>
          <w:rFonts w:ascii="Times New Roman" w:hAnsi="Times New Roman" w:cs="Times New Roman"/>
          <w:sz w:val="24"/>
          <w:szCs w:val="24"/>
        </w:rPr>
        <w:t xml:space="preserve">educational need. </w:t>
      </w:r>
      <w:proofErr w:type="spellStart"/>
      <w:r w:rsidR="00595683">
        <w:rPr>
          <w:rFonts w:ascii="Times New Roman" w:hAnsi="Times New Roman" w:cs="Times New Roman"/>
          <w:sz w:val="24"/>
          <w:szCs w:val="24"/>
        </w:rPr>
        <w:t>Avissar</w:t>
      </w:r>
      <w:proofErr w:type="spellEnd"/>
      <w:r w:rsidR="00595683">
        <w:rPr>
          <w:rFonts w:ascii="Times New Roman" w:hAnsi="Times New Roman" w:cs="Times New Roman"/>
          <w:sz w:val="24"/>
          <w:szCs w:val="24"/>
        </w:rPr>
        <w:t xml:space="preserve"> </w:t>
      </w:r>
      <w:r>
        <w:rPr>
          <w:rFonts w:ascii="Times New Roman" w:hAnsi="Times New Roman" w:cs="Times New Roman"/>
          <w:sz w:val="24"/>
          <w:szCs w:val="24"/>
        </w:rPr>
        <w:t xml:space="preserve">explicitly states the aim was: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To examine partnerships between special and mainstream schools formed for the purpose of promoting inclusion and to learn about the positive elements and challenges involved.</w:t>
      </w:r>
    </w:p>
    <w:p w:rsidR="006A3630" w:rsidRDefault="006A3630">
      <w:pPr>
        <w:spacing w:after="0" w:line="240" w:lineRule="auto"/>
        <w:ind w:left="851" w:right="851"/>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She points out that special schools have proved resilient despite arguments against their existence and that mainstream schools need to be more accessible to pupils with severe SEN needs.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Whilst the abstract does clearly state the intention of the journal, the title is very broad and general. It does not indicate that the main findings of the research focuses on a small number of schools within Israel. The literature review and school visits highlighted in the abstract are present within the article itself, however details of these visits and specific content of the literature used are not expanded upon.</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Avissar explores the analogy of education as a continuum with mainstream provision at opposing ends to special education. She references educational provision in other countries such as Ireland, New Zealand, Australia and the UK and how the education systems in these countries have changed and adapted with the growing trend towards inclusion. She identifies that special schools can and should play an important role alongside mainstream provision under the umbrella of inclusion, not as a separate entity and that strategies and practises of inclusion are not exclusively the responsibility of mainstream schools. She cites the importance of the Salamanca Conference (1994) in “endorsing inclusive education” and also changes which have occurred in special school provision such as pupil numbers, complexity and severity of pupil need, changes in school staff and increasing links with mainstream schools. She notes how “different forms of collaboration and partnership” have arisen from this and that the special school can be viewed as a “support hub” to mainstream schools.</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Avissar</w:t>
      </w:r>
      <w:proofErr w:type="spellEnd"/>
      <w:r>
        <w:rPr>
          <w:rFonts w:ascii="Times New Roman" w:hAnsi="Times New Roman" w:cs="Times New Roman"/>
          <w:sz w:val="24"/>
          <w:szCs w:val="24"/>
        </w:rPr>
        <w:t xml:space="preserve"> goes on to describe the “continuum of services” system of provision in Israel, whereby students with SEN are “integrated” into mainstream schools. </w:t>
      </w:r>
      <w:r w:rsidR="00B75B56">
        <w:rPr>
          <w:rFonts w:ascii="Times New Roman" w:hAnsi="Times New Roman" w:cs="Times New Roman"/>
          <w:sz w:val="24"/>
          <w:szCs w:val="24"/>
        </w:rPr>
        <w:t>Fulcher</w:t>
      </w:r>
      <w:r>
        <w:rPr>
          <w:rFonts w:ascii="Times New Roman" w:hAnsi="Times New Roman" w:cs="Times New Roman"/>
          <w:sz w:val="24"/>
          <w:szCs w:val="24"/>
        </w:rPr>
        <w:t xml:space="preserve"> (1989, p. 21) believes</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Integration is controversial because it is about discipline, curriculum and pedagogy; it is not about disability.</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Frederickson and Cline (2015, p. 75) support this: </w:t>
      </w: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Placing ALN pupils in a mainstream setting is simply the first step for a school community.</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It could therefore be argued that Avissar needs to make the distinction between integration and inclusion within the focus schools. She recognises that increasingly in Israel, schools </w:t>
      </w:r>
      <w:r>
        <w:rPr>
          <w:rFonts w:ascii="Times New Roman" w:hAnsi="Times New Roman" w:cs="Times New Roman"/>
          <w:sz w:val="24"/>
          <w:szCs w:val="24"/>
        </w:rPr>
        <w:lastRenderedPageBreak/>
        <w:t>have been given autonomy to make decisions and adapt to their communities which she describes as a more “humanistic approach” to education.</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study was commissioned by the Ministry for Education in Israel and was qualitative research using a number of sources. Literature reviews describing models of partnerships and collaborative practices from an eighteen-year period were used which included both case studies and research and were from a number of different countries. The literature made reference to the opinions of principal staff, teachers and students however it did not mention that the literature took account of the views of the families of pupils with SEN, nor did it give detail on gender, age, ethnicity, type of additional learning need or geographical information.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Secondly the researcher made personal correspondence to colleagues in relation to information about partnership. There is no information regarding the role that these colleagues had in education, their years of experience or their knowledge and understanding of partnership and collaboration. The article states that some correspondence was with personal acquaintances so we cannot be sure of any bias towards the researcher</w:t>
      </w:r>
      <w:r w:rsidR="00F1246D">
        <w:rPr>
          <w:rFonts w:ascii="Times New Roman" w:hAnsi="Times New Roman" w:cs="Times New Roman"/>
          <w:sz w:val="24"/>
          <w:szCs w:val="24"/>
        </w:rPr>
        <w:t>’</w:t>
      </w:r>
      <w:r>
        <w:rPr>
          <w:rFonts w:ascii="Times New Roman" w:hAnsi="Times New Roman" w:cs="Times New Roman"/>
          <w:sz w:val="24"/>
          <w:szCs w:val="24"/>
        </w:rPr>
        <w:t xml:space="preserve">s aims. Again there is no detail of what the researcher specifically asked in this correspondence.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Finally, the researcher visited a chosen number of sites in Israel. The Ministry for Education gave permission for these visits and it could be argued that permission was only given to school already pre-approved. Also the school selection was based on a survey by “school supervisors” at a national conference, however no detail as to the designation or experience of this selection committee is given to establish whether the selection was a fair representation and without agenda. Furthermore, the </w:t>
      </w:r>
      <w:r w:rsidR="00F1246D">
        <w:rPr>
          <w:rFonts w:ascii="Times New Roman" w:hAnsi="Times New Roman" w:cs="Times New Roman"/>
          <w:sz w:val="24"/>
          <w:szCs w:val="24"/>
        </w:rPr>
        <w:t>selection</w:t>
      </w:r>
      <w:r>
        <w:rPr>
          <w:rFonts w:ascii="Times New Roman" w:hAnsi="Times New Roman" w:cs="Times New Roman"/>
          <w:sz w:val="24"/>
          <w:szCs w:val="24"/>
        </w:rPr>
        <w:t xml:space="preserve"> was further narrowed against a criteria based upon “best practises”, “Good schools” and “exemplary schools”.  This criterion included “school proximity, scope for involvement of school staff and students, type and nature of involvement: social, academic, both.”</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Only a third of schools recommended met the criteria. These schools </w:t>
      </w:r>
      <w:r w:rsidR="00F1246D">
        <w:rPr>
          <w:rFonts w:ascii="Times New Roman" w:hAnsi="Times New Roman" w:cs="Times New Roman"/>
          <w:sz w:val="24"/>
          <w:szCs w:val="24"/>
        </w:rPr>
        <w:t>catered for pupils with</w:t>
      </w:r>
      <w:r>
        <w:rPr>
          <w:rFonts w:ascii="Times New Roman" w:hAnsi="Times New Roman" w:cs="Times New Roman"/>
          <w:sz w:val="24"/>
          <w:szCs w:val="24"/>
        </w:rPr>
        <w:t xml:space="preserve"> a range </w:t>
      </w:r>
      <w:r w:rsidR="00F1246D">
        <w:rPr>
          <w:rFonts w:ascii="Times New Roman" w:hAnsi="Times New Roman" w:cs="Times New Roman"/>
          <w:sz w:val="24"/>
          <w:szCs w:val="24"/>
        </w:rPr>
        <w:t>of disabilities including ASD, i</w:t>
      </w:r>
      <w:r>
        <w:rPr>
          <w:rFonts w:ascii="Times New Roman" w:hAnsi="Times New Roman" w:cs="Times New Roman"/>
          <w:sz w:val="24"/>
          <w:szCs w:val="24"/>
        </w:rPr>
        <w:t>ntellectual disabilities a</w:t>
      </w:r>
      <w:r w:rsidR="00F1246D">
        <w:rPr>
          <w:rFonts w:ascii="Times New Roman" w:hAnsi="Times New Roman" w:cs="Times New Roman"/>
          <w:sz w:val="24"/>
          <w:szCs w:val="24"/>
        </w:rPr>
        <w:t>nd m</w:t>
      </w:r>
      <w:r>
        <w:rPr>
          <w:rFonts w:ascii="Times New Roman" w:hAnsi="Times New Roman" w:cs="Times New Roman"/>
          <w:sz w:val="24"/>
          <w:szCs w:val="24"/>
        </w:rPr>
        <w:t xml:space="preserve">ultiple disabilities including SEBD. The schools covered a variety of geographical areas including rural, mid-sized towns and a large city. The schools covered both Jewish and Arab ethnicities. In the sample schools, the SEN pupils made up an average of 21% of the school population.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Avissar highlights the ethical consideration that pupils and parents did not form part of the research. I would argue that the importance of both pupil voice and family support in the success of a school community cannot be underestimated. Black-Hawkins et al (2006, p. 30) write: </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 xml:space="preserve">Teaching and learning takes place in the </w:t>
      </w:r>
      <w:r w:rsidR="00F1246D">
        <w:rPr>
          <w:rFonts w:ascii="Times New Roman" w:hAnsi="Times New Roman" w:cs="Times New Roman"/>
          <w:sz w:val="24"/>
          <w:szCs w:val="24"/>
        </w:rPr>
        <w:t>context of human relationships…</w:t>
      </w:r>
      <w:r>
        <w:rPr>
          <w:rFonts w:ascii="Times New Roman" w:hAnsi="Times New Roman" w:cs="Times New Roman"/>
          <w:sz w:val="24"/>
          <w:szCs w:val="24"/>
        </w:rPr>
        <w:t xml:space="preserve"> Relationships are at the heart of understanding and developing inclusion in a school</w:t>
      </w:r>
      <w:r w:rsidR="00F1246D">
        <w:rPr>
          <w:rFonts w:ascii="Times New Roman" w:hAnsi="Times New Roman" w:cs="Times New Roman"/>
          <w:sz w:val="24"/>
          <w:szCs w:val="24"/>
        </w:rPr>
        <w:t>.</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Allan (1999, p. 32) describes mainstream pupils as “the Gatekeepers” of inclusion within a school community:</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Developing their own social skills – consideration of pupil wellbeing, empathy, tolerance, coping with adverse behaviour…. develop rules and procedures and ways of achieving goals…. permitting rules can be breached.</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Gibson and Blandford (2005, p. 31) point out that fostering a positive relationship with parents and guardians is key to understanding the child and being able to focus on the child’s strengths.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researcher set the criteria for the selection of schools visited and analysed the data gathered from articles, email correspondence and texts from interviews held at school visits. It is not explicitly written that the researcher carried out these interviews or visited the schools.  The texts were analysed according to Creswell’s (2008) six steps for qualitative data analysis and using Braun and Clarke’s (2006) thematic analysis looked for common threads. Again these threads were not made explicit in the article. Content analysis of the texts gave the researcher four models of partnership – </w:t>
      </w:r>
      <w:r w:rsidR="006810DB">
        <w:rPr>
          <w:rFonts w:ascii="Times New Roman" w:hAnsi="Times New Roman" w:cs="Times New Roman"/>
          <w:sz w:val="24"/>
          <w:szCs w:val="24"/>
        </w:rPr>
        <w:t>‘O</w:t>
      </w:r>
      <w:r>
        <w:rPr>
          <w:rFonts w:ascii="Times New Roman" w:hAnsi="Times New Roman" w:cs="Times New Roman"/>
          <w:sz w:val="24"/>
          <w:szCs w:val="24"/>
        </w:rPr>
        <w:t>ne campus</w:t>
      </w:r>
      <w:r w:rsidR="006810DB">
        <w:rPr>
          <w:rFonts w:ascii="Times New Roman" w:hAnsi="Times New Roman" w:cs="Times New Roman"/>
          <w:sz w:val="24"/>
          <w:szCs w:val="24"/>
        </w:rPr>
        <w:t>’</w:t>
      </w:r>
      <w:r>
        <w:rPr>
          <w:rFonts w:ascii="Times New Roman" w:hAnsi="Times New Roman" w:cs="Times New Roman"/>
          <w:sz w:val="24"/>
          <w:szCs w:val="24"/>
        </w:rPr>
        <w:t xml:space="preserve">, </w:t>
      </w:r>
      <w:r w:rsidR="006810DB">
        <w:rPr>
          <w:rFonts w:ascii="Times New Roman" w:hAnsi="Times New Roman" w:cs="Times New Roman"/>
          <w:sz w:val="24"/>
          <w:szCs w:val="24"/>
        </w:rPr>
        <w:t>‘</w:t>
      </w:r>
      <w:r>
        <w:rPr>
          <w:rFonts w:ascii="Times New Roman" w:hAnsi="Times New Roman" w:cs="Times New Roman"/>
          <w:sz w:val="24"/>
          <w:szCs w:val="24"/>
        </w:rPr>
        <w:t>Neighbours</w:t>
      </w:r>
      <w:r w:rsidR="006810DB">
        <w:rPr>
          <w:rFonts w:ascii="Times New Roman" w:hAnsi="Times New Roman" w:cs="Times New Roman"/>
          <w:sz w:val="24"/>
          <w:szCs w:val="24"/>
        </w:rPr>
        <w:t>’</w:t>
      </w:r>
      <w:r>
        <w:rPr>
          <w:rFonts w:ascii="Times New Roman" w:hAnsi="Times New Roman" w:cs="Times New Roman"/>
          <w:sz w:val="24"/>
          <w:szCs w:val="24"/>
        </w:rPr>
        <w:t xml:space="preserve">, </w:t>
      </w:r>
      <w:r w:rsidR="006810DB">
        <w:rPr>
          <w:rFonts w:ascii="Times New Roman" w:hAnsi="Times New Roman" w:cs="Times New Roman"/>
          <w:sz w:val="24"/>
          <w:szCs w:val="24"/>
        </w:rPr>
        <w:t>‘A cl</w:t>
      </w:r>
      <w:r>
        <w:rPr>
          <w:rFonts w:ascii="Times New Roman" w:hAnsi="Times New Roman" w:cs="Times New Roman"/>
          <w:sz w:val="24"/>
          <w:szCs w:val="24"/>
        </w:rPr>
        <w:t>uster of schools</w:t>
      </w:r>
      <w:r w:rsidR="006810DB">
        <w:rPr>
          <w:rFonts w:ascii="Times New Roman" w:hAnsi="Times New Roman" w:cs="Times New Roman"/>
          <w:sz w:val="24"/>
          <w:szCs w:val="24"/>
        </w:rPr>
        <w:t>’</w:t>
      </w:r>
      <w:r>
        <w:rPr>
          <w:rFonts w:ascii="Times New Roman" w:hAnsi="Times New Roman" w:cs="Times New Roman"/>
          <w:sz w:val="24"/>
          <w:szCs w:val="24"/>
        </w:rPr>
        <w:t xml:space="preserve"> and </w:t>
      </w:r>
      <w:r w:rsidR="006810DB">
        <w:rPr>
          <w:rFonts w:ascii="Times New Roman" w:hAnsi="Times New Roman" w:cs="Times New Roman"/>
          <w:sz w:val="24"/>
          <w:szCs w:val="24"/>
        </w:rPr>
        <w:t>‘A s</w:t>
      </w:r>
      <w:r>
        <w:rPr>
          <w:rFonts w:ascii="Times New Roman" w:hAnsi="Times New Roman" w:cs="Times New Roman"/>
          <w:sz w:val="24"/>
          <w:szCs w:val="24"/>
        </w:rPr>
        <w:t>chool within a school</w:t>
      </w:r>
      <w:r w:rsidR="006810DB">
        <w:rPr>
          <w:rFonts w:ascii="Times New Roman" w:hAnsi="Times New Roman" w:cs="Times New Roman"/>
          <w:sz w:val="24"/>
          <w:szCs w:val="24"/>
        </w:rPr>
        <w:t>’</w:t>
      </w:r>
      <w:r>
        <w:rPr>
          <w:rFonts w:ascii="Times New Roman" w:hAnsi="Times New Roman" w:cs="Times New Roman"/>
          <w:sz w:val="24"/>
          <w:szCs w:val="24"/>
        </w:rPr>
        <w:t>, which enabled Avissar to categorise the sample schools in Israel.</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This data is presented in two tables within the article – firstly listing the six chosen schools with their age ranges, area of SEN and location. The second table being very similar, illustrating which model of school the researcher has categorised them under. This could have been presented within the first table. As the chosen schools to visit only fell under two headings – “one campus and neighbour”, the findings relating to successful partnerships </w:t>
      </w:r>
      <w:r w:rsidR="006810DB">
        <w:rPr>
          <w:rFonts w:ascii="Times New Roman" w:hAnsi="Times New Roman" w:cs="Times New Roman"/>
          <w:sz w:val="24"/>
          <w:szCs w:val="24"/>
        </w:rPr>
        <w:t>became</w:t>
      </w:r>
      <w:r>
        <w:rPr>
          <w:rFonts w:ascii="Times New Roman" w:hAnsi="Times New Roman" w:cs="Times New Roman"/>
          <w:sz w:val="24"/>
          <w:szCs w:val="24"/>
        </w:rPr>
        <w:t xml:space="preserve"> narrowed to these two models. It would have been beneficial to set criteria to finding schools in Israel that fit all models of partnership named, to give a broader picture of the success and weaknesses and wider scope for comparison.</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rest of the findings are descriptive passages of only three of the six schools visited. The researcher does not indicate why the final three school were chosen.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Case one is a very large campus comprising of four schools and covering age ranges from 6 to 12 and also a high school.  However only 30 pupils are “integrated on an individual basis” from the special school which</w:t>
      </w:r>
      <w:r w:rsidR="006810DB">
        <w:rPr>
          <w:rFonts w:ascii="Times New Roman" w:hAnsi="Times New Roman" w:cs="Times New Roman"/>
          <w:sz w:val="24"/>
          <w:szCs w:val="24"/>
        </w:rPr>
        <w:t>,</w:t>
      </w:r>
      <w:r>
        <w:rPr>
          <w:rFonts w:ascii="Times New Roman" w:hAnsi="Times New Roman" w:cs="Times New Roman"/>
          <w:sz w:val="24"/>
          <w:szCs w:val="24"/>
        </w:rPr>
        <w:t xml:space="preserve"> although is 40% of the special school student body, only makes 5% of the mainstream primary school. The partnership is also only between the special school and one of the primary schools on campus. Whilst the pupils come from 24 different rural settlement areas, only ASD difficulties are noted. It is highlighted that inclusive activities are both social and academic in this case. </w:t>
      </w:r>
      <w:r w:rsidR="005F3C46">
        <w:rPr>
          <w:rFonts w:ascii="Times New Roman" w:hAnsi="Times New Roman" w:cs="Times New Roman"/>
          <w:sz w:val="24"/>
          <w:szCs w:val="24"/>
        </w:rPr>
        <w:t>It was noted as a negative that there was still a need</w:t>
      </w:r>
      <w:r>
        <w:rPr>
          <w:rFonts w:ascii="Times New Roman" w:hAnsi="Times New Roman" w:cs="Times New Roman"/>
          <w:sz w:val="24"/>
          <w:szCs w:val="24"/>
        </w:rPr>
        <w:t xml:space="preserve"> to continue to </w:t>
      </w:r>
      <w:r w:rsidR="005F3C46">
        <w:rPr>
          <w:rFonts w:ascii="Times New Roman" w:hAnsi="Times New Roman" w:cs="Times New Roman"/>
          <w:sz w:val="24"/>
          <w:szCs w:val="24"/>
        </w:rPr>
        <w:t>“</w:t>
      </w:r>
      <w:r>
        <w:rPr>
          <w:rFonts w:ascii="Times New Roman" w:hAnsi="Times New Roman" w:cs="Times New Roman"/>
          <w:sz w:val="24"/>
          <w:szCs w:val="24"/>
        </w:rPr>
        <w:t>strengthen positive attitudes of students and staff at the mainstream school</w:t>
      </w:r>
      <w:r w:rsidR="005F3C46">
        <w:rPr>
          <w:rFonts w:ascii="Times New Roman" w:hAnsi="Times New Roman" w:cs="Times New Roman"/>
          <w:sz w:val="24"/>
          <w:szCs w:val="24"/>
        </w:rPr>
        <w:t>”</w:t>
      </w:r>
      <w:r>
        <w:rPr>
          <w:rFonts w:ascii="Times New Roman" w:hAnsi="Times New Roman" w:cs="Times New Roman"/>
          <w:sz w:val="24"/>
          <w:szCs w:val="24"/>
        </w:rPr>
        <w:t xml:space="preserve"> as they find </w:t>
      </w:r>
      <w:r w:rsidR="005F3C46">
        <w:rPr>
          <w:rFonts w:ascii="Times New Roman" w:hAnsi="Times New Roman" w:cs="Times New Roman"/>
          <w:sz w:val="24"/>
          <w:szCs w:val="24"/>
        </w:rPr>
        <w:t>“the</w:t>
      </w:r>
      <w:r>
        <w:rPr>
          <w:rFonts w:ascii="Times New Roman" w:hAnsi="Times New Roman" w:cs="Times New Roman"/>
          <w:sz w:val="24"/>
          <w:szCs w:val="24"/>
        </w:rPr>
        <w:t xml:space="preserve"> severity </w:t>
      </w:r>
      <w:r w:rsidR="005F3C46">
        <w:rPr>
          <w:rFonts w:ascii="Times New Roman" w:hAnsi="Times New Roman" w:cs="Times New Roman"/>
          <w:sz w:val="24"/>
          <w:szCs w:val="24"/>
        </w:rPr>
        <w:t>of the</w:t>
      </w:r>
      <w:r>
        <w:rPr>
          <w:rFonts w:ascii="Times New Roman" w:hAnsi="Times New Roman" w:cs="Times New Roman"/>
          <w:sz w:val="24"/>
          <w:szCs w:val="24"/>
        </w:rPr>
        <w:t xml:space="preserve"> differ</w:t>
      </w:r>
      <w:r w:rsidR="005F3C46">
        <w:rPr>
          <w:rFonts w:ascii="Times New Roman" w:hAnsi="Times New Roman" w:cs="Times New Roman"/>
          <w:sz w:val="24"/>
          <w:szCs w:val="24"/>
        </w:rPr>
        <w:t>ent</w:t>
      </w:r>
      <w:r>
        <w:rPr>
          <w:rFonts w:ascii="Times New Roman" w:hAnsi="Times New Roman" w:cs="Times New Roman"/>
          <w:sz w:val="24"/>
          <w:szCs w:val="24"/>
        </w:rPr>
        <w:t xml:space="preserve"> behaviours</w:t>
      </w:r>
      <w:r w:rsidR="005F3C46">
        <w:rPr>
          <w:rFonts w:ascii="Times New Roman" w:hAnsi="Times New Roman" w:cs="Times New Roman"/>
          <w:sz w:val="24"/>
          <w:szCs w:val="24"/>
        </w:rPr>
        <w:t>…</w:t>
      </w:r>
      <w:r>
        <w:rPr>
          <w:rFonts w:ascii="Times New Roman" w:hAnsi="Times New Roman" w:cs="Times New Roman"/>
          <w:sz w:val="24"/>
          <w:szCs w:val="24"/>
        </w:rPr>
        <w:t xml:space="preserve"> challenging</w:t>
      </w:r>
      <w:r w:rsidR="005F3C46">
        <w:rPr>
          <w:rFonts w:ascii="Times New Roman" w:hAnsi="Times New Roman" w:cs="Times New Roman"/>
          <w:sz w:val="24"/>
          <w:szCs w:val="24"/>
        </w:rPr>
        <w:t>”</w:t>
      </w:r>
      <w:r>
        <w:rPr>
          <w:rFonts w:ascii="Times New Roman" w:hAnsi="Times New Roman" w:cs="Times New Roman"/>
          <w:sz w:val="24"/>
          <w:szCs w:val="24"/>
        </w:rPr>
        <w:t xml:space="preserve">.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Case two “neighbours”, although within a busy city, was set within a quiet neighbourhood and befitted from being in </w:t>
      </w:r>
      <w:r w:rsidR="005F3C46">
        <w:rPr>
          <w:rFonts w:ascii="Times New Roman" w:hAnsi="Times New Roman" w:cs="Times New Roman"/>
          <w:sz w:val="24"/>
          <w:szCs w:val="24"/>
        </w:rPr>
        <w:t>close</w:t>
      </w:r>
      <w:r>
        <w:rPr>
          <w:rFonts w:ascii="Times New Roman" w:hAnsi="Times New Roman" w:cs="Times New Roman"/>
          <w:sz w:val="24"/>
          <w:szCs w:val="24"/>
        </w:rPr>
        <w:t xml:space="preserve"> proximity from each other. Whilst the special school is the largest of the three cases at 90 pupils, the mainstream provision is 180 – the smallest. Partnership was agreed to on the basis of saving the mainstream school from closure rather than an ethos of inclusion. This partnership is also described as a “prestigious experiment endorsed by the Ministry of Education”. Considering the research was commissioned by the ministry, it could be questioned that the researcher might be given a positive picture and not a true reflection of practises. A “humanistic approach” and strong leadership were cited as the strengths to this partnership with “academic collaboration” its main ambition.  Staff are described as “deeply committed” and acknowledgement </w:t>
      </w:r>
      <w:r w:rsidR="005F3C46">
        <w:rPr>
          <w:rFonts w:ascii="Times New Roman" w:hAnsi="Times New Roman" w:cs="Times New Roman"/>
          <w:sz w:val="24"/>
          <w:szCs w:val="24"/>
        </w:rPr>
        <w:t xml:space="preserve">is </w:t>
      </w:r>
      <w:r>
        <w:rPr>
          <w:rFonts w:ascii="Times New Roman" w:hAnsi="Times New Roman" w:cs="Times New Roman"/>
          <w:sz w:val="24"/>
          <w:szCs w:val="24"/>
        </w:rPr>
        <w:t>give</w:t>
      </w:r>
      <w:r w:rsidR="005F3C46">
        <w:rPr>
          <w:rFonts w:ascii="Times New Roman" w:hAnsi="Times New Roman" w:cs="Times New Roman"/>
          <w:sz w:val="24"/>
          <w:szCs w:val="24"/>
        </w:rPr>
        <w:t>n</w:t>
      </w:r>
      <w:r>
        <w:rPr>
          <w:rFonts w:ascii="Times New Roman" w:hAnsi="Times New Roman" w:cs="Times New Roman"/>
          <w:sz w:val="24"/>
          <w:szCs w:val="24"/>
        </w:rPr>
        <w:t xml:space="preserve"> to the support of the ministry. No ALN needs are described and barriers to learning are linked to funding, building maintenance and well trained staff.</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Case three is a very different “one campus” model to case one. No information as to the ages of the pupils is presented, however this can be taken from the table. 10% of the student body had SEN and many references were made to integration rather than inclusion. Within that 10% only those considered high functioning ASD were “individually included in mainstream, with support”. Even though this school was again described as having a “humanist approach” there seemed to be a strong sense of coexisting and tokenism inclusion such as joining for the school choir. Indeed “negative attitudes of staff, parents and students” were highlighted as a barrier, particularly as staff were quoted as feeling there was “too much” SEN.</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Avissar concludes that whilst partnership between mainstream special schools can promote inclusion this is dependent on a number of factors. Pupils with severe and complex needs </w:t>
      </w:r>
      <w:r w:rsidR="005F3C46">
        <w:rPr>
          <w:rFonts w:ascii="Times New Roman" w:hAnsi="Times New Roman" w:cs="Times New Roman"/>
          <w:sz w:val="24"/>
          <w:szCs w:val="24"/>
        </w:rPr>
        <w:t>require</w:t>
      </w:r>
      <w:r>
        <w:rPr>
          <w:rFonts w:ascii="Times New Roman" w:hAnsi="Times New Roman" w:cs="Times New Roman"/>
          <w:sz w:val="24"/>
          <w:szCs w:val="24"/>
        </w:rPr>
        <w:t xml:space="preserve"> both social and academic interaction for partnership to be most successful. </w:t>
      </w:r>
      <w:r w:rsidR="005F3C46">
        <w:rPr>
          <w:rFonts w:ascii="Times New Roman" w:hAnsi="Times New Roman" w:cs="Times New Roman"/>
          <w:sz w:val="24"/>
          <w:szCs w:val="24"/>
        </w:rPr>
        <w:t>The p</w:t>
      </w:r>
      <w:r>
        <w:rPr>
          <w:rFonts w:ascii="Times New Roman" w:hAnsi="Times New Roman" w:cs="Times New Roman"/>
          <w:sz w:val="24"/>
          <w:szCs w:val="24"/>
        </w:rPr>
        <w:t xml:space="preserve">roximity of buildings to allow students to move between facilities and also the </w:t>
      </w:r>
      <w:r w:rsidR="008C52D6">
        <w:rPr>
          <w:rFonts w:ascii="Times New Roman" w:hAnsi="Times New Roman" w:cs="Times New Roman"/>
          <w:sz w:val="24"/>
          <w:szCs w:val="24"/>
        </w:rPr>
        <w:t>home location</w:t>
      </w:r>
      <w:r>
        <w:rPr>
          <w:rFonts w:ascii="Times New Roman" w:hAnsi="Times New Roman" w:cs="Times New Roman"/>
          <w:sz w:val="24"/>
          <w:szCs w:val="24"/>
        </w:rPr>
        <w:t xml:space="preserve"> of the pupils to their school</w:t>
      </w:r>
      <w:r w:rsidR="008C52D6">
        <w:rPr>
          <w:rFonts w:ascii="Times New Roman" w:hAnsi="Times New Roman" w:cs="Times New Roman"/>
          <w:sz w:val="24"/>
          <w:szCs w:val="24"/>
        </w:rPr>
        <w:t xml:space="preserve"> is also important</w:t>
      </w:r>
      <w:r>
        <w:rPr>
          <w:rFonts w:ascii="Times New Roman" w:hAnsi="Times New Roman" w:cs="Times New Roman"/>
          <w:sz w:val="24"/>
          <w:szCs w:val="24"/>
        </w:rPr>
        <w:t xml:space="preserve">. Children who live far away could not join in after-school social activities. Cooperation between all staff including teaching staff, teaching assistants, therapists is key to share resources, professional knowledge and to plan. A shared ethos and strong leadership is vital to ensure that all are committed to inclusion. There are planned inclusive and shared events within the school community such as trips, assemblies and ceremonies. </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She also identifies the following difficulties that would need to be overcome for successful inclusive partnership. Support from the local authority to ensure adequate funding and the appointment of a leading figure to establish and maintain a partnership, to be part of decision making at all levels and to have a vision for the schools which impacts upon the “attitudes and conduct” of all stakeholders, including staf</w:t>
      </w:r>
      <w:r w:rsidR="008C52D6">
        <w:rPr>
          <w:rFonts w:ascii="Times New Roman" w:hAnsi="Times New Roman" w:cs="Times New Roman"/>
          <w:sz w:val="24"/>
          <w:szCs w:val="24"/>
        </w:rPr>
        <w:t>f, students, governors, parents</w:t>
      </w:r>
      <w:r>
        <w:rPr>
          <w:rFonts w:ascii="Times New Roman" w:hAnsi="Times New Roman" w:cs="Times New Roman"/>
          <w:sz w:val="24"/>
          <w:szCs w:val="24"/>
        </w:rPr>
        <w:t xml:space="preserve"> and the community in which the school is situated. She also highlights that pupil numbers and the correlation between proportion of pupils with and without SEN is a factor.</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I agree with the conclusions from the research but would argue that additional key elements to successful inclusion would be the following. Firstly, improved knowledge, understanding and training for all staff working in an inclusive and collaborative structure. Frederickson and Cline (2015, p. 75) write:</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Inclusion implies introduction of a more radical set of changes through schools restructure … so as to be able to embrace all children. (This) involves the school in a process of accommodation where onus is on the school to change, adapting curricular, methods, materials and procedures so that it becomes more responsive.</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They further describe the significant rise in the number of teaching assistants which seem to parallel the changes in attitudes and moves towards inclusion. However, the deployment of the TA is vital in ensuring successful inclusion, not to separate, shadow and “close down” the SEN pupil. They describe the practise as (p. 103) “Leaving the least qualified to teach the most educationally needy”.</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Gibson and Blandford (2005, p. 31) stress that:</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 xml:space="preserve">Practitioners need to be enabled to ask, to discuss, and be active contributors to their school’s vision and subsequent practise of inclusion. Leadership needs to be shared, voices from all levels and parts of the school </w:t>
      </w:r>
      <w:r>
        <w:rPr>
          <w:rFonts w:ascii="Times New Roman" w:hAnsi="Times New Roman" w:cs="Times New Roman"/>
          <w:sz w:val="24"/>
          <w:szCs w:val="24"/>
        </w:rPr>
        <w:lastRenderedPageBreak/>
        <w:t>community listened to and representatives need to work together towards a common aim for inclusion.</w:t>
      </w:r>
    </w:p>
    <w:p w:rsidR="006A3630" w:rsidRDefault="006A3630">
      <w:pPr>
        <w:spacing w:after="0" w:line="240" w:lineRule="auto"/>
        <w:rPr>
          <w:rFonts w:ascii="Times New Roman" w:hAnsi="Times New Roman" w:cs="Times New Roman"/>
          <w:b/>
          <w:i/>
          <w:sz w:val="24"/>
          <w:szCs w:val="24"/>
        </w:rPr>
      </w:pPr>
    </w:p>
    <w:p w:rsidR="006A3630" w:rsidRDefault="009C147D">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Højholt</w:t>
      </w:r>
      <w:proofErr w:type="spellEnd"/>
      <w:r>
        <w:rPr>
          <w:rFonts w:ascii="Times New Roman" w:hAnsi="Times New Roman" w:cs="Times New Roman"/>
          <w:sz w:val="24"/>
          <w:szCs w:val="24"/>
        </w:rPr>
        <w:t xml:space="preserve"> (2011, p. 78) writes </w:t>
      </w:r>
      <w:bookmarkStart w:id="0" w:name="_GoBack"/>
      <w:bookmarkEnd w:id="0"/>
      <w:r w:rsidR="00390809">
        <w:rPr>
          <w:rFonts w:ascii="Times New Roman" w:hAnsi="Times New Roman" w:cs="Times New Roman"/>
          <w:sz w:val="24"/>
          <w:szCs w:val="24"/>
        </w:rPr>
        <w:t>that currently “the professionals take part in a divided structure”. In order for us to move towards successful inclusive partnerships, whether that be in the models described by Avissar, or whet</w:t>
      </w:r>
      <w:r w:rsidR="008C52D6">
        <w:rPr>
          <w:rFonts w:ascii="Times New Roman" w:hAnsi="Times New Roman" w:cs="Times New Roman"/>
          <w:sz w:val="24"/>
          <w:szCs w:val="24"/>
        </w:rPr>
        <w:t>her that b</w:t>
      </w:r>
      <w:r w:rsidR="00390809">
        <w:rPr>
          <w:rFonts w:ascii="Times New Roman" w:hAnsi="Times New Roman" w:cs="Times New Roman"/>
          <w:sz w:val="24"/>
          <w:szCs w:val="24"/>
        </w:rPr>
        <w:t xml:space="preserve">e within our own school settings, all staff need to be enabled to participate in an honest and open manner and feel enabled and empowered to share good practise but also ask for help. The </w:t>
      </w:r>
      <w:r w:rsidR="00F876EE" w:rsidRPr="00F876EE">
        <w:rPr>
          <w:rFonts w:ascii="Times New Roman" w:hAnsi="Times New Roman" w:cs="Times New Roman"/>
          <w:i/>
          <w:sz w:val="24"/>
          <w:szCs w:val="24"/>
        </w:rPr>
        <w:t>Excellence for all c</w:t>
      </w:r>
      <w:r w:rsidR="00390809" w:rsidRPr="00F876EE">
        <w:rPr>
          <w:rFonts w:ascii="Times New Roman" w:hAnsi="Times New Roman" w:cs="Times New Roman"/>
          <w:i/>
          <w:sz w:val="24"/>
          <w:szCs w:val="24"/>
        </w:rPr>
        <w:t>hildren</w:t>
      </w:r>
      <w:r w:rsidR="00390809">
        <w:rPr>
          <w:rFonts w:ascii="Times New Roman" w:hAnsi="Times New Roman" w:cs="Times New Roman"/>
          <w:sz w:val="24"/>
          <w:szCs w:val="24"/>
        </w:rPr>
        <w:t xml:space="preserve"> </w:t>
      </w:r>
      <w:r w:rsidR="00F876EE">
        <w:rPr>
          <w:rFonts w:ascii="Times New Roman" w:hAnsi="Times New Roman" w:cs="Times New Roman"/>
          <w:sz w:val="24"/>
          <w:szCs w:val="24"/>
        </w:rPr>
        <w:t xml:space="preserve">Green Paper </w:t>
      </w:r>
      <w:r w:rsidR="00390809">
        <w:rPr>
          <w:rFonts w:ascii="Times New Roman" w:hAnsi="Times New Roman" w:cs="Times New Roman"/>
          <w:sz w:val="24"/>
          <w:szCs w:val="24"/>
        </w:rPr>
        <w:t>(1997</w:t>
      </w:r>
      <w:r w:rsidR="00F876EE">
        <w:rPr>
          <w:rFonts w:ascii="Times New Roman" w:hAnsi="Times New Roman" w:cs="Times New Roman"/>
          <w:sz w:val="24"/>
          <w:szCs w:val="24"/>
        </w:rPr>
        <w:t>, p.44</w:t>
      </w:r>
      <w:r w:rsidR="00390809">
        <w:rPr>
          <w:rFonts w:ascii="Times New Roman" w:hAnsi="Times New Roman" w:cs="Times New Roman"/>
          <w:sz w:val="24"/>
          <w:szCs w:val="24"/>
        </w:rPr>
        <w:t>) did commit to “</w:t>
      </w:r>
      <w:r w:rsidR="00515AF7">
        <w:rPr>
          <w:rFonts w:ascii="Times New Roman" w:hAnsi="Times New Roman" w:cs="Times New Roman"/>
          <w:sz w:val="24"/>
          <w:szCs w:val="24"/>
        </w:rPr>
        <w:t>r</w:t>
      </w:r>
      <w:r w:rsidR="00390809">
        <w:rPr>
          <w:rFonts w:ascii="Times New Roman" w:hAnsi="Times New Roman" w:cs="Times New Roman"/>
          <w:sz w:val="24"/>
          <w:szCs w:val="24"/>
        </w:rPr>
        <w:t xml:space="preserve">eturn children to </w:t>
      </w:r>
      <w:r w:rsidR="00F876EE">
        <w:rPr>
          <w:rFonts w:ascii="Times New Roman" w:hAnsi="Times New Roman" w:cs="Times New Roman"/>
          <w:sz w:val="24"/>
          <w:szCs w:val="24"/>
        </w:rPr>
        <w:t xml:space="preserve">the </w:t>
      </w:r>
      <w:r w:rsidR="00390809">
        <w:rPr>
          <w:rFonts w:ascii="Times New Roman" w:hAnsi="Times New Roman" w:cs="Times New Roman"/>
          <w:sz w:val="24"/>
          <w:szCs w:val="24"/>
        </w:rPr>
        <w:t xml:space="preserve">mainstream and </w:t>
      </w:r>
      <w:r w:rsidR="00F876EE">
        <w:rPr>
          <w:rFonts w:ascii="Times New Roman" w:hAnsi="Times New Roman" w:cs="Times New Roman"/>
          <w:sz w:val="24"/>
          <w:szCs w:val="24"/>
        </w:rPr>
        <w:t xml:space="preserve">to </w:t>
      </w:r>
      <w:r w:rsidR="00390809">
        <w:rPr>
          <w:rFonts w:ascii="Times New Roman" w:hAnsi="Times New Roman" w:cs="Times New Roman"/>
          <w:sz w:val="24"/>
          <w:szCs w:val="24"/>
        </w:rPr>
        <w:t xml:space="preserve">increase </w:t>
      </w:r>
      <w:r w:rsidR="00F876EE">
        <w:rPr>
          <w:rFonts w:ascii="Times New Roman" w:hAnsi="Times New Roman" w:cs="Times New Roman"/>
          <w:sz w:val="24"/>
          <w:szCs w:val="24"/>
        </w:rPr>
        <w:t xml:space="preserve">the </w:t>
      </w:r>
      <w:r w:rsidR="00390809">
        <w:rPr>
          <w:rFonts w:ascii="Times New Roman" w:hAnsi="Times New Roman" w:cs="Times New Roman"/>
          <w:sz w:val="24"/>
          <w:szCs w:val="24"/>
        </w:rPr>
        <w:t xml:space="preserve">skills and resources </w:t>
      </w:r>
      <w:r w:rsidR="00F876EE">
        <w:rPr>
          <w:rFonts w:ascii="Times New Roman" w:hAnsi="Times New Roman" w:cs="Times New Roman"/>
          <w:sz w:val="24"/>
          <w:szCs w:val="24"/>
        </w:rPr>
        <w:t xml:space="preserve">available in </w:t>
      </w:r>
      <w:r w:rsidR="00390809">
        <w:rPr>
          <w:rFonts w:ascii="Times New Roman" w:hAnsi="Times New Roman" w:cs="Times New Roman"/>
          <w:sz w:val="24"/>
          <w:szCs w:val="24"/>
        </w:rPr>
        <w:t>mainstream school</w:t>
      </w:r>
      <w:r w:rsidR="00F876EE">
        <w:rPr>
          <w:rFonts w:ascii="Times New Roman" w:hAnsi="Times New Roman" w:cs="Times New Roman"/>
          <w:sz w:val="24"/>
          <w:szCs w:val="24"/>
        </w:rPr>
        <w:t>s</w:t>
      </w:r>
      <w:r w:rsidR="00390809">
        <w:rPr>
          <w:rFonts w:ascii="Times New Roman" w:hAnsi="Times New Roman" w:cs="Times New Roman"/>
          <w:sz w:val="24"/>
          <w:szCs w:val="24"/>
        </w:rPr>
        <w:t>”.</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 would also argue that practitioners have a responsibility to pupils with SEN to strike a balance between the benefits of inclusion in a mainstream environment with having specific needs met. </w:t>
      </w:r>
      <w:r w:rsidR="00E509B4">
        <w:rPr>
          <w:rFonts w:ascii="Times New Roman" w:hAnsi="Times New Roman" w:cs="Times New Roman"/>
          <w:sz w:val="24"/>
          <w:szCs w:val="24"/>
        </w:rPr>
        <w:t>Foster</w:t>
      </w:r>
      <w:r>
        <w:rPr>
          <w:rFonts w:ascii="Times New Roman" w:hAnsi="Times New Roman" w:cs="Times New Roman"/>
          <w:sz w:val="24"/>
          <w:szCs w:val="24"/>
        </w:rPr>
        <w:t xml:space="preserve"> (1989, p. 82) supports this:</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ind w:left="851" w:right="851"/>
        <w:rPr>
          <w:rFonts w:ascii="Times New Roman" w:hAnsi="Times New Roman" w:cs="Times New Roman"/>
          <w:b/>
          <w:i/>
          <w:sz w:val="24"/>
          <w:szCs w:val="24"/>
        </w:rPr>
      </w:pPr>
      <w:r>
        <w:rPr>
          <w:rFonts w:ascii="Times New Roman" w:hAnsi="Times New Roman" w:cs="Times New Roman"/>
          <w:sz w:val="24"/>
          <w:szCs w:val="24"/>
        </w:rPr>
        <w:t>Inclusion represents an unquestionable moral imperative that has itself been contested by those who argue that the rights of the child to have maximum access to mainstream education need to be balanced by their right to an effective education appropriate to their needs</w:t>
      </w:r>
      <w:r>
        <w:rPr>
          <w:rFonts w:ascii="Times New Roman" w:hAnsi="Times New Roman" w:cs="Times New Roman"/>
          <w:b/>
          <w:i/>
          <w:sz w:val="24"/>
          <w:szCs w:val="24"/>
        </w:rPr>
        <w:t>.</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conclusion, whilst </w:t>
      </w:r>
      <w:proofErr w:type="spellStart"/>
      <w:r>
        <w:rPr>
          <w:rFonts w:ascii="Times New Roman" w:hAnsi="Times New Roman" w:cs="Times New Roman"/>
          <w:sz w:val="24"/>
          <w:szCs w:val="24"/>
        </w:rPr>
        <w:t>Avissar’s</w:t>
      </w:r>
      <w:proofErr w:type="spellEnd"/>
      <w:r>
        <w:rPr>
          <w:rFonts w:ascii="Times New Roman" w:hAnsi="Times New Roman" w:cs="Times New Roman"/>
          <w:sz w:val="24"/>
          <w:szCs w:val="24"/>
        </w:rPr>
        <w:t xml:space="preserve"> aim was to examine partnerships which promoted inclusion, the final case studies described were quite narrow. Strengths and weaknesses were highlighted which concur with opinions of others, however I would argue</w:t>
      </w:r>
      <w:r w:rsidR="004C6FE1">
        <w:rPr>
          <w:rFonts w:ascii="Times New Roman" w:hAnsi="Times New Roman" w:cs="Times New Roman"/>
          <w:sz w:val="24"/>
          <w:szCs w:val="24"/>
        </w:rPr>
        <w:t xml:space="preserve"> that</w:t>
      </w:r>
      <w:r>
        <w:rPr>
          <w:rFonts w:ascii="Times New Roman" w:hAnsi="Times New Roman" w:cs="Times New Roman"/>
          <w:sz w:val="24"/>
          <w:szCs w:val="24"/>
        </w:rPr>
        <w:t xml:space="preserve"> to get a fuller picture the research could be expanded in the following ways. Firstly, to research schools of comparative size and location, in different countries and to also ensure that a range of SEN provision is targeted as the case study schools were very much focussed on ASD. Secondly, to study schools from all four models of partnership identified by the research, to include “clusters of schools” and “schools within schools”. Thirdly, to give a more rounded and balanced opinion of the successfulness of the provision, the opinions of the pupils and their families, both mainstream and SEN, need to be taken into consideration also. Willis (2009, p. 10) writes:</w:t>
      </w:r>
    </w:p>
    <w:p w:rsidR="006A3630" w:rsidRDefault="006A3630">
      <w:pPr>
        <w:spacing w:after="0" w:line="240" w:lineRule="auto"/>
        <w:rPr>
          <w:rFonts w:ascii="Times New Roman" w:hAnsi="Times New Roman" w:cs="Times New Roman"/>
          <w:sz w:val="24"/>
          <w:szCs w:val="24"/>
        </w:rPr>
      </w:pPr>
    </w:p>
    <w:p w:rsidR="006A3630" w:rsidRDefault="00390809">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Successful inclusion requires a team approach and commitment from all team members…most important the child and her family.</w:t>
      </w:r>
    </w:p>
    <w:p w:rsidR="006A3630" w:rsidRDefault="006A3630">
      <w:pPr>
        <w:spacing w:after="0" w:line="240" w:lineRule="auto"/>
        <w:rPr>
          <w:rFonts w:ascii="Times New Roman" w:hAnsi="Times New Roman" w:cs="Times New Roman"/>
          <w:b/>
          <w:i/>
          <w:sz w:val="24"/>
          <w:szCs w:val="24"/>
        </w:rPr>
      </w:pPr>
    </w:p>
    <w:p w:rsidR="006A3630" w:rsidRDefault="00390809">
      <w:pPr>
        <w:spacing w:after="0" w:line="240" w:lineRule="auto"/>
        <w:rPr>
          <w:rFonts w:ascii="Times New Roman" w:hAnsi="Times New Roman" w:cs="Times New Roman"/>
          <w:sz w:val="24"/>
          <w:szCs w:val="24"/>
        </w:rPr>
      </w:pPr>
      <w:r>
        <w:rPr>
          <w:rFonts w:ascii="Times New Roman" w:hAnsi="Times New Roman" w:cs="Times New Roman"/>
          <w:sz w:val="24"/>
          <w:szCs w:val="24"/>
        </w:rPr>
        <w:t>Finally, it could be useful to further explore the impact and successfulness of partnership on gender, age and SEN condition – do boys struggle more in an inclusive setting than girls? Is inclusion more successful at an earlier age? Do pupils with speech and language difficulties find it easier to work wit</w:t>
      </w:r>
      <w:r w:rsidR="00F876EE">
        <w:rPr>
          <w:rFonts w:ascii="Times New Roman" w:hAnsi="Times New Roman" w:cs="Times New Roman"/>
          <w:sz w:val="24"/>
          <w:szCs w:val="24"/>
        </w:rPr>
        <w:t>hin a mainstream environment tha</w:t>
      </w:r>
      <w:r>
        <w:rPr>
          <w:rFonts w:ascii="Times New Roman" w:hAnsi="Times New Roman" w:cs="Times New Roman"/>
          <w:sz w:val="24"/>
          <w:szCs w:val="24"/>
        </w:rPr>
        <w:t>n pupils with ASD? As the details of the emails and of the interviews held with the schools were not made explicit in the article, nor were the threads within thematic analysis, it is difficult to know if these were taken into consideration.</w:t>
      </w:r>
    </w:p>
    <w:p w:rsidR="006A3630" w:rsidRDefault="006A3630">
      <w:pPr>
        <w:spacing w:after="0" w:line="240" w:lineRule="auto"/>
        <w:rPr>
          <w:rFonts w:ascii="Times New Roman" w:hAnsi="Times New Roman" w:cs="Times New Roman"/>
          <w:sz w:val="24"/>
          <w:szCs w:val="24"/>
        </w:rPr>
      </w:pPr>
    </w:p>
    <w:p w:rsidR="006A3630" w:rsidRDefault="006A3630">
      <w:pPr>
        <w:spacing w:after="0" w:line="240" w:lineRule="auto"/>
        <w:rPr>
          <w:rFonts w:ascii="Times New Roman" w:hAnsi="Times New Roman" w:cs="Times New Roman"/>
          <w:sz w:val="24"/>
          <w:szCs w:val="24"/>
        </w:rPr>
      </w:pPr>
    </w:p>
    <w:p w:rsidR="006A3630" w:rsidRDefault="006A3630">
      <w:pPr>
        <w:spacing w:after="0" w:line="240" w:lineRule="auto"/>
        <w:rPr>
          <w:rFonts w:ascii="Times New Roman" w:hAnsi="Times New Roman" w:cs="Times New Roman"/>
          <w:sz w:val="24"/>
          <w:szCs w:val="24"/>
        </w:rPr>
      </w:pPr>
    </w:p>
    <w:p w:rsidR="006A3630" w:rsidRDefault="006A3630">
      <w:pPr>
        <w:spacing w:after="0" w:line="240" w:lineRule="auto"/>
        <w:rPr>
          <w:rFonts w:ascii="Times New Roman" w:hAnsi="Times New Roman" w:cs="Times New Roman"/>
          <w:sz w:val="24"/>
          <w:szCs w:val="24"/>
        </w:rPr>
      </w:pPr>
    </w:p>
    <w:p w:rsidR="006A3630" w:rsidRDefault="006A3630">
      <w:pPr>
        <w:spacing w:after="0" w:line="240" w:lineRule="auto"/>
        <w:rPr>
          <w:rFonts w:ascii="Times New Roman" w:hAnsi="Times New Roman" w:cs="Times New Roman"/>
          <w:sz w:val="24"/>
          <w:szCs w:val="24"/>
        </w:rPr>
      </w:pPr>
    </w:p>
    <w:p w:rsidR="00471B1A" w:rsidRDefault="00471B1A">
      <w:pPr>
        <w:spacing w:after="0" w:line="240" w:lineRule="auto"/>
        <w:rPr>
          <w:rFonts w:ascii="Times New Roman" w:hAnsi="Times New Roman" w:cs="Times New Roman"/>
          <w:sz w:val="24"/>
          <w:szCs w:val="24"/>
        </w:rPr>
      </w:pPr>
    </w:p>
    <w:p w:rsidR="00471B1A" w:rsidRDefault="00471B1A">
      <w:pPr>
        <w:spacing w:after="0" w:line="240" w:lineRule="auto"/>
        <w:rPr>
          <w:rFonts w:ascii="Times New Roman" w:hAnsi="Times New Roman" w:cs="Times New Roman"/>
          <w:sz w:val="24"/>
          <w:szCs w:val="24"/>
        </w:rPr>
      </w:pPr>
    </w:p>
    <w:p w:rsidR="00471B1A" w:rsidRDefault="00471B1A">
      <w:pPr>
        <w:spacing w:after="0" w:line="240" w:lineRule="auto"/>
        <w:rPr>
          <w:rFonts w:ascii="Times New Roman" w:hAnsi="Times New Roman" w:cs="Times New Roman"/>
          <w:sz w:val="24"/>
          <w:szCs w:val="24"/>
        </w:rPr>
      </w:pPr>
    </w:p>
    <w:p w:rsidR="004D40DB" w:rsidRDefault="004D40DB" w:rsidP="00471B1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Part 2: Carry out a small scale study evaluating one aspect of ALN organisation relevant to your role as a SENCO/ALNCO/Teacher in the context of your school/setting</w:t>
      </w:r>
    </w:p>
    <w:p w:rsidR="004D40DB" w:rsidRDefault="004D40DB" w:rsidP="00471B1A">
      <w:pPr>
        <w:autoSpaceDE w:val="0"/>
        <w:autoSpaceDN w:val="0"/>
        <w:adjustRightInd w:val="0"/>
        <w:spacing w:after="0" w:line="240" w:lineRule="auto"/>
        <w:rPr>
          <w:rFonts w:ascii="Times New Roman" w:hAnsi="Times New Roman" w:cs="Times New Roman"/>
          <w:sz w:val="24"/>
          <w:szCs w:val="24"/>
        </w:rPr>
      </w:pPr>
    </w:p>
    <w:p w:rsidR="00471B1A" w:rsidRDefault="00471B1A" w:rsidP="00471B1A">
      <w:pPr>
        <w:autoSpaceDE w:val="0"/>
        <w:autoSpaceDN w:val="0"/>
        <w:adjustRightInd w:val="0"/>
        <w:spacing w:after="0" w:line="240" w:lineRule="auto"/>
        <w:rPr>
          <w:rFonts w:ascii="Times New Roman" w:hAnsi="Times New Roman" w:cs="Times New Roman"/>
          <w:sz w:val="24"/>
          <w:szCs w:val="24"/>
        </w:rPr>
      </w:pPr>
      <w:r w:rsidRPr="001730A2">
        <w:rPr>
          <w:rFonts w:ascii="Times New Roman" w:hAnsi="Times New Roman" w:cs="Times New Roman"/>
          <w:sz w:val="24"/>
          <w:szCs w:val="24"/>
        </w:rPr>
        <w:t xml:space="preserve">My school is set within a large village in close distance to the town. It is in </w:t>
      </w:r>
      <w:r>
        <w:rPr>
          <w:rFonts w:ascii="Times New Roman" w:hAnsi="Times New Roman" w:cs="Times New Roman"/>
          <w:sz w:val="24"/>
          <w:szCs w:val="24"/>
        </w:rPr>
        <w:t>what was previously</w:t>
      </w:r>
      <w:r w:rsidRPr="001730A2">
        <w:rPr>
          <w:rFonts w:ascii="Times New Roman" w:hAnsi="Times New Roman" w:cs="Times New Roman"/>
          <w:sz w:val="24"/>
          <w:szCs w:val="24"/>
        </w:rPr>
        <w:t xml:space="preserve"> designated </w:t>
      </w:r>
      <w:r>
        <w:rPr>
          <w:rFonts w:ascii="Times New Roman" w:hAnsi="Times New Roman" w:cs="Times New Roman"/>
          <w:sz w:val="24"/>
          <w:szCs w:val="24"/>
        </w:rPr>
        <w:t xml:space="preserve">a </w:t>
      </w:r>
      <w:r w:rsidRPr="001730A2">
        <w:rPr>
          <w:rFonts w:ascii="Times New Roman" w:hAnsi="Times New Roman" w:cs="Times New Roman"/>
          <w:sz w:val="24"/>
          <w:szCs w:val="24"/>
        </w:rPr>
        <w:t>Communities First area with a mixed catchment. Provision is from Nursery to Year Six with a recently opened Pupil Inclusion Assessment Centre (PIAC) attached. There are currently 398 pupils on roll, broken down to Nurser</w:t>
      </w:r>
      <w:r>
        <w:rPr>
          <w:rFonts w:ascii="Times New Roman" w:hAnsi="Times New Roman" w:cs="Times New Roman"/>
          <w:sz w:val="24"/>
          <w:szCs w:val="24"/>
        </w:rPr>
        <w:t>y 59, Foundation Phase 137 and K</w:t>
      </w:r>
      <w:r w:rsidRPr="001730A2">
        <w:rPr>
          <w:rFonts w:ascii="Times New Roman" w:hAnsi="Times New Roman" w:cs="Times New Roman"/>
          <w:sz w:val="24"/>
          <w:szCs w:val="24"/>
        </w:rPr>
        <w:t xml:space="preserve">ey Stage Two 202 pupils. The Pupil Inclusion Centre has capacity to support up to 16 pupils from schools within the local authority and places are secured through referral and selection at panel. There are currently </w:t>
      </w:r>
      <w:r>
        <w:rPr>
          <w:rFonts w:ascii="Times New Roman" w:hAnsi="Times New Roman" w:cs="Times New Roman"/>
          <w:sz w:val="24"/>
          <w:szCs w:val="24"/>
        </w:rPr>
        <w:t>six Foundation Phase and three Key S</w:t>
      </w:r>
      <w:r w:rsidRPr="001730A2">
        <w:rPr>
          <w:rFonts w:ascii="Times New Roman" w:hAnsi="Times New Roman" w:cs="Times New Roman"/>
          <w:sz w:val="24"/>
          <w:szCs w:val="24"/>
        </w:rPr>
        <w:t xml:space="preserve">tage </w:t>
      </w:r>
      <w:r>
        <w:rPr>
          <w:rFonts w:ascii="Times New Roman" w:hAnsi="Times New Roman" w:cs="Times New Roman"/>
          <w:sz w:val="24"/>
          <w:szCs w:val="24"/>
        </w:rPr>
        <w:t xml:space="preserve">Two </w:t>
      </w:r>
      <w:r w:rsidRPr="001730A2">
        <w:rPr>
          <w:rFonts w:ascii="Times New Roman" w:hAnsi="Times New Roman" w:cs="Times New Roman"/>
          <w:sz w:val="24"/>
          <w:szCs w:val="24"/>
        </w:rPr>
        <w:t>pupils supported at the centre by six staff. The school population is 67% girls and 22% boys, w</w:t>
      </w:r>
      <w:r>
        <w:rPr>
          <w:rFonts w:ascii="Times New Roman" w:hAnsi="Times New Roman" w:cs="Times New Roman"/>
          <w:sz w:val="24"/>
          <w:szCs w:val="24"/>
        </w:rPr>
        <w:t>ith 29% Free School Meals and 16</w:t>
      </w:r>
      <w:r w:rsidRPr="001730A2">
        <w:rPr>
          <w:rFonts w:ascii="Times New Roman" w:hAnsi="Times New Roman" w:cs="Times New Roman"/>
          <w:sz w:val="24"/>
          <w:szCs w:val="24"/>
        </w:rPr>
        <w:t xml:space="preserve">% </w:t>
      </w:r>
      <w:r>
        <w:rPr>
          <w:rFonts w:ascii="Times New Roman" w:hAnsi="Times New Roman" w:cs="Times New Roman"/>
          <w:sz w:val="24"/>
          <w:szCs w:val="24"/>
        </w:rPr>
        <w:t>Additional Learning</w:t>
      </w:r>
      <w:r w:rsidRPr="001730A2">
        <w:rPr>
          <w:rFonts w:ascii="Times New Roman" w:hAnsi="Times New Roman" w:cs="Times New Roman"/>
          <w:sz w:val="24"/>
          <w:szCs w:val="24"/>
        </w:rPr>
        <w:t xml:space="preserve"> Needs. </w:t>
      </w:r>
      <w:r w:rsidRPr="004620B7">
        <w:rPr>
          <w:rFonts w:ascii="Times New Roman" w:hAnsi="Times New Roman" w:cs="Times New Roman"/>
          <w:sz w:val="24"/>
          <w:szCs w:val="24"/>
        </w:rPr>
        <w:t>On the Vul</w:t>
      </w:r>
      <w:r>
        <w:rPr>
          <w:rFonts w:ascii="Times New Roman" w:hAnsi="Times New Roman" w:cs="Times New Roman"/>
          <w:sz w:val="24"/>
          <w:szCs w:val="24"/>
        </w:rPr>
        <w:t>nerability Assessment P</w:t>
      </w:r>
      <w:r w:rsidRPr="004620B7">
        <w:rPr>
          <w:rFonts w:ascii="Times New Roman" w:hAnsi="Times New Roman" w:cs="Times New Roman"/>
          <w:sz w:val="24"/>
          <w:szCs w:val="24"/>
        </w:rPr>
        <w:t>rofile 1</w:t>
      </w:r>
      <w:r>
        <w:rPr>
          <w:rFonts w:ascii="Times New Roman" w:hAnsi="Times New Roman" w:cs="Times New Roman"/>
          <w:sz w:val="24"/>
          <w:szCs w:val="24"/>
        </w:rPr>
        <w:t>0</w:t>
      </w:r>
      <w:r w:rsidRPr="004620B7">
        <w:rPr>
          <w:rFonts w:ascii="Times New Roman" w:hAnsi="Times New Roman" w:cs="Times New Roman"/>
          <w:sz w:val="24"/>
          <w:szCs w:val="24"/>
        </w:rPr>
        <w:t xml:space="preserve"> pupils </w:t>
      </w:r>
      <w:r>
        <w:rPr>
          <w:rFonts w:ascii="Times New Roman" w:hAnsi="Times New Roman" w:cs="Times New Roman"/>
          <w:sz w:val="24"/>
          <w:szCs w:val="24"/>
        </w:rPr>
        <w:t xml:space="preserve">are Looked </w:t>
      </w:r>
      <w:proofErr w:type="gramStart"/>
      <w:r>
        <w:rPr>
          <w:rFonts w:ascii="Times New Roman" w:hAnsi="Times New Roman" w:cs="Times New Roman"/>
          <w:sz w:val="24"/>
          <w:szCs w:val="24"/>
        </w:rPr>
        <w:t>After</w:t>
      </w:r>
      <w:proofErr w:type="gramEnd"/>
      <w:r>
        <w:rPr>
          <w:rFonts w:ascii="Times New Roman" w:hAnsi="Times New Roman" w:cs="Times New Roman"/>
          <w:sz w:val="24"/>
          <w:szCs w:val="24"/>
        </w:rPr>
        <w:t xml:space="preserve"> Children, </w:t>
      </w:r>
      <w:r w:rsidRPr="004620B7">
        <w:rPr>
          <w:rFonts w:ascii="Times New Roman" w:hAnsi="Times New Roman" w:cs="Times New Roman"/>
          <w:sz w:val="24"/>
          <w:szCs w:val="24"/>
        </w:rPr>
        <w:t>5.4% are highlighted as red</w:t>
      </w:r>
      <w:r>
        <w:rPr>
          <w:rFonts w:ascii="Times New Roman" w:hAnsi="Times New Roman" w:cs="Times New Roman"/>
          <w:sz w:val="24"/>
          <w:szCs w:val="24"/>
        </w:rPr>
        <w:t xml:space="preserve"> and a further 36.9% of pupils are amber</w:t>
      </w:r>
      <w:r w:rsidRPr="001730A2">
        <w:rPr>
          <w:rFonts w:ascii="Times New Roman" w:hAnsi="Times New Roman" w:cs="Times New Roman"/>
          <w:sz w:val="24"/>
          <w:szCs w:val="24"/>
        </w:rPr>
        <w:t>. Nearly all pupils are of white British ethnic origin and speak English as their first language. There are no pupils who speak Welsh as their first language.</w:t>
      </w:r>
    </w:p>
    <w:p w:rsidR="00471B1A" w:rsidRDefault="00471B1A" w:rsidP="00471B1A">
      <w:pPr>
        <w:autoSpaceDE w:val="0"/>
        <w:autoSpaceDN w:val="0"/>
        <w:adjustRightInd w:val="0"/>
        <w:spacing w:after="0" w:line="240" w:lineRule="auto"/>
        <w:rPr>
          <w:rFonts w:ascii="Times New Roman" w:hAnsi="Times New Roman" w:cs="Times New Roman"/>
          <w:sz w:val="24"/>
          <w:szCs w:val="24"/>
        </w:rPr>
      </w:pPr>
    </w:p>
    <w:p w:rsidR="00471B1A" w:rsidRPr="001730A2" w:rsidRDefault="00471B1A" w:rsidP="00471B1A">
      <w:pPr>
        <w:autoSpaceDE w:val="0"/>
        <w:autoSpaceDN w:val="0"/>
        <w:adjustRightInd w:val="0"/>
        <w:spacing w:after="0" w:line="240" w:lineRule="auto"/>
        <w:rPr>
          <w:rFonts w:ascii="Times New Roman" w:hAnsi="Times New Roman" w:cs="Times New Roman"/>
          <w:sz w:val="24"/>
          <w:szCs w:val="24"/>
        </w:rPr>
      </w:pPr>
      <w:r w:rsidRPr="001730A2">
        <w:rPr>
          <w:rFonts w:ascii="Times New Roman" w:hAnsi="Times New Roman" w:cs="Times New Roman"/>
          <w:sz w:val="24"/>
          <w:szCs w:val="24"/>
        </w:rPr>
        <w:t xml:space="preserve">Most year groups are two form entry with two split classes in the school. There are 13 teaching staff and 19 teaching assistants of varying levels. They are deployed to support pupils in class, work with small groups, deliver intervention programmes and support pupils with significant ALN needs on a one to one basis. We have two Higher Level Teaching Assistants who deliver Thrive Intervention which supports pupil wellbeing, however we also have a number of other staff throughout the school who are trained Thrive practitioners.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sidRPr="001730A2">
        <w:rPr>
          <w:rFonts w:ascii="Times New Roman" w:hAnsi="Times New Roman" w:cs="Times New Roman"/>
          <w:sz w:val="24"/>
          <w:szCs w:val="24"/>
        </w:rPr>
        <w:t xml:space="preserve">The Additional Learning Needs team consists of three ALN co-coordinators: one </w:t>
      </w:r>
      <w:r>
        <w:rPr>
          <w:rFonts w:ascii="Times New Roman" w:hAnsi="Times New Roman" w:cs="Times New Roman"/>
          <w:sz w:val="24"/>
          <w:szCs w:val="24"/>
        </w:rPr>
        <w:t xml:space="preserve">each </w:t>
      </w:r>
      <w:r w:rsidRPr="001730A2">
        <w:rPr>
          <w:rFonts w:ascii="Times New Roman" w:hAnsi="Times New Roman" w:cs="Times New Roman"/>
          <w:sz w:val="24"/>
          <w:szCs w:val="24"/>
        </w:rPr>
        <w:t xml:space="preserve">at Foundation Phase, Key Stage Two and for the PIAC. We support </w:t>
      </w:r>
      <w:r>
        <w:rPr>
          <w:rFonts w:ascii="Times New Roman" w:hAnsi="Times New Roman" w:cs="Times New Roman"/>
          <w:sz w:val="24"/>
          <w:szCs w:val="24"/>
        </w:rPr>
        <w:t xml:space="preserve">66 </w:t>
      </w:r>
      <w:r w:rsidRPr="001730A2">
        <w:rPr>
          <w:rFonts w:ascii="Times New Roman" w:hAnsi="Times New Roman" w:cs="Times New Roman"/>
          <w:sz w:val="24"/>
          <w:szCs w:val="24"/>
        </w:rPr>
        <w:t xml:space="preserve">children who have an increasing range of needs, including complex and severe. Our current provision map figures show </w:t>
      </w:r>
      <w:r w:rsidRPr="00B0518B">
        <w:rPr>
          <w:rFonts w:ascii="Times New Roman" w:hAnsi="Times New Roman" w:cs="Times New Roman"/>
          <w:sz w:val="24"/>
          <w:szCs w:val="24"/>
        </w:rPr>
        <w:t xml:space="preserve">10 pupils with a statement, 5 pupils pending a statement, 29 pupils at school action plus and 27 pupils at school action, with a further 20 placed on a pupil concern list and who are monitored for progression and attainment.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sidRPr="001730A2">
        <w:rPr>
          <w:rFonts w:ascii="Times New Roman" w:hAnsi="Times New Roman" w:cs="Times New Roman"/>
          <w:sz w:val="24"/>
          <w:szCs w:val="24"/>
        </w:rPr>
        <w:t>The campus is divided into three Victorian buildings with two demountable structures, a separate Nurse</w:t>
      </w:r>
      <w:r>
        <w:rPr>
          <w:rFonts w:ascii="Times New Roman" w:hAnsi="Times New Roman" w:cs="Times New Roman"/>
          <w:sz w:val="24"/>
          <w:szCs w:val="24"/>
        </w:rPr>
        <w:t>r</w:t>
      </w:r>
      <w:r w:rsidRPr="001730A2">
        <w:rPr>
          <w:rFonts w:ascii="Times New Roman" w:hAnsi="Times New Roman" w:cs="Times New Roman"/>
          <w:sz w:val="24"/>
          <w:szCs w:val="24"/>
        </w:rPr>
        <w:t xml:space="preserve">y, canteen and staff room. There are large expanses of concrete yard, set on two levels and divided by a car park. There are </w:t>
      </w:r>
      <w:r>
        <w:rPr>
          <w:rFonts w:ascii="Times New Roman" w:hAnsi="Times New Roman" w:cs="Times New Roman"/>
          <w:sz w:val="24"/>
          <w:szCs w:val="24"/>
        </w:rPr>
        <w:t>many</w:t>
      </w:r>
      <w:r w:rsidRPr="001730A2">
        <w:rPr>
          <w:rFonts w:ascii="Times New Roman" w:hAnsi="Times New Roman" w:cs="Times New Roman"/>
          <w:sz w:val="24"/>
          <w:szCs w:val="24"/>
        </w:rPr>
        <w:t xml:space="preserve"> challenges in safeguarding such a large site so there are many locked gates. There is also a secluded field area at the rear of the school which is a significant walk from the main school buildings</w:t>
      </w:r>
      <w:r>
        <w:rPr>
          <w:rFonts w:ascii="Times New Roman" w:hAnsi="Times New Roman" w:cs="Times New Roman"/>
          <w:sz w:val="24"/>
          <w:szCs w:val="24"/>
        </w:rPr>
        <w:t>. The buildings are in need of</w:t>
      </w:r>
      <w:r w:rsidRPr="001730A2">
        <w:rPr>
          <w:rFonts w:ascii="Times New Roman" w:hAnsi="Times New Roman" w:cs="Times New Roman"/>
          <w:sz w:val="24"/>
          <w:szCs w:val="24"/>
        </w:rPr>
        <w:t xml:space="preserve"> maintenance and repair, with works currently being complete</w:t>
      </w:r>
      <w:r>
        <w:rPr>
          <w:rFonts w:ascii="Times New Roman" w:hAnsi="Times New Roman" w:cs="Times New Roman"/>
          <w:sz w:val="24"/>
          <w:szCs w:val="24"/>
        </w:rPr>
        <w:t>d to the large roof structures.</w:t>
      </w:r>
    </w:p>
    <w:p w:rsidR="00471B1A" w:rsidRDefault="00471B1A" w:rsidP="00471B1A">
      <w:pPr>
        <w:spacing w:after="0" w:line="240" w:lineRule="auto"/>
        <w:rPr>
          <w:rFonts w:ascii="Times New Roman" w:hAnsi="Times New Roman" w:cs="Times New Roman"/>
          <w:sz w:val="24"/>
          <w:szCs w:val="24"/>
        </w:rPr>
      </w:pPr>
    </w:p>
    <w:p w:rsidR="00471B1A" w:rsidRPr="00001BAD" w:rsidRDefault="00471B1A" w:rsidP="00471B1A">
      <w:pPr>
        <w:spacing w:after="0" w:line="240" w:lineRule="auto"/>
        <w:rPr>
          <w:rFonts w:ascii="Times New Roman" w:hAnsi="Times New Roman" w:cs="Times New Roman"/>
          <w:sz w:val="24"/>
          <w:szCs w:val="24"/>
          <w:highlight w:val="yellow"/>
        </w:rPr>
      </w:pPr>
      <w:r>
        <w:rPr>
          <w:rFonts w:ascii="Times New Roman" w:hAnsi="Times New Roman" w:cs="Times New Roman"/>
          <w:sz w:val="24"/>
          <w:szCs w:val="24"/>
        </w:rPr>
        <w:t xml:space="preserve">The school has undergone a number of changes in recent years with many staff retiring and the appointment of a new </w:t>
      </w:r>
      <w:proofErr w:type="spellStart"/>
      <w:r>
        <w:rPr>
          <w:rFonts w:ascii="Times New Roman" w:hAnsi="Times New Roman" w:cs="Times New Roman"/>
          <w:sz w:val="24"/>
          <w:szCs w:val="24"/>
        </w:rPr>
        <w:t>Headteacher</w:t>
      </w:r>
      <w:proofErr w:type="spellEnd"/>
      <w:r>
        <w:rPr>
          <w:rFonts w:ascii="Times New Roman" w:hAnsi="Times New Roman" w:cs="Times New Roman"/>
          <w:sz w:val="24"/>
          <w:szCs w:val="24"/>
        </w:rPr>
        <w:t xml:space="preserve"> and deputy </w:t>
      </w:r>
      <w:proofErr w:type="spellStart"/>
      <w:r>
        <w:rPr>
          <w:rFonts w:ascii="Times New Roman" w:hAnsi="Times New Roman" w:cs="Times New Roman"/>
          <w:sz w:val="24"/>
          <w:szCs w:val="24"/>
        </w:rPr>
        <w:t>Headteacher</w:t>
      </w:r>
      <w:proofErr w:type="spellEnd"/>
      <w:r>
        <w:rPr>
          <w:rFonts w:ascii="Times New Roman" w:hAnsi="Times New Roman" w:cs="Times New Roman"/>
          <w:sz w:val="24"/>
          <w:szCs w:val="24"/>
        </w:rPr>
        <w:t xml:space="preserve"> and a change in all members of the senior management team. The current </w:t>
      </w:r>
      <w:proofErr w:type="spellStart"/>
      <w:r>
        <w:rPr>
          <w:rFonts w:ascii="Times New Roman" w:hAnsi="Times New Roman" w:cs="Times New Roman"/>
          <w:sz w:val="24"/>
          <w:szCs w:val="24"/>
        </w:rPr>
        <w:t>Headteacher</w:t>
      </w:r>
      <w:proofErr w:type="spellEnd"/>
      <w:r>
        <w:rPr>
          <w:rFonts w:ascii="Times New Roman" w:hAnsi="Times New Roman" w:cs="Times New Roman"/>
          <w:sz w:val="24"/>
          <w:szCs w:val="24"/>
        </w:rPr>
        <w:t xml:space="preserve"> has a strong commitment to pupil wellbeing, the development of relationships with parents and early intervention. The school has a designated family room and Family Liaison Officer who works closely with outside agencies such as Save the Children, to provide support and training for our pupils and their families. A number of courses are run for adults, e.g. Paediatric First Aid, Childcare level 1 and 2, Food Safety and British Sign Language. There are twice weekly preschool playgroups and also one-to-one parent nurture sessions are held. We achieved our silver level Rights Respecting Schools awards in December 2017. Every member of our school is a school councillor as we believe the voice of every child should be heard. We hold termly whole school council mornings where children are mixed into groups of all ages and challenged to </w:t>
      </w:r>
      <w:r>
        <w:rPr>
          <w:rFonts w:ascii="Times New Roman" w:hAnsi="Times New Roman" w:cs="Times New Roman"/>
          <w:sz w:val="24"/>
          <w:szCs w:val="24"/>
        </w:rPr>
        <w:lastRenderedPageBreak/>
        <w:t xml:space="preserve">discuss a given topic. Information is then fed back to our Pupil Voice team who act on responses – most recently feeding into a new behaviour policy. We are currently working towards the bronze award for “Y </w:t>
      </w:r>
      <w:proofErr w:type="spellStart"/>
      <w:r>
        <w:rPr>
          <w:rFonts w:ascii="Times New Roman" w:hAnsi="Times New Roman" w:cs="Times New Roman"/>
          <w:sz w:val="24"/>
          <w:szCs w:val="24"/>
        </w:rPr>
        <w:t>Siarter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supported by our Crew </w:t>
      </w:r>
      <w:proofErr w:type="spellStart"/>
      <w:r>
        <w:rPr>
          <w:rFonts w:ascii="Times New Roman" w:hAnsi="Times New Roman" w:cs="Times New Roman"/>
          <w:sz w:val="24"/>
          <w:szCs w:val="24"/>
        </w:rPr>
        <w:t>Cymraeg</w:t>
      </w:r>
      <w:proofErr w:type="spellEnd"/>
      <w:r>
        <w:rPr>
          <w:rFonts w:ascii="Times New Roman" w:hAnsi="Times New Roman" w:cs="Times New Roman"/>
          <w:sz w:val="24"/>
          <w:szCs w:val="24"/>
        </w:rPr>
        <w:t>.</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 have been a teacher for twenty years, having spent the last 14 at my current school. I have taught across all age ranges, worked both full and part time and been a supply teacher. I have been a subject coordinator for RE for most of my teaching career and until recently was a member of the Standards Advisory Council for RE (SACRE), as Primary school representative for Neath Port Talbot. I have been coordinator for the Rights Respecting Schools programme and Pupil Voice. The majority of my teaching career has been spent working within the Early Years department and in September of this year I became the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xml:space="preserve"> for Key Stage Two. My interest in ALN began as a child, spending time with my aunt, who was a teacher of </w:t>
      </w:r>
      <w:r w:rsidRPr="001151D4">
        <w:rPr>
          <w:rFonts w:ascii="Times New Roman" w:hAnsi="Times New Roman" w:cs="Times New Roman"/>
          <w:sz w:val="24"/>
          <w:szCs w:val="24"/>
        </w:rPr>
        <w:t>hearing impaired</w:t>
      </w:r>
      <w:r>
        <w:rPr>
          <w:rFonts w:ascii="Times New Roman" w:hAnsi="Times New Roman" w:cs="Times New Roman"/>
          <w:sz w:val="24"/>
          <w:szCs w:val="24"/>
        </w:rPr>
        <w:t xml:space="preserve"> pupils. When my son was born in 2011, he had significant speech and language needs. On starting school, his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xml:space="preserve"> was keen for a quick diagnosis of ASD. I knew that this was not the correct diagnosis for my son and through personal research, a supportive educational psychologist at his school and a subsequent development of my understanding of Developmental Language Disorder, four years on he has the correct diagnosis and support. This taught me a valuable lesson; that the goal is not to attach a label to a condition, but to explore, unpick and support the difficulty.</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 am currently teaching within Early Years and have a split class of Reception (15) and Year </w:t>
      </w:r>
      <w:proofErr w:type="gramStart"/>
      <w:r>
        <w:rPr>
          <w:rFonts w:ascii="Times New Roman" w:hAnsi="Times New Roman" w:cs="Times New Roman"/>
          <w:sz w:val="24"/>
          <w:szCs w:val="24"/>
        </w:rPr>
        <w:t>One</w:t>
      </w:r>
      <w:proofErr w:type="gramEnd"/>
      <w:r>
        <w:rPr>
          <w:rFonts w:ascii="Times New Roman" w:hAnsi="Times New Roman" w:cs="Times New Roman"/>
          <w:sz w:val="24"/>
          <w:szCs w:val="24"/>
        </w:rPr>
        <w:t xml:space="preserve"> (8) pupils.  The class make up is quite challenging with six pupils on an IEP, three pupils with ASD at various stages of diagnosis, severity and challenges, two pupils with emotional and behavioural needs and one pupil with global developmental delay and awaiting a statement. I have two full time teaching assistants </w:t>
      </w:r>
      <w:r w:rsidRPr="001151D4">
        <w:rPr>
          <w:rFonts w:ascii="Times New Roman" w:hAnsi="Times New Roman" w:cs="Times New Roman"/>
          <w:sz w:val="24"/>
          <w:szCs w:val="24"/>
        </w:rPr>
        <w:t>who both deliver</w:t>
      </w:r>
      <w:r>
        <w:rPr>
          <w:rFonts w:ascii="Times New Roman" w:hAnsi="Times New Roman" w:cs="Times New Roman"/>
          <w:sz w:val="24"/>
          <w:szCs w:val="24"/>
        </w:rPr>
        <w:t xml:space="preserve"> bespoke support to meet the needs of the ALN pupils and also to support curriculum tasks in small groups.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It was my return to Early Years in 2015 after a period of time at Key Stage Two when I first developed an interest in sensory processing difficulties. I was supporting a LAC pupil who had significant learning needs and had been undergoing tests for a range of diagnosis from birth, including possible effects of foetal alcohol syndrome, genetic difficulties, possible ASD and ADHD. The pupil presented with both fine and gross motor difficulties, speech and language difficulties, emotional and behavioural challenges and sensory needs. The pupil would frequently undress, put inappropriate items in their mouth including sand, mud, paint, and pencils and was described as rough and boisterous with the other pupils. Occupational Therapy supported us in both understanding the pupil’s needs and how to provide appropriate stimulus for the pupil, who was both sensory seeking and </w:t>
      </w:r>
      <w:proofErr w:type="spellStart"/>
      <w:r>
        <w:rPr>
          <w:rFonts w:ascii="Times New Roman" w:hAnsi="Times New Roman" w:cs="Times New Roman"/>
          <w:sz w:val="24"/>
          <w:szCs w:val="24"/>
        </w:rPr>
        <w:t>hyposensory</w:t>
      </w:r>
      <w:proofErr w:type="spellEnd"/>
      <w:r>
        <w:rPr>
          <w:rFonts w:ascii="Times New Roman" w:hAnsi="Times New Roman" w:cs="Times New Roman"/>
          <w:sz w:val="24"/>
          <w:szCs w:val="24"/>
        </w:rPr>
        <w:t>. The pupil did not experience touch in the same way as others and so physical contact was harder; hugs were tighter.  This pupil led us to look at sensory behaviours that other children were engaging in and question whether they were supported appropriately too. Sensory processing disorders have a significant impact in the child’s ability to function and yet it is possible through reasonable adjustments to make a considerable impact on the child’s ability to cope.</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Research into sensory integration, also referred to as sensory processing, began in the 1950’s and 60’s by Dr A. Jean Ayres who studied how the brain worked. Yack, Sutton and </w:t>
      </w:r>
      <w:proofErr w:type="spellStart"/>
      <w:r>
        <w:rPr>
          <w:rFonts w:ascii="Times New Roman" w:hAnsi="Times New Roman" w:cs="Times New Roman"/>
          <w:sz w:val="24"/>
          <w:szCs w:val="24"/>
        </w:rPr>
        <w:t>Aquilla</w:t>
      </w:r>
      <w:proofErr w:type="spellEnd"/>
      <w:r>
        <w:rPr>
          <w:rFonts w:ascii="Times New Roman" w:hAnsi="Times New Roman" w:cs="Times New Roman"/>
          <w:sz w:val="24"/>
          <w:szCs w:val="24"/>
        </w:rPr>
        <w:t xml:space="preserve"> (2002, p. 21), describe sensory integration as</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ind w:left="851" w:right="851"/>
        <w:rPr>
          <w:rFonts w:ascii="Times New Roman" w:hAnsi="Times New Roman" w:cs="Times New Roman"/>
          <w:sz w:val="24"/>
          <w:szCs w:val="24"/>
        </w:rPr>
      </w:pPr>
      <w:r w:rsidRPr="00DE0589">
        <w:rPr>
          <w:rFonts w:ascii="Times New Roman" w:hAnsi="Times New Roman" w:cs="Times New Roman"/>
          <w:sz w:val="24"/>
          <w:szCs w:val="24"/>
        </w:rPr>
        <w:t xml:space="preserve">A neurological process. Our bodies and the environment send our brains information through our senses. We process and organise this information </w:t>
      </w:r>
      <w:r w:rsidRPr="00DE0589">
        <w:rPr>
          <w:rFonts w:ascii="Times New Roman" w:hAnsi="Times New Roman" w:cs="Times New Roman"/>
          <w:sz w:val="24"/>
          <w:szCs w:val="24"/>
        </w:rPr>
        <w:lastRenderedPageBreak/>
        <w:t xml:space="preserve">so we feel comfortable and secure. We are then able to respond appropriately. </w:t>
      </w:r>
    </w:p>
    <w:p w:rsidR="00471B1A" w:rsidRPr="00DE0589" w:rsidRDefault="00471B1A" w:rsidP="00471B1A">
      <w:pPr>
        <w:spacing w:after="0" w:line="240" w:lineRule="auto"/>
        <w:ind w:left="851" w:right="851"/>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They also reference Williams and </w:t>
      </w:r>
      <w:proofErr w:type="spellStart"/>
      <w:r>
        <w:rPr>
          <w:rFonts w:ascii="Times New Roman" w:hAnsi="Times New Roman" w:cs="Times New Roman"/>
          <w:sz w:val="24"/>
          <w:szCs w:val="24"/>
        </w:rPr>
        <w:t>Anzalone</w:t>
      </w:r>
      <w:proofErr w:type="spellEnd"/>
      <w:r>
        <w:rPr>
          <w:rFonts w:ascii="Times New Roman" w:hAnsi="Times New Roman" w:cs="Times New Roman"/>
          <w:sz w:val="24"/>
          <w:szCs w:val="24"/>
        </w:rPr>
        <w:t xml:space="preserve"> </w:t>
      </w:r>
      <w:r w:rsidRPr="001151D4">
        <w:rPr>
          <w:rFonts w:ascii="Times New Roman" w:hAnsi="Times New Roman" w:cs="Times New Roman"/>
          <w:sz w:val="24"/>
          <w:szCs w:val="24"/>
        </w:rPr>
        <w:t xml:space="preserve">(1996, </w:t>
      </w:r>
      <w:r>
        <w:rPr>
          <w:rFonts w:ascii="Times New Roman" w:hAnsi="Times New Roman" w:cs="Times New Roman"/>
          <w:sz w:val="24"/>
          <w:szCs w:val="24"/>
        </w:rPr>
        <w:t xml:space="preserve">p. </w:t>
      </w:r>
      <w:r w:rsidRPr="001151D4">
        <w:rPr>
          <w:rFonts w:ascii="Times New Roman" w:hAnsi="Times New Roman" w:cs="Times New Roman"/>
          <w:sz w:val="24"/>
          <w:szCs w:val="24"/>
        </w:rPr>
        <w:t>22),</w:t>
      </w:r>
      <w:r>
        <w:rPr>
          <w:rFonts w:ascii="Times New Roman" w:hAnsi="Times New Roman" w:cs="Times New Roman"/>
          <w:sz w:val="24"/>
          <w:szCs w:val="24"/>
        </w:rPr>
        <w:t xml:space="preserve"> who identify five components to sensory integration:</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pStyle w:val="ListParagraph"/>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Initial registration - an awareness of a touch, sound, smell</w:t>
      </w:r>
    </w:p>
    <w:p w:rsidR="00471B1A" w:rsidRDefault="00471B1A" w:rsidP="00471B1A">
      <w:pPr>
        <w:pStyle w:val="ListParagraph"/>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Orientation – the brain allows us to attend to the sensory input</w:t>
      </w:r>
    </w:p>
    <w:p w:rsidR="00471B1A" w:rsidRDefault="00471B1A" w:rsidP="00471B1A">
      <w:pPr>
        <w:pStyle w:val="ListParagraph"/>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Interpretation – the brain interprets and processes what is happening</w:t>
      </w:r>
    </w:p>
    <w:p w:rsidR="00471B1A" w:rsidRDefault="00471B1A" w:rsidP="00471B1A">
      <w:pPr>
        <w:pStyle w:val="ListParagraph"/>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Organisation of response – the brain choses how to respond</w:t>
      </w:r>
    </w:p>
    <w:p w:rsidR="00471B1A" w:rsidRDefault="00471B1A" w:rsidP="00471B1A">
      <w:pPr>
        <w:pStyle w:val="ListParagraph"/>
        <w:numPr>
          <w:ilvl w:val="0"/>
          <w:numId w:val="1"/>
        </w:numPr>
        <w:spacing w:after="0" w:line="240" w:lineRule="auto"/>
        <w:rPr>
          <w:rFonts w:ascii="Times New Roman" w:hAnsi="Times New Roman" w:cs="Times New Roman"/>
          <w:sz w:val="24"/>
          <w:szCs w:val="24"/>
        </w:rPr>
      </w:pPr>
      <w:r>
        <w:rPr>
          <w:rFonts w:ascii="Times New Roman" w:hAnsi="Times New Roman" w:cs="Times New Roman"/>
          <w:sz w:val="24"/>
          <w:szCs w:val="24"/>
        </w:rPr>
        <w:t>Execution of response – the brain and body carry out an action</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At the registration phase the person can either over or under register the sensory input – so be either hyper or hyposensitive.  Yack et al (2002, p. </w:t>
      </w:r>
      <w:r w:rsidRPr="001151D4">
        <w:rPr>
          <w:rFonts w:ascii="Times New Roman" w:hAnsi="Times New Roman" w:cs="Times New Roman"/>
          <w:sz w:val="24"/>
          <w:szCs w:val="24"/>
        </w:rPr>
        <w:t>23)</w:t>
      </w:r>
      <w:r>
        <w:rPr>
          <w:rFonts w:ascii="Times New Roman" w:hAnsi="Times New Roman" w:cs="Times New Roman"/>
          <w:sz w:val="24"/>
          <w:szCs w:val="24"/>
        </w:rPr>
        <w:t xml:space="preserve"> argue that although a child may appear unresponsive to sensory input they may be highly sensitive to sensory stimulation yet their nervous systems have “shut down” to protect them from incoming sensory stimulations. Hyposensitive children have a disregard for sudden or loud noises, are unaware of painful bumps and have an absence of the startle reaction. They also show a lack of attention to the environment, people and have delayed responses. In a busy classroom environment, these quiet children might be considered the daydreamers - not highlighted as having sensory integration or processing challenges.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Coelho and Seeley (2018, p. 11), argue that the sensory system includes more than the five common senses of touch, taste, smell, sight and hearing. They also include the sense of movement and balance – the vestibular sense, and the proprioceptive sense which involves the positioning and moving of the body, including direction and speed.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Garland (2014, p. 46) goes on to explore an eighth sense – an internal sensation; </w:t>
      </w:r>
      <w:proofErr w:type="spellStart"/>
      <w:r>
        <w:rPr>
          <w:rFonts w:ascii="Times New Roman" w:hAnsi="Times New Roman" w:cs="Times New Roman"/>
          <w:sz w:val="24"/>
          <w:szCs w:val="24"/>
        </w:rPr>
        <w:t>Interoception</w:t>
      </w:r>
      <w:proofErr w:type="spellEnd"/>
      <w:r>
        <w:rPr>
          <w:rFonts w:ascii="Times New Roman" w:hAnsi="Times New Roman" w:cs="Times New Roman"/>
          <w:sz w:val="24"/>
          <w:szCs w:val="24"/>
        </w:rPr>
        <w:t>.</w:t>
      </w: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
    <w:p w:rsidR="00471B1A" w:rsidRPr="00786B05" w:rsidRDefault="00471B1A" w:rsidP="00471B1A">
      <w:pPr>
        <w:spacing w:after="0" w:line="240" w:lineRule="auto"/>
        <w:ind w:left="851" w:right="851"/>
        <w:rPr>
          <w:rFonts w:ascii="Times New Roman" w:hAnsi="Times New Roman" w:cs="Times New Roman"/>
          <w:sz w:val="24"/>
          <w:szCs w:val="24"/>
        </w:rPr>
      </w:pPr>
      <w:proofErr w:type="spellStart"/>
      <w:r w:rsidRPr="00786B05">
        <w:rPr>
          <w:rFonts w:ascii="Times New Roman" w:hAnsi="Times New Roman" w:cs="Times New Roman"/>
          <w:sz w:val="24"/>
          <w:szCs w:val="24"/>
        </w:rPr>
        <w:t>Interoception</w:t>
      </w:r>
      <w:proofErr w:type="spellEnd"/>
      <w:r w:rsidRPr="00786B05">
        <w:rPr>
          <w:rFonts w:ascii="Times New Roman" w:hAnsi="Times New Roman" w:cs="Times New Roman"/>
          <w:sz w:val="24"/>
          <w:szCs w:val="24"/>
        </w:rPr>
        <w:t xml:space="preserve"> includes a combination of normal and abnormal sensations including temperature, breath, pain, itch, sensation from a bruise… nausea, hunger, satiation and stomach cramps.</w:t>
      </w:r>
    </w:p>
    <w:p w:rsidR="00471B1A" w:rsidRDefault="00471B1A" w:rsidP="00471B1A">
      <w:pPr>
        <w:spacing w:after="0" w:line="240" w:lineRule="auto"/>
        <w:rPr>
          <w:rFonts w:ascii="Times New Roman" w:hAnsi="Times New Roman" w:cs="Times New Roman"/>
          <w:b/>
          <w:i/>
          <w:sz w:val="24"/>
          <w:szCs w:val="24"/>
        </w:rPr>
      </w:pPr>
      <w:r>
        <w:rPr>
          <w:rFonts w:ascii="Times New Roman" w:hAnsi="Times New Roman" w:cs="Times New Roman"/>
          <w:b/>
          <w:i/>
          <w:sz w:val="24"/>
          <w:szCs w:val="24"/>
        </w:rPr>
        <w:t xml:space="preserve"> </w:t>
      </w: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Morin (2019) further explores the sense of </w:t>
      </w:r>
      <w:proofErr w:type="spellStart"/>
      <w:r>
        <w:rPr>
          <w:rFonts w:ascii="Times New Roman" w:hAnsi="Times New Roman" w:cs="Times New Roman"/>
          <w:sz w:val="24"/>
          <w:szCs w:val="24"/>
        </w:rPr>
        <w:t>Interoception</w:t>
      </w:r>
      <w:proofErr w:type="spellEnd"/>
      <w:r>
        <w:rPr>
          <w:rFonts w:ascii="Times New Roman" w:hAnsi="Times New Roman" w:cs="Times New Roman"/>
          <w:sz w:val="24"/>
          <w:szCs w:val="24"/>
        </w:rPr>
        <w:t xml:space="preserve"> and how it can affect self-regulation. For example, children who cannot tell that their bladder is full may experience bed wetting, have frequent accidents or feel the need to use the bathroom excessively.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complexity of sensory processing or integration is fundamental to who we are and how we function. </w:t>
      </w:r>
      <w:r w:rsidRPr="0041444A">
        <w:rPr>
          <w:rFonts w:ascii="Times New Roman" w:hAnsi="Times New Roman" w:cs="Times New Roman"/>
          <w:sz w:val="24"/>
          <w:szCs w:val="24"/>
        </w:rPr>
        <w:t>Yack et al</w:t>
      </w:r>
      <w:r>
        <w:rPr>
          <w:rFonts w:ascii="Times New Roman" w:hAnsi="Times New Roman" w:cs="Times New Roman"/>
          <w:sz w:val="24"/>
          <w:szCs w:val="24"/>
        </w:rPr>
        <w:t xml:space="preserve"> (2002, p. 28), states that the importance of sensory integration cannot be underestimated:</w:t>
      </w:r>
    </w:p>
    <w:p w:rsidR="00471B1A" w:rsidRDefault="00471B1A" w:rsidP="00471B1A">
      <w:pPr>
        <w:spacing w:after="0" w:line="240" w:lineRule="auto"/>
        <w:rPr>
          <w:rFonts w:ascii="Times New Roman" w:hAnsi="Times New Roman" w:cs="Times New Roman"/>
          <w:sz w:val="24"/>
          <w:szCs w:val="24"/>
        </w:rPr>
      </w:pPr>
    </w:p>
    <w:p w:rsidR="00471B1A" w:rsidRPr="00915B1B" w:rsidRDefault="00471B1A" w:rsidP="00471B1A">
      <w:pPr>
        <w:spacing w:after="0" w:line="240" w:lineRule="auto"/>
        <w:ind w:left="851" w:right="851"/>
        <w:rPr>
          <w:rFonts w:ascii="Times New Roman" w:hAnsi="Times New Roman" w:cs="Times New Roman"/>
          <w:sz w:val="24"/>
          <w:szCs w:val="24"/>
        </w:rPr>
      </w:pPr>
      <w:r w:rsidRPr="00915B1B">
        <w:rPr>
          <w:rFonts w:ascii="Times New Roman" w:hAnsi="Times New Roman" w:cs="Times New Roman"/>
          <w:sz w:val="24"/>
          <w:szCs w:val="24"/>
        </w:rPr>
        <w:t>Sensory integration contributes to the development of self-regulation, comfort, motor planning, motor skills, attention and readiness to learn.</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order to establish the level of understanding of sensory difficulties held by staff, what experiences and subsequent support was given to pupils and identify areas for further training, all staff were invited to complete an evaluative questionnaire (appendix A). This was open to all staff including the Senior Leadership Team, the administrative staff, </w:t>
      </w:r>
      <w:r>
        <w:rPr>
          <w:rFonts w:ascii="Times New Roman" w:hAnsi="Times New Roman" w:cs="Times New Roman"/>
          <w:sz w:val="24"/>
          <w:szCs w:val="24"/>
        </w:rPr>
        <w:lastRenderedPageBreak/>
        <w:t xml:space="preserve">lunchtime supervisors and the school cook as all of the school community interact with pupils in different situations.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Of the thirty questionnaires returned, 12 were from teachers, 14 from teaching assistants, across all ages through the school, 1 cook and 1 lunchtime supervisor. Responses to the initial question “What do you understand by the term sensory processing disorders?” included the following:</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471B1A" w:rsidTr="000B2EB8">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Teachers</w:t>
            </w:r>
          </w:p>
        </w:tc>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Teaching Assistants</w:t>
            </w:r>
          </w:p>
        </w:tc>
        <w:tc>
          <w:tcPr>
            <w:tcW w:w="3006"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Cook, Lunchtime supervisor</w:t>
            </w:r>
          </w:p>
        </w:tc>
      </w:tr>
      <w:tr w:rsidR="00471B1A" w:rsidTr="000B2EB8">
        <w:tc>
          <w:tcPr>
            <w:tcW w:w="3005" w:type="dxa"/>
          </w:tcPr>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How the brain interprets sensory experiences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respond differently</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There is over and under stimulation to sight, smell, touch, taste and sound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It’s a sign of ASD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have trouble processing senses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have a lack of filter</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Is it a child who has a fiddle toy?</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There is a difficulty when responding to information or to the environment</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can’t engage in play</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Poor coordination</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avoid situations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It is a disorder</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feel uncomfortable</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Children are unable to undertake tasks.</w:t>
            </w:r>
          </w:p>
          <w:p w:rsidR="00471B1A" w:rsidRDefault="00471B1A" w:rsidP="000B2EB8">
            <w:pPr>
              <w:ind w:left="306" w:hanging="284"/>
              <w:rPr>
                <w:rFonts w:ascii="Times New Roman" w:hAnsi="Times New Roman" w:cs="Times New Roman"/>
                <w:sz w:val="24"/>
                <w:szCs w:val="24"/>
              </w:rPr>
            </w:pPr>
          </w:p>
        </w:tc>
        <w:tc>
          <w:tcPr>
            <w:tcW w:w="3005" w:type="dxa"/>
          </w:tcPr>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Can’t use their senses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Connected to ASD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Under or over stimulation</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Lack of understanding of how they use their senses or how they work</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Trouble dealing with information, surroundings and situations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Can make a child frightened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Linked to OCD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Complex senses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Brain has trouble receiving and responding</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Spatial awareness is poor</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Unable to cope</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Poor speech</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Hyper active through their senses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Too much or too little stimulation</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Relates to behaviour, arousal, attention</w:t>
            </w:r>
          </w:p>
        </w:tc>
        <w:tc>
          <w:tcPr>
            <w:tcW w:w="3006" w:type="dxa"/>
          </w:tcPr>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Children unable to cope with loud noises or sudden sounds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They may have a dislike for being touched or hugged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Textures and colours of food</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Sound and noise levels</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Lighting</w:t>
            </w:r>
          </w:p>
          <w:p w:rsidR="00471B1A" w:rsidRPr="00915B1B" w:rsidRDefault="00471B1A" w:rsidP="00471B1A">
            <w:pPr>
              <w:pStyle w:val="ListParagraph"/>
              <w:numPr>
                <w:ilvl w:val="0"/>
                <w:numId w:val="2"/>
              </w:numPr>
              <w:ind w:left="306" w:hanging="284"/>
              <w:rPr>
                <w:rFonts w:ascii="Times New Roman" w:hAnsi="Times New Roman" w:cs="Times New Roman"/>
                <w:sz w:val="24"/>
                <w:szCs w:val="24"/>
              </w:rPr>
            </w:pPr>
            <w:r w:rsidRPr="00915B1B">
              <w:rPr>
                <w:rFonts w:ascii="Times New Roman" w:hAnsi="Times New Roman" w:cs="Times New Roman"/>
                <w:sz w:val="24"/>
                <w:szCs w:val="24"/>
              </w:rPr>
              <w:t>Textures of fabrics – tags, cuffs, collars</w:t>
            </w:r>
          </w:p>
          <w:p w:rsidR="00471B1A" w:rsidRDefault="00471B1A" w:rsidP="000B2EB8">
            <w:pPr>
              <w:ind w:left="306" w:hanging="284"/>
              <w:rPr>
                <w:rFonts w:ascii="Times New Roman" w:hAnsi="Times New Roman" w:cs="Times New Roman"/>
                <w:sz w:val="24"/>
                <w:szCs w:val="24"/>
              </w:rPr>
            </w:pPr>
          </w:p>
        </w:tc>
      </w:tr>
    </w:tbl>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Whilst collectively all areas of sensory difficulty are covered, very few answers presented a full individual understanding. Staff working with pupils in Foundation Phase had a clearer picture and most staff connected sensory processing to other difficulties such as speech and language or ASD.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All staff had encountered pupils with sensory needs; around 20 were identified across the school in different classes and again, numbers were higher within the Foundation Phase classes. When asked how these children were identified the responses were as follows:</w:t>
      </w:r>
    </w:p>
    <w:p w:rsidR="00471B1A" w:rsidRDefault="00471B1A" w:rsidP="00471B1A">
      <w:pPr>
        <w:spacing w:after="0"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471B1A" w:rsidTr="000B2EB8">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Teachers</w:t>
            </w:r>
          </w:p>
        </w:tc>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Teaching Assistants</w:t>
            </w:r>
          </w:p>
        </w:tc>
        <w:tc>
          <w:tcPr>
            <w:tcW w:w="3006"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Cook, Lunchtime supervisor</w:t>
            </w:r>
          </w:p>
        </w:tc>
      </w:tr>
      <w:tr w:rsidR="00471B1A" w:rsidTr="000B2EB8">
        <w:tc>
          <w:tcPr>
            <w:tcW w:w="3005" w:type="dxa"/>
          </w:tcPr>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Challenging behaviours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Seeking physical contact</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lastRenderedPageBreak/>
              <w:t>Eating non edible items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Covering ears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Didn’t like loud noises or smells of foods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Advised by parents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Putting things in their mouth, licking</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Lack of tolerance for noises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Found assembly time difficult</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Unable to wear certain clothes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Reluctant to eat in the canteen</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Obsessed with sand – touching an eating</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Advised by the ASD team, OT, previous teacher</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Stated on the IEP or statement</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Reluctance to take part</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Licks hands after touching items such as shoes, chalk</w:t>
            </w:r>
          </w:p>
        </w:tc>
        <w:tc>
          <w:tcPr>
            <w:tcW w:w="3005" w:type="dxa"/>
          </w:tcPr>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lastRenderedPageBreak/>
              <w:t>Shows signs of distress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lastRenderedPageBreak/>
              <w:t>Can’t cope in crowds or with loud noises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Hands over ears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I was advised by my class teacher (KS2)</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Checking the feel of things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Obsession with washing hands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Unable to tolerate touching glue, paint, sand, dough</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Seemed switched off</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Refusal to speak</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Distressed at certain clothes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Putting different textures in their mouth</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I would await advice from an outside agency (KS2)</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Wanting to leave the room</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Dislike of music</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Distress at noise of hand drier</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When over excited hands would tremble or develop a tremor</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Unable to sit still</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Bump into things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Shout out at loud noises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I observed at playtimes</w:t>
            </w:r>
          </w:p>
          <w:p w:rsidR="00471B1A" w:rsidRDefault="00471B1A" w:rsidP="000B2EB8">
            <w:pPr>
              <w:ind w:left="306" w:hanging="284"/>
              <w:rPr>
                <w:rFonts w:ascii="Times New Roman" w:hAnsi="Times New Roman" w:cs="Times New Roman"/>
                <w:sz w:val="24"/>
                <w:szCs w:val="24"/>
              </w:rPr>
            </w:pPr>
          </w:p>
        </w:tc>
        <w:tc>
          <w:tcPr>
            <w:tcW w:w="3006" w:type="dxa"/>
          </w:tcPr>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lastRenderedPageBreak/>
              <w:t>Hands cupped over ears</w:t>
            </w:r>
          </w:p>
          <w:p w:rsidR="00471B1A" w:rsidRPr="00915B1B" w:rsidRDefault="00471B1A" w:rsidP="00471B1A">
            <w:pPr>
              <w:pStyle w:val="ListParagraph"/>
              <w:numPr>
                <w:ilvl w:val="0"/>
                <w:numId w:val="3"/>
              </w:numPr>
              <w:ind w:left="306" w:hanging="284"/>
              <w:rPr>
                <w:rFonts w:ascii="Times New Roman" w:hAnsi="Times New Roman" w:cs="Times New Roman"/>
                <w:sz w:val="24"/>
                <w:szCs w:val="24"/>
              </w:rPr>
            </w:pPr>
            <w:r w:rsidRPr="00915B1B">
              <w:rPr>
                <w:rFonts w:ascii="Times New Roman" w:hAnsi="Times New Roman" w:cs="Times New Roman"/>
                <w:sz w:val="24"/>
                <w:szCs w:val="24"/>
              </w:rPr>
              <w:t>Ear defenders worn</w:t>
            </w:r>
          </w:p>
        </w:tc>
      </w:tr>
    </w:tbl>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Again, staff within Foundation Phase were both more </w:t>
      </w:r>
      <w:r w:rsidRPr="001151D4">
        <w:rPr>
          <w:rFonts w:ascii="Times New Roman" w:hAnsi="Times New Roman" w:cs="Times New Roman"/>
          <w:sz w:val="24"/>
          <w:szCs w:val="24"/>
        </w:rPr>
        <w:t xml:space="preserve">aware </w:t>
      </w:r>
      <w:r>
        <w:rPr>
          <w:rFonts w:ascii="Times New Roman" w:hAnsi="Times New Roman" w:cs="Times New Roman"/>
          <w:sz w:val="24"/>
          <w:szCs w:val="24"/>
        </w:rPr>
        <w:t>of and responsive to sensory seeking and avoidance behaviours compared to staff at Key Stage Two who would wait for advice from outside agencies or be reliant on information passed on from previous staff. This could be indicative of two things – firstly that as children get older they learn coping strategies to manage their sensory integration and secondly the way in which the Key Stage Two curriculum is delivered is perhaps less likely to cause certain sensory behaviours or challenges such as messy play.</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Staff were asked about their confidence level in identifying pupils with sensory needs. Amongst the TA staff, a straight 50% were and 50% were not. They listed difficulties observed, which the children they attributed to sensory processing had encountered.</w:t>
      </w:r>
    </w:p>
    <w:p w:rsidR="004D40DB" w:rsidRDefault="004D40DB" w:rsidP="00471B1A">
      <w:pPr>
        <w:spacing w:after="0" w:line="240" w:lineRule="auto"/>
        <w:rPr>
          <w:rFonts w:ascii="Times New Roman" w:hAnsi="Times New Roman" w:cs="Times New Roman"/>
          <w:sz w:val="24"/>
          <w:szCs w:val="24"/>
        </w:rPr>
      </w:pPr>
    </w:p>
    <w:p w:rsidR="004D40DB" w:rsidRDefault="004D40DB"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471B1A" w:rsidTr="000B2EB8">
        <w:tc>
          <w:tcPr>
            <w:tcW w:w="9016" w:type="dxa"/>
          </w:tcPr>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lastRenderedPageBreak/>
              <w:t>Loud noises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Messy play</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Personal space</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Non structured days are challenging</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Over and under stimulation from classroom environments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Changes in routines and staff e.g. supply cover, support and challenge setting groups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Inappropriate behaviours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Seeming distant</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Needing extra processing time</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Emotional and frustrated</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Unable to express feelings and difficulties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Repetitive behaviours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Pr>
                <w:rFonts w:ascii="Times New Roman" w:hAnsi="Times New Roman" w:cs="Times New Roman"/>
                <w:sz w:val="24"/>
                <w:szCs w:val="24"/>
              </w:rPr>
              <w:t>Participation - u</w:t>
            </w:r>
            <w:r w:rsidRPr="00915B1B">
              <w:rPr>
                <w:rFonts w:ascii="Times New Roman" w:hAnsi="Times New Roman" w:cs="Times New Roman"/>
                <w:sz w:val="24"/>
                <w:szCs w:val="24"/>
              </w:rPr>
              <w:t>nable to line up with class, play with friends</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Regular and persistent bumps and knocks - uncoordinated</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Frightened</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Knowing what they do is wrong or inappropriate but being unable to help it</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Intolerant of temperature, clothing, new people, strong smells, light</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A need for contact</w:t>
            </w:r>
          </w:p>
          <w:p w:rsidR="00471B1A" w:rsidRPr="00915B1B" w:rsidRDefault="00471B1A" w:rsidP="00471B1A">
            <w:pPr>
              <w:pStyle w:val="ListParagraph"/>
              <w:numPr>
                <w:ilvl w:val="0"/>
                <w:numId w:val="4"/>
              </w:numPr>
              <w:ind w:left="306" w:hanging="284"/>
              <w:rPr>
                <w:rFonts w:ascii="Times New Roman" w:hAnsi="Times New Roman" w:cs="Times New Roman"/>
                <w:sz w:val="24"/>
                <w:szCs w:val="24"/>
              </w:rPr>
            </w:pPr>
            <w:r w:rsidRPr="00915B1B">
              <w:rPr>
                <w:rFonts w:ascii="Times New Roman" w:hAnsi="Times New Roman" w:cs="Times New Roman"/>
                <w:sz w:val="24"/>
                <w:szCs w:val="24"/>
              </w:rPr>
              <w:t>Unable to access learning</w:t>
            </w:r>
          </w:p>
        </w:tc>
      </w:tr>
    </w:tbl>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Ways of supporting the above included the following: one-to-one time with TA or small group withdrawal, sharing information with colleagues to meet pupil need, using a calm voice, distraction, moving to a quieter area, physically getting down to the level of the pupil, use of resources including </w:t>
      </w:r>
      <w:proofErr w:type="spellStart"/>
      <w:r>
        <w:rPr>
          <w:rFonts w:ascii="Times New Roman" w:hAnsi="Times New Roman" w:cs="Times New Roman"/>
          <w:sz w:val="24"/>
          <w:szCs w:val="24"/>
        </w:rPr>
        <w:t>chewellry</w:t>
      </w:r>
      <w:proofErr w:type="spellEnd"/>
      <w:r>
        <w:rPr>
          <w:rFonts w:ascii="Times New Roman" w:hAnsi="Times New Roman" w:cs="Times New Roman"/>
          <w:sz w:val="24"/>
          <w:szCs w:val="24"/>
        </w:rPr>
        <w:t>, ear defenders, seeking and following advice from other professionals e.g. Occupational Therapy, class teacher, and following particular programmes such as sensory circuits and deep touch pressure therapy. Also short bursts of integrated therapy play were offered to build up tolerance in activities such as paint.</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In terms of impact, the TA staff made the following observations:</w:t>
      </w:r>
    </w:p>
    <w:p w:rsidR="00471B1A" w:rsidRDefault="00471B1A" w:rsidP="00471B1A">
      <w:pPr>
        <w:spacing w:after="0"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471B1A" w:rsidTr="000B2EB8">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Impact on child</w:t>
            </w:r>
          </w:p>
        </w:tc>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Impact on class</w:t>
            </w:r>
          </w:p>
        </w:tc>
        <w:tc>
          <w:tcPr>
            <w:tcW w:w="3006"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Impact on staff</w:t>
            </w:r>
          </w:p>
        </w:tc>
      </w:tr>
      <w:tr w:rsidR="00471B1A" w:rsidTr="000B2EB8">
        <w:tc>
          <w:tcPr>
            <w:tcW w:w="3005" w:type="dxa"/>
          </w:tcPr>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Social – ability to make friendships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Learning - unable to participate, follow instruction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Disruptive behaviour</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Hitting out at themselves and others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Choking when eating inappropriate items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Frustration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Need for time to feel comfortable in a situation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 xml:space="preserve">Can’t tell you what or why they are feeling </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Avoidance – won’t hold hands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lastRenderedPageBreak/>
              <w:t>Poor balance and coordination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Stress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Lack of focus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Upset</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Violent</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Withdrawn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Unable to use toilets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Fidget</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Daydream</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Scare others with over affection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Over or under reaction to injury</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Making noises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Low self esteem</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Will run around and out from class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Wanting to touch everything</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Doesn’t know own strength</w:t>
            </w:r>
          </w:p>
          <w:p w:rsidR="00471B1A" w:rsidRDefault="00471B1A" w:rsidP="000B2EB8">
            <w:pPr>
              <w:ind w:left="306" w:hanging="284"/>
              <w:rPr>
                <w:rFonts w:ascii="Times New Roman" w:hAnsi="Times New Roman" w:cs="Times New Roman"/>
                <w:sz w:val="24"/>
                <w:szCs w:val="24"/>
              </w:rPr>
            </w:pPr>
          </w:p>
          <w:p w:rsidR="00471B1A" w:rsidRDefault="00471B1A" w:rsidP="000B2EB8">
            <w:pPr>
              <w:ind w:left="306" w:hanging="284"/>
              <w:rPr>
                <w:rFonts w:ascii="Times New Roman" w:hAnsi="Times New Roman" w:cs="Times New Roman"/>
                <w:sz w:val="24"/>
                <w:szCs w:val="24"/>
              </w:rPr>
            </w:pPr>
          </w:p>
        </w:tc>
        <w:tc>
          <w:tcPr>
            <w:tcW w:w="3005" w:type="dxa"/>
          </w:tcPr>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lastRenderedPageBreak/>
              <w:t>Disruption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Lack of empathy and understanding to pupil in need</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Distracting</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Fear</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Behaviours impact on others learning</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Adults have to leave class to deal with behaviour</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Interruptions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Safeguarding</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Pupils isolate the other child – not want to play with them</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No impact on class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lastRenderedPageBreak/>
              <w:t>Children are very tolerant of others</w:t>
            </w:r>
          </w:p>
          <w:p w:rsidR="00471B1A" w:rsidRDefault="00471B1A" w:rsidP="000B2EB8">
            <w:pPr>
              <w:ind w:left="306" w:hanging="284"/>
              <w:rPr>
                <w:rFonts w:ascii="Times New Roman" w:hAnsi="Times New Roman" w:cs="Times New Roman"/>
                <w:sz w:val="24"/>
                <w:szCs w:val="24"/>
              </w:rPr>
            </w:pPr>
          </w:p>
          <w:p w:rsidR="00471B1A" w:rsidRDefault="00471B1A" w:rsidP="000B2EB8">
            <w:pPr>
              <w:ind w:left="306" w:hanging="284"/>
              <w:rPr>
                <w:rFonts w:ascii="Times New Roman" w:hAnsi="Times New Roman" w:cs="Times New Roman"/>
                <w:sz w:val="24"/>
                <w:szCs w:val="24"/>
              </w:rPr>
            </w:pPr>
          </w:p>
        </w:tc>
        <w:tc>
          <w:tcPr>
            <w:tcW w:w="3006" w:type="dxa"/>
          </w:tcPr>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lastRenderedPageBreak/>
              <w:t>Lack of understanding</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Limited resources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Stress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Consequences of inappropriate behaviours in older pupils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Difficult to manage a whole class</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Low morale</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Staff wellbeing</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Recovery from rudeness of pupil</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Stretched when big class numbers and one adult dealing with challenging pupil</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lastRenderedPageBreak/>
              <w:t>Melt downs – needing constant supervision</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Physical violence towards staff</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Effective communication – with a child with mutism</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Over affection from pupil</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Exasperated – unable to help</w:t>
            </w:r>
          </w:p>
          <w:p w:rsidR="00471B1A" w:rsidRPr="001412C8" w:rsidRDefault="00471B1A" w:rsidP="00471B1A">
            <w:pPr>
              <w:pStyle w:val="ListParagraph"/>
              <w:numPr>
                <w:ilvl w:val="0"/>
                <w:numId w:val="5"/>
              </w:numPr>
              <w:ind w:left="306" w:hanging="284"/>
              <w:rPr>
                <w:rFonts w:ascii="Times New Roman" w:hAnsi="Times New Roman" w:cs="Times New Roman"/>
                <w:sz w:val="24"/>
                <w:szCs w:val="24"/>
              </w:rPr>
            </w:pPr>
            <w:r w:rsidRPr="001412C8">
              <w:rPr>
                <w:rFonts w:ascii="Times New Roman" w:hAnsi="Times New Roman" w:cs="Times New Roman"/>
                <w:sz w:val="24"/>
                <w:szCs w:val="24"/>
              </w:rPr>
              <w:t>“not having the right knowledge and understanding can make you lack confidence”</w:t>
            </w:r>
          </w:p>
          <w:p w:rsidR="00471B1A" w:rsidRDefault="00471B1A" w:rsidP="000B2EB8">
            <w:pPr>
              <w:ind w:left="306" w:hanging="284"/>
              <w:rPr>
                <w:rFonts w:ascii="Times New Roman" w:hAnsi="Times New Roman" w:cs="Times New Roman"/>
                <w:sz w:val="24"/>
                <w:szCs w:val="24"/>
              </w:rPr>
            </w:pPr>
          </w:p>
        </w:tc>
      </w:tr>
    </w:tbl>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Teaching assistant staff were aware of a number of supporting programmes that are used at school including Thrive, Relationship based Play, Sensory Circuits, The Sensory Room, </w:t>
      </w:r>
      <w:proofErr w:type="spellStart"/>
      <w:r>
        <w:rPr>
          <w:rFonts w:ascii="Times New Roman" w:hAnsi="Times New Roman" w:cs="Times New Roman"/>
          <w:sz w:val="24"/>
          <w:szCs w:val="24"/>
        </w:rPr>
        <w:t>SmartMoves</w:t>
      </w:r>
      <w:proofErr w:type="spellEnd"/>
      <w:r>
        <w:rPr>
          <w:rFonts w:ascii="Times New Roman" w:hAnsi="Times New Roman" w:cs="Times New Roman"/>
          <w:sz w:val="24"/>
          <w:szCs w:val="24"/>
        </w:rPr>
        <w:t xml:space="preserve">, Deep Touch Therapy, Dough Disco, Yoga, resources from Occupational Therapy. Of those listed, only a small number of staff had received training in the interventions with 5 staff having had no training at all. All staff wanted further training and support and knew to ask either the school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class teachers, one-to-one support assistants or the pupil themselves for advice.</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Results from the teacher’s questionnaires were very similar with a 50% split on being confident to identify a child with sensory needs. Difficulties noted were:</w:t>
      </w:r>
    </w:p>
    <w:p w:rsidR="00471B1A" w:rsidRDefault="00471B1A" w:rsidP="00471B1A">
      <w:pPr>
        <w:spacing w:after="0"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471B1A" w:rsidTr="000B2EB8">
        <w:tc>
          <w:tcPr>
            <w:tcW w:w="9016" w:type="dxa"/>
          </w:tcPr>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Focus in class, being easily distracted</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Poor motor control – both fine and gross</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Poor hand eye coordination, unable to follow instructions particularly noted in PE sessions</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Coping with change in routine and transitioning between activities during the school day</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Regulating emotions</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Mouthing and eating materials</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Noise throughout different areas of the school</w:t>
            </w:r>
          </w:p>
          <w:p w:rsidR="00471B1A" w:rsidRPr="001412C8" w:rsidRDefault="00471B1A" w:rsidP="00471B1A">
            <w:pPr>
              <w:pStyle w:val="ListParagraph"/>
              <w:numPr>
                <w:ilvl w:val="0"/>
                <w:numId w:val="6"/>
              </w:numPr>
              <w:ind w:left="306" w:hanging="306"/>
              <w:rPr>
                <w:rFonts w:ascii="Times New Roman" w:hAnsi="Times New Roman" w:cs="Times New Roman"/>
                <w:sz w:val="24"/>
                <w:szCs w:val="24"/>
              </w:rPr>
            </w:pPr>
            <w:r w:rsidRPr="001412C8">
              <w:rPr>
                <w:rFonts w:ascii="Times New Roman" w:hAnsi="Times New Roman" w:cs="Times New Roman"/>
                <w:sz w:val="24"/>
                <w:szCs w:val="24"/>
              </w:rPr>
              <w:t>Being in a busy classroom environment with large pupil numbers</w:t>
            </w:r>
          </w:p>
        </w:tc>
      </w:tr>
    </w:tbl>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Interestingly, challenging behaviours were not noted by teaching staff, and responses seemed to centre on the difficulties that pupils had relating to access to curriculum rather than pupil wellbeing. In terms of impact, teachers found the following:</w:t>
      </w:r>
    </w:p>
    <w:p w:rsidR="00471B1A" w:rsidRDefault="00471B1A" w:rsidP="00471B1A">
      <w:pPr>
        <w:spacing w:after="0"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471B1A" w:rsidTr="000B2EB8">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Impact on child</w:t>
            </w:r>
          </w:p>
        </w:tc>
        <w:tc>
          <w:tcPr>
            <w:tcW w:w="3005"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Impact on class</w:t>
            </w:r>
          </w:p>
        </w:tc>
        <w:tc>
          <w:tcPr>
            <w:tcW w:w="3006" w:type="dxa"/>
          </w:tcPr>
          <w:p w:rsidR="00471B1A" w:rsidRDefault="00471B1A" w:rsidP="000B2EB8">
            <w:pPr>
              <w:rPr>
                <w:rFonts w:ascii="Times New Roman" w:hAnsi="Times New Roman" w:cs="Times New Roman"/>
                <w:sz w:val="24"/>
                <w:szCs w:val="24"/>
              </w:rPr>
            </w:pPr>
            <w:r>
              <w:rPr>
                <w:rFonts w:ascii="Times New Roman" w:hAnsi="Times New Roman" w:cs="Times New Roman"/>
                <w:sz w:val="24"/>
                <w:szCs w:val="24"/>
              </w:rPr>
              <w:t>Impact on staff</w:t>
            </w:r>
          </w:p>
        </w:tc>
      </w:tr>
      <w:tr w:rsidR="00471B1A" w:rsidTr="000B2EB8">
        <w:tc>
          <w:tcPr>
            <w:tcW w:w="3005" w:type="dxa"/>
          </w:tcPr>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Safety</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Focus</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Relationship with peers</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Impact on all areas of learning</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Distressed</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Cries easily</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Excluded</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Avoidance</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Need for set routine</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Anxious</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Lack of confidence</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Low self esteem</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impaired emotional and physical development</w:t>
            </w:r>
          </w:p>
          <w:p w:rsidR="00471B1A" w:rsidRDefault="00471B1A" w:rsidP="000B2EB8">
            <w:pPr>
              <w:ind w:left="306" w:hanging="284"/>
              <w:rPr>
                <w:rFonts w:ascii="Times New Roman" w:hAnsi="Times New Roman" w:cs="Times New Roman"/>
                <w:sz w:val="24"/>
                <w:szCs w:val="24"/>
              </w:rPr>
            </w:pPr>
          </w:p>
        </w:tc>
        <w:tc>
          <w:tcPr>
            <w:tcW w:w="3005" w:type="dxa"/>
          </w:tcPr>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Occasional disruption</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Pupils are supportive and tolerant, know the need for quiet times and are accommodating</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Class activities have to be limited to be inclusive</w:t>
            </w:r>
          </w:p>
          <w:p w:rsidR="00471B1A" w:rsidRDefault="00471B1A" w:rsidP="000B2EB8">
            <w:pPr>
              <w:ind w:left="306" w:hanging="284"/>
              <w:rPr>
                <w:rFonts w:ascii="Times New Roman" w:hAnsi="Times New Roman" w:cs="Times New Roman"/>
                <w:sz w:val="24"/>
                <w:szCs w:val="24"/>
              </w:rPr>
            </w:pPr>
          </w:p>
          <w:p w:rsidR="00471B1A" w:rsidRDefault="00471B1A" w:rsidP="000B2EB8">
            <w:pPr>
              <w:ind w:left="306" w:hanging="284"/>
              <w:rPr>
                <w:rFonts w:ascii="Times New Roman" w:hAnsi="Times New Roman" w:cs="Times New Roman"/>
                <w:sz w:val="24"/>
                <w:szCs w:val="24"/>
              </w:rPr>
            </w:pPr>
          </w:p>
        </w:tc>
        <w:tc>
          <w:tcPr>
            <w:tcW w:w="3006" w:type="dxa"/>
          </w:tcPr>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Time to address need</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Safety of the pupil outside of the classroom – need for supervision</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Pr>
                <w:rFonts w:ascii="Times New Roman" w:hAnsi="Times New Roman" w:cs="Times New Roman"/>
                <w:sz w:val="24"/>
                <w:szCs w:val="24"/>
              </w:rPr>
              <w:t>Need to pre warn</w:t>
            </w:r>
            <w:r w:rsidRPr="0096440E">
              <w:rPr>
                <w:rFonts w:ascii="Times New Roman" w:hAnsi="Times New Roman" w:cs="Times New Roman"/>
                <w:sz w:val="24"/>
                <w:szCs w:val="24"/>
              </w:rPr>
              <w:t xml:space="preserve"> and prepare child for changes to routine, environment, introducing something new</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Reassurance</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To be aware and sensitive</w:t>
            </w:r>
          </w:p>
          <w:p w:rsidR="00471B1A" w:rsidRPr="0096440E" w:rsidRDefault="00471B1A" w:rsidP="00471B1A">
            <w:pPr>
              <w:pStyle w:val="ListParagraph"/>
              <w:numPr>
                <w:ilvl w:val="0"/>
                <w:numId w:val="7"/>
              </w:numPr>
              <w:ind w:left="306" w:hanging="284"/>
              <w:rPr>
                <w:rFonts w:ascii="Times New Roman" w:hAnsi="Times New Roman" w:cs="Times New Roman"/>
                <w:sz w:val="24"/>
                <w:szCs w:val="24"/>
              </w:rPr>
            </w:pPr>
            <w:r w:rsidRPr="0096440E">
              <w:rPr>
                <w:rFonts w:ascii="Times New Roman" w:hAnsi="Times New Roman" w:cs="Times New Roman"/>
                <w:sz w:val="24"/>
                <w:szCs w:val="24"/>
              </w:rPr>
              <w:t>To meet physical (toilet) needs</w:t>
            </w:r>
          </w:p>
        </w:tc>
      </w:tr>
    </w:tbl>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Teaching staff seemed to focus less on the negative impact upon staff and more on how their practise needed to be adjusted to meet the needs of the child. They also found there to be less of a negative impact upon the class as a whole and that pupil relationships could actually be supportive towards pupils with sensory needs.</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Teaching staff noted the same methods of support but also use of additional resources such as fidget toys, purchased by staff or supplied by parents, supportive chairs provided by Occupational Therapy, a sensory box containing coloured water shakers and vibrating timers, visual prompts, weighted blankets and also providing reasonable adjustments such as eating in the classroom with friends rather than in the canteen. Emotional support and reassurance were frequently mentioned by teachers.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All support programmes were noted by teaching staff and teaching assistants alike, however with the exception of the previous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xml:space="preserve">, no teaching staff had attended any training courses to deliver the interventions. Advice was from professional bodies such as the Educational Psychologist, Occupational Therapist or Additional Learning Team advisors.  Again, all staff with the exception of the previous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xml:space="preserve">, wished to receive more training and support.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two questionnaires from lunchtime staff highlighted difficulties in the canteen relating to noise, smell, colour and texture of the food. Extra time to eat and a quieter area of the canteen or smaller individual tables, along with ear defenders were used to support the pupils. Impact noted was escalation in behaviours from all pupils and a pressure on staff to keep a calm environment and provide suitable meals. Again both staff members would like further training.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Of the 30 evaluations completed, 10 cited sensory processing as a disorder in its own right, 5 believe it is a tag on condition to other disorders such as ASD and ADHD, however the majority of 15 felt that sensory processing could be both a disorder in its own and present with other conditions.</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Key findings from this evaluation are as follows. There is firstly a need for clarity when identifying pupils with sensory processing and integration difficulties to give staff the confidence to both ask for help and support the pupil appropriately. Staff need to know definitively what a sensory processing disorder is and what to look for. Biel and </w:t>
      </w:r>
      <w:proofErr w:type="spellStart"/>
      <w:r>
        <w:rPr>
          <w:rFonts w:ascii="Times New Roman" w:hAnsi="Times New Roman" w:cs="Times New Roman"/>
          <w:sz w:val="24"/>
          <w:szCs w:val="24"/>
        </w:rPr>
        <w:t>Peske</w:t>
      </w:r>
      <w:proofErr w:type="spellEnd"/>
      <w:r>
        <w:rPr>
          <w:rFonts w:ascii="Times New Roman" w:hAnsi="Times New Roman" w:cs="Times New Roman"/>
          <w:sz w:val="24"/>
          <w:szCs w:val="24"/>
        </w:rPr>
        <w:t xml:space="preserve"> (2005, p. 16) believe that “</w:t>
      </w:r>
      <w:r w:rsidRPr="0096440E">
        <w:rPr>
          <w:rFonts w:ascii="Times New Roman" w:hAnsi="Times New Roman" w:cs="Times New Roman"/>
          <w:sz w:val="24"/>
          <w:szCs w:val="24"/>
        </w:rPr>
        <w:t>Most of us have sensory intolerances and preferences. It’s really a matter of degree.</w:t>
      </w:r>
      <w:r>
        <w:rPr>
          <w:rFonts w:ascii="Times New Roman" w:hAnsi="Times New Roman" w:cs="Times New Roman"/>
          <w:sz w:val="24"/>
          <w:szCs w:val="24"/>
        </w:rPr>
        <w:t>”</w:t>
      </w:r>
    </w:p>
    <w:p w:rsidR="00471B1A" w:rsidRPr="0096440E" w:rsidRDefault="00471B1A" w:rsidP="00471B1A">
      <w:pPr>
        <w:spacing w:after="0" w:line="240" w:lineRule="auto"/>
        <w:ind w:left="851" w:right="851"/>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They go onto list behavioural symptoms (p. 17) which can impact on both daily life and the ability to learn – most of which were highlighted by staff on the evaluation. These include: over and </w:t>
      </w:r>
      <w:proofErr w:type="spellStart"/>
      <w:r>
        <w:rPr>
          <w:rFonts w:ascii="Times New Roman" w:hAnsi="Times New Roman" w:cs="Times New Roman"/>
          <w:sz w:val="24"/>
          <w:szCs w:val="24"/>
        </w:rPr>
        <w:t>undersenstivity</w:t>
      </w:r>
      <w:proofErr w:type="spellEnd"/>
      <w:r>
        <w:rPr>
          <w:rFonts w:ascii="Times New Roman" w:hAnsi="Times New Roman" w:cs="Times New Roman"/>
          <w:sz w:val="24"/>
          <w:szCs w:val="24"/>
        </w:rPr>
        <w:t xml:space="preserve"> to the five common senses, attention difficulties, unusually high or low activity levels, tuning out or withdrawing, out of proportion responses, impulsiveness, rigidity, clumsiness and carelessness, social and emotional difficulties, learning delay, frustration and difficulty self-regulating, transitioning between different emotional states.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Coelho and </w:t>
      </w:r>
      <w:proofErr w:type="spellStart"/>
      <w:r>
        <w:rPr>
          <w:rFonts w:ascii="Times New Roman" w:hAnsi="Times New Roman" w:cs="Times New Roman"/>
          <w:sz w:val="24"/>
          <w:szCs w:val="24"/>
        </w:rPr>
        <w:t>Seely</w:t>
      </w:r>
      <w:proofErr w:type="spellEnd"/>
      <w:r>
        <w:rPr>
          <w:rFonts w:ascii="Times New Roman" w:hAnsi="Times New Roman" w:cs="Times New Roman"/>
          <w:sz w:val="24"/>
          <w:szCs w:val="24"/>
        </w:rPr>
        <w:t xml:space="preserve"> (2018, p. 26) also describe sensory defensive behaviours including avoidance, gravitational insecurities, auditory, visual and oral defensive behaviours and state:</w:t>
      </w:r>
    </w:p>
    <w:p w:rsidR="00471B1A" w:rsidRDefault="00471B1A" w:rsidP="00471B1A">
      <w:pPr>
        <w:spacing w:after="0" w:line="240" w:lineRule="auto"/>
        <w:rPr>
          <w:rFonts w:ascii="Times New Roman" w:hAnsi="Times New Roman" w:cs="Times New Roman"/>
          <w:sz w:val="24"/>
          <w:szCs w:val="24"/>
        </w:rPr>
      </w:pPr>
    </w:p>
    <w:p w:rsidR="00471B1A" w:rsidRPr="00F8615B" w:rsidRDefault="00471B1A" w:rsidP="00471B1A">
      <w:pPr>
        <w:spacing w:after="0" w:line="240" w:lineRule="auto"/>
        <w:ind w:left="851" w:right="851"/>
        <w:rPr>
          <w:rFonts w:ascii="Times New Roman" w:hAnsi="Times New Roman" w:cs="Times New Roman"/>
          <w:sz w:val="24"/>
          <w:szCs w:val="24"/>
        </w:rPr>
      </w:pPr>
      <w:r w:rsidRPr="00F8615B">
        <w:rPr>
          <w:rFonts w:ascii="Times New Roman" w:hAnsi="Times New Roman" w:cs="Times New Roman"/>
          <w:sz w:val="24"/>
          <w:szCs w:val="24"/>
        </w:rPr>
        <w:t>These pupils operate under high levels of anxiety… They may avoid sensations to prevent negative reactions but seek out certain sensations as a coping strategy.</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more obvious displayed behaviour is that of stimming. Coelho and </w:t>
      </w:r>
      <w:proofErr w:type="spellStart"/>
      <w:r>
        <w:rPr>
          <w:rFonts w:ascii="Times New Roman" w:hAnsi="Times New Roman" w:cs="Times New Roman"/>
          <w:sz w:val="24"/>
          <w:szCs w:val="24"/>
        </w:rPr>
        <w:t>Seely</w:t>
      </w:r>
      <w:proofErr w:type="spellEnd"/>
      <w:r>
        <w:rPr>
          <w:rFonts w:ascii="Times New Roman" w:hAnsi="Times New Roman" w:cs="Times New Roman"/>
          <w:sz w:val="24"/>
          <w:szCs w:val="24"/>
        </w:rPr>
        <w:t xml:space="preserve"> (2018, p. 56) write:</w:t>
      </w:r>
    </w:p>
    <w:p w:rsidR="00471B1A" w:rsidRDefault="00471B1A" w:rsidP="00471B1A">
      <w:pPr>
        <w:spacing w:after="0" w:line="240" w:lineRule="auto"/>
        <w:rPr>
          <w:rFonts w:ascii="Times New Roman" w:hAnsi="Times New Roman" w:cs="Times New Roman"/>
          <w:sz w:val="24"/>
          <w:szCs w:val="24"/>
        </w:rPr>
      </w:pPr>
    </w:p>
    <w:p w:rsidR="00471B1A" w:rsidRPr="00F8615B" w:rsidRDefault="00471B1A" w:rsidP="00471B1A">
      <w:pPr>
        <w:spacing w:after="0" w:line="240" w:lineRule="auto"/>
        <w:ind w:left="851" w:right="851"/>
        <w:rPr>
          <w:rFonts w:ascii="Times New Roman" w:hAnsi="Times New Roman" w:cs="Times New Roman"/>
          <w:sz w:val="24"/>
          <w:szCs w:val="24"/>
        </w:rPr>
      </w:pPr>
      <w:r w:rsidRPr="00F8615B">
        <w:rPr>
          <w:rFonts w:ascii="Times New Roman" w:hAnsi="Times New Roman" w:cs="Times New Roman"/>
          <w:sz w:val="24"/>
          <w:szCs w:val="24"/>
        </w:rPr>
        <w:t>Stimming…. helps them focus or tune out other sensory stimuli….it can help when feeling overwhelmed or give them the sensory input they crave.</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Whilst Yack et al (2002, p. 28) describe stimming as: </w:t>
      </w:r>
    </w:p>
    <w:p w:rsidR="00471B1A" w:rsidRDefault="00471B1A" w:rsidP="00471B1A">
      <w:pPr>
        <w:spacing w:after="0" w:line="240" w:lineRule="auto"/>
        <w:rPr>
          <w:rFonts w:ascii="Times New Roman" w:hAnsi="Times New Roman" w:cs="Times New Roman"/>
          <w:sz w:val="24"/>
          <w:szCs w:val="24"/>
        </w:rPr>
      </w:pPr>
    </w:p>
    <w:p w:rsidR="00471B1A" w:rsidRPr="00F8615B" w:rsidRDefault="00471B1A" w:rsidP="00471B1A">
      <w:pPr>
        <w:spacing w:after="0" w:line="240" w:lineRule="auto"/>
        <w:ind w:left="851" w:right="851"/>
        <w:rPr>
          <w:rFonts w:ascii="Times New Roman" w:hAnsi="Times New Roman" w:cs="Times New Roman"/>
          <w:sz w:val="24"/>
          <w:szCs w:val="24"/>
        </w:rPr>
      </w:pPr>
      <w:r w:rsidRPr="00F8615B">
        <w:rPr>
          <w:rFonts w:ascii="Times New Roman" w:hAnsi="Times New Roman" w:cs="Times New Roman"/>
          <w:sz w:val="24"/>
          <w:szCs w:val="24"/>
        </w:rPr>
        <w:t>The child who engages in preservative or self-stimulatory behaviour, may have difficulty in starting, switching or stopping motor acts.</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either case, the act of stimming itself, providing it is </w:t>
      </w:r>
      <w:proofErr w:type="gramStart"/>
      <w:r>
        <w:rPr>
          <w:rFonts w:ascii="Times New Roman" w:hAnsi="Times New Roman" w:cs="Times New Roman"/>
          <w:sz w:val="24"/>
          <w:szCs w:val="24"/>
        </w:rPr>
        <w:t>neither harmful or</w:t>
      </w:r>
      <w:proofErr w:type="gramEnd"/>
      <w:r>
        <w:rPr>
          <w:rFonts w:ascii="Times New Roman" w:hAnsi="Times New Roman" w:cs="Times New Roman"/>
          <w:sz w:val="24"/>
          <w:szCs w:val="24"/>
        </w:rPr>
        <w:t xml:space="preserve"> inappropriate should not be discouraged. Another common behaviour is that of avoidance of eye contact. Coelho and Seeley (2018, p. 27) describe the avoidance of eye contact as “</w:t>
      </w:r>
      <w:proofErr w:type="spellStart"/>
      <w:r>
        <w:rPr>
          <w:rFonts w:ascii="Times New Roman" w:hAnsi="Times New Roman" w:cs="Times New Roman"/>
          <w:sz w:val="24"/>
          <w:szCs w:val="24"/>
        </w:rPr>
        <w:t>monochanneling</w:t>
      </w:r>
      <w:proofErr w:type="spellEnd"/>
      <w:r>
        <w:rPr>
          <w:rFonts w:ascii="Times New Roman" w:hAnsi="Times New Roman" w:cs="Times New Roman"/>
          <w:sz w:val="24"/>
          <w:szCs w:val="24"/>
        </w:rPr>
        <w:t>”, where the pupil will look away in order to concentrate on the words being spoken rather than the visual stimulus of the speaker, and therefore not having to use two sensory pathways at once. Conversely pupils may appear that they are engaged in their own tasks, oblivious to the environment around them but are in fact adept at filtering. They write (2018, p. 41):</w:t>
      </w:r>
    </w:p>
    <w:p w:rsidR="00471B1A" w:rsidRDefault="00471B1A" w:rsidP="00471B1A">
      <w:pPr>
        <w:spacing w:after="0" w:line="240" w:lineRule="auto"/>
        <w:rPr>
          <w:rFonts w:ascii="Times New Roman" w:hAnsi="Times New Roman" w:cs="Times New Roman"/>
          <w:b/>
          <w:i/>
          <w:sz w:val="24"/>
          <w:szCs w:val="24"/>
        </w:rPr>
      </w:pPr>
    </w:p>
    <w:p w:rsidR="00471B1A" w:rsidRPr="00353E21" w:rsidRDefault="00471B1A" w:rsidP="00471B1A">
      <w:pPr>
        <w:spacing w:after="0" w:line="240" w:lineRule="auto"/>
        <w:ind w:left="851" w:right="851"/>
        <w:rPr>
          <w:rFonts w:ascii="Times New Roman" w:hAnsi="Times New Roman" w:cs="Times New Roman"/>
          <w:sz w:val="24"/>
          <w:szCs w:val="24"/>
        </w:rPr>
      </w:pPr>
      <w:r w:rsidRPr="00353E21">
        <w:rPr>
          <w:rFonts w:ascii="Times New Roman" w:hAnsi="Times New Roman" w:cs="Times New Roman"/>
          <w:sz w:val="24"/>
          <w:szCs w:val="24"/>
        </w:rPr>
        <w:t>They appear to be engaged in their own activity but they are also taking in all the conversations around them… and it take a great deal of effort to focus on one conversation.</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As a school we need to hold a training session to discuss and clarify all of these behaviours and what reasonable adjustments can be made to support the pupils. There is a need for a more in depth understanding. As Biel and </w:t>
      </w:r>
      <w:proofErr w:type="spellStart"/>
      <w:r>
        <w:rPr>
          <w:rFonts w:ascii="Times New Roman" w:hAnsi="Times New Roman" w:cs="Times New Roman"/>
          <w:sz w:val="24"/>
          <w:szCs w:val="24"/>
        </w:rPr>
        <w:t>Peske</w:t>
      </w:r>
      <w:proofErr w:type="spellEnd"/>
      <w:r>
        <w:rPr>
          <w:rFonts w:ascii="Times New Roman" w:hAnsi="Times New Roman" w:cs="Times New Roman"/>
          <w:sz w:val="24"/>
          <w:szCs w:val="24"/>
        </w:rPr>
        <w:t xml:space="preserve"> (</w:t>
      </w:r>
      <w:r w:rsidRPr="00C43366">
        <w:rPr>
          <w:rFonts w:ascii="Times New Roman" w:hAnsi="Times New Roman" w:cs="Times New Roman"/>
          <w:sz w:val="24"/>
          <w:szCs w:val="24"/>
        </w:rPr>
        <w:t xml:space="preserve">2005, </w:t>
      </w:r>
      <w:r>
        <w:rPr>
          <w:rFonts w:ascii="Times New Roman" w:hAnsi="Times New Roman" w:cs="Times New Roman"/>
          <w:sz w:val="24"/>
          <w:szCs w:val="24"/>
        </w:rPr>
        <w:t>p.</w:t>
      </w:r>
      <w:r w:rsidRPr="00C43366">
        <w:rPr>
          <w:rFonts w:ascii="Times New Roman" w:hAnsi="Times New Roman" w:cs="Times New Roman"/>
          <w:sz w:val="24"/>
          <w:szCs w:val="24"/>
        </w:rPr>
        <w:t xml:space="preserve"> 21)</w:t>
      </w:r>
      <w:r>
        <w:rPr>
          <w:rFonts w:ascii="Times New Roman" w:hAnsi="Times New Roman" w:cs="Times New Roman"/>
          <w:sz w:val="24"/>
          <w:szCs w:val="24"/>
        </w:rPr>
        <w:t xml:space="preserve"> write while describing staff as “sensory detectives”: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ind w:left="851" w:right="851"/>
        <w:rPr>
          <w:rFonts w:ascii="Times New Roman" w:hAnsi="Times New Roman" w:cs="Times New Roman"/>
          <w:sz w:val="24"/>
          <w:szCs w:val="24"/>
        </w:rPr>
      </w:pPr>
      <w:r>
        <w:rPr>
          <w:rFonts w:ascii="Times New Roman" w:hAnsi="Times New Roman" w:cs="Times New Roman"/>
          <w:sz w:val="24"/>
          <w:szCs w:val="24"/>
        </w:rPr>
        <w:t>We need to be aware of what is happening to the child’s nervous system, what outward behaviours are being displayed and how the child is compensating.</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Coelho and Seeley (2018, </w:t>
      </w:r>
      <w:r w:rsidRPr="00C43366">
        <w:rPr>
          <w:rFonts w:ascii="Times New Roman" w:hAnsi="Times New Roman" w:cs="Times New Roman"/>
          <w:sz w:val="24"/>
          <w:szCs w:val="24"/>
        </w:rPr>
        <w:t>p</w:t>
      </w:r>
      <w:r>
        <w:rPr>
          <w:rFonts w:ascii="Times New Roman" w:hAnsi="Times New Roman" w:cs="Times New Roman"/>
          <w:sz w:val="24"/>
          <w:szCs w:val="24"/>
        </w:rPr>
        <w:t xml:space="preserve">. </w:t>
      </w:r>
      <w:r w:rsidRPr="00C43366">
        <w:rPr>
          <w:rFonts w:ascii="Times New Roman" w:hAnsi="Times New Roman" w:cs="Times New Roman"/>
          <w:sz w:val="24"/>
          <w:szCs w:val="24"/>
        </w:rPr>
        <w:t>46)</w:t>
      </w:r>
      <w:r>
        <w:rPr>
          <w:rFonts w:ascii="Times New Roman" w:hAnsi="Times New Roman" w:cs="Times New Roman"/>
          <w:sz w:val="24"/>
          <w:szCs w:val="24"/>
        </w:rPr>
        <w:t xml:space="preserve"> write:</w:t>
      </w:r>
    </w:p>
    <w:p w:rsidR="00471B1A" w:rsidRDefault="00471B1A" w:rsidP="00471B1A">
      <w:pPr>
        <w:spacing w:after="0" w:line="240" w:lineRule="auto"/>
        <w:rPr>
          <w:rFonts w:ascii="Times New Roman" w:hAnsi="Times New Roman" w:cs="Times New Roman"/>
          <w:sz w:val="24"/>
          <w:szCs w:val="24"/>
        </w:rPr>
      </w:pPr>
    </w:p>
    <w:p w:rsidR="00471B1A" w:rsidRPr="00353E21" w:rsidRDefault="00471B1A" w:rsidP="00471B1A">
      <w:pPr>
        <w:spacing w:after="0" w:line="240" w:lineRule="auto"/>
        <w:ind w:left="851" w:right="851"/>
        <w:rPr>
          <w:rFonts w:ascii="Times New Roman" w:hAnsi="Times New Roman" w:cs="Times New Roman"/>
          <w:sz w:val="24"/>
          <w:szCs w:val="24"/>
        </w:rPr>
      </w:pPr>
      <w:r w:rsidRPr="00353E21">
        <w:rPr>
          <w:rFonts w:ascii="Times New Roman" w:hAnsi="Times New Roman" w:cs="Times New Roman"/>
          <w:sz w:val="24"/>
          <w:szCs w:val="24"/>
        </w:rPr>
        <w:t xml:space="preserve">Embracing differences and similarities all </w:t>
      </w:r>
      <w:proofErr w:type="gramStart"/>
      <w:r w:rsidRPr="00353E21">
        <w:rPr>
          <w:rFonts w:ascii="Times New Roman" w:hAnsi="Times New Roman" w:cs="Times New Roman"/>
          <w:sz w:val="24"/>
          <w:szCs w:val="24"/>
        </w:rPr>
        <w:t>adds</w:t>
      </w:r>
      <w:proofErr w:type="gramEnd"/>
      <w:r w:rsidRPr="00353E21">
        <w:rPr>
          <w:rFonts w:ascii="Times New Roman" w:hAnsi="Times New Roman" w:cs="Times New Roman"/>
          <w:sz w:val="24"/>
          <w:szCs w:val="24"/>
        </w:rPr>
        <w:t xml:space="preserve"> up to helping to identify our individual uniqueness as a positive thing.</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We also need to consider training for all staff, to make all aware of the resources available and the programmes that are used. There is a current disparity between teachers and teaching assistants in training experiences and also attitudes towards dealing with pupils with sensory issues and the impact that this has on staff wellbeing. This could be addressed within a staff discussion, staff could be paired up to disseminate training and also teaching staff need to be more aware of TAs working one-to-one with individuals with challenging sensory behaviours. The interventions need to be shared and time provided so that teaching staff are able to have feedback sessions with their TA staff to improve support dialogue for both pupils and staff.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There needs to be time for Foundation Phase and Key Stage Two teachers to discuss experiences of sensory challenges to ensure that when pupils move between phases their support continues and that interventions which have and haven’t been successful can be shared. Pupils need continuity of support and resources readily available to endure a smooth transition.</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As a school we need to consider what we are able to provide and what reasonable adjustments can be made to support sensory difficulties. Coelho and </w:t>
      </w:r>
      <w:proofErr w:type="spellStart"/>
      <w:r>
        <w:rPr>
          <w:rFonts w:ascii="Times New Roman" w:hAnsi="Times New Roman" w:cs="Times New Roman"/>
          <w:sz w:val="24"/>
          <w:szCs w:val="24"/>
        </w:rPr>
        <w:t>Seely</w:t>
      </w:r>
      <w:proofErr w:type="spellEnd"/>
      <w:r>
        <w:rPr>
          <w:rFonts w:ascii="Times New Roman" w:hAnsi="Times New Roman" w:cs="Times New Roman"/>
          <w:sz w:val="24"/>
          <w:szCs w:val="24"/>
        </w:rPr>
        <w:t xml:space="preserve"> (2018, p. 51) cite deep touch pressure as an effective tool for proprioceptive input. Use of weighted blankets, textured objects, brushes and balls can be successful in providing sensory feedback.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Providing a dedicated space for pupils such as a sensory room can be beneficial as a place where pupils can self-regulate and remove themselves from a busy classroom environment. Coelho and Seeley (2018, p. 11) write that in a state of high arousal pupils have:</w:t>
      </w:r>
    </w:p>
    <w:p w:rsidR="00471B1A" w:rsidRDefault="00471B1A" w:rsidP="00471B1A">
      <w:pPr>
        <w:spacing w:after="0" w:line="240" w:lineRule="auto"/>
        <w:rPr>
          <w:rFonts w:ascii="Times New Roman" w:hAnsi="Times New Roman" w:cs="Times New Roman"/>
          <w:sz w:val="24"/>
          <w:szCs w:val="24"/>
        </w:rPr>
      </w:pPr>
    </w:p>
    <w:p w:rsidR="00471B1A" w:rsidRPr="00177346" w:rsidRDefault="00471B1A" w:rsidP="00471B1A">
      <w:pPr>
        <w:spacing w:after="0" w:line="240" w:lineRule="auto"/>
        <w:ind w:left="851" w:right="851"/>
        <w:rPr>
          <w:rFonts w:ascii="Times New Roman" w:hAnsi="Times New Roman" w:cs="Times New Roman"/>
          <w:sz w:val="24"/>
          <w:szCs w:val="24"/>
        </w:rPr>
      </w:pPr>
      <w:r w:rsidRPr="00177346">
        <w:rPr>
          <w:rFonts w:ascii="Times New Roman" w:hAnsi="Times New Roman" w:cs="Times New Roman"/>
          <w:sz w:val="24"/>
          <w:szCs w:val="24"/>
        </w:rPr>
        <w:t xml:space="preserve">Limited ability to control emotional and behavioural reactions and they are in a similar state to fight, flight or freeze. </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It is therefore important to have a safe area, or a safe place plan where pupils know they can go. We have an established sensory room at our school (appendix B), however this space is both underdeveloped and underused. This space needs to have black out blinds, lamps and coloured tubes, resources need to be clearly labelled and organised and further sensory tools such as weighted blankets, rocking chairs and </w:t>
      </w:r>
      <w:proofErr w:type="spellStart"/>
      <w:r>
        <w:rPr>
          <w:rFonts w:ascii="Times New Roman" w:hAnsi="Times New Roman" w:cs="Times New Roman"/>
          <w:sz w:val="24"/>
          <w:szCs w:val="24"/>
        </w:rPr>
        <w:t>squeezy</w:t>
      </w:r>
      <w:proofErr w:type="spellEnd"/>
      <w:r>
        <w:rPr>
          <w:rFonts w:ascii="Times New Roman" w:hAnsi="Times New Roman" w:cs="Times New Roman"/>
          <w:sz w:val="24"/>
          <w:szCs w:val="24"/>
        </w:rPr>
        <w:t xml:space="preserve"> balls could be purchased. Within our classroom environments, small changes such as noise meters, decluttering and reorganising resources, plainer wall colours and less busy display boards (so less visual stimulus) can </w:t>
      </w:r>
      <w:r>
        <w:rPr>
          <w:rFonts w:ascii="Times New Roman" w:hAnsi="Times New Roman" w:cs="Times New Roman"/>
          <w:sz w:val="24"/>
          <w:szCs w:val="24"/>
        </w:rPr>
        <w:lastRenderedPageBreak/>
        <w:t xml:space="preserve">make a big difference to a calmer classroom. Coelho and </w:t>
      </w:r>
      <w:proofErr w:type="spellStart"/>
      <w:r>
        <w:rPr>
          <w:rFonts w:ascii="Times New Roman" w:hAnsi="Times New Roman" w:cs="Times New Roman"/>
          <w:sz w:val="24"/>
          <w:szCs w:val="24"/>
        </w:rPr>
        <w:t>Seely</w:t>
      </w:r>
      <w:proofErr w:type="spellEnd"/>
      <w:r>
        <w:rPr>
          <w:rFonts w:ascii="Times New Roman" w:hAnsi="Times New Roman" w:cs="Times New Roman"/>
          <w:sz w:val="24"/>
          <w:szCs w:val="24"/>
        </w:rPr>
        <w:t xml:space="preserve"> suggest (2018, p. 14) to </w:t>
      </w:r>
      <w:r w:rsidRPr="00177346">
        <w:rPr>
          <w:rFonts w:ascii="Times New Roman" w:hAnsi="Times New Roman" w:cs="Times New Roman"/>
          <w:sz w:val="24"/>
          <w:szCs w:val="24"/>
        </w:rPr>
        <w:t>“keep one wall bare so the child can direct attention to a clear view.”</w:t>
      </w:r>
    </w:p>
    <w:p w:rsidR="00471B1A" w:rsidRPr="00430C18"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We need to make more efficient use of the programmes already in place. Our Thrive practitioners have many resources and activity plans for messy play. </w:t>
      </w:r>
      <w:proofErr w:type="spellStart"/>
      <w:r>
        <w:rPr>
          <w:rFonts w:ascii="Times New Roman" w:hAnsi="Times New Roman" w:cs="Times New Roman"/>
          <w:sz w:val="24"/>
          <w:szCs w:val="24"/>
        </w:rPr>
        <w:t>Greutman</w:t>
      </w:r>
      <w:proofErr w:type="spellEnd"/>
      <w:r>
        <w:rPr>
          <w:rFonts w:ascii="Times New Roman" w:hAnsi="Times New Roman" w:cs="Times New Roman"/>
          <w:sz w:val="24"/>
          <w:szCs w:val="24"/>
        </w:rPr>
        <w:t xml:space="preserve"> (2018) relates messy play to Piaget’s theories of development – the sensorimotor and preoperational states. She believes:</w:t>
      </w:r>
    </w:p>
    <w:p w:rsidR="00471B1A" w:rsidRDefault="00471B1A" w:rsidP="00471B1A">
      <w:pPr>
        <w:spacing w:after="0" w:line="240" w:lineRule="auto"/>
        <w:rPr>
          <w:rFonts w:ascii="Times New Roman" w:hAnsi="Times New Roman" w:cs="Times New Roman"/>
          <w:sz w:val="24"/>
          <w:szCs w:val="24"/>
        </w:rPr>
      </w:pPr>
    </w:p>
    <w:p w:rsidR="00471B1A" w:rsidRPr="00A67CCE" w:rsidRDefault="00471B1A" w:rsidP="00471B1A">
      <w:pPr>
        <w:spacing w:after="0" w:line="240" w:lineRule="auto"/>
        <w:ind w:left="851" w:right="851"/>
        <w:rPr>
          <w:rFonts w:ascii="Times New Roman" w:hAnsi="Times New Roman" w:cs="Times New Roman"/>
          <w:sz w:val="24"/>
          <w:szCs w:val="24"/>
        </w:rPr>
      </w:pPr>
      <w:r w:rsidRPr="00A67CCE">
        <w:rPr>
          <w:rFonts w:ascii="Times New Roman" w:hAnsi="Times New Roman" w:cs="Times New Roman"/>
          <w:sz w:val="24"/>
          <w:szCs w:val="24"/>
        </w:rPr>
        <w:t>Play through experimenting and exploring their environment is critical for development… language development, physical development, creative development and cognitive skills.</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key intervention programme that we have in school is Sensory Circuits, however we currently have only three members of staff trained to deliver it. This needs to be disseminated to all staff. Yack et al (2002, p. 36) describe a bespoke programme of sensory activity as a sensory diet which “can be effective in regulating arousal levels” whilst </w:t>
      </w:r>
      <w:proofErr w:type="spellStart"/>
      <w:r>
        <w:rPr>
          <w:rFonts w:ascii="Times New Roman" w:hAnsi="Times New Roman" w:cs="Times New Roman"/>
          <w:sz w:val="24"/>
          <w:szCs w:val="24"/>
        </w:rPr>
        <w:t>Horwood</w:t>
      </w:r>
      <w:proofErr w:type="spellEnd"/>
      <w:r>
        <w:rPr>
          <w:rFonts w:ascii="Times New Roman" w:hAnsi="Times New Roman" w:cs="Times New Roman"/>
          <w:sz w:val="24"/>
          <w:szCs w:val="24"/>
        </w:rPr>
        <w:t xml:space="preserve"> (2008) uses the term sensory circuits. Both interventions follow a plan of activities to alert, organise and then calm the pupil with a variety of exercise and activities in each section. These can be modified by the adult lead. The intervention can be done in a group or individually and at any time of the day. A specific plan can be created for each pupil (appendix C) and this can in turn be monitored and adapted. </w:t>
      </w:r>
      <w:proofErr w:type="spellStart"/>
      <w:r>
        <w:rPr>
          <w:rFonts w:ascii="Times New Roman" w:hAnsi="Times New Roman" w:cs="Times New Roman"/>
          <w:sz w:val="24"/>
          <w:szCs w:val="24"/>
        </w:rPr>
        <w:t>Horwood</w:t>
      </w:r>
      <w:proofErr w:type="spellEnd"/>
      <w:r>
        <w:rPr>
          <w:rFonts w:ascii="Times New Roman" w:hAnsi="Times New Roman" w:cs="Times New Roman"/>
          <w:sz w:val="24"/>
          <w:szCs w:val="24"/>
        </w:rPr>
        <w:t xml:space="preserve"> describes the benefits of sensory circuits (2008 p. 11): </w:t>
      </w:r>
    </w:p>
    <w:p w:rsidR="00471B1A" w:rsidRDefault="00471B1A" w:rsidP="00471B1A">
      <w:pPr>
        <w:spacing w:after="0" w:line="240" w:lineRule="auto"/>
        <w:ind w:left="851" w:right="851"/>
        <w:rPr>
          <w:rFonts w:ascii="Times New Roman" w:hAnsi="Times New Roman" w:cs="Times New Roman"/>
          <w:sz w:val="24"/>
          <w:szCs w:val="24"/>
        </w:rPr>
      </w:pPr>
      <w:r w:rsidRPr="00A67CCE">
        <w:rPr>
          <w:rFonts w:ascii="Times New Roman" w:hAnsi="Times New Roman" w:cs="Times New Roman"/>
          <w:sz w:val="24"/>
          <w:szCs w:val="24"/>
        </w:rPr>
        <w:t>It may, at the very least, aid a feeling of well-being. This may lead to an individual being more available to interact and engage in the world around them. Feedback … mentions improvements in eye contact, increased overall awareness, decreased self-stimulatory behaviours and the sense that the child simply seems to be happier. Equally, after Sensory Circuit input there appears to be a window of opportunity to work on academic and language based skills, owing to increased focus and attention.</w:t>
      </w:r>
    </w:p>
    <w:p w:rsidR="00471B1A" w:rsidRPr="00A67CCE" w:rsidRDefault="00471B1A" w:rsidP="00471B1A">
      <w:pPr>
        <w:spacing w:after="0" w:line="240" w:lineRule="auto"/>
        <w:ind w:left="851" w:right="851"/>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sidRPr="00CC30DA">
        <w:rPr>
          <w:rFonts w:ascii="Times New Roman" w:hAnsi="Times New Roman" w:cs="Times New Roman"/>
          <w:sz w:val="24"/>
          <w:szCs w:val="24"/>
        </w:rPr>
        <w:t xml:space="preserve">This </w:t>
      </w:r>
      <w:r>
        <w:rPr>
          <w:rFonts w:ascii="Times New Roman" w:hAnsi="Times New Roman" w:cs="Times New Roman"/>
          <w:sz w:val="24"/>
          <w:szCs w:val="24"/>
        </w:rPr>
        <w:t>programme</w:t>
      </w:r>
      <w:r w:rsidRPr="00CC30DA">
        <w:rPr>
          <w:rFonts w:ascii="Times New Roman" w:hAnsi="Times New Roman" w:cs="Times New Roman"/>
          <w:sz w:val="24"/>
          <w:szCs w:val="24"/>
        </w:rPr>
        <w:t xml:space="preserve"> is not </w:t>
      </w:r>
      <w:r>
        <w:rPr>
          <w:rFonts w:ascii="Times New Roman" w:hAnsi="Times New Roman" w:cs="Times New Roman"/>
          <w:sz w:val="24"/>
          <w:szCs w:val="24"/>
        </w:rPr>
        <w:t>reliant</w:t>
      </w:r>
      <w:r w:rsidRPr="00CC30DA">
        <w:rPr>
          <w:rFonts w:ascii="Times New Roman" w:hAnsi="Times New Roman" w:cs="Times New Roman"/>
          <w:sz w:val="24"/>
          <w:szCs w:val="24"/>
        </w:rPr>
        <w:t xml:space="preserve"> on expensive resources, or time consuming assessment and paperwork. It gi</w:t>
      </w:r>
      <w:r>
        <w:rPr>
          <w:rFonts w:ascii="Times New Roman" w:hAnsi="Times New Roman" w:cs="Times New Roman"/>
          <w:sz w:val="24"/>
          <w:szCs w:val="24"/>
        </w:rPr>
        <w:t xml:space="preserve">ves simple and effective, short, </w:t>
      </w:r>
      <w:r w:rsidRPr="00CC30DA">
        <w:rPr>
          <w:rFonts w:ascii="Times New Roman" w:hAnsi="Times New Roman" w:cs="Times New Roman"/>
          <w:sz w:val="24"/>
          <w:szCs w:val="24"/>
        </w:rPr>
        <w:t>sharp</w:t>
      </w:r>
      <w:r>
        <w:rPr>
          <w:rFonts w:ascii="Times New Roman" w:hAnsi="Times New Roman" w:cs="Times New Roman"/>
          <w:sz w:val="24"/>
          <w:szCs w:val="24"/>
        </w:rPr>
        <w:t xml:space="preserve"> and fun tasks which benefit the child immeasurably and can be integrated into daily practise. Indeed, it could be done inclusively as a fun part of the whole class and PE timetable too. Alerting techniques include tag games, sitting on a ball chair, loud and fast music, whilst calming techniques can be as simple as stretches, blanket wraps, lavender bag smells, fidget toys, hugging a teddy bear, relaxing music – all of which are reasonable, low cost and simple to provide.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As a school we need to mindful of how we record and evaluate intervention and support so that it is both effective and appropriate and that good practise is shared. As the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xml:space="preserve">, I will ensure that regular note keeping is made in the child’s IEP and that a target was evident to address the child’s sensory needs. For children who have sensory needs identified as part of their statement, it is also important to ensure that this is highlighted and discussed as part of the statement review and that the child was given opportunity to share how they felt about both their sensory needs and the way in which they are supported using a person centred approach – completing tools such as good day/bad day, important for me and important to me (appendix D and E).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 also feel it is important to take into account the way in which the school day is organised and the effect that has on pupils – such as movement to support and challenge groups for </w:t>
      </w:r>
      <w:r>
        <w:rPr>
          <w:rFonts w:ascii="Times New Roman" w:hAnsi="Times New Roman" w:cs="Times New Roman"/>
          <w:sz w:val="24"/>
          <w:szCs w:val="24"/>
        </w:rPr>
        <w:lastRenderedPageBreak/>
        <w:t xml:space="preserve">literacy and maths tasks. In light of the Successful Futures review of the curriculum in Wales (2015) and in consideration of how our pupils learn best, we would need to look at where individual pupils receive literacy and maths intervention and would it be best to minimise the movement and disruption to their daily timetable.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I also feel that we need to draw more upon the advice of others – both professionals such as Occupational therapists and parents. Yack et al (2002, p. 15) describe the role of occupation therapy as:</w:t>
      </w:r>
    </w:p>
    <w:p w:rsidR="004D40DB" w:rsidRDefault="004D40DB" w:rsidP="00471B1A">
      <w:pPr>
        <w:spacing w:after="0" w:line="240" w:lineRule="auto"/>
        <w:rPr>
          <w:rFonts w:ascii="Times New Roman" w:hAnsi="Times New Roman" w:cs="Times New Roman"/>
          <w:sz w:val="24"/>
          <w:szCs w:val="24"/>
        </w:rPr>
      </w:pPr>
    </w:p>
    <w:p w:rsidR="00471B1A" w:rsidRPr="00CC13A2" w:rsidRDefault="00471B1A" w:rsidP="00471B1A">
      <w:pPr>
        <w:spacing w:after="0" w:line="240" w:lineRule="auto"/>
        <w:ind w:left="851" w:right="851"/>
        <w:rPr>
          <w:rFonts w:ascii="Times New Roman" w:hAnsi="Times New Roman" w:cs="Times New Roman"/>
          <w:sz w:val="24"/>
          <w:szCs w:val="24"/>
        </w:rPr>
      </w:pPr>
      <w:r w:rsidRPr="00CC13A2">
        <w:rPr>
          <w:rFonts w:ascii="Times New Roman" w:hAnsi="Times New Roman" w:cs="Times New Roman"/>
          <w:sz w:val="24"/>
          <w:szCs w:val="24"/>
        </w:rPr>
        <w:t>Focusing on the promotion, restoration, and maintenance of productivity in people with a wide range of abilities and disabilities… They analyse all internal and external factors necessary for individuals to perform activities.</w:t>
      </w:r>
    </w:p>
    <w:p w:rsidR="00471B1A" w:rsidRDefault="00471B1A" w:rsidP="00471B1A">
      <w:pPr>
        <w:spacing w:after="0" w:line="240" w:lineRule="auto"/>
        <w:rPr>
          <w:rFonts w:ascii="Times New Roman" w:hAnsi="Times New Roman" w:cs="Times New Roman"/>
          <w:b/>
          <w:i/>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Parents are generally those who know their child best and would have found ways to support them at home which could be incorporated into school. I recently met with a parent of a child who experiences significant sensory challenges alongside their ASD and from one short meeting we were able to make many adjustments to improve the quality of that child’s day at school, such as providing a small stool in the bathroom so when they went to the toilet their feet wouldn’t be off the floor affecting their vestibular sense. The child has subsequently had no wetting accidents at school as previously they wouldn’t go to the toilet. This parent had also taken part in a number of parental courses which as an </w:t>
      </w:r>
      <w:proofErr w:type="spellStart"/>
      <w:r>
        <w:rPr>
          <w:rFonts w:ascii="Times New Roman" w:hAnsi="Times New Roman" w:cs="Times New Roman"/>
          <w:sz w:val="24"/>
          <w:szCs w:val="24"/>
        </w:rPr>
        <w:t>ALNCo</w:t>
      </w:r>
      <w:proofErr w:type="spellEnd"/>
      <w:r>
        <w:rPr>
          <w:rFonts w:ascii="Times New Roman" w:hAnsi="Times New Roman" w:cs="Times New Roman"/>
          <w:sz w:val="24"/>
          <w:szCs w:val="24"/>
        </w:rPr>
        <w:t xml:space="preserve"> I would like to attend to further my understanding and be able to direct other parents to the same level of support. I believe that a collaborative approach and a strong open relationship with parents is key to providing the best support for the child. I would also like to forge stronger links with the specialist provision within our authority and take the opportunities for training provided by them to upskill our staff.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conclusion, in evaluating what as a school we know about sensory processing disorders and how we support pupils in our care there are a number of positives. Much is known already, there are resources and programmes in place and available to use and all staff would like to develop their understanding. </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Equality Act of 2010 states that professionals have a duty to change procedures, remove barriers and make reasonable adjustments to accommodate a disability. The United Nations Rights of the Child Charter under article 23 ensures that all children regardless of disability have a right to special care and education. Additional Learning Needs reform, Wales (2018) requires us to ensure that the child is at the centre of all decisions made about that child and their future, whilst Coelho and </w:t>
      </w:r>
      <w:proofErr w:type="spellStart"/>
      <w:r>
        <w:rPr>
          <w:rFonts w:ascii="Times New Roman" w:hAnsi="Times New Roman" w:cs="Times New Roman"/>
          <w:sz w:val="24"/>
          <w:szCs w:val="24"/>
        </w:rPr>
        <w:t>Seely</w:t>
      </w:r>
      <w:proofErr w:type="spellEnd"/>
      <w:r>
        <w:rPr>
          <w:rFonts w:ascii="Times New Roman" w:hAnsi="Times New Roman" w:cs="Times New Roman"/>
          <w:sz w:val="24"/>
          <w:szCs w:val="24"/>
        </w:rPr>
        <w:t xml:space="preserve"> (2018, p. 70) write:</w:t>
      </w:r>
    </w:p>
    <w:p w:rsidR="00471B1A" w:rsidRDefault="00471B1A" w:rsidP="00471B1A">
      <w:pPr>
        <w:spacing w:after="0" w:line="240" w:lineRule="auto"/>
        <w:rPr>
          <w:rFonts w:ascii="Times New Roman" w:hAnsi="Times New Roman" w:cs="Times New Roman"/>
          <w:sz w:val="24"/>
          <w:szCs w:val="24"/>
        </w:rPr>
      </w:pPr>
    </w:p>
    <w:p w:rsidR="00471B1A" w:rsidRDefault="00471B1A" w:rsidP="00471B1A">
      <w:pPr>
        <w:spacing w:after="0" w:line="240" w:lineRule="auto"/>
        <w:ind w:left="851" w:right="851"/>
        <w:rPr>
          <w:rFonts w:ascii="Times New Roman" w:hAnsi="Times New Roman" w:cs="Times New Roman"/>
          <w:sz w:val="24"/>
          <w:szCs w:val="24"/>
        </w:rPr>
      </w:pPr>
      <w:r w:rsidRPr="00CC13A2">
        <w:rPr>
          <w:rFonts w:ascii="Times New Roman" w:hAnsi="Times New Roman" w:cs="Times New Roman"/>
          <w:sz w:val="24"/>
          <w:szCs w:val="24"/>
        </w:rPr>
        <w:t>Understanding the impact of the sensory world… can open ma</w:t>
      </w:r>
      <w:r w:rsidR="004D40DB">
        <w:rPr>
          <w:rFonts w:ascii="Times New Roman" w:hAnsi="Times New Roman" w:cs="Times New Roman"/>
          <w:sz w:val="24"/>
          <w:szCs w:val="24"/>
        </w:rPr>
        <w:t>n</w:t>
      </w:r>
      <w:r w:rsidRPr="00CC13A2">
        <w:rPr>
          <w:rFonts w:ascii="Times New Roman" w:hAnsi="Times New Roman" w:cs="Times New Roman"/>
          <w:sz w:val="24"/>
          <w:szCs w:val="24"/>
        </w:rPr>
        <w:t>y doors to allow these children to feel included, safe and welcomed.</w:t>
      </w:r>
    </w:p>
    <w:p w:rsidR="00471B1A" w:rsidRDefault="00471B1A" w:rsidP="00471B1A">
      <w:pPr>
        <w:spacing w:after="0" w:line="240" w:lineRule="auto"/>
        <w:ind w:left="851" w:right="851"/>
        <w:rPr>
          <w:rFonts w:ascii="Times New Roman" w:hAnsi="Times New Roman" w:cs="Times New Roman"/>
          <w:sz w:val="24"/>
          <w:szCs w:val="24"/>
        </w:rPr>
      </w:pPr>
    </w:p>
    <w:p w:rsidR="00471B1A" w:rsidRDefault="00471B1A" w:rsidP="00471B1A">
      <w:pPr>
        <w:spacing w:after="0" w:line="240" w:lineRule="auto"/>
        <w:rPr>
          <w:rFonts w:ascii="Times New Roman" w:hAnsi="Times New Roman" w:cs="Times New Roman"/>
          <w:b/>
          <w:i/>
          <w:sz w:val="24"/>
          <w:szCs w:val="24"/>
        </w:rPr>
      </w:pPr>
      <w:r>
        <w:rPr>
          <w:rFonts w:ascii="Times New Roman" w:hAnsi="Times New Roman" w:cs="Times New Roman"/>
          <w:sz w:val="24"/>
          <w:szCs w:val="24"/>
        </w:rPr>
        <w:t xml:space="preserve">We now need to ensure that all staff share the same clear understanding of what the disorder looks like, that more staff are trained in delivering programmes, that all staff are aware of all resources that can be used, to support the wellbeing of staff who work with the more challenging pupils, to consider our own practises, daily routines and adjustments to our learning environments and to develop relationships with professionals and parents ensuring a holistic approach when supporting the child. </w:t>
      </w:r>
    </w:p>
    <w:sectPr w:rsidR="00471B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D5B74"/>
    <w:multiLevelType w:val="hybridMultilevel"/>
    <w:tmpl w:val="73A01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C39AC"/>
    <w:multiLevelType w:val="hybridMultilevel"/>
    <w:tmpl w:val="57888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A61A9"/>
    <w:multiLevelType w:val="hybridMultilevel"/>
    <w:tmpl w:val="AD308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5364E"/>
    <w:multiLevelType w:val="hybridMultilevel"/>
    <w:tmpl w:val="21922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722DF0"/>
    <w:multiLevelType w:val="hybridMultilevel"/>
    <w:tmpl w:val="8C566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D0266E"/>
    <w:multiLevelType w:val="hybridMultilevel"/>
    <w:tmpl w:val="E27E9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330B6A"/>
    <w:multiLevelType w:val="hybridMultilevel"/>
    <w:tmpl w:val="0A829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1"/>
  </w:num>
  <w:num w:numId="5">
    <w:abstractNumId w:val="2"/>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630"/>
    <w:rsid w:val="00310F99"/>
    <w:rsid w:val="00390809"/>
    <w:rsid w:val="003D1164"/>
    <w:rsid w:val="003D35C6"/>
    <w:rsid w:val="00471B1A"/>
    <w:rsid w:val="004C20A4"/>
    <w:rsid w:val="004C6FE1"/>
    <w:rsid w:val="004D40DB"/>
    <w:rsid w:val="00515AF7"/>
    <w:rsid w:val="00591953"/>
    <w:rsid w:val="00595683"/>
    <w:rsid w:val="005F3C46"/>
    <w:rsid w:val="006810DB"/>
    <w:rsid w:val="006A3630"/>
    <w:rsid w:val="0074730D"/>
    <w:rsid w:val="008C52D6"/>
    <w:rsid w:val="009C147D"/>
    <w:rsid w:val="00B75B56"/>
    <w:rsid w:val="00E509B4"/>
    <w:rsid w:val="00EE726A"/>
    <w:rsid w:val="00F1246D"/>
    <w:rsid w:val="00F87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9AA87"/>
  <w15:chartTrackingRefBased/>
  <w15:docId w15:val="{788276EC-E183-49E3-B7B4-EAC23D2E4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20A4"/>
    <w:rPr>
      <w:color w:val="0563C1" w:themeColor="hyperlink"/>
      <w:u w:val="single"/>
    </w:rPr>
  </w:style>
  <w:style w:type="paragraph" w:styleId="ListParagraph">
    <w:name w:val="List Paragraph"/>
    <w:basedOn w:val="Normal"/>
    <w:uiPriority w:val="34"/>
    <w:qFormat/>
    <w:rsid w:val="00471B1A"/>
    <w:pPr>
      <w:ind w:left="720"/>
      <w:contextualSpacing/>
    </w:pPr>
  </w:style>
  <w:style w:type="table" w:styleId="TableGrid">
    <w:name w:val="Table Grid"/>
    <w:basedOn w:val="TableNormal"/>
    <w:uiPriority w:val="39"/>
    <w:rsid w:val="00471B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44CEA-B43B-41F3-9AE1-6454E05E7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7584</Words>
  <Characters>43233</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Bishop Vaughan Catholic School</Company>
  <LinksUpToDate>false</LinksUpToDate>
  <CharactersWithSpaces>50716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Jones</dc:creator>
  <cp:keywords/>
  <dc:description/>
  <cp:lastModifiedBy>bvs-markjones</cp:lastModifiedBy>
  <cp:revision>4</cp:revision>
  <dcterms:created xsi:type="dcterms:W3CDTF">2019-04-09T20:57:00Z</dcterms:created>
  <dcterms:modified xsi:type="dcterms:W3CDTF">2019-04-09T21:39:00Z</dcterms:modified>
</cp:coreProperties>
</file>