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page" w:horzAnchor="margin" w:tblpX="-1281" w:tblpY="3638"/>
        <w:tblW w:w="11619" w:type="dxa"/>
        <w:tblLook w:val="04A0" w:firstRow="1" w:lastRow="0" w:firstColumn="1" w:lastColumn="0" w:noHBand="0" w:noVBand="1"/>
      </w:tblPr>
      <w:tblGrid>
        <w:gridCol w:w="1980"/>
        <w:gridCol w:w="4667"/>
        <w:gridCol w:w="4972"/>
      </w:tblGrid>
      <w:tr w:rsidR="0043284F" w14:paraId="5E2B4498" w14:textId="77777777" w:rsidTr="007D409D">
        <w:tc>
          <w:tcPr>
            <w:tcW w:w="1980" w:type="dxa"/>
            <w:tcBorders>
              <w:top w:val="single" w:sz="4" w:space="0" w:color="auto"/>
              <w:left w:val="single" w:sz="4" w:space="0" w:color="auto"/>
              <w:bottom w:val="single" w:sz="4" w:space="0" w:color="auto"/>
              <w:right w:val="single" w:sz="4" w:space="0" w:color="auto"/>
            </w:tcBorders>
          </w:tcPr>
          <w:p w14:paraId="23D391EB" w14:textId="77777777" w:rsidR="0043284F" w:rsidRDefault="0043284F" w:rsidP="007D409D">
            <w:pPr>
              <w:pStyle w:val="AssignBody"/>
            </w:pPr>
          </w:p>
        </w:tc>
        <w:tc>
          <w:tcPr>
            <w:tcW w:w="4667" w:type="dxa"/>
            <w:tcBorders>
              <w:top w:val="single" w:sz="4" w:space="0" w:color="auto"/>
              <w:left w:val="single" w:sz="4" w:space="0" w:color="auto"/>
              <w:bottom w:val="single" w:sz="4" w:space="0" w:color="auto"/>
              <w:right w:val="single" w:sz="4" w:space="0" w:color="auto"/>
            </w:tcBorders>
            <w:hideMark/>
          </w:tcPr>
          <w:p w14:paraId="06919800" w14:textId="77777777" w:rsidR="0043284F" w:rsidRDefault="0043284F" w:rsidP="007D409D">
            <w:pPr>
              <w:pStyle w:val="AssignBody"/>
            </w:pPr>
            <w:proofErr w:type="spellStart"/>
            <w:r>
              <w:t>Targed</w:t>
            </w:r>
            <w:proofErr w:type="spellEnd"/>
            <w:r>
              <w:t>/Target</w:t>
            </w:r>
          </w:p>
        </w:tc>
        <w:tc>
          <w:tcPr>
            <w:tcW w:w="4972" w:type="dxa"/>
            <w:tcBorders>
              <w:top w:val="single" w:sz="4" w:space="0" w:color="auto"/>
              <w:left w:val="single" w:sz="4" w:space="0" w:color="auto"/>
              <w:bottom w:val="single" w:sz="4" w:space="0" w:color="auto"/>
              <w:right w:val="single" w:sz="4" w:space="0" w:color="auto"/>
            </w:tcBorders>
          </w:tcPr>
          <w:p w14:paraId="1A80F13F" w14:textId="77777777" w:rsidR="0043284F" w:rsidRDefault="0043284F" w:rsidP="007D409D">
            <w:pPr>
              <w:pStyle w:val="NormalWeb"/>
              <w:spacing w:before="0" w:beforeAutospacing="0" w:after="0" w:afterAutospacing="0"/>
              <w:rPr>
                <w:rFonts w:ascii="Arial" w:hAnsi="Arial" w:cs="Arial"/>
                <w:color w:val="222222"/>
                <w:shd w:val="clear" w:color="auto" w:fill="F8F9FA"/>
                <w:lang w:val="en-US" w:eastAsia="en-US"/>
              </w:rPr>
            </w:pPr>
            <w:r>
              <w:rPr>
                <w:rFonts w:ascii="Arial" w:hAnsi="Arial" w:cs="Arial"/>
                <w:color w:val="222222"/>
                <w:shd w:val="clear" w:color="auto" w:fill="F8F9FA"/>
                <w:lang w:val="en-US" w:eastAsia="en-US"/>
              </w:rPr>
              <w:t xml:space="preserve">Yr </w:t>
            </w:r>
            <w:proofErr w:type="spellStart"/>
            <w:r>
              <w:rPr>
                <w:rFonts w:ascii="Arial" w:hAnsi="Arial" w:cs="Arial"/>
                <w:color w:val="222222"/>
                <w:shd w:val="clear" w:color="auto" w:fill="F8F9FA"/>
                <w:lang w:val="en-US" w:eastAsia="en-US"/>
              </w:rPr>
              <w:t>hyn</w:t>
            </w:r>
            <w:proofErr w:type="spellEnd"/>
            <w:r>
              <w:rPr>
                <w:rFonts w:ascii="Arial" w:hAnsi="Arial" w:cs="Arial"/>
                <w:color w:val="222222"/>
                <w:shd w:val="clear" w:color="auto" w:fill="F8F9FA"/>
                <w:lang w:val="en-US" w:eastAsia="en-US"/>
              </w:rPr>
              <w:t xml:space="preserve"> yr </w:t>
            </w:r>
            <w:proofErr w:type="spellStart"/>
            <w:r>
              <w:rPr>
                <w:rFonts w:ascii="Arial" w:hAnsi="Arial" w:cs="Arial"/>
                <w:color w:val="222222"/>
                <w:shd w:val="clear" w:color="auto" w:fill="F8F9FA"/>
                <w:lang w:val="en-US" w:eastAsia="en-US"/>
              </w:rPr>
              <w:t>wyf</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wedi'i</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wneud</w:t>
            </w:r>
            <w:proofErr w:type="spellEnd"/>
            <w:r>
              <w:rPr>
                <w:rFonts w:ascii="Arial" w:hAnsi="Arial" w:cs="Arial"/>
                <w:color w:val="222222"/>
                <w:shd w:val="clear" w:color="auto" w:fill="F8F9FA"/>
                <w:lang w:val="en-US" w:eastAsia="en-US"/>
              </w:rPr>
              <w:t xml:space="preserve"> </w:t>
            </w:r>
            <w:proofErr w:type="spellStart"/>
            <w:r>
              <w:rPr>
                <w:rFonts w:ascii="Arial" w:hAnsi="Arial" w:cs="Arial"/>
                <w:color w:val="222222"/>
                <w:shd w:val="clear" w:color="auto" w:fill="F8F9FA"/>
                <w:lang w:val="en-US" w:eastAsia="en-US"/>
              </w:rPr>
              <w:t>yn</w:t>
            </w:r>
            <w:proofErr w:type="spellEnd"/>
            <w:r>
              <w:rPr>
                <w:rFonts w:ascii="Arial" w:hAnsi="Arial" w:cs="Arial"/>
                <w:color w:val="222222"/>
                <w:shd w:val="clear" w:color="auto" w:fill="F8F9FA"/>
                <w:lang w:val="en-US" w:eastAsia="en-US"/>
              </w:rPr>
              <w:t xml:space="preserve"> yr aseiniad </w:t>
            </w:r>
            <w:proofErr w:type="spellStart"/>
            <w:r>
              <w:rPr>
                <w:rFonts w:ascii="Arial" w:hAnsi="Arial" w:cs="Arial"/>
                <w:color w:val="222222"/>
                <w:shd w:val="clear" w:color="auto" w:fill="F8F9FA"/>
                <w:lang w:val="en-US" w:eastAsia="en-US"/>
              </w:rPr>
              <w:t>hwn</w:t>
            </w:r>
            <w:proofErr w:type="spellEnd"/>
            <w:r>
              <w:rPr>
                <w:rFonts w:ascii="Arial" w:hAnsi="Arial" w:cs="Arial"/>
                <w:color w:val="222222"/>
                <w:shd w:val="clear" w:color="auto" w:fill="F8F9FA"/>
                <w:lang w:val="en-US" w:eastAsia="en-US"/>
              </w:rPr>
              <w:t>.</w:t>
            </w:r>
          </w:p>
          <w:p w14:paraId="5FB3CF08" w14:textId="77777777" w:rsidR="0043284F" w:rsidRDefault="0043284F" w:rsidP="007D409D">
            <w:pPr>
              <w:pStyle w:val="NormalWeb"/>
              <w:spacing w:before="0" w:beforeAutospacing="0" w:after="0" w:afterAutospacing="0"/>
              <w:rPr>
                <w:rFonts w:ascii="Arial" w:hAnsi="Arial" w:cs="Arial"/>
                <w:color w:val="222222"/>
                <w:lang w:val="en-US" w:eastAsia="en-US"/>
              </w:rPr>
            </w:pPr>
          </w:p>
          <w:p w14:paraId="101A5B3F" w14:textId="77777777" w:rsidR="0043284F" w:rsidRPr="00755E37" w:rsidRDefault="0043284F" w:rsidP="007D409D">
            <w:pPr>
              <w:pStyle w:val="NormalWeb"/>
              <w:spacing w:before="0" w:beforeAutospacing="0" w:after="0" w:afterAutospacing="0"/>
              <w:rPr>
                <w:rFonts w:ascii="Arial" w:hAnsi="Arial" w:cs="Arial"/>
                <w:lang w:val="en-US" w:eastAsia="en-US"/>
              </w:rPr>
            </w:pPr>
            <w:r>
              <w:rPr>
                <w:rFonts w:ascii="Arial" w:hAnsi="Arial" w:cs="Arial"/>
                <w:lang w:val="en-US" w:eastAsia="en-US"/>
              </w:rPr>
              <w:t>What I have done in this assignment.</w:t>
            </w:r>
          </w:p>
        </w:tc>
      </w:tr>
      <w:tr w:rsidR="0043284F" w14:paraId="29E5277F" w14:textId="77777777" w:rsidTr="007D409D">
        <w:tc>
          <w:tcPr>
            <w:tcW w:w="1980" w:type="dxa"/>
            <w:tcBorders>
              <w:top w:val="single" w:sz="4" w:space="0" w:color="auto"/>
              <w:left w:val="single" w:sz="4" w:space="0" w:color="auto"/>
              <w:bottom w:val="single" w:sz="4" w:space="0" w:color="auto"/>
              <w:right w:val="single" w:sz="4" w:space="0" w:color="auto"/>
            </w:tcBorders>
            <w:hideMark/>
          </w:tcPr>
          <w:p w14:paraId="3CF36AB6" w14:textId="77777777" w:rsidR="0043284F" w:rsidRDefault="0043284F" w:rsidP="007D409D">
            <w:pPr>
              <w:pStyle w:val="AssignBody"/>
            </w:pPr>
            <w:proofErr w:type="spellStart"/>
            <w:r>
              <w:t>T</w:t>
            </w:r>
            <w:bookmarkStart w:id="0" w:name="cysill"/>
            <w:bookmarkEnd w:id="0"/>
            <w:r>
              <w:t>arged</w:t>
            </w:r>
            <w:proofErr w:type="spellEnd"/>
            <w:r>
              <w:t>/Target 1</w:t>
            </w:r>
          </w:p>
        </w:tc>
        <w:tc>
          <w:tcPr>
            <w:tcW w:w="4667" w:type="dxa"/>
            <w:tcBorders>
              <w:top w:val="single" w:sz="4" w:space="0" w:color="auto"/>
              <w:left w:val="single" w:sz="4" w:space="0" w:color="auto"/>
              <w:bottom w:val="single" w:sz="4" w:space="0" w:color="auto"/>
              <w:right w:val="single" w:sz="4" w:space="0" w:color="auto"/>
            </w:tcBorders>
          </w:tcPr>
          <w:p w14:paraId="6151ACBF" w14:textId="2DF2CDFD" w:rsidR="0043284F" w:rsidRDefault="007D409D" w:rsidP="007D409D">
            <w:r>
              <w:rPr>
                <w:rFonts w:ascii="Helvetica Neue" w:hAnsi="Helvetica Neue"/>
                <w:color w:val="283041"/>
                <w:sz w:val="21"/>
                <w:szCs w:val="21"/>
                <w:shd w:val="clear" w:color="auto" w:fill="FFFFFF"/>
              </w:rPr>
              <w:t>When engaging with personal targets, aim to add an explicit strategy. E.g. How are you going to be more critical? With a strategy in place, you've got more chance of improvement.</w:t>
            </w:r>
          </w:p>
        </w:tc>
        <w:tc>
          <w:tcPr>
            <w:tcW w:w="4972" w:type="dxa"/>
            <w:tcBorders>
              <w:top w:val="single" w:sz="4" w:space="0" w:color="auto"/>
              <w:left w:val="single" w:sz="4" w:space="0" w:color="auto"/>
              <w:bottom w:val="single" w:sz="4" w:space="0" w:color="auto"/>
              <w:right w:val="single" w:sz="4" w:space="0" w:color="auto"/>
            </w:tcBorders>
          </w:tcPr>
          <w:p w14:paraId="155CF30E" w14:textId="3F408429" w:rsidR="0043284F" w:rsidRDefault="007D409D" w:rsidP="007D409D">
            <w:pPr>
              <w:pStyle w:val="AssignBody"/>
            </w:pPr>
            <w:r>
              <w:t xml:space="preserve">I have looked over my previous work and shared the targets that have been set for me. I have also tried to take these targets on board and improve my work. </w:t>
            </w:r>
          </w:p>
        </w:tc>
      </w:tr>
      <w:tr w:rsidR="0043284F" w14:paraId="1C57FF6A" w14:textId="77777777" w:rsidTr="007D409D">
        <w:tc>
          <w:tcPr>
            <w:tcW w:w="1980" w:type="dxa"/>
            <w:tcBorders>
              <w:top w:val="single" w:sz="4" w:space="0" w:color="auto"/>
              <w:left w:val="single" w:sz="4" w:space="0" w:color="auto"/>
              <w:bottom w:val="single" w:sz="4" w:space="0" w:color="auto"/>
              <w:right w:val="single" w:sz="4" w:space="0" w:color="auto"/>
            </w:tcBorders>
            <w:hideMark/>
          </w:tcPr>
          <w:p w14:paraId="5728EA95" w14:textId="77777777" w:rsidR="0043284F" w:rsidRDefault="0043284F" w:rsidP="007D409D">
            <w:pPr>
              <w:pStyle w:val="AssignBody"/>
            </w:pPr>
            <w:proofErr w:type="spellStart"/>
            <w:r>
              <w:t>Targed</w:t>
            </w:r>
            <w:proofErr w:type="spellEnd"/>
            <w:r>
              <w:t>/Target 2</w:t>
            </w:r>
          </w:p>
        </w:tc>
        <w:tc>
          <w:tcPr>
            <w:tcW w:w="4667" w:type="dxa"/>
            <w:tcBorders>
              <w:top w:val="single" w:sz="4" w:space="0" w:color="auto"/>
              <w:left w:val="single" w:sz="4" w:space="0" w:color="auto"/>
              <w:bottom w:val="single" w:sz="4" w:space="0" w:color="auto"/>
              <w:right w:val="single" w:sz="4" w:space="0" w:color="auto"/>
            </w:tcBorders>
          </w:tcPr>
          <w:p w14:paraId="57BC3FDA" w14:textId="56D52A64" w:rsidR="0043284F" w:rsidRDefault="007D409D" w:rsidP="007D409D">
            <w:r>
              <w:rPr>
                <w:rFonts w:ascii="Helvetica Neue" w:hAnsi="Helvetica Neue"/>
                <w:color w:val="283041"/>
                <w:sz w:val="21"/>
                <w:szCs w:val="21"/>
                <w:shd w:val="clear" w:color="auto" w:fill="FFFFFF"/>
              </w:rPr>
              <w:t>The lack of explicit reflection, linked to Lit. or otherwise, is significant oversight.</w:t>
            </w:r>
          </w:p>
        </w:tc>
        <w:tc>
          <w:tcPr>
            <w:tcW w:w="4972" w:type="dxa"/>
            <w:tcBorders>
              <w:top w:val="single" w:sz="4" w:space="0" w:color="auto"/>
              <w:left w:val="single" w:sz="4" w:space="0" w:color="auto"/>
              <w:bottom w:val="single" w:sz="4" w:space="0" w:color="auto"/>
              <w:right w:val="single" w:sz="4" w:space="0" w:color="auto"/>
            </w:tcBorders>
          </w:tcPr>
          <w:p w14:paraId="6BEA7359" w14:textId="32774EC9" w:rsidR="0043284F" w:rsidRDefault="007D409D" w:rsidP="007D409D">
            <w:pPr>
              <w:pStyle w:val="AssignBody"/>
            </w:pPr>
            <w:r>
              <w:t xml:space="preserve">I have tried to be more reflective while also remaining critical. I have tried to include some more of my work within the journals etc. I have used. </w:t>
            </w:r>
          </w:p>
        </w:tc>
      </w:tr>
      <w:tr w:rsidR="0043284F" w14:paraId="2080A86A" w14:textId="77777777" w:rsidTr="007D409D">
        <w:tc>
          <w:tcPr>
            <w:tcW w:w="1980" w:type="dxa"/>
            <w:tcBorders>
              <w:top w:val="single" w:sz="4" w:space="0" w:color="auto"/>
              <w:left w:val="single" w:sz="4" w:space="0" w:color="auto"/>
              <w:bottom w:val="single" w:sz="4" w:space="0" w:color="auto"/>
              <w:right w:val="single" w:sz="4" w:space="0" w:color="auto"/>
            </w:tcBorders>
            <w:hideMark/>
          </w:tcPr>
          <w:p w14:paraId="76EE5681" w14:textId="77777777" w:rsidR="0043284F" w:rsidRDefault="0043284F" w:rsidP="007D409D">
            <w:pPr>
              <w:pStyle w:val="AssignBody"/>
            </w:pPr>
            <w:proofErr w:type="spellStart"/>
            <w:r>
              <w:t>Targed</w:t>
            </w:r>
            <w:proofErr w:type="spellEnd"/>
            <w:r>
              <w:t>/Target 3</w:t>
            </w:r>
          </w:p>
        </w:tc>
        <w:tc>
          <w:tcPr>
            <w:tcW w:w="4667" w:type="dxa"/>
            <w:tcBorders>
              <w:top w:val="single" w:sz="4" w:space="0" w:color="auto"/>
              <w:left w:val="single" w:sz="4" w:space="0" w:color="auto"/>
              <w:bottom w:val="single" w:sz="4" w:space="0" w:color="auto"/>
              <w:right w:val="single" w:sz="4" w:space="0" w:color="auto"/>
            </w:tcBorders>
          </w:tcPr>
          <w:p w14:paraId="30797A44" w14:textId="4AC8231B" w:rsidR="0043284F" w:rsidRDefault="007D409D" w:rsidP="007D409D">
            <w:r>
              <w:rPr>
                <w:rFonts w:ascii="Helvetica Neue" w:hAnsi="Helvetica Neue"/>
                <w:color w:val="283041"/>
                <w:sz w:val="21"/>
                <w:szCs w:val="21"/>
                <w:shd w:val="clear" w:color="auto" w:fill="FFFFFF"/>
              </w:rPr>
              <w:t>Proofread your work to avoid basic punctuation errors. Poor written expression does hinder clarity, at points.</w:t>
            </w:r>
          </w:p>
        </w:tc>
        <w:tc>
          <w:tcPr>
            <w:tcW w:w="4972" w:type="dxa"/>
            <w:tcBorders>
              <w:top w:val="single" w:sz="4" w:space="0" w:color="auto"/>
              <w:left w:val="single" w:sz="4" w:space="0" w:color="auto"/>
              <w:bottom w:val="single" w:sz="4" w:space="0" w:color="auto"/>
              <w:right w:val="single" w:sz="4" w:space="0" w:color="auto"/>
            </w:tcBorders>
          </w:tcPr>
          <w:p w14:paraId="3F544FA8" w14:textId="1B9CF249" w:rsidR="0043284F" w:rsidRDefault="007D409D" w:rsidP="007D409D">
            <w:pPr>
              <w:pStyle w:val="AssignBody"/>
            </w:pPr>
            <w:r>
              <w:t xml:space="preserve">I have looked through my work and also used the spelling and grammar check to proofread my work. </w:t>
            </w:r>
          </w:p>
        </w:tc>
      </w:tr>
    </w:tbl>
    <w:p w14:paraId="6FF97511" w14:textId="76163096" w:rsidR="0043284F" w:rsidRDefault="007D409D" w:rsidP="0043284F">
      <w:pPr>
        <w:pStyle w:val="AssignHeader"/>
      </w:pPr>
      <w:r>
        <w:t xml:space="preserve">Can the use of no hands-up methods, such as the use of lollypop sticks, have a greater effect on pupil </w:t>
      </w:r>
      <w:bookmarkStart w:id="1" w:name="_GoBack"/>
      <w:bookmarkEnd w:id="1"/>
      <w:r>
        <w:t>participation?</w:t>
      </w:r>
    </w:p>
    <w:p w14:paraId="23F908CE" w14:textId="77777777" w:rsidR="0043284F" w:rsidRDefault="0043284F" w:rsidP="0043284F">
      <w:pPr>
        <w:rPr>
          <w:rFonts w:ascii="Arial" w:hAnsi="Arial" w:cs="Arial"/>
          <w:b/>
          <w:bCs/>
          <w:sz w:val="28"/>
          <w:szCs w:val="28"/>
          <w:u w:val="single"/>
        </w:rPr>
      </w:pPr>
    </w:p>
    <w:p w14:paraId="61AFF135" w14:textId="77777777" w:rsidR="0043284F" w:rsidRDefault="0043284F" w:rsidP="0043284F">
      <w:pPr>
        <w:rPr>
          <w:rFonts w:ascii="Arial" w:hAnsi="Arial" w:cs="Arial"/>
          <w:b/>
          <w:bCs/>
          <w:sz w:val="28"/>
          <w:szCs w:val="28"/>
          <w:u w:val="single"/>
        </w:rPr>
      </w:pPr>
    </w:p>
    <w:p w14:paraId="1FD2C685" w14:textId="079B08DE" w:rsidR="0091610E" w:rsidRPr="0043284F" w:rsidRDefault="0091610E" w:rsidP="0043284F">
      <w:pPr>
        <w:rPr>
          <w:rFonts w:ascii="Arial" w:hAnsi="Arial" w:cs="Arial"/>
          <w:b/>
          <w:bCs/>
          <w:sz w:val="28"/>
          <w:szCs w:val="28"/>
          <w:u w:val="single"/>
        </w:rPr>
      </w:pPr>
      <w:r w:rsidRPr="0043284F">
        <w:rPr>
          <w:rFonts w:ascii="Arial" w:hAnsi="Arial" w:cs="Arial"/>
          <w:b/>
          <w:bCs/>
          <w:sz w:val="28"/>
          <w:szCs w:val="28"/>
          <w:u w:val="single"/>
        </w:rPr>
        <w:t xml:space="preserve">Introduction </w:t>
      </w:r>
    </w:p>
    <w:p w14:paraId="47D049FD" w14:textId="77777777" w:rsidR="0091610E" w:rsidRPr="0043284F" w:rsidRDefault="00955A02" w:rsidP="0043284F">
      <w:pPr>
        <w:rPr>
          <w:rFonts w:ascii="Arial" w:hAnsi="Arial" w:cs="Arial"/>
          <w:sz w:val="22"/>
          <w:szCs w:val="22"/>
        </w:rPr>
      </w:pPr>
      <w:r w:rsidRPr="0043284F">
        <w:rPr>
          <w:rFonts w:ascii="Arial" w:hAnsi="Arial" w:cs="Arial"/>
          <w:sz w:val="22"/>
          <w:szCs w:val="22"/>
        </w:rPr>
        <w:t>The aim of this research was to gather evidence about if there was a correlation between using a no hands up method of questioning and pupil engagement. This was a chosen because it interested me to see whether this technique would allow children to engage more within a lesson and if this could improve their learning. Within my school we did not use a no hands up method of questioning often and would encourage the children to put their hands up. While this was the style that the school preferred, within my classroom I had used a no hands up style of questioning using ‘class dojo randomiser’, while the children had used this before the research study they had only used it a couple of times and were still no</w:t>
      </w:r>
      <w:r w:rsidR="00A3755C" w:rsidRPr="0043284F">
        <w:rPr>
          <w:rFonts w:ascii="Arial" w:hAnsi="Arial" w:cs="Arial"/>
          <w:sz w:val="22"/>
          <w:szCs w:val="22"/>
        </w:rPr>
        <w:t xml:space="preserve">t </w:t>
      </w:r>
      <w:r w:rsidRPr="0043284F">
        <w:rPr>
          <w:rFonts w:ascii="Arial" w:hAnsi="Arial" w:cs="Arial"/>
          <w:sz w:val="22"/>
          <w:szCs w:val="22"/>
        </w:rPr>
        <w:t xml:space="preserve">that used to that style of </w:t>
      </w:r>
      <w:r w:rsidR="00A3755C" w:rsidRPr="0043284F">
        <w:rPr>
          <w:rFonts w:ascii="Arial" w:hAnsi="Arial" w:cs="Arial"/>
          <w:sz w:val="22"/>
          <w:szCs w:val="22"/>
        </w:rPr>
        <w:t>questioning.</w:t>
      </w:r>
    </w:p>
    <w:p w14:paraId="49DF1499" w14:textId="77777777" w:rsidR="007D409D" w:rsidRDefault="0091610E" w:rsidP="0043284F">
      <w:pPr>
        <w:rPr>
          <w:rFonts w:ascii="Arial" w:hAnsi="Arial" w:cs="Arial"/>
          <w:b/>
          <w:bCs/>
          <w:sz w:val="28"/>
          <w:szCs w:val="28"/>
          <w:u w:val="single"/>
        </w:rPr>
      </w:pPr>
      <w:r w:rsidRPr="0043284F">
        <w:rPr>
          <w:rFonts w:ascii="Arial" w:hAnsi="Arial" w:cs="Arial"/>
          <w:b/>
          <w:bCs/>
          <w:sz w:val="28"/>
          <w:szCs w:val="28"/>
          <w:u w:val="single"/>
        </w:rPr>
        <w:t xml:space="preserve">Research context </w:t>
      </w:r>
    </w:p>
    <w:p w14:paraId="0734CB16" w14:textId="0075FFB3" w:rsidR="00BD3D7B" w:rsidRPr="007D409D" w:rsidRDefault="00B51694" w:rsidP="0043284F">
      <w:pPr>
        <w:rPr>
          <w:rFonts w:ascii="Arial" w:hAnsi="Arial" w:cs="Arial"/>
          <w:b/>
          <w:bCs/>
          <w:sz w:val="28"/>
          <w:szCs w:val="28"/>
          <w:u w:val="single"/>
        </w:rPr>
      </w:pPr>
      <w:r w:rsidRPr="0043284F">
        <w:rPr>
          <w:rFonts w:ascii="Arial" w:hAnsi="Arial" w:cs="Arial"/>
          <w:sz w:val="22"/>
          <w:szCs w:val="22"/>
        </w:rPr>
        <w:lastRenderedPageBreak/>
        <w:t xml:space="preserve">Once I had identified an area that I was interested in researching, I spoke to my research partner and explained what I was interested </w:t>
      </w:r>
      <w:r w:rsidR="00EF7693" w:rsidRPr="0043284F">
        <w:rPr>
          <w:rFonts w:ascii="Arial" w:hAnsi="Arial" w:cs="Arial"/>
          <w:sz w:val="22"/>
          <w:szCs w:val="22"/>
        </w:rPr>
        <w:t xml:space="preserve">in researching, after discussing this we came to the decision to look at the research </w:t>
      </w:r>
      <w:r w:rsidR="00EF7693" w:rsidRPr="0043284F">
        <w:rPr>
          <w:rFonts w:ascii="Arial" w:hAnsi="Arial" w:cs="Arial"/>
          <w:color w:val="000000" w:themeColor="text1"/>
          <w:sz w:val="22"/>
          <w:szCs w:val="22"/>
        </w:rPr>
        <w:t>question “</w:t>
      </w:r>
      <w:r w:rsidR="00EF7693" w:rsidRPr="0043284F">
        <w:rPr>
          <w:rStyle w:val="nw1"/>
          <w:rFonts w:ascii="Arial" w:hAnsi="Arial" w:cs="Arial"/>
          <w:color w:val="000000" w:themeColor="text1"/>
          <w:sz w:val="22"/>
          <w:szCs w:val="22"/>
        </w:rPr>
        <w:t xml:space="preserve">Can the use of no hands-up methods, such as the use of lollypop sticks have a greater effect on pupil participation?”. The research took place over two days in two different schools, the first research activity took place within my classroom, this was with 27 children. The next part of the study took place in my research partners school and this was within </w:t>
      </w:r>
      <w:r w:rsidR="0037685F" w:rsidRPr="0043284F">
        <w:rPr>
          <w:rStyle w:val="nw1"/>
          <w:rFonts w:ascii="Arial" w:hAnsi="Arial" w:cs="Arial"/>
          <w:color w:val="000000" w:themeColor="text1"/>
          <w:sz w:val="22"/>
          <w:szCs w:val="22"/>
        </w:rPr>
        <w:t xml:space="preserve">a classroom with 19 children. After the lesson study was conducted we each chose three children from our classes to take part in an interview to discuss their thoughts about the lesson they just had. </w:t>
      </w:r>
    </w:p>
    <w:p w14:paraId="0382173F" w14:textId="7B730932" w:rsidR="0091610E" w:rsidRPr="0043284F" w:rsidRDefault="0091610E" w:rsidP="0043284F">
      <w:pPr>
        <w:rPr>
          <w:rFonts w:ascii="Arial" w:hAnsi="Arial" w:cs="Arial"/>
          <w:b/>
          <w:bCs/>
          <w:sz w:val="28"/>
          <w:szCs w:val="28"/>
          <w:u w:val="single"/>
        </w:rPr>
      </w:pPr>
      <w:r w:rsidRPr="0043284F">
        <w:rPr>
          <w:rFonts w:ascii="Arial" w:hAnsi="Arial" w:cs="Arial"/>
          <w:b/>
          <w:bCs/>
          <w:sz w:val="28"/>
          <w:szCs w:val="28"/>
          <w:u w:val="single"/>
        </w:rPr>
        <w:t xml:space="preserve">Literature Review </w:t>
      </w:r>
    </w:p>
    <w:p w14:paraId="3983F71D" w14:textId="16ABD6C0" w:rsidR="006E3C62" w:rsidRPr="0043284F" w:rsidRDefault="000747FC" w:rsidP="0043284F">
      <w:pPr>
        <w:rPr>
          <w:rFonts w:ascii="Arial" w:hAnsi="Arial" w:cs="Arial"/>
          <w:sz w:val="22"/>
          <w:szCs w:val="22"/>
        </w:rPr>
      </w:pPr>
      <w:r w:rsidRPr="0043284F">
        <w:rPr>
          <w:rFonts w:ascii="Arial" w:hAnsi="Arial" w:cs="Arial"/>
          <w:sz w:val="22"/>
          <w:szCs w:val="22"/>
        </w:rPr>
        <w:t>To further our understanding of this area of study before undertaking our research, we looked at relevant litera</w:t>
      </w:r>
      <w:r w:rsidR="00AC6D89" w:rsidRPr="0043284F">
        <w:rPr>
          <w:rFonts w:ascii="Arial" w:hAnsi="Arial" w:cs="Arial"/>
          <w:sz w:val="22"/>
          <w:szCs w:val="22"/>
        </w:rPr>
        <w:t>ture to gain a deeper understanding of the area that we were going to be looking at. To do this we started looking at relevant books, journals and some government documents</w:t>
      </w:r>
      <w:r w:rsidR="0091610E" w:rsidRPr="0043284F">
        <w:rPr>
          <w:rFonts w:ascii="Arial" w:hAnsi="Arial" w:cs="Arial"/>
          <w:sz w:val="22"/>
          <w:szCs w:val="22"/>
        </w:rPr>
        <w:t xml:space="preserve"> related to the areas of Assessment for Learning (AfL) focusing more on the different forms of questioning and the effectiveness of them and also engagement.</w:t>
      </w:r>
    </w:p>
    <w:p w14:paraId="32985622" w14:textId="3357873D" w:rsidR="006E3C62" w:rsidRPr="0043284F" w:rsidRDefault="006E3C62" w:rsidP="0043284F">
      <w:pPr>
        <w:rPr>
          <w:rFonts w:ascii="Arial" w:hAnsi="Arial" w:cs="Arial"/>
          <w:color w:val="000000" w:themeColor="text1"/>
          <w:sz w:val="22"/>
          <w:szCs w:val="22"/>
          <w:shd w:val="clear" w:color="auto" w:fill="FFFFFF"/>
        </w:rPr>
      </w:pPr>
      <w:r w:rsidRPr="0043284F">
        <w:rPr>
          <w:rFonts w:ascii="Arial" w:hAnsi="Arial" w:cs="Arial"/>
          <w:sz w:val="22"/>
          <w:szCs w:val="22"/>
        </w:rPr>
        <w:t xml:space="preserve">Assessment for Learning (AfL) is described </w:t>
      </w:r>
      <w:r w:rsidRPr="0043284F">
        <w:rPr>
          <w:rFonts w:ascii="Arial" w:hAnsi="Arial" w:cs="Arial"/>
          <w:color w:val="000000" w:themeColor="text1"/>
          <w:sz w:val="22"/>
          <w:szCs w:val="22"/>
        </w:rPr>
        <w:t>as a tool that is used by teachers to allow them to give feedback to the children quickly by employing different forms of assessment</w:t>
      </w:r>
      <w:r w:rsidRPr="0043284F">
        <w:rPr>
          <w:rFonts w:ascii="Arial" w:hAnsi="Arial" w:cs="Arial"/>
          <w:color w:val="000000" w:themeColor="text1"/>
          <w:sz w:val="22"/>
          <w:szCs w:val="22"/>
          <w:shd w:val="clear" w:color="auto" w:fill="FFFFFF"/>
        </w:rPr>
        <w:t xml:space="preserve">. (Cambridge Assessment International Education, No Date). This definition is very basic and does not give a deeper understanding of AfL and how it can be used effectively within a classroom. </w:t>
      </w:r>
      <w:r w:rsidR="00596B4F" w:rsidRPr="0043284F">
        <w:rPr>
          <w:rFonts w:ascii="Arial" w:hAnsi="Arial" w:cs="Arial"/>
          <w:color w:val="000000" w:themeColor="text1"/>
          <w:sz w:val="22"/>
          <w:szCs w:val="22"/>
          <w:shd w:val="clear" w:color="auto" w:fill="FFFFFF"/>
        </w:rPr>
        <w:t>While the Cambridge Assessment, tries to offer a definition of what AfL is Black and William</w:t>
      </w:r>
      <w:r w:rsidR="00596B4F" w:rsidRPr="0043284F">
        <w:rPr>
          <w:rFonts w:ascii="Arial" w:hAnsi="Arial" w:cs="Arial"/>
          <w:color w:val="000000" w:themeColor="text1"/>
          <w:sz w:val="28"/>
          <w:szCs w:val="28"/>
          <w:shd w:val="clear" w:color="auto" w:fill="FFFFFF"/>
        </w:rPr>
        <w:t xml:space="preserve"> </w:t>
      </w:r>
      <w:r w:rsidR="00B540A2" w:rsidRPr="0043284F">
        <w:rPr>
          <w:rFonts w:ascii="Arial" w:hAnsi="Arial" w:cs="Arial"/>
          <w:color w:val="000000" w:themeColor="text1"/>
          <w:sz w:val="22"/>
          <w:szCs w:val="22"/>
          <w:shd w:val="clear" w:color="auto" w:fill="FFFFFF"/>
        </w:rPr>
        <w:t xml:space="preserve">(2009) suggest that because AfL is such a wide subject it is too hard to define within a short sentence. While these are two opposing thoughts on the definition of AfL they both show how AfL is a tool that teachers can use, but it is such a varied tool that there are many different forms/tools that the teacher can chose from to use. </w:t>
      </w:r>
    </w:p>
    <w:p w14:paraId="4E7F05CF" w14:textId="4C9339F6" w:rsidR="000747FC" w:rsidRPr="0043284F" w:rsidRDefault="006E3C62" w:rsidP="0043284F">
      <w:pPr>
        <w:rPr>
          <w:rFonts w:ascii="Arial" w:hAnsi="Arial" w:cs="Arial"/>
          <w:sz w:val="22"/>
          <w:szCs w:val="22"/>
        </w:rPr>
      </w:pPr>
      <w:r w:rsidRPr="0043284F">
        <w:rPr>
          <w:rFonts w:ascii="Arial" w:hAnsi="Arial" w:cs="Arial"/>
          <w:sz w:val="22"/>
          <w:szCs w:val="22"/>
        </w:rPr>
        <w:t>J</w:t>
      </w:r>
      <w:r w:rsidR="0091610E" w:rsidRPr="0043284F">
        <w:rPr>
          <w:rFonts w:ascii="Arial" w:hAnsi="Arial" w:cs="Arial"/>
          <w:sz w:val="22"/>
          <w:szCs w:val="22"/>
        </w:rPr>
        <w:t xml:space="preserve">ones and Tanner (2006) present the view that we should abandon the hands up style of questioning and that we should be adopting a more no hands up form of questioning. They </w:t>
      </w:r>
      <w:r w:rsidR="0091610E" w:rsidRPr="0043284F">
        <w:rPr>
          <w:rFonts w:ascii="Arial" w:hAnsi="Arial" w:cs="Arial"/>
          <w:sz w:val="22"/>
          <w:szCs w:val="22"/>
        </w:rPr>
        <w:lastRenderedPageBreak/>
        <w:t xml:space="preserve">suggest that by doing this you can save the children from </w:t>
      </w:r>
      <w:r w:rsidR="001D53BD" w:rsidRPr="0043284F">
        <w:rPr>
          <w:rFonts w:ascii="Arial" w:hAnsi="Arial" w:cs="Arial"/>
          <w:sz w:val="22"/>
          <w:szCs w:val="22"/>
        </w:rPr>
        <w:t>potentially</w:t>
      </w:r>
      <w:r w:rsidR="0091610E" w:rsidRPr="0043284F">
        <w:rPr>
          <w:rFonts w:ascii="Arial" w:hAnsi="Arial" w:cs="Arial"/>
          <w:sz w:val="22"/>
          <w:szCs w:val="22"/>
        </w:rPr>
        <w:t xml:space="preserve"> embarrassing themselves if they get the answer wrong. This could possibly lead to the children engaging more with the lesson as they will need to pay attention to the lesson to ensure that if they are chosen to answer the question they will have a better chance of answering correctly.</w:t>
      </w:r>
      <w:r w:rsidR="001D53BD" w:rsidRPr="0043284F">
        <w:rPr>
          <w:rFonts w:ascii="Arial" w:hAnsi="Arial" w:cs="Arial"/>
          <w:sz w:val="22"/>
          <w:szCs w:val="22"/>
        </w:rPr>
        <w:t xml:space="preserve"> This view of abandoning the hands up form of questioning is also supported by William (2014). While Jones and Tanner suggest removing the hands up form of questioning, they do suggest ways in which this can be difficult to do within the classroom; they suggest that you will need develop “discipline and a safe, supportive classroom culture” (Jones and Tanner, 2006, pp.26). </w:t>
      </w:r>
      <w:r w:rsidR="002135BB" w:rsidRPr="0043284F">
        <w:rPr>
          <w:rFonts w:ascii="Arial" w:hAnsi="Arial" w:cs="Arial"/>
          <w:sz w:val="22"/>
          <w:szCs w:val="22"/>
        </w:rPr>
        <w:t xml:space="preserve">While they do suggest that teachers should use something else to get children to answer questions other than them putting their hand up, they suggest ways in which this can have a negative impact upon the classroom, this connotes that they have studied this area well and have thought about both the positive and negatives of this form of AfL and how this can be used within effective practice. </w:t>
      </w:r>
    </w:p>
    <w:p w14:paraId="5CB0B60F" w14:textId="56A47EF2" w:rsidR="00E260DD" w:rsidRPr="0043284F" w:rsidRDefault="00E260DD" w:rsidP="0043284F">
      <w:pPr>
        <w:rPr>
          <w:rFonts w:ascii="Arial" w:hAnsi="Arial" w:cs="Arial"/>
          <w:color w:val="000000" w:themeColor="text1"/>
          <w:sz w:val="22"/>
          <w:szCs w:val="22"/>
        </w:rPr>
      </w:pPr>
      <w:r w:rsidRPr="0043284F">
        <w:rPr>
          <w:rFonts w:ascii="Arial" w:hAnsi="Arial" w:cs="Arial"/>
          <w:color w:val="000000" w:themeColor="text1"/>
          <w:sz w:val="22"/>
          <w:szCs w:val="22"/>
        </w:rPr>
        <w:t>Another key aspect of this research study was to look at how the children engage with the no hands up rule and to understand if this would encourage them to engage more with the lesson and with their learning. “Student engagement has been identified as an important precursor to student learning” (Zyngier, 2008). While this definition is ex</w:t>
      </w:r>
      <w:r w:rsidR="00CF5CE7" w:rsidRPr="0043284F">
        <w:rPr>
          <w:rFonts w:ascii="Arial" w:hAnsi="Arial" w:cs="Arial"/>
          <w:color w:val="000000" w:themeColor="text1"/>
          <w:sz w:val="22"/>
          <w:szCs w:val="22"/>
        </w:rPr>
        <w:t>plain</w:t>
      </w:r>
      <w:r w:rsidRPr="0043284F">
        <w:rPr>
          <w:rFonts w:ascii="Arial" w:hAnsi="Arial" w:cs="Arial"/>
          <w:color w:val="000000" w:themeColor="text1"/>
          <w:sz w:val="22"/>
          <w:szCs w:val="22"/>
        </w:rPr>
        <w:t>ing a reason why engagement is so important to the children’s education</w:t>
      </w:r>
      <w:r w:rsidR="00CF5CE7" w:rsidRPr="0043284F">
        <w:rPr>
          <w:rFonts w:ascii="Arial" w:hAnsi="Arial" w:cs="Arial"/>
          <w:color w:val="000000" w:themeColor="text1"/>
          <w:sz w:val="22"/>
          <w:szCs w:val="22"/>
        </w:rPr>
        <w:t xml:space="preserve"> The glossary of education reform explains what engagement is and how children show that they’re engaged, they say that engagement </w:t>
      </w:r>
      <w:r w:rsidRPr="0043284F">
        <w:rPr>
          <w:rFonts w:ascii="Arial" w:hAnsi="Arial" w:cs="Arial"/>
          <w:color w:val="000000" w:themeColor="text1"/>
          <w:sz w:val="22"/>
          <w:szCs w:val="22"/>
        </w:rPr>
        <w:t>“</w:t>
      </w:r>
      <w:r w:rsidRPr="0043284F">
        <w:rPr>
          <w:rFonts w:ascii="Arial" w:hAnsi="Arial" w:cs="Arial"/>
          <w:color w:val="000000" w:themeColor="text1"/>
          <w:sz w:val="22"/>
          <w:szCs w:val="22"/>
          <w:shd w:val="clear" w:color="auto" w:fill="FFFFFF"/>
        </w:rPr>
        <w:t>refers to the degree of attention, curiosity, interest, optimism, and passion that students show when they are learning or being taught” (The glossary of education reform, 2016).</w:t>
      </w:r>
      <w:r w:rsidR="00782044" w:rsidRPr="0043284F">
        <w:rPr>
          <w:rFonts w:ascii="Arial" w:hAnsi="Arial" w:cs="Arial"/>
          <w:color w:val="000000" w:themeColor="text1"/>
          <w:sz w:val="22"/>
          <w:szCs w:val="22"/>
          <w:shd w:val="clear" w:color="auto" w:fill="FFFFFF"/>
        </w:rPr>
        <w:t xml:space="preserve"> While both of these definitions differ from each other, they are both relevant because one is giving a reason why engagement is important within education and the other is showing how true engagement is achieved. </w:t>
      </w:r>
    </w:p>
    <w:p w14:paraId="3B656B35" w14:textId="202577CD" w:rsidR="00386883" w:rsidRPr="0043284F" w:rsidRDefault="0008025B" w:rsidP="0043284F">
      <w:pPr>
        <w:rPr>
          <w:rFonts w:ascii="Arial" w:hAnsi="Arial" w:cs="Arial"/>
          <w:color w:val="000000" w:themeColor="text1"/>
          <w:sz w:val="22"/>
          <w:szCs w:val="22"/>
          <w:shd w:val="clear" w:color="auto" w:fill="FFFFFF"/>
        </w:rPr>
      </w:pPr>
      <w:r w:rsidRPr="0043284F">
        <w:rPr>
          <w:rFonts w:ascii="Arial" w:hAnsi="Arial" w:cs="Arial"/>
          <w:sz w:val="22"/>
          <w:szCs w:val="22"/>
        </w:rPr>
        <w:t xml:space="preserve">In a study conducted by </w:t>
      </w:r>
      <w:r w:rsidRPr="0043284F">
        <w:rPr>
          <w:rFonts w:ascii="Arial" w:hAnsi="Arial" w:cs="Arial"/>
          <w:color w:val="000000" w:themeColor="text1"/>
          <w:sz w:val="22"/>
          <w:szCs w:val="22"/>
        </w:rPr>
        <w:t>Näkk and Timoštšuk, (2019)</w:t>
      </w:r>
      <w:r w:rsidRPr="0043284F">
        <w:rPr>
          <w:rFonts w:ascii="Arial" w:hAnsi="Arial" w:cs="Arial"/>
          <w:color w:val="000000" w:themeColor="text1"/>
          <w:sz w:val="22"/>
          <w:szCs w:val="22"/>
          <w:shd w:val="clear" w:color="auto" w:fill="FFFFFF"/>
        </w:rPr>
        <w:t xml:space="preserve"> looked at how teachers use of structed lessons impacts on student engagement in a primary school. This research shows that children thought they were more engaged when the lesson was structured, and the teacher </w:t>
      </w:r>
      <w:r w:rsidRPr="0043284F">
        <w:rPr>
          <w:rFonts w:ascii="Arial" w:hAnsi="Arial" w:cs="Arial"/>
          <w:color w:val="000000" w:themeColor="text1"/>
          <w:sz w:val="22"/>
          <w:szCs w:val="22"/>
          <w:shd w:val="clear" w:color="auto" w:fill="FFFFFF"/>
        </w:rPr>
        <w:lastRenderedPageBreak/>
        <w:t xml:space="preserve">was in charge of their learning. While this research has been conducted with two primary school teachers with 46 children, this is still a small study and the research can be seen as not accurate enough for all classrooms and children. If this study was larger and looked at different classes in different schools in different parts of the country it would allow the study to be more accurate and reliable. While this study may be seen as unreliable for its small sample size, the research it has found is reliable because it is from the children’s perspective and allows the researcher and reader to understand what children believe engages them more within a lesson. </w:t>
      </w:r>
    </w:p>
    <w:p w14:paraId="03CD82B3" w14:textId="0B4544F4" w:rsidR="0008025B" w:rsidRPr="0043284F" w:rsidRDefault="0008025B" w:rsidP="0043284F">
      <w:pPr>
        <w:rPr>
          <w:rFonts w:ascii="Arial" w:hAnsi="Arial" w:cs="Arial"/>
          <w:color w:val="000000" w:themeColor="text1"/>
          <w:sz w:val="22"/>
          <w:szCs w:val="22"/>
          <w:shd w:val="clear" w:color="auto" w:fill="FFFFFF"/>
        </w:rPr>
      </w:pPr>
      <w:r w:rsidRPr="0043284F">
        <w:rPr>
          <w:rFonts w:ascii="Arial" w:hAnsi="Arial" w:cs="Arial"/>
          <w:color w:val="000000" w:themeColor="text1"/>
          <w:sz w:val="22"/>
          <w:szCs w:val="22"/>
          <w:shd w:val="clear" w:color="auto" w:fill="FFFFFF"/>
        </w:rPr>
        <w:t xml:space="preserve">One view of how children engage more with a more structured approach to education is the use of the initiation, response, evaluation form of questioning within a classroom (Cazden, 2001). This is seen as the more formal approach to questioning as it is when the teacher will ask a question, the children will answer and then the teacher will provide feedback mainly if the children are correct r not. This according to the study conducted by </w:t>
      </w:r>
      <w:r w:rsidRPr="0043284F">
        <w:rPr>
          <w:rFonts w:ascii="Arial" w:hAnsi="Arial" w:cs="Arial"/>
          <w:color w:val="000000" w:themeColor="text1"/>
          <w:sz w:val="22"/>
          <w:szCs w:val="22"/>
        </w:rPr>
        <w:t>Näkk and Timoštšuk, (2019)</w:t>
      </w:r>
      <w:r w:rsidRPr="0043284F">
        <w:rPr>
          <w:rFonts w:ascii="Arial" w:hAnsi="Arial" w:cs="Arial"/>
          <w:color w:val="000000" w:themeColor="text1"/>
          <w:sz w:val="22"/>
          <w:szCs w:val="22"/>
          <w:shd w:val="clear" w:color="auto" w:fill="FFFFFF"/>
        </w:rPr>
        <w:t> suggests that this is the form of questioning that children prefer and engage with more. This can be debated but this is the research that has been conducted and shared within a peer reviewed journal. While this comment made by Cazden does not include any research that has been conducted, they use a variety of academic research to support their argument, furthermore  the research has been published by a university and has been approved and checked by other academics that have looked through and suggested that the viewpoint is based within research.</w:t>
      </w:r>
    </w:p>
    <w:p w14:paraId="7476F449" w14:textId="50E95DDC" w:rsidR="004818B1" w:rsidRPr="0043284F" w:rsidRDefault="0008025B" w:rsidP="0043284F">
      <w:pPr>
        <w:rPr>
          <w:rFonts w:ascii="Arial" w:hAnsi="Arial" w:cs="Arial"/>
          <w:b/>
          <w:bCs/>
          <w:sz w:val="28"/>
          <w:szCs w:val="28"/>
          <w:u w:val="single"/>
        </w:rPr>
      </w:pPr>
      <w:r w:rsidRPr="0043284F">
        <w:rPr>
          <w:rFonts w:ascii="Arial" w:hAnsi="Arial" w:cs="Arial"/>
          <w:b/>
          <w:bCs/>
          <w:sz w:val="28"/>
          <w:szCs w:val="28"/>
          <w:u w:val="single"/>
        </w:rPr>
        <w:t>Explanation of the study</w:t>
      </w:r>
    </w:p>
    <w:p w14:paraId="23C29C69" w14:textId="27CFD4CD" w:rsidR="0008025B" w:rsidRPr="0043284F" w:rsidRDefault="0008025B" w:rsidP="0043284F">
      <w:pPr>
        <w:rPr>
          <w:rFonts w:ascii="Arial" w:hAnsi="Arial" w:cs="Arial"/>
          <w:sz w:val="22"/>
          <w:szCs w:val="22"/>
        </w:rPr>
      </w:pPr>
      <w:r w:rsidRPr="0043284F">
        <w:rPr>
          <w:rFonts w:ascii="Arial" w:hAnsi="Arial" w:cs="Arial"/>
          <w:sz w:val="22"/>
          <w:szCs w:val="22"/>
        </w:rPr>
        <w:t xml:space="preserve">The methodology that has been used is a lesson study research, this means that the basis of this research has been formed by planning and teaching two separate lessons, those lessons being observed and then a semi-structured interview being conducted, me and my research partner both taught a lesson while the other observed, this meant that we had two lessons to compare and analyse which made our research more credible and more accurate </w:t>
      </w:r>
      <w:r w:rsidRPr="0043284F">
        <w:rPr>
          <w:rFonts w:ascii="Arial" w:hAnsi="Arial" w:cs="Arial"/>
          <w:sz w:val="22"/>
          <w:szCs w:val="22"/>
        </w:rPr>
        <w:lastRenderedPageBreak/>
        <w:t xml:space="preserve">because we could compare how the no hands up rule impacted on engagement in both a foundation phase classroom and a key stage 2 classroom. The methods of data collection used are reflection, non-participation observation and a focus group/ semi-structured interview. These forms of data collection have allowed me and research partner to take part within the lesson study without corrupting the results more than we needed to. The data we collected formed the majority of our research and were collated to form the basis of the study. While the lesson was taking place the researcher that was not conducting the lesson was taking observational notes, these notes were taken as part of the research and focused on how the children were engaging with the no hands up rule when the questioning was taken place, the non-participant observational notes were focused on three children’s engagement with the lessons and if they were more or less engaged with the no hands up rule and the lollipop stick way of choosing the children to answer the questions asked by the teachers. The data we collected from this part of the study was qualitative as we were looking at how engaged the children were by looking at their body language, the amount of attention we thought they were paying towards the lesson and the questions and how they acted during the choosing of the children to answer the questions. This data was collected on a sheet that we could then refer back to during our analysis. This is an acceptable form of data collection because it allows the researchers to observe the children without influencing the children or the results gained from this research, this is also an acceptable form of data collection because it was approved by the ethics committee of the university. </w:t>
      </w:r>
    </w:p>
    <w:p w14:paraId="10B9E0D9" w14:textId="4E230F04" w:rsidR="0008025B" w:rsidRPr="0043284F" w:rsidRDefault="0008025B" w:rsidP="0043284F">
      <w:pPr>
        <w:rPr>
          <w:rFonts w:ascii="Arial" w:hAnsi="Arial" w:cs="Arial"/>
          <w:sz w:val="22"/>
          <w:szCs w:val="22"/>
        </w:rPr>
      </w:pPr>
      <w:r w:rsidRPr="0043284F">
        <w:rPr>
          <w:rFonts w:ascii="Arial" w:hAnsi="Arial" w:cs="Arial"/>
          <w:sz w:val="22"/>
          <w:szCs w:val="22"/>
        </w:rPr>
        <w:t xml:space="preserve">While our research partners were taking formal written notes on how the children were engaging with the lesson and the research we were doing, we had decided that while we were teaching we would monitor the children we had selected to focus on because while the research partner was paying close attention to them, they had a very limited understanding of how they would engage or act within a lesson normally and without input from the person teaching there was no way that the research partner could tell if they were engaging more with the lesson because of the no hands up rule, or if that was how they would engage with </w:t>
      </w:r>
      <w:r w:rsidRPr="0043284F">
        <w:rPr>
          <w:rFonts w:ascii="Arial" w:hAnsi="Arial" w:cs="Arial"/>
          <w:sz w:val="22"/>
          <w:szCs w:val="22"/>
        </w:rPr>
        <w:lastRenderedPageBreak/>
        <w:t xml:space="preserve">the lesson on a normal day within the classroom. Both me and my research partner then discussed how the children engaged after the lesson and how that differed from a normal lesson within the class. We then discussed what our research partners had found during the lesson observation and how the children engaged with the lesson. This formed part of the research study we were </w:t>
      </w:r>
      <w:r w:rsidR="00107EA9" w:rsidRPr="0043284F">
        <w:rPr>
          <w:rFonts w:ascii="Arial" w:hAnsi="Arial" w:cs="Arial"/>
          <w:sz w:val="22"/>
          <w:szCs w:val="22"/>
        </w:rPr>
        <w:t>conducting,</w:t>
      </w:r>
      <w:r w:rsidRPr="0043284F">
        <w:rPr>
          <w:rFonts w:ascii="Arial" w:hAnsi="Arial" w:cs="Arial"/>
          <w:sz w:val="22"/>
          <w:szCs w:val="22"/>
        </w:rPr>
        <w:t xml:space="preserve"> and we kept this record to analyse further. </w:t>
      </w:r>
    </w:p>
    <w:p w14:paraId="62D90FD8" w14:textId="1E648FF3" w:rsidR="0008025B" w:rsidRPr="0043284F" w:rsidRDefault="0008025B" w:rsidP="0043284F">
      <w:pPr>
        <w:rPr>
          <w:rFonts w:ascii="Arial" w:hAnsi="Arial" w:cs="Arial"/>
          <w:sz w:val="22"/>
          <w:szCs w:val="22"/>
        </w:rPr>
      </w:pPr>
      <w:r w:rsidRPr="0043284F">
        <w:rPr>
          <w:rFonts w:ascii="Arial" w:hAnsi="Arial" w:cs="Arial"/>
          <w:sz w:val="22"/>
          <w:szCs w:val="22"/>
        </w:rPr>
        <w:t xml:space="preserve">The next form of research that we gained was from the semi-structed interviews or focus group, this allowed us to ask the children how they were feeling about the lesson and the focus of the research, within this interview both researches had the same set of questions to ask the children about the research study, but we also agreed that if the children brought up an opinion we thought was relevant we could pursue that area and ask more questions about that area. This allowed us to fully understand what the children thought about the research and what their opinion was on how they engaged with the questioning when they were not allowed to raise their hand to share their answers. While we conducted this interview/ focus group we recorded the questions and what the children said in reply, we then transcribed the interviews and kept these for the analysis of our research, this study allowed us to collect qualitative data on how the children were feeling and what they thought about their engagement during the questioning aspect of the lesson. </w:t>
      </w:r>
    </w:p>
    <w:p w14:paraId="12F32463" w14:textId="415ED2D7" w:rsidR="0008025B" w:rsidRPr="0043284F" w:rsidRDefault="0008025B" w:rsidP="0043284F">
      <w:pPr>
        <w:rPr>
          <w:rFonts w:ascii="Arial" w:hAnsi="Arial" w:cs="Arial"/>
          <w:sz w:val="22"/>
          <w:szCs w:val="22"/>
        </w:rPr>
      </w:pPr>
      <w:r w:rsidRPr="0043284F">
        <w:rPr>
          <w:rFonts w:ascii="Arial" w:hAnsi="Arial" w:cs="Arial"/>
          <w:sz w:val="22"/>
          <w:szCs w:val="22"/>
        </w:rPr>
        <w:t xml:space="preserve">When me and my research partner were discussing who we were going to choose to take part in the interview/ focus group we discussed and agreed that we should try and get three children, one from each ability group this was from lower, middle and higher ability. We thought this would allow us to see how each ability group responds to the rule of no hands up and how that made them engage with the lesson. While we had decided who we wanted to take part in the interview we sent out letters of consent to all children within our classes to ensure that the children we had selected could take part in the interview. We also decided to send out letters to all of the children in case one of the children we had selected were not allowed to participate or that they were not in attendance during the day we undertook the research, this allowed us as researchers to have back up interviewees, children we could </w:t>
      </w:r>
      <w:r w:rsidRPr="0043284F">
        <w:rPr>
          <w:rFonts w:ascii="Arial" w:hAnsi="Arial" w:cs="Arial"/>
          <w:sz w:val="22"/>
          <w:szCs w:val="22"/>
        </w:rPr>
        <w:lastRenderedPageBreak/>
        <w:t xml:space="preserve">ask to take part in the study because they had consent from their parents and assent would be given before taking part in the study. </w:t>
      </w:r>
    </w:p>
    <w:p w14:paraId="6DCB5234" w14:textId="7C24FD14" w:rsidR="004F3DC9" w:rsidRPr="0043284F" w:rsidRDefault="004F3DC9" w:rsidP="0043284F">
      <w:pPr>
        <w:rPr>
          <w:rFonts w:ascii="Arial" w:hAnsi="Arial" w:cs="Arial"/>
          <w:b/>
          <w:bCs/>
          <w:sz w:val="28"/>
          <w:szCs w:val="28"/>
          <w:u w:val="single"/>
        </w:rPr>
      </w:pPr>
      <w:r w:rsidRPr="0043284F">
        <w:rPr>
          <w:rFonts w:ascii="Arial" w:hAnsi="Arial" w:cs="Arial"/>
          <w:b/>
          <w:bCs/>
          <w:sz w:val="28"/>
          <w:szCs w:val="28"/>
          <w:u w:val="single"/>
        </w:rPr>
        <w:t>Ethical Considerations</w:t>
      </w:r>
    </w:p>
    <w:p w14:paraId="320DD1B1" w14:textId="340D8A33" w:rsidR="004F3DC9" w:rsidRPr="0043284F" w:rsidRDefault="004F3DC9" w:rsidP="0043284F">
      <w:pPr>
        <w:rPr>
          <w:rFonts w:ascii="Arial" w:hAnsi="Arial" w:cs="Arial"/>
          <w:sz w:val="22"/>
          <w:szCs w:val="22"/>
        </w:rPr>
      </w:pPr>
      <w:r w:rsidRPr="0043284F">
        <w:rPr>
          <w:rFonts w:ascii="Arial" w:hAnsi="Arial" w:cs="Arial"/>
          <w:sz w:val="22"/>
          <w:szCs w:val="22"/>
        </w:rPr>
        <w:t xml:space="preserve">While doing research within a classroom there are many ethical considerations that we need to contemplate before conducting the research. To ensure that all of our research within the classroom was ethical, both me and my research partner filled in an ethics form which we submitted to the university ethics committee, once we had received our ethics foe back from the university and it was authorised, it meant that we could undertake our research. While we were completing our ethics from we considered BERA’s guidelines (BERA, 2018). While we were considering these </w:t>
      </w:r>
      <w:r w:rsidR="00107EA9" w:rsidRPr="0043284F">
        <w:rPr>
          <w:rFonts w:ascii="Arial" w:hAnsi="Arial" w:cs="Arial"/>
          <w:sz w:val="22"/>
          <w:szCs w:val="22"/>
        </w:rPr>
        <w:t xml:space="preserve">guidelines, we also considered the universities guidelines and what they expected and considered ethical. We considered that we may put the children under some stress by conducting this research, we tried to minimise this as much as possible by explaining that the research was not going to be focusing on them as individuals and we were focusing on the research question. We also understood that we needed to gain consent from the school and parents before we conducted the research, we also ensured that we had the children’s assent before conducing the interview/ focus group. </w:t>
      </w:r>
      <w:r w:rsidR="00460766" w:rsidRPr="0043284F">
        <w:rPr>
          <w:rFonts w:ascii="Arial" w:hAnsi="Arial" w:cs="Arial"/>
          <w:sz w:val="22"/>
          <w:szCs w:val="22"/>
        </w:rPr>
        <w:t xml:space="preserve"> </w:t>
      </w:r>
    </w:p>
    <w:p w14:paraId="067B87F2" w14:textId="48883B30" w:rsidR="00460766" w:rsidRPr="0043284F" w:rsidRDefault="00460766" w:rsidP="0043284F">
      <w:pPr>
        <w:rPr>
          <w:rFonts w:ascii="Arial" w:hAnsi="Arial" w:cs="Arial"/>
          <w:b/>
          <w:bCs/>
          <w:sz w:val="28"/>
          <w:szCs w:val="28"/>
          <w:u w:val="single"/>
        </w:rPr>
      </w:pPr>
      <w:r w:rsidRPr="0043284F">
        <w:rPr>
          <w:rFonts w:ascii="Arial" w:hAnsi="Arial" w:cs="Arial"/>
          <w:b/>
          <w:bCs/>
          <w:sz w:val="28"/>
          <w:szCs w:val="28"/>
          <w:u w:val="single"/>
        </w:rPr>
        <w:t xml:space="preserve">Lesson study results and analysis </w:t>
      </w:r>
    </w:p>
    <w:p w14:paraId="7493D3A7" w14:textId="77777777" w:rsidR="00062C3E" w:rsidRPr="0043284F" w:rsidRDefault="000E10A6" w:rsidP="0043284F">
      <w:pPr>
        <w:rPr>
          <w:rFonts w:ascii="Arial" w:hAnsi="Arial" w:cs="Arial"/>
          <w:sz w:val="22"/>
          <w:szCs w:val="22"/>
        </w:rPr>
      </w:pPr>
      <w:r w:rsidRPr="0043284F">
        <w:rPr>
          <w:rFonts w:ascii="Arial" w:hAnsi="Arial" w:cs="Arial"/>
          <w:sz w:val="22"/>
          <w:szCs w:val="22"/>
        </w:rPr>
        <w:t xml:space="preserve">While the research that me and my research partner was the same, we had the same research questions and also research questions our lessons were different. Within my lesson I taught the key elements of script writing. In response to the research I used lollipop sticks to choose the children that would answer the questions I had on the key elements of script writing. </w:t>
      </w:r>
    </w:p>
    <w:p w14:paraId="25EA0EFA" w14:textId="1F4D53C8" w:rsidR="00062C3E" w:rsidRPr="0043284F" w:rsidRDefault="000E10A6" w:rsidP="0043284F">
      <w:pPr>
        <w:rPr>
          <w:rFonts w:ascii="Arial" w:hAnsi="Arial" w:cs="Arial"/>
          <w:sz w:val="22"/>
          <w:szCs w:val="22"/>
        </w:rPr>
      </w:pPr>
      <w:r w:rsidRPr="0043284F">
        <w:rPr>
          <w:rFonts w:ascii="Arial" w:hAnsi="Arial" w:cs="Arial"/>
          <w:sz w:val="22"/>
          <w:szCs w:val="22"/>
        </w:rPr>
        <w:t xml:space="preserve">At the beginning of the lesson I explained to the children that we were going to try and answer the questions without raising our hands, the children had some experience with this from a few of my previous lessons. While the children were excited to use this method, there </w:t>
      </w:r>
      <w:r w:rsidRPr="0043284F">
        <w:rPr>
          <w:rFonts w:ascii="Arial" w:hAnsi="Arial" w:cs="Arial"/>
          <w:sz w:val="22"/>
          <w:szCs w:val="22"/>
        </w:rPr>
        <w:lastRenderedPageBreak/>
        <w:t xml:space="preserve">was some looks of apprehension. During the lesson the children mostly remembered that we were not putting their hands up to answer the question, there were sometimes where the children did raise their hands to answer the question, but I reminded them that they were not to do this as we would be choosing at random the children that were going to answer. From this I was happy that the children had completed the research objectives during the introduction </w:t>
      </w:r>
      <w:r w:rsidR="00F0266F" w:rsidRPr="0043284F">
        <w:rPr>
          <w:rFonts w:ascii="Arial" w:hAnsi="Arial" w:cs="Arial"/>
          <w:sz w:val="22"/>
          <w:szCs w:val="22"/>
        </w:rPr>
        <w:t xml:space="preserve">to the lesson. </w:t>
      </w:r>
    </w:p>
    <w:p w14:paraId="46815557" w14:textId="7A778807" w:rsidR="00460766" w:rsidRPr="0043284F" w:rsidRDefault="00F0266F" w:rsidP="0043284F">
      <w:pPr>
        <w:rPr>
          <w:rFonts w:ascii="Arial" w:hAnsi="Arial" w:cs="Arial"/>
          <w:sz w:val="22"/>
          <w:szCs w:val="22"/>
        </w:rPr>
      </w:pPr>
      <w:r w:rsidRPr="0043284F">
        <w:rPr>
          <w:rFonts w:ascii="Arial" w:hAnsi="Arial" w:cs="Arial"/>
          <w:sz w:val="22"/>
          <w:szCs w:val="22"/>
        </w:rPr>
        <w:t xml:space="preserve">While the children had some experience using this method of questioning, it was still fairly new to them; I think this is why some of the children were still raising their hand to answer the questions. While this is one explanation as to why the children were still raising their hands, another explanation could be that the children were anxious that they were not going to be chosen to answer the questions that they knew the answer to and wanted to indicate to me that they knew the answer and could answer it if the child chosen to answer could not answer it when picked at random. </w:t>
      </w:r>
    </w:p>
    <w:p w14:paraId="56AA5F04" w14:textId="70A8D29B" w:rsidR="002108E2" w:rsidRPr="0043284F" w:rsidRDefault="002108E2" w:rsidP="0043284F">
      <w:pPr>
        <w:rPr>
          <w:rFonts w:ascii="Arial" w:hAnsi="Arial" w:cs="Arial"/>
          <w:sz w:val="22"/>
          <w:szCs w:val="22"/>
        </w:rPr>
      </w:pPr>
      <w:r w:rsidRPr="0043284F">
        <w:rPr>
          <w:rFonts w:ascii="Arial" w:hAnsi="Arial" w:cs="Arial"/>
          <w:sz w:val="22"/>
          <w:szCs w:val="22"/>
        </w:rPr>
        <w:t xml:space="preserve">There are ways in which this research/ lesson could be improved, the first thing that I would change is to try and complete this research on a lesson that the children already have a basic knowledge in. I found that because I was introducing a new lesson the children seemed to be hesitant to answer because they were unsure of the correct answer. I think that the best lesson for this research to be conducted in would be a maths </w:t>
      </w:r>
      <w:r w:rsidR="00C84174" w:rsidRPr="0043284F">
        <w:rPr>
          <w:rFonts w:ascii="Arial" w:hAnsi="Arial" w:cs="Arial"/>
          <w:sz w:val="22"/>
          <w:szCs w:val="22"/>
        </w:rPr>
        <w:t>lesson</w:t>
      </w:r>
      <w:r w:rsidRPr="0043284F">
        <w:rPr>
          <w:rFonts w:ascii="Arial" w:hAnsi="Arial" w:cs="Arial"/>
          <w:sz w:val="22"/>
          <w:szCs w:val="22"/>
        </w:rPr>
        <w:t xml:space="preserve">, this is because there are many different ways you can ask the children </w:t>
      </w:r>
      <w:r w:rsidR="00C84174" w:rsidRPr="0043284F">
        <w:rPr>
          <w:rFonts w:ascii="Arial" w:hAnsi="Arial" w:cs="Arial"/>
          <w:sz w:val="22"/>
          <w:szCs w:val="22"/>
        </w:rPr>
        <w:t>questions</w:t>
      </w:r>
      <w:r w:rsidRPr="0043284F">
        <w:rPr>
          <w:rFonts w:ascii="Arial" w:hAnsi="Arial" w:cs="Arial"/>
          <w:sz w:val="22"/>
          <w:szCs w:val="22"/>
        </w:rPr>
        <w:t xml:space="preserve"> which gives you a lot more opportunity to use this technique within a lesson. </w:t>
      </w:r>
    </w:p>
    <w:p w14:paraId="17A4718F" w14:textId="0E7163AB" w:rsidR="00455093" w:rsidRPr="0043284F" w:rsidRDefault="00455093" w:rsidP="0043284F">
      <w:pPr>
        <w:rPr>
          <w:rFonts w:ascii="Arial" w:hAnsi="Arial" w:cs="Arial"/>
          <w:sz w:val="22"/>
          <w:szCs w:val="22"/>
        </w:rPr>
      </w:pPr>
      <w:r w:rsidRPr="0043284F">
        <w:rPr>
          <w:rFonts w:ascii="Arial" w:hAnsi="Arial" w:cs="Arial"/>
          <w:sz w:val="22"/>
          <w:szCs w:val="22"/>
        </w:rPr>
        <w:t xml:space="preserve">From this research I have found that while some of the children within the class are able to use a lollipop or no hands up approach to questioning, not all of the children are able to get out of the routine of putting their hands up to answer the question. I also noticed that it was mostly the higher ability children within my class that were stuck in the routine of putting their hands up, I think this is because they were able to answer the questions quickly and also wanted to ensure that I as the teacher knew that they had the answer to the questions I was </w:t>
      </w:r>
      <w:r w:rsidRPr="0043284F">
        <w:rPr>
          <w:rFonts w:ascii="Arial" w:hAnsi="Arial" w:cs="Arial"/>
          <w:sz w:val="22"/>
          <w:szCs w:val="22"/>
        </w:rPr>
        <w:lastRenderedPageBreak/>
        <w:t xml:space="preserve">asking and did not want me to think that they did not know. While this was the case within my class, the results may be different in another class with different children. </w:t>
      </w:r>
    </w:p>
    <w:p w14:paraId="2F093DB6" w14:textId="6EC95842" w:rsidR="00455093" w:rsidRPr="0043284F" w:rsidRDefault="00455093" w:rsidP="0043284F">
      <w:pPr>
        <w:rPr>
          <w:rFonts w:ascii="Arial" w:hAnsi="Arial" w:cs="Arial"/>
          <w:sz w:val="22"/>
          <w:szCs w:val="22"/>
        </w:rPr>
      </w:pPr>
      <w:r w:rsidRPr="0043284F">
        <w:rPr>
          <w:rFonts w:ascii="Arial" w:hAnsi="Arial" w:cs="Arial"/>
          <w:sz w:val="22"/>
          <w:szCs w:val="22"/>
        </w:rPr>
        <w:t xml:space="preserve">Within this research I also noticed that the children seemed to enjoy the random ways in which the children were picked, during the interview with the children (Appendix </w:t>
      </w:r>
      <w:r w:rsidR="001A2C7C">
        <w:rPr>
          <w:rFonts w:ascii="Arial" w:hAnsi="Arial" w:cs="Arial"/>
          <w:sz w:val="22"/>
          <w:szCs w:val="22"/>
        </w:rPr>
        <w:t>1</w:t>
      </w:r>
      <w:r w:rsidRPr="0043284F">
        <w:rPr>
          <w:rFonts w:ascii="Arial" w:hAnsi="Arial" w:cs="Arial"/>
          <w:sz w:val="22"/>
          <w:szCs w:val="22"/>
        </w:rPr>
        <w:t>) it was suggested that two out of the three children enjoyed it because it was more exciting because they did not know who was going to be picked, I also found that the two children that said that they enjoyed the lollipop stick method also said that they were more engaged with the lesson, this was because they did not know if they were going to be picked so they felt that they had to pay extra attention to the lesson to ensure that they could answer the question if they were picked.</w:t>
      </w:r>
    </w:p>
    <w:p w14:paraId="3E71191F" w14:textId="22217CED" w:rsidR="00455093" w:rsidRPr="0043284F" w:rsidRDefault="00455093" w:rsidP="0043284F">
      <w:pPr>
        <w:rPr>
          <w:rFonts w:ascii="Arial" w:hAnsi="Arial" w:cs="Arial"/>
          <w:sz w:val="22"/>
          <w:szCs w:val="22"/>
        </w:rPr>
      </w:pPr>
      <w:r w:rsidRPr="0043284F">
        <w:rPr>
          <w:rFonts w:ascii="Arial" w:hAnsi="Arial" w:cs="Arial"/>
          <w:sz w:val="22"/>
          <w:szCs w:val="22"/>
        </w:rPr>
        <w:t xml:space="preserve">Overall from my lesson study I found that the majority if the children were engaged with the lesson, and those that were more engaged with the lesson were doing it because they were worried that if they did not pay attention that they might be chosen randomly to answer a question without knowing the question, this is because within a normal lesson too much emphasis is put on children raising their hand to answer a question and then the teacher asking those children to answer the question. </w:t>
      </w:r>
    </w:p>
    <w:p w14:paraId="79C25FE5" w14:textId="5CC724DC" w:rsidR="00874AFE" w:rsidRPr="0043284F" w:rsidRDefault="00874AFE" w:rsidP="0043284F">
      <w:pPr>
        <w:rPr>
          <w:rFonts w:ascii="Arial" w:hAnsi="Arial" w:cs="Arial"/>
          <w:sz w:val="22"/>
          <w:szCs w:val="22"/>
        </w:rPr>
      </w:pPr>
      <w:r w:rsidRPr="0043284F">
        <w:rPr>
          <w:rFonts w:ascii="Arial" w:hAnsi="Arial" w:cs="Arial"/>
          <w:sz w:val="22"/>
          <w:szCs w:val="22"/>
        </w:rPr>
        <w:t xml:space="preserve">After the lesson study and interview had been completed within my class, my research partner and I then went to her school to conduct the second half of the research. Within her lesson the children were looking at parachutes and their aim was to make a parachute out of different materials in order to allow a Lego figure to fall gently to the floor. Within this lesson we focused again on the research aims and how the children would achieve those rather than the lesson objectives. </w:t>
      </w:r>
      <w:r w:rsidR="00471F9A" w:rsidRPr="0043284F">
        <w:rPr>
          <w:rFonts w:ascii="Arial" w:hAnsi="Arial" w:cs="Arial"/>
          <w:sz w:val="22"/>
          <w:szCs w:val="22"/>
        </w:rPr>
        <w:t xml:space="preserve">Within this lesson, my research partner asked the children a variety of questions that related to her lesson and the majority of the children were able to wait for the name to be chosen before answering the question, my research partner did share with me that she had used this technique many times before and the children were used to having questions in this form. Some of the children were anxious to share their answers and would shout them out, but as this was a foundation phase classroom, unlike </w:t>
      </w:r>
      <w:r w:rsidR="00471F9A" w:rsidRPr="0043284F">
        <w:rPr>
          <w:rFonts w:ascii="Arial" w:hAnsi="Arial" w:cs="Arial"/>
          <w:sz w:val="22"/>
          <w:szCs w:val="22"/>
        </w:rPr>
        <w:lastRenderedPageBreak/>
        <w:t xml:space="preserve">my key stage 2 classroom, this was slightly expected during such a fun and interactive lesson. </w:t>
      </w:r>
      <w:r w:rsidR="00312825" w:rsidRPr="0043284F">
        <w:rPr>
          <w:rFonts w:ascii="Arial" w:hAnsi="Arial" w:cs="Arial"/>
          <w:sz w:val="22"/>
          <w:szCs w:val="22"/>
        </w:rPr>
        <w:t xml:space="preserve">While the children were used to this way of questioning, there were many opportunities where the children would need reminding that the children that were going to be asked where going to be chosen at random. Even though the children had to be reminded, as they did within my lesson, the children did understand the aim of the research and completed the lesson with very minor difficulties. </w:t>
      </w:r>
    </w:p>
    <w:p w14:paraId="5EDDE310" w14:textId="535A7AAD" w:rsidR="00312825" w:rsidRPr="0043284F" w:rsidRDefault="00312825" w:rsidP="0043284F">
      <w:pPr>
        <w:rPr>
          <w:rFonts w:ascii="Arial" w:hAnsi="Arial" w:cs="Arial"/>
          <w:sz w:val="22"/>
          <w:szCs w:val="22"/>
        </w:rPr>
      </w:pPr>
      <w:r w:rsidRPr="0043284F">
        <w:rPr>
          <w:rFonts w:ascii="Arial" w:hAnsi="Arial" w:cs="Arial"/>
          <w:sz w:val="22"/>
          <w:szCs w:val="22"/>
        </w:rPr>
        <w:t xml:space="preserve">During this lesson, I think the lesson itself was more adapt to the research my research partner and I were doing. The science aspect of the lesson made it easier to ask questions within the lesson and was more fitting to the overall research question, I think this lesson was more successful when it came to the benefit of the research question. While this may be true, it was a good way of researching as it shows the different ways in which this form of questioning can be used within different lessons and shows how this form of questioning can be used to try and engage children more within different lessons, in our case language and science lessons. I think to try and improve this research, I would try and teach a variety of different lessons to see where this form of questioning is more able to engage children more, I still believe this would be more useful within a mathematics or numeracy lesson, this is because you are able to ask a lot of questions and at different ability levels ensuring that all children, whether they are picked or not are able to answer the questions, this is more likely to engage the children as it means they could answer the questions so they need to pay attention in order to get the correct answer. </w:t>
      </w:r>
    </w:p>
    <w:p w14:paraId="512110F8" w14:textId="7CCF3986" w:rsidR="0080316C" w:rsidRPr="0043284F" w:rsidRDefault="0080316C" w:rsidP="0043284F">
      <w:pPr>
        <w:rPr>
          <w:rFonts w:ascii="Arial" w:hAnsi="Arial" w:cs="Arial"/>
          <w:sz w:val="22"/>
          <w:szCs w:val="22"/>
        </w:rPr>
      </w:pPr>
      <w:r w:rsidRPr="0043284F">
        <w:rPr>
          <w:rFonts w:ascii="Arial" w:hAnsi="Arial" w:cs="Arial"/>
          <w:sz w:val="22"/>
          <w:szCs w:val="22"/>
        </w:rPr>
        <w:t xml:space="preserve">From this experience I have found that it would have been better to ensure that the children were more used to the style of no hands up questioning as was the case with my research partners class, this allowed them to quickly get into the routine of the lesson without having to explain how the style worked throughout the lesson, while my research partner did have to remind the children, it was not as often as I did throughout my lesson. I have also found that during the interview (Appendix </w:t>
      </w:r>
      <w:r w:rsidR="002F7D8B">
        <w:rPr>
          <w:rFonts w:ascii="Arial" w:hAnsi="Arial" w:cs="Arial"/>
          <w:sz w:val="22"/>
          <w:szCs w:val="22"/>
        </w:rPr>
        <w:t>1</w:t>
      </w:r>
      <w:r w:rsidRPr="0043284F">
        <w:rPr>
          <w:rFonts w:ascii="Arial" w:hAnsi="Arial" w:cs="Arial"/>
          <w:sz w:val="22"/>
          <w:szCs w:val="22"/>
        </w:rPr>
        <w:t xml:space="preserve">) the children were said to be engaged more with the lesson because of the random nature of the choosing of the children, I thought before the </w:t>
      </w:r>
      <w:r w:rsidRPr="0043284F">
        <w:rPr>
          <w:rFonts w:ascii="Arial" w:hAnsi="Arial" w:cs="Arial"/>
          <w:sz w:val="22"/>
          <w:szCs w:val="22"/>
        </w:rPr>
        <w:lastRenderedPageBreak/>
        <w:t xml:space="preserve">lesson that the children would not notice a difference in their engagement because of their age, but during the interview the children said that they paid more attention to the lesson as they were unsure if they were going to be chosen to answer. </w:t>
      </w:r>
    </w:p>
    <w:p w14:paraId="0F54478C" w14:textId="01D894DA" w:rsidR="0080316C" w:rsidRPr="0043284F" w:rsidRDefault="0080316C" w:rsidP="0043284F">
      <w:pPr>
        <w:rPr>
          <w:rFonts w:ascii="Arial" w:hAnsi="Arial" w:cs="Arial"/>
          <w:sz w:val="22"/>
          <w:szCs w:val="22"/>
        </w:rPr>
      </w:pPr>
      <w:r w:rsidRPr="0043284F">
        <w:rPr>
          <w:rFonts w:ascii="Arial" w:hAnsi="Arial" w:cs="Arial"/>
          <w:sz w:val="22"/>
          <w:szCs w:val="22"/>
        </w:rPr>
        <w:t xml:space="preserve">Overall during this research I found that most of the children did engage with the lesson more because of the random nature of the questioning, but some children felt that they engaged the same with the lesson, I think this is down to personal preference of the children and those that were conscious of getting the wrong answers if they were picked engaged more with the lesson. I think there would need to be more lesson studies in different types of lessons to fully understand if there is a correlation between no hands up form of questioning and children’s engagement. </w:t>
      </w:r>
    </w:p>
    <w:p w14:paraId="20762948" w14:textId="77777777" w:rsidR="007D409D" w:rsidRDefault="007D409D" w:rsidP="0043284F">
      <w:pPr>
        <w:rPr>
          <w:rFonts w:ascii="Arial" w:hAnsi="Arial" w:cs="Arial"/>
          <w:b/>
          <w:bCs/>
          <w:sz w:val="28"/>
          <w:szCs w:val="28"/>
          <w:u w:val="single"/>
        </w:rPr>
      </w:pPr>
    </w:p>
    <w:p w14:paraId="0154B9C0" w14:textId="4C52D304" w:rsidR="00F0266F" w:rsidRPr="0043284F" w:rsidRDefault="00F0266F" w:rsidP="0043284F">
      <w:pPr>
        <w:rPr>
          <w:rFonts w:ascii="Arial" w:hAnsi="Arial" w:cs="Arial"/>
          <w:b/>
          <w:bCs/>
          <w:sz w:val="28"/>
          <w:szCs w:val="28"/>
          <w:u w:val="single"/>
        </w:rPr>
      </w:pPr>
      <w:r w:rsidRPr="0043284F">
        <w:rPr>
          <w:rFonts w:ascii="Arial" w:hAnsi="Arial" w:cs="Arial"/>
          <w:b/>
          <w:bCs/>
          <w:sz w:val="28"/>
          <w:szCs w:val="28"/>
          <w:u w:val="single"/>
        </w:rPr>
        <w:t xml:space="preserve">Discussion of research findings in relation to related literature and research </w:t>
      </w:r>
    </w:p>
    <w:p w14:paraId="4D77A07D" w14:textId="4D465DB9" w:rsidR="00F0266F" w:rsidRPr="0043284F" w:rsidRDefault="00400D31" w:rsidP="0043284F">
      <w:pPr>
        <w:rPr>
          <w:rFonts w:ascii="Arial" w:hAnsi="Arial" w:cs="Arial"/>
          <w:color w:val="000000" w:themeColor="text1"/>
          <w:sz w:val="22"/>
          <w:szCs w:val="22"/>
          <w:shd w:val="clear" w:color="auto" w:fill="FFFFFF"/>
        </w:rPr>
      </w:pPr>
      <w:r w:rsidRPr="0043284F">
        <w:rPr>
          <w:rFonts w:ascii="Arial" w:hAnsi="Arial" w:cs="Arial"/>
          <w:sz w:val="22"/>
          <w:szCs w:val="22"/>
        </w:rPr>
        <w:t xml:space="preserve">While doing our research, both me and my partner started to look at the different viewpoints of others to do with this area of interest. We found that while there is not much research to do with no hands up questioning and how that </w:t>
      </w:r>
      <w:r w:rsidR="00AE5388" w:rsidRPr="0043284F">
        <w:rPr>
          <w:rFonts w:ascii="Arial" w:hAnsi="Arial" w:cs="Arial"/>
          <w:sz w:val="22"/>
          <w:szCs w:val="22"/>
        </w:rPr>
        <w:t xml:space="preserve">can translate into engagement with a lesson, there are many different ways in which you can get a child engaged in a lesson (Lamberty, 2007). </w:t>
      </w:r>
      <w:r w:rsidR="006677B6" w:rsidRPr="0043284F">
        <w:rPr>
          <w:rFonts w:ascii="Arial" w:hAnsi="Arial" w:cs="Arial"/>
          <w:sz w:val="22"/>
          <w:szCs w:val="22"/>
        </w:rPr>
        <w:t xml:space="preserve">Our findings have shown that some children feel as if they are engaged more with a lesson if the teacher is using a no hands up and a random picker to choose the children that are going to answer the questions they are asking, this is different from the points made by </w:t>
      </w:r>
      <w:r w:rsidR="006677B6" w:rsidRPr="0043284F">
        <w:rPr>
          <w:rFonts w:ascii="Arial" w:hAnsi="Arial" w:cs="Arial"/>
          <w:color w:val="000000" w:themeColor="text1"/>
          <w:sz w:val="22"/>
          <w:szCs w:val="22"/>
        </w:rPr>
        <w:t xml:space="preserve">Näkk and Timoštšuk (2019). They found that children prefer structure within a lesson and that they engaged more with a more structured approach to questioning rather than a randomised selection of the children. </w:t>
      </w:r>
      <w:r w:rsidR="006677B6" w:rsidRPr="0043284F">
        <w:rPr>
          <w:rFonts w:ascii="Arial" w:hAnsi="Arial" w:cs="Arial"/>
          <w:color w:val="000000" w:themeColor="text1"/>
          <w:sz w:val="22"/>
          <w:szCs w:val="22"/>
          <w:shd w:val="clear" w:color="auto" w:fill="FFFFFF"/>
        </w:rPr>
        <w:t xml:space="preserve">While our study results do not agree with </w:t>
      </w:r>
      <w:r w:rsidR="006677B6" w:rsidRPr="0043284F">
        <w:rPr>
          <w:rFonts w:ascii="Arial" w:hAnsi="Arial" w:cs="Arial"/>
          <w:color w:val="000000" w:themeColor="text1"/>
          <w:sz w:val="22"/>
          <w:szCs w:val="22"/>
        </w:rPr>
        <w:t xml:space="preserve">Näkk and Timoštšuk (2019) it exemplifies that children learn differently and that different children, in different classrooms prefer to learn and to be questioned in different styles. </w:t>
      </w:r>
      <w:r w:rsidR="006677B6" w:rsidRPr="0043284F">
        <w:rPr>
          <w:rFonts w:ascii="Arial" w:hAnsi="Arial" w:cs="Arial"/>
          <w:color w:val="000000" w:themeColor="text1"/>
          <w:sz w:val="22"/>
          <w:szCs w:val="22"/>
          <w:shd w:val="clear" w:color="auto" w:fill="FFFFFF"/>
        </w:rPr>
        <w:t> </w:t>
      </w:r>
    </w:p>
    <w:p w14:paraId="1F865E12" w14:textId="5D1E07B5" w:rsidR="006677B6" w:rsidRPr="0043284F" w:rsidRDefault="00A64684" w:rsidP="0043284F">
      <w:pPr>
        <w:rPr>
          <w:rFonts w:ascii="Arial" w:hAnsi="Arial" w:cs="Arial"/>
          <w:sz w:val="22"/>
          <w:szCs w:val="22"/>
        </w:rPr>
      </w:pPr>
      <w:r w:rsidRPr="0043284F">
        <w:rPr>
          <w:rFonts w:ascii="Arial" w:hAnsi="Arial" w:cs="Arial"/>
          <w:color w:val="000000" w:themeColor="text1"/>
          <w:sz w:val="22"/>
          <w:szCs w:val="22"/>
          <w:shd w:val="clear" w:color="auto" w:fill="FFFFFF"/>
        </w:rPr>
        <w:lastRenderedPageBreak/>
        <w:t>Within our research I found that the children that normally would engage fully with the lesson, engaged the same if not more; but I also found that the children that sometimes were not paying as much attention during a normal lesson did not pay as much attention as those who normally do. I think this is due to the children and the ways in which they engage with education on a daily basis. During discussions with my research partner we noted that this was the case with both classes,</w:t>
      </w:r>
      <w:r w:rsidR="00644521" w:rsidRPr="0043284F">
        <w:rPr>
          <w:rFonts w:ascii="Arial" w:hAnsi="Arial" w:cs="Arial"/>
          <w:color w:val="000000" w:themeColor="text1"/>
          <w:sz w:val="22"/>
          <w:szCs w:val="22"/>
          <w:shd w:val="clear" w:color="auto" w:fill="FFFFFF"/>
        </w:rPr>
        <w:t xml:space="preserve"> this was also mentioned within Vitello et al. (2012) where they suggested that children learn and engage with education in ways that they want to. Our study does relate to this way of thinking because it showed that the children that want to engage with education, did more or at the same level with our research lesson as they did with a normal everyday lesson that they were used to. On the other hand, it does show that the children that did not engage more with our lesson are the children that would not engage with the lesson normally because they were not stimulated by the different form of questioning. While it may seem unacceptable that not all the children were completely engaged with the lesson, some children prefer to let other children answer the questions, even though they may know the answers; this is down to the personal preference of the individual child.  </w:t>
      </w:r>
    </w:p>
    <w:p w14:paraId="4669593D" w14:textId="4A97A09D" w:rsidR="00460766" w:rsidRPr="0043284F" w:rsidRDefault="00460766" w:rsidP="0043284F">
      <w:pPr>
        <w:rPr>
          <w:rFonts w:ascii="Arial" w:hAnsi="Arial" w:cs="Arial"/>
          <w:b/>
          <w:bCs/>
          <w:sz w:val="28"/>
          <w:szCs w:val="28"/>
          <w:u w:val="single"/>
        </w:rPr>
      </w:pPr>
      <w:r w:rsidRPr="0043284F">
        <w:rPr>
          <w:rFonts w:ascii="Arial" w:hAnsi="Arial" w:cs="Arial"/>
          <w:b/>
          <w:bCs/>
          <w:sz w:val="28"/>
          <w:szCs w:val="28"/>
          <w:u w:val="single"/>
        </w:rPr>
        <w:t>Conclusion</w:t>
      </w:r>
    </w:p>
    <w:p w14:paraId="65963370" w14:textId="629D2D26" w:rsidR="00BC1141" w:rsidRPr="0043284F" w:rsidRDefault="00BC1141" w:rsidP="0043284F">
      <w:pPr>
        <w:rPr>
          <w:rFonts w:ascii="Arial" w:hAnsi="Arial" w:cs="Arial"/>
          <w:sz w:val="22"/>
          <w:szCs w:val="22"/>
        </w:rPr>
      </w:pPr>
      <w:r w:rsidRPr="0043284F">
        <w:rPr>
          <w:rFonts w:ascii="Arial" w:hAnsi="Arial" w:cs="Arial"/>
          <w:sz w:val="22"/>
          <w:szCs w:val="22"/>
        </w:rPr>
        <w:t xml:space="preserve">In conclusion, during our research I have found that the no hands up and random picker or lollipop sticks to choose children does have some impact on the way in which children engage with education. I have found that the children that normally engage more with all of the lessons within a normal day in school tend to engage more, this is because they were anxious to get the question right and also because they were worried that if they were chosen at random and they were not paying attention during the lesson that they would not know what to answer and get the question wrong. </w:t>
      </w:r>
    </w:p>
    <w:p w14:paraId="42D9F4FA" w14:textId="418BF672" w:rsidR="00BC1141" w:rsidRPr="0043284F" w:rsidRDefault="00BC1141" w:rsidP="0043284F">
      <w:pPr>
        <w:rPr>
          <w:rFonts w:ascii="Arial" w:hAnsi="Arial" w:cs="Arial"/>
          <w:sz w:val="22"/>
          <w:szCs w:val="22"/>
        </w:rPr>
      </w:pPr>
      <w:r w:rsidRPr="0043284F">
        <w:rPr>
          <w:rFonts w:ascii="Arial" w:hAnsi="Arial" w:cs="Arial"/>
          <w:sz w:val="22"/>
          <w:szCs w:val="22"/>
        </w:rPr>
        <w:t xml:space="preserve">Within this study I have found that the higher ability children were more anxious to answer the questions than the middle or lower ability children. This was because they felt that they </w:t>
      </w:r>
      <w:r w:rsidRPr="0043284F">
        <w:rPr>
          <w:rFonts w:ascii="Arial" w:hAnsi="Arial" w:cs="Arial"/>
          <w:sz w:val="22"/>
          <w:szCs w:val="22"/>
        </w:rPr>
        <w:lastRenderedPageBreak/>
        <w:t xml:space="preserve">needed to show me as the teacher that they knew the answers to the questions because they felt as though they looked like they did not know; this was because during most other lessons the children would raise their hands to answer the question, but this also signalled that they knew the answer even if they were not chosen to answer the questions. </w:t>
      </w:r>
      <w:r w:rsidR="00245C30" w:rsidRPr="0043284F">
        <w:rPr>
          <w:rFonts w:ascii="Arial" w:hAnsi="Arial" w:cs="Arial"/>
          <w:sz w:val="22"/>
          <w:szCs w:val="22"/>
        </w:rPr>
        <w:t xml:space="preserve">I also found that the higher ability children raised their hands more because they were showing that they knew the answer in case the child chosen at random did not and that they could help them or answer for them. </w:t>
      </w:r>
    </w:p>
    <w:p w14:paraId="317A4AC8" w14:textId="30313EDF" w:rsidR="00245C30" w:rsidRPr="0043284F" w:rsidRDefault="00245C30" w:rsidP="0043284F">
      <w:pPr>
        <w:rPr>
          <w:rFonts w:ascii="Arial" w:hAnsi="Arial" w:cs="Arial"/>
          <w:sz w:val="22"/>
          <w:szCs w:val="22"/>
        </w:rPr>
      </w:pPr>
      <w:r w:rsidRPr="0043284F">
        <w:rPr>
          <w:rFonts w:ascii="Arial" w:hAnsi="Arial" w:cs="Arial"/>
          <w:sz w:val="22"/>
          <w:szCs w:val="22"/>
        </w:rPr>
        <w:t xml:space="preserve">While this research study did give some interesting results there are a few things that limited its potential. While this study was conducted in two classrooms in both foundation phase and key stage 2 and those classrooms were in different schools, this study could have benefited from a larger sample size. This study would be more effective if us as the researchers had the opportunity to look at different classes within the schools and gathered more data. This would have allowed us as the researchers to see how this method worked for a variety of different children and not just the children that we had been teaching over the past couple of weeks. </w:t>
      </w:r>
    </w:p>
    <w:p w14:paraId="6C45C30E" w14:textId="2A1B5260" w:rsidR="00245C30" w:rsidRPr="0043284F" w:rsidRDefault="00245C30" w:rsidP="0043284F">
      <w:pPr>
        <w:rPr>
          <w:rFonts w:ascii="Arial" w:hAnsi="Arial" w:cs="Arial"/>
          <w:sz w:val="22"/>
          <w:szCs w:val="22"/>
        </w:rPr>
      </w:pPr>
      <w:r w:rsidRPr="0043284F">
        <w:rPr>
          <w:rFonts w:ascii="Arial" w:hAnsi="Arial" w:cs="Arial"/>
          <w:sz w:val="22"/>
          <w:szCs w:val="22"/>
        </w:rPr>
        <w:t xml:space="preserve">During my next school experience I am going to try and use the lollipop stick method of questioning more, not only will this allow me to continue to study this method as a matter of personal interest it would also allow me to refine my use of it to try and engage more children, I think that the continued use of this would allow all children to be picked and show them the importance of following along with the lesson to ensure they can answer any question that may be presented to them. </w:t>
      </w:r>
    </w:p>
    <w:p w14:paraId="0E6730DF" w14:textId="711D1C31" w:rsidR="00460766" w:rsidRPr="0043284F" w:rsidRDefault="00245C30" w:rsidP="0043284F">
      <w:pPr>
        <w:rPr>
          <w:rFonts w:ascii="Arial" w:hAnsi="Arial" w:cs="Arial"/>
          <w:sz w:val="22"/>
          <w:szCs w:val="22"/>
        </w:rPr>
      </w:pPr>
      <w:r w:rsidRPr="0043284F">
        <w:rPr>
          <w:rFonts w:ascii="Arial" w:hAnsi="Arial" w:cs="Arial"/>
          <w:sz w:val="22"/>
          <w:szCs w:val="22"/>
        </w:rPr>
        <w:t xml:space="preserve">This research study is going to help me further my pedagogy within the classroom, I believe that by trying different methods such as the lollipop sticks I can further develop my skills as a teacher, I also think it allows me to understand the children’s understanding of my lessons more as I will get to see what the children in different ability groups know and not just those in the higher ability which are more likely to raise their hand to answer a question. If I did this lesson again I would try and make sure that I have plenty of questions prepared, enough to </w:t>
      </w:r>
      <w:r w:rsidRPr="0043284F">
        <w:rPr>
          <w:rFonts w:ascii="Arial" w:hAnsi="Arial" w:cs="Arial"/>
          <w:sz w:val="22"/>
          <w:szCs w:val="22"/>
        </w:rPr>
        <w:lastRenderedPageBreak/>
        <w:t xml:space="preserve">make sure that all ability groups are going to answer one when picked at random. I would also </w:t>
      </w:r>
      <w:r w:rsidR="0043284F" w:rsidRPr="0043284F">
        <w:rPr>
          <w:rFonts w:ascii="Arial" w:hAnsi="Arial" w:cs="Arial"/>
          <w:sz w:val="22"/>
          <w:szCs w:val="22"/>
        </w:rPr>
        <w:t xml:space="preserve">change the lesson but keep the method of questioning the same, I would try this method with a mathematics or numeracy lesson as I think these types of lessons are better suited as there is more opportunity to ask the children a lot of questions. </w:t>
      </w:r>
    </w:p>
    <w:p w14:paraId="0FCB4969" w14:textId="6CA0D520" w:rsidR="00460766" w:rsidRPr="0043284F" w:rsidRDefault="00460766" w:rsidP="0043284F">
      <w:pPr>
        <w:rPr>
          <w:rFonts w:ascii="Arial" w:hAnsi="Arial" w:cs="Arial"/>
          <w:b/>
          <w:bCs/>
          <w:sz w:val="28"/>
          <w:szCs w:val="28"/>
          <w:u w:val="single"/>
        </w:rPr>
      </w:pPr>
      <w:r w:rsidRPr="0043284F">
        <w:rPr>
          <w:rFonts w:ascii="Arial" w:hAnsi="Arial" w:cs="Arial"/>
          <w:b/>
          <w:bCs/>
          <w:sz w:val="28"/>
          <w:szCs w:val="28"/>
          <w:u w:val="single"/>
        </w:rPr>
        <w:t xml:space="preserve">Recommendations </w:t>
      </w:r>
    </w:p>
    <w:p w14:paraId="5AED867C" w14:textId="3BD2DA9F" w:rsidR="00460766" w:rsidRPr="0043284F" w:rsidRDefault="0043284F" w:rsidP="0043284F">
      <w:pPr>
        <w:rPr>
          <w:rFonts w:ascii="Arial" w:hAnsi="Arial" w:cs="Arial"/>
          <w:sz w:val="22"/>
          <w:szCs w:val="22"/>
        </w:rPr>
      </w:pPr>
      <w:r w:rsidRPr="0043284F">
        <w:rPr>
          <w:rFonts w:ascii="Arial" w:hAnsi="Arial" w:cs="Arial"/>
          <w:sz w:val="22"/>
          <w:szCs w:val="22"/>
        </w:rPr>
        <w:t xml:space="preserve">If this research was to be undertaken again I would suggest that the researcher looks at more than two classes and looks at the different age ranges within a primary context. I would suggest that the looked at the children that had used the lollipop method or a method that is similar and also a class where the lollipop stick method has never been used and look at the similarities and differences that would make to the data that they would collect. I also think it is important the   research looks at the different abilities and how they cope differently with the lollipop sick method and how they react within different lessons, such as maths, English, science etc. </w:t>
      </w:r>
    </w:p>
    <w:p w14:paraId="2AB036C7" w14:textId="77777777" w:rsidR="0008025B" w:rsidRPr="0043284F" w:rsidRDefault="0008025B" w:rsidP="0043284F">
      <w:pPr>
        <w:rPr>
          <w:rFonts w:ascii="Arial" w:hAnsi="Arial" w:cs="Arial"/>
        </w:rPr>
      </w:pPr>
    </w:p>
    <w:p w14:paraId="4E0A65B7" w14:textId="793D9B40" w:rsidR="004818B1" w:rsidRPr="0043284F" w:rsidRDefault="004818B1" w:rsidP="0043284F">
      <w:pPr>
        <w:rPr>
          <w:rFonts w:ascii="Arial" w:hAnsi="Arial" w:cs="Arial"/>
          <w:b/>
          <w:bCs/>
          <w:color w:val="000000" w:themeColor="text1"/>
          <w:sz w:val="28"/>
          <w:szCs w:val="28"/>
          <w:u w:val="single"/>
        </w:rPr>
      </w:pPr>
      <w:r w:rsidRPr="0043284F">
        <w:rPr>
          <w:rFonts w:ascii="Arial" w:hAnsi="Arial" w:cs="Arial"/>
          <w:b/>
          <w:bCs/>
          <w:color w:val="000000" w:themeColor="text1"/>
          <w:sz w:val="28"/>
          <w:szCs w:val="28"/>
          <w:u w:val="single"/>
        </w:rPr>
        <w:t xml:space="preserve">References </w:t>
      </w:r>
    </w:p>
    <w:p w14:paraId="6AD2E0EB" w14:textId="77777777" w:rsidR="00A64684" w:rsidRPr="0043284F" w:rsidRDefault="00A64684" w:rsidP="0043284F">
      <w:pPr>
        <w:pStyle w:val="ListParagraph"/>
        <w:numPr>
          <w:ilvl w:val="0"/>
          <w:numId w:val="4"/>
        </w:numPr>
        <w:rPr>
          <w:rFonts w:ascii="Arial" w:hAnsi="Arial" w:cs="Arial"/>
          <w:color w:val="000000" w:themeColor="text1"/>
          <w:sz w:val="22"/>
          <w:szCs w:val="22"/>
        </w:rPr>
      </w:pPr>
      <w:r w:rsidRPr="0043284F">
        <w:rPr>
          <w:rFonts w:ascii="Arial" w:hAnsi="Arial" w:cs="Arial"/>
          <w:color w:val="000000" w:themeColor="text1"/>
          <w:sz w:val="22"/>
          <w:szCs w:val="22"/>
          <w:shd w:val="clear" w:color="auto" w:fill="FFFFFF"/>
        </w:rPr>
        <w:t>BERA (2018)</w:t>
      </w:r>
      <w:r w:rsidRPr="0043284F">
        <w:rPr>
          <w:rStyle w:val="apple-converted-space"/>
          <w:rFonts w:ascii="Arial" w:hAnsi="Arial" w:cs="Arial"/>
          <w:color w:val="000000" w:themeColor="text1"/>
          <w:sz w:val="22"/>
          <w:szCs w:val="22"/>
          <w:shd w:val="clear" w:color="auto" w:fill="FFFFFF"/>
        </w:rPr>
        <w:t> </w:t>
      </w:r>
      <w:r w:rsidRPr="0043284F">
        <w:rPr>
          <w:rFonts w:ascii="Arial" w:hAnsi="Arial" w:cs="Arial"/>
          <w:i/>
          <w:iCs/>
          <w:color w:val="000000" w:themeColor="text1"/>
          <w:sz w:val="22"/>
          <w:szCs w:val="22"/>
        </w:rPr>
        <w:t>Ethics and Guidance</w:t>
      </w:r>
      <w:r w:rsidRPr="0043284F">
        <w:rPr>
          <w:rFonts w:ascii="Arial" w:hAnsi="Arial" w:cs="Arial"/>
          <w:color w:val="000000" w:themeColor="text1"/>
          <w:sz w:val="22"/>
          <w:szCs w:val="22"/>
          <w:shd w:val="clear" w:color="auto" w:fill="FFFFFF"/>
        </w:rPr>
        <w:t xml:space="preserve">. Available at: </w:t>
      </w:r>
      <w:hyperlink r:id="rId7" w:history="1">
        <w:r w:rsidRPr="0043284F">
          <w:rPr>
            <w:rStyle w:val="Hyperlink"/>
            <w:rFonts w:ascii="Arial" w:hAnsi="Arial" w:cs="Arial"/>
            <w:sz w:val="22"/>
            <w:szCs w:val="22"/>
            <w:shd w:val="clear" w:color="auto" w:fill="FFFFFF"/>
          </w:rPr>
          <w:t>https://www.bera.ac.uk/resources/all-publications/resources-for-researchers</w:t>
        </w:r>
      </w:hyperlink>
      <w:r w:rsidRPr="0043284F">
        <w:rPr>
          <w:rFonts w:ascii="Arial" w:hAnsi="Arial" w:cs="Arial"/>
          <w:color w:val="000000" w:themeColor="text1"/>
          <w:sz w:val="22"/>
          <w:szCs w:val="22"/>
          <w:shd w:val="clear" w:color="auto" w:fill="FFFFFF"/>
        </w:rPr>
        <w:t xml:space="preserve">  (Accessed: 4/02/20).</w:t>
      </w:r>
    </w:p>
    <w:p w14:paraId="370B9447" w14:textId="77777777" w:rsidR="00A64684" w:rsidRPr="0043284F" w:rsidRDefault="00A64684" w:rsidP="0043284F">
      <w:pPr>
        <w:pStyle w:val="ListParagraph"/>
        <w:numPr>
          <w:ilvl w:val="0"/>
          <w:numId w:val="4"/>
        </w:numPr>
        <w:spacing w:after="0" w:line="240" w:lineRule="auto"/>
        <w:rPr>
          <w:rFonts w:ascii="Arial" w:hAnsi="Arial" w:cs="Arial"/>
          <w:color w:val="000000" w:themeColor="text1"/>
          <w:sz w:val="22"/>
          <w:szCs w:val="22"/>
        </w:rPr>
      </w:pPr>
      <w:r w:rsidRPr="0043284F">
        <w:rPr>
          <w:rFonts w:ascii="Arial" w:hAnsi="Arial" w:cs="Arial"/>
          <w:color w:val="000000" w:themeColor="text1"/>
          <w:sz w:val="22"/>
          <w:szCs w:val="22"/>
          <w:shd w:val="clear" w:color="auto" w:fill="FFFFFF"/>
        </w:rPr>
        <w:t>Black, P. and Wiliam, D. (2009) 'Developing the theory of formative assessment', </w:t>
      </w:r>
      <w:r w:rsidRPr="0043284F">
        <w:rPr>
          <w:rFonts w:ascii="Arial" w:hAnsi="Arial" w:cs="Arial"/>
          <w:i/>
          <w:iCs/>
          <w:color w:val="000000" w:themeColor="text1"/>
          <w:sz w:val="22"/>
          <w:szCs w:val="22"/>
        </w:rPr>
        <w:t>Educational Assessment, Evaluation, and Accountability</w:t>
      </w:r>
      <w:r w:rsidRPr="0043284F">
        <w:rPr>
          <w:rFonts w:ascii="Arial" w:hAnsi="Arial" w:cs="Arial"/>
          <w:color w:val="000000" w:themeColor="text1"/>
          <w:sz w:val="22"/>
          <w:szCs w:val="22"/>
          <w:shd w:val="clear" w:color="auto" w:fill="FFFFFF"/>
        </w:rPr>
        <w:t>, 21(5).</w:t>
      </w:r>
    </w:p>
    <w:p w14:paraId="524439D7" w14:textId="77777777" w:rsidR="00A64684" w:rsidRPr="0043284F" w:rsidRDefault="00A64684" w:rsidP="0043284F">
      <w:pPr>
        <w:pStyle w:val="ListParagraph"/>
        <w:numPr>
          <w:ilvl w:val="0"/>
          <w:numId w:val="4"/>
        </w:numPr>
        <w:shd w:val="clear" w:color="auto" w:fill="FFFFFF"/>
        <w:spacing w:after="100" w:afterAutospacing="1" w:line="240" w:lineRule="auto"/>
        <w:rPr>
          <w:rFonts w:ascii="Arial" w:hAnsi="Arial" w:cs="Arial"/>
          <w:color w:val="000000" w:themeColor="text1"/>
          <w:sz w:val="22"/>
          <w:szCs w:val="22"/>
        </w:rPr>
      </w:pPr>
      <w:r w:rsidRPr="0043284F">
        <w:rPr>
          <w:rFonts w:ascii="Arial" w:hAnsi="Arial" w:cs="Arial"/>
          <w:color w:val="000000" w:themeColor="text1"/>
          <w:sz w:val="22"/>
          <w:szCs w:val="22"/>
        </w:rPr>
        <w:t xml:space="preserve">Cazden, C. (2001). </w:t>
      </w:r>
      <w:r w:rsidRPr="0043284F">
        <w:rPr>
          <w:rFonts w:ascii="Arial" w:hAnsi="Arial" w:cs="Arial"/>
          <w:i/>
          <w:iCs/>
          <w:color w:val="000000" w:themeColor="text1"/>
          <w:sz w:val="22"/>
          <w:szCs w:val="22"/>
        </w:rPr>
        <w:t xml:space="preserve">Classroom discourse: The language of teaching and learning </w:t>
      </w:r>
      <w:r w:rsidRPr="0043284F">
        <w:rPr>
          <w:rFonts w:ascii="Arial" w:hAnsi="Arial" w:cs="Arial"/>
          <w:color w:val="000000" w:themeColor="text1"/>
          <w:sz w:val="22"/>
          <w:szCs w:val="22"/>
        </w:rPr>
        <w:t xml:space="preserve">(2nd ed.). Portsmouth, NH: Heinemann. </w:t>
      </w:r>
    </w:p>
    <w:p w14:paraId="1E6BC2FA" w14:textId="77777777" w:rsidR="00A64684" w:rsidRPr="0043284F" w:rsidRDefault="00A64684" w:rsidP="0043284F">
      <w:pPr>
        <w:pStyle w:val="ListParagraph"/>
        <w:numPr>
          <w:ilvl w:val="0"/>
          <w:numId w:val="4"/>
        </w:numPr>
        <w:spacing w:after="0" w:line="240" w:lineRule="auto"/>
        <w:rPr>
          <w:rFonts w:ascii="Arial" w:hAnsi="Arial" w:cs="Arial"/>
          <w:color w:val="000000" w:themeColor="text1"/>
          <w:sz w:val="22"/>
          <w:szCs w:val="22"/>
        </w:rPr>
      </w:pPr>
      <w:r w:rsidRPr="0043284F">
        <w:rPr>
          <w:rFonts w:ascii="Arial" w:hAnsi="Arial" w:cs="Arial"/>
          <w:color w:val="000000" w:themeColor="text1"/>
          <w:sz w:val="22"/>
          <w:szCs w:val="22"/>
          <w:shd w:val="clear" w:color="auto" w:fill="FFFFFF"/>
        </w:rPr>
        <w:t>Lamberty, K. (2007) '</w:t>
      </w:r>
      <w:r w:rsidRPr="0043284F">
        <w:rPr>
          <w:rFonts w:ascii="Arial" w:hAnsi="Arial" w:cs="Arial"/>
          <w:color w:val="000000" w:themeColor="text1"/>
          <w:sz w:val="22"/>
          <w:szCs w:val="22"/>
        </w:rPr>
        <w:t>GETTING AND KEEPING CHILDREN ENGAGED WITH A CONSTRUCTIONIST DESIGN TOOL FOR CRAFT AND MATH</w:t>
      </w:r>
      <w:r w:rsidRPr="0043284F">
        <w:rPr>
          <w:rFonts w:ascii="Arial" w:hAnsi="Arial" w:cs="Arial"/>
          <w:color w:val="000000" w:themeColor="text1"/>
          <w:sz w:val="22"/>
          <w:szCs w:val="22"/>
          <w:shd w:val="clear" w:color="auto" w:fill="FFFFFF"/>
        </w:rPr>
        <w:t>', </w:t>
      </w:r>
      <w:r w:rsidRPr="0043284F">
        <w:rPr>
          <w:rFonts w:ascii="Arial" w:hAnsi="Arial" w:cs="Arial"/>
          <w:i/>
          <w:iCs/>
          <w:color w:val="000000" w:themeColor="text1"/>
          <w:sz w:val="22"/>
          <w:szCs w:val="22"/>
        </w:rPr>
        <w:t>Georgia Institute of Technology</w:t>
      </w:r>
      <w:r w:rsidRPr="0043284F">
        <w:rPr>
          <w:rFonts w:ascii="Arial" w:hAnsi="Arial" w:cs="Arial"/>
          <w:color w:val="000000" w:themeColor="text1"/>
          <w:sz w:val="22"/>
          <w:szCs w:val="22"/>
          <w:shd w:val="clear" w:color="auto" w:fill="FFFFFF"/>
        </w:rPr>
        <w:t>, available at: https://smartech.gatech.edu/bitstream/handle/1853/14589/lamberty_kristin_k_200705_phd.pdf?sequence=1&amp;isAllowed=y</w:t>
      </w:r>
    </w:p>
    <w:p w14:paraId="2723AA71" w14:textId="77777777" w:rsidR="00A64684" w:rsidRPr="0043284F" w:rsidRDefault="00A64684" w:rsidP="0043284F">
      <w:pPr>
        <w:pStyle w:val="ListParagraph"/>
        <w:numPr>
          <w:ilvl w:val="0"/>
          <w:numId w:val="4"/>
        </w:numPr>
        <w:spacing w:after="0" w:line="240" w:lineRule="auto"/>
        <w:rPr>
          <w:rFonts w:ascii="Arial" w:hAnsi="Arial" w:cs="Arial"/>
          <w:color w:val="000000" w:themeColor="text1"/>
          <w:sz w:val="22"/>
          <w:szCs w:val="22"/>
        </w:rPr>
      </w:pPr>
      <w:r w:rsidRPr="0043284F">
        <w:rPr>
          <w:rFonts w:ascii="Arial" w:hAnsi="Arial" w:cs="Arial"/>
          <w:color w:val="000000" w:themeColor="text1"/>
          <w:sz w:val="22"/>
          <w:szCs w:val="22"/>
        </w:rPr>
        <w:t>Näkk, A. and Timoštšuk, I.</w:t>
      </w:r>
      <w:r w:rsidRPr="0043284F">
        <w:rPr>
          <w:rFonts w:ascii="Arial" w:hAnsi="Arial" w:cs="Arial"/>
          <w:color w:val="000000" w:themeColor="text1"/>
          <w:sz w:val="22"/>
          <w:szCs w:val="22"/>
          <w:shd w:val="clear" w:color="auto" w:fill="FFFFFF"/>
        </w:rPr>
        <w:t> </w:t>
      </w:r>
      <w:r w:rsidRPr="0043284F">
        <w:rPr>
          <w:rFonts w:ascii="Arial" w:hAnsi="Arial" w:cs="Arial"/>
          <w:color w:val="000000" w:themeColor="text1"/>
          <w:sz w:val="22"/>
          <w:szCs w:val="22"/>
        </w:rPr>
        <w:t>(2019)</w:t>
      </w:r>
      <w:r w:rsidRPr="0043284F">
        <w:rPr>
          <w:rFonts w:ascii="Arial" w:hAnsi="Arial" w:cs="Arial"/>
          <w:color w:val="000000" w:themeColor="text1"/>
          <w:sz w:val="22"/>
          <w:szCs w:val="22"/>
          <w:shd w:val="clear" w:color="auto" w:fill="FFFFFF"/>
        </w:rPr>
        <w:t> ‘</w:t>
      </w:r>
      <w:r w:rsidRPr="0043284F">
        <w:rPr>
          <w:rFonts w:ascii="Arial" w:hAnsi="Arial" w:cs="Arial"/>
          <w:color w:val="000000" w:themeColor="text1"/>
          <w:sz w:val="22"/>
          <w:szCs w:val="22"/>
        </w:rPr>
        <w:t>The dynamics of learning engagement and its relationship with teachers’ classroom practices in primary school,</w:t>
      </w:r>
      <w:r w:rsidRPr="0043284F">
        <w:rPr>
          <w:rFonts w:ascii="Arial" w:hAnsi="Arial" w:cs="Arial"/>
          <w:color w:val="000000" w:themeColor="text1"/>
          <w:sz w:val="22"/>
          <w:szCs w:val="22"/>
          <w:shd w:val="clear" w:color="auto" w:fill="FFFFFF"/>
        </w:rPr>
        <w:t> </w:t>
      </w:r>
      <w:r w:rsidRPr="0043284F">
        <w:rPr>
          <w:rFonts w:ascii="Arial" w:hAnsi="Arial" w:cs="Arial"/>
          <w:i/>
          <w:iCs/>
          <w:color w:val="000000" w:themeColor="text1"/>
          <w:sz w:val="22"/>
          <w:szCs w:val="22"/>
        </w:rPr>
        <w:t>Education 3-13</w:t>
      </w:r>
      <w:r w:rsidRPr="0043284F">
        <w:rPr>
          <w:rFonts w:ascii="Arial" w:hAnsi="Arial" w:cs="Arial"/>
          <w:color w:val="000000" w:themeColor="text1"/>
          <w:sz w:val="22"/>
          <w:szCs w:val="22"/>
        </w:rPr>
        <w:t>,</w:t>
      </w:r>
      <w:r w:rsidRPr="0043284F">
        <w:rPr>
          <w:rFonts w:ascii="Arial" w:hAnsi="Arial" w:cs="Arial"/>
          <w:color w:val="000000" w:themeColor="text1"/>
          <w:sz w:val="22"/>
          <w:szCs w:val="22"/>
          <w:shd w:val="clear" w:color="auto" w:fill="FFFFFF"/>
        </w:rPr>
        <w:t> </w:t>
      </w:r>
      <w:r w:rsidRPr="0043284F">
        <w:rPr>
          <w:rFonts w:ascii="Arial" w:hAnsi="Arial" w:cs="Arial"/>
          <w:color w:val="000000" w:themeColor="text1"/>
          <w:sz w:val="22"/>
          <w:szCs w:val="22"/>
        </w:rPr>
        <w:t>47(1),</w:t>
      </w:r>
      <w:r w:rsidRPr="0043284F">
        <w:rPr>
          <w:rFonts w:ascii="Arial" w:hAnsi="Arial" w:cs="Arial"/>
          <w:color w:val="000000" w:themeColor="text1"/>
          <w:sz w:val="22"/>
          <w:szCs w:val="22"/>
          <w:shd w:val="clear" w:color="auto" w:fill="FFFFFF"/>
        </w:rPr>
        <w:t xml:space="preserve"> pp. </w:t>
      </w:r>
      <w:r w:rsidRPr="0043284F">
        <w:rPr>
          <w:rFonts w:ascii="Arial" w:hAnsi="Arial" w:cs="Arial"/>
          <w:color w:val="000000" w:themeColor="text1"/>
          <w:sz w:val="22"/>
          <w:szCs w:val="22"/>
        </w:rPr>
        <w:t>89-100.</w:t>
      </w:r>
    </w:p>
    <w:p w14:paraId="1E4E7EAE" w14:textId="77777777" w:rsidR="00A64684" w:rsidRPr="0043284F" w:rsidRDefault="00A64684" w:rsidP="0043284F">
      <w:pPr>
        <w:pStyle w:val="ListParagraph"/>
        <w:numPr>
          <w:ilvl w:val="0"/>
          <w:numId w:val="4"/>
        </w:numPr>
        <w:spacing w:after="0" w:line="240" w:lineRule="auto"/>
        <w:rPr>
          <w:rFonts w:ascii="Arial" w:hAnsi="Arial" w:cs="Arial"/>
          <w:color w:val="000000" w:themeColor="text1"/>
          <w:sz w:val="22"/>
          <w:szCs w:val="22"/>
        </w:rPr>
      </w:pPr>
      <w:r w:rsidRPr="0043284F">
        <w:rPr>
          <w:rFonts w:ascii="Arial" w:hAnsi="Arial" w:cs="Arial"/>
          <w:color w:val="000000" w:themeColor="text1"/>
          <w:sz w:val="22"/>
          <w:szCs w:val="22"/>
          <w:shd w:val="clear" w:color="auto" w:fill="FFFFFF"/>
        </w:rPr>
        <w:t>Tanner, H. and Jones, S. (2006) </w:t>
      </w:r>
      <w:r w:rsidRPr="0043284F">
        <w:rPr>
          <w:rFonts w:ascii="Arial" w:hAnsi="Arial" w:cs="Arial"/>
          <w:i/>
          <w:iCs/>
          <w:color w:val="000000" w:themeColor="text1"/>
          <w:sz w:val="22"/>
          <w:szCs w:val="22"/>
        </w:rPr>
        <w:t>Assessment: A Practical Guide for Secondary Teachers</w:t>
      </w:r>
      <w:r w:rsidRPr="0043284F">
        <w:rPr>
          <w:rFonts w:ascii="Arial" w:hAnsi="Arial" w:cs="Arial"/>
          <w:color w:val="000000" w:themeColor="text1"/>
          <w:sz w:val="22"/>
          <w:szCs w:val="22"/>
          <w:shd w:val="clear" w:color="auto" w:fill="FFFFFF"/>
        </w:rPr>
        <w:t>. London: continuum. (2nd Edition). </w:t>
      </w:r>
    </w:p>
    <w:p w14:paraId="445E9395" w14:textId="77777777" w:rsidR="00A64684" w:rsidRPr="0043284F" w:rsidRDefault="00A64684" w:rsidP="0043284F">
      <w:pPr>
        <w:pStyle w:val="ListParagraph"/>
        <w:numPr>
          <w:ilvl w:val="0"/>
          <w:numId w:val="4"/>
        </w:numPr>
        <w:spacing w:after="0" w:line="240" w:lineRule="auto"/>
        <w:rPr>
          <w:rFonts w:ascii="Arial" w:hAnsi="Arial" w:cs="Arial"/>
          <w:color w:val="000000" w:themeColor="text1"/>
          <w:sz w:val="22"/>
          <w:szCs w:val="22"/>
        </w:rPr>
      </w:pPr>
      <w:r w:rsidRPr="0043284F">
        <w:rPr>
          <w:rFonts w:ascii="Arial" w:hAnsi="Arial" w:cs="Arial"/>
          <w:color w:val="000000" w:themeColor="text1"/>
          <w:sz w:val="22"/>
          <w:szCs w:val="22"/>
          <w:shd w:val="clear" w:color="auto" w:fill="FFFFFF"/>
        </w:rPr>
        <w:lastRenderedPageBreak/>
        <w:t>The glossary of education reform (2016) </w:t>
      </w:r>
      <w:r w:rsidRPr="0043284F">
        <w:rPr>
          <w:rFonts w:ascii="Arial" w:hAnsi="Arial" w:cs="Arial"/>
          <w:i/>
          <w:iCs/>
          <w:color w:val="000000" w:themeColor="text1"/>
          <w:sz w:val="22"/>
          <w:szCs w:val="22"/>
        </w:rPr>
        <w:t>Student Engagement Definition</w:t>
      </w:r>
      <w:r w:rsidRPr="0043284F">
        <w:rPr>
          <w:rFonts w:ascii="Arial" w:hAnsi="Arial" w:cs="Arial"/>
          <w:color w:val="000000" w:themeColor="text1"/>
          <w:sz w:val="22"/>
          <w:szCs w:val="22"/>
          <w:shd w:val="clear" w:color="auto" w:fill="FFFFFF"/>
        </w:rPr>
        <w:t xml:space="preserve">. Available at: </w:t>
      </w:r>
      <w:bookmarkStart w:id="2" w:name="OLE_LINK1"/>
      <w:bookmarkStart w:id="3" w:name="OLE_LINK2"/>
      <w:r w:rsidRPr="0043284F">
        <w:rPr>
          <w:rFonts w:ascii="Arial" w:hAnsi="Arial" w:cs="Arial"/>
          <w:color w:val="000000" w:themeColor="text1"/>
          <w:sz w:val="22"/>
          <w:szCs w:val="22"/>
          <w:shd w:val="clear" w:color="auto" w:fill="FFFFFF"/>
        </w:rPr>
        <w:t>https://www.edglossary.org/student-engagement</w:t>
      </w:r>
      <w:bookmarkEnd w:id="2"/>
      <w:bookmarkEnd w:id="3"/>
      <w:r w:rsidRPr="0043284F">
        <w:rPr>
          <w:rFonts w:ascii="Arial" w:hAnsi="Arial" w:cs="Arial"/>
          <w:color w:val="000000" w:themeColor="text1"/>
          <w:sz w:val="22"/>
          <w:szCs w:val="22"/>
          <w:shd w:val="clear" w:color="auto" w:fill="FFFFFF"/>
        </w:rPr>
        <w:t>/ (Accessed: 21/01/2020).</w:t>
      </w:r>
    </w:p>
    <w:p w14:paraId="7B5081B5" w14:textId="77777777" w:rsidR="00A64684" w:rsidRPr="0043284F" w:rsidRDefault="00A64684" w:rsidP="0043284F">
      <w:pPr>
        <w:pStyle w:val="ListParagraph"/>
        <w:numPr>
          <w:ilvl w:val="0"/>
          <w:numId w:val="4"/>
        </w:numPr>
        <w:spacing w:after="0" w:line="240" w:lineRule="auto"/>
        <w:rPr>
          <w:rFonts w:ascii="Arial" w:hAnsi="Arial" w:cs="Arial"/>
          <w:color w:val="000000" w:themeColor="text1"/>
          <w:sz w:val="22"/>
          <w:szCs w:val="22"/>
          <w:shd w:val="clear" w:color="auto" w:fill="FFFFFF"/>
        </w:rPr>
      </w:pPr>
      <w:r w:rsidRPr="0043284F">
        <w:rPr>
          <w:rFonts w:ascii="Arial" w:hAnsi="Arial" w:cs="Arial"/>
          <w:color w:val="000000" w:themeColor="text1"/>
          <w:sz w:val="22"/>
          <w:szCs w:val="22"/>
          <w:shd w:val="clear" w:color="auto" w:fill="FFFFFF"/>
        </w:rPr>
        <w:t xml:space="preserve">Vitiello, V. and Booren, L. and Downer, J. and Williford, A. (2012). ‘Variation in children's classroom engagement throughout a day in preschool: Relations to classroom and child factors’. </w:t>
      </w:r>
      <w:r w:rsidRPr="0043284F">
        <w:rPr>
          <w:rFonts w:ascii="Arial" w:hAnsi="Arial" w:cs="Arial"/>
          <w:i/>
          <w:iCs/>
          <w:color w:val="000000" w:themeColor="text1"/>
          <w:sz w:val="22"/>
          <w:szCs w:val="22"/>
          <w:shd w:val="clear" w:color="auto" w:fill="FFFFFF"/>
        </w:rPr>
        <w:t>Early Childhood Research Quarterly.</w:t>
      </w:r>
      <w:r w:rsidRPr="0043284F">
        <w:rPr>
          <w:rFonts w:ascii="Arial" w:hAnsi="Arial" w:cs="Arial"/>
          <w:color w:val="000000" w:themeColor="text1"/>
          <w:sz w:val="22"/>
          <w:szCs w:val="22"/>
          <w:shd w:val="clear" w:color="auto" w:fill="FFFFFF"/>
        </w:rPr>
        <w:t xml:space="preserve"> 27(2), pp. 210-220.</w:t>
      </w:r>
    </w:p>
    <w:p w14:paraId="5A8D0100" w14:textId="77777777" w:rsidR="00A64684" w:rsidRPr="0043284F" w:rsidRDefault="00A64684" w:rsidP="0043284F">
      <w:pPr>
        <w:pStyle w:val="ListParagraph"/>
        <w:numPr>
          <w:ilvl w:val="0"/>
          <w:numId w:val="4"/>
        </w:numPr>
        <w:spacing w:after="0" w:line="240" w:lineRule="auto"/>
        <w:rPr>
          <w:rFonts w:ascii="Arial" w:hAnsi="Arial" w:cs="Arial"/>
          <w:color w:val="000000" w:themeColor="text1"/>
          <w:sz w:val="22"/>
          <w:szCs w:val="22"/>
          <w:shd w:val="clear" w:color="auto" w:fill="FFFFFF"/>
        </w:rPr>
      </w:pPr>
      <w:r w:rsidRPr="0043284F">
        <w:rPr>
          <w:rFonts w:ascii="Arial" w:hAnsi="Arial" w:cs="Arial"/>
          <w:color w:val="000000" w:themeColor="text1"/>
          <w:sz w:val="22"/>
          <w:szCs w:val="22"/>
          <w:shd w:val="clear" w:color="auto" w:fill="FFFFFF"/>
        </w:rPr>
        <w:t>William, D. (2014) 'The Right Questions, The Right Way', </w:t>
      </w:r>
      <w:r w:rsidRPr="0043284F">
        <w:rPr>
          <w:rFonts w:ascii="Arial" w:hAnsi="Arial" w:cs="Arial"/>
          <w:i/>
          <w:iCs/>
          <w:color w:val="000000" w:themeColor="text1"/>
          <w:sz w:val="22"/>
          <w:szCs w:val="22"/>
        </w:rPr>
        <w:t>Educational Leadership</w:t>
      </w:r>
      <w:r w:rsidRPr="0043284F">
        <w:rPr>
          <w:rFonts w:ascii="Arial" w:hAnsi="Arial" w:cs="Arial"/>
          <w:color w:val="000000" w:themeColor="text1"/>
          <w:sz w:val="22"/>
          <w:szCs w:val="22"/>
          <w:shd w:val="clear" w:color="auto" w:fill="FFFFFF"/>
        </w:rPr>
        <w:t>, 6(71), pp. 16-19.</w:t>
      </w:r>
    </w:p>
    <w:p w14:paraId="6E6C4DC4" w14:textId="77777777" w:rsidR="00A64684" w:rsidRPr="0043284F" w:rsidRDefault="00A64684" w:rsidP="0043284F">
      <w:pPr>
        <w:pStyle w:val="ListParagraph"/>
        <w:numPr>
          <w:ilvl w:val="0"/>
          <w:numId w:val="4"/>
        </w:numPr>
        <w:spacing w:after="0" w:line="240" w:lineRule="auto"/>
        <w:rPr>
          <w:rFonts w:ascii="Arial" w:hAnsi="Arial" w:cs="Arial"/>
          <w:color w:val="000000" w:themeColor="text1"/>
          <w:sz w:val="22"/>
          <w:szCs w:val="22"/>
          <w:shd w:val="clear" w:color="auto" w:fill="FFFFFF"/>
        </w:rPr>
      </w:pPr>
      <w:r w:rsidRPr="0043284F">
        <w:rPr>
          <w:rFonts w:ascii="Arial" w:hAnsi="Arial" w:cs="Arial"/>
          <w:color w:val="000000" w:themeColor="text1"/>
          <w:sz w:val="22"/>
          <w:szCs w:val="22"/>
          <w:shd w:val="clear" w:color="auto" w:fill="FFFFFF"/>
        </w:rPr>
        <w:t>Zyngier, D. (2008) '(Re) conceptualising student engagement: Doing education not doing time', </w:t>
      </w:r>
      <w:r w:rsidRPr="0043284F">
        <w:rPr>
          <w:rFonts w:ascii="Arial" w:hAnsi="Arial" w:cs="Arial"/>
          <w:i/>
          <w:iCs/>
          <w:color w:val="000000" w:themeColor="text1"/>
          <w:sz w:val="22"/>
          <w:szCs w:val="22"/>
        </w:rPr>
        <w:t>Teaching and teacher education</w:t>
      </w:r>
      <w:r w:rsidRPr="0043284F">
        <w:rPr>
          <w:rFonts w:ascii="Arial" w:hAnsi="Arial" w:cs="Arial"/>
          <w:color w:val="000000" w:themeColor="text1"/>
          <w:sz w:val="22"/>
          <w:szCs w:val="22"/>
          <w:shd w:val="clear" w:color="auto" w:fill="FFFFFF"/>
        </w:rPr>
        <w:t>, 24(7), pp. 1765-1776.</w:t>
      </w:r>
    </w:p>
    <w:p w14:paraId="29E08DE9" w14:textId="77777777" w:rsidR="0008025B" w:rsidRPr="006677B6" w:rsidRDefault="0008025B" w:rsidP="0043284F">
      <w:pPr>
        <w:spacing w:after="0" w:line="240" w:lineRule="auto"/>
        <w:rPr>
          <w:rFonts w:cstheme="minorHAnsi"/>
          <w:color w:val="000000" w:themeColor="text1"/>
        </w:rPr>
      </w:pPr>
    </w:p>
    <w:p w14:paraId="6C1EB8E3" w14:textId="77777777" w:rsidR="004818B1" w:rsidRPr="004818B1" w:rsidRDefault="004818B1" w:rsidP="0043284F">
      <w:pPr>
        <w:spacing w:after="0" w:line="240" w:lineRule="auto"/>
        <w:rPr>
          <w:rFonts w:cstheme="minorHAnsi"/>
          <w:color w:val="000000" w:themeColor="text1"/>
        </w:rPr>
      </w:pPr>
    </w:p>
    <w:p w14:paraId="4B79E674" w14:textId="77777777" w:rsidR="004818B1" w:rsidRDefault="004818B1" w:rsidP="0043284F"/>
    <w:sectPr w:rsidR="004818B1" w:rsidSect="004113B5">
      <w:head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45EF38" w14:textId="77777777" w:rsidR="004F4E7F" w:rsidRDefault="004F4E7F" w:rsidP="007D409D">
      <w:pPr>
        <w:spacing w:after="0" w:line="240" w:lineRule="auto"/>
      </w:pPr>
      <w:r>
        <w:separator/>
      </w:r>
    </w:p>
  </w:endnote>
  <w:endnote w:type="continuationSeparator" w:id="0">
    <w:p w14:paraId="6E76C377" w14:textId="77777777" w:rsidR="004F4E7F" w:rsidRDefault="004F4E7F" w:rsidP="007D40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267A19" w14:textId="77777777" w:rsidR="004F4E7F" w:rsidRDefault="004F4E7F" w:rsidP="007D409D">
      <w:pPr>
        <w:spacing w:after="0" w:line="240" w:lineRule="auto"/>
      </w:pPr>
      <w:r>
        <w:separator/>
      </w:r>
    </w:p>
  </w:footnote>
  <w:footnote w:type="continuationSeparator" w:id="0">
    <w:p w14:paraId="5903DD6F" w14:textId="77777777" w:rsidR="004F4E7F" w:rsidRDefault="004F4E7F" w:rsidP="007D40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659B6F" w14:textId="26F411F7" w:rsidR="007D409D" w:rsidRDefault="007D409D">
    <w:pPr>
      <w:pStyle w:val="Header"/>
    </w:pPr>
    <w:r>
      <w:t>ECAD7004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AF59C1"/>
    <w:multiLevelType w:val="hybridMultilevel"/>
    <w:tmpl w:val="082825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6BA67B6"/>
    <w:multiLevelType w:val="multilevel"/>
    <w:tmpl w:val="EB781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8D149F"/>
    <w:multiLevelType w:val="hybridMultilevel"/>
    <w:tmpl w:val="7C94A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0C2442"/>
    <w:multiLevelType w:val="multilevel"/>
    <w:tmpl w:val="47AAC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1A64EF4"/>
    <w:multiLevelType w:val="hybridMultilevel"/>
    <w:tmpl w:val="35902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5A02"/>
    <w:rsid w:val="00062C3E"/>
    <w:rsid w:val="0007164B"/>
    <w:rsid w:val="000747FC"/>
    <w:rsid w:val="0008025B"/>
    <w:rsid w:val="000E10A6"/>
    <w:rsid w:val="00107EA9"/>
    <w:rsid w:val="001A2C7C"/>
    <w:rsid w:val="001B2DAC"/>
    <w:rsid w:val="001C5814"/>
    <w:rsid w:val="001D53BD"/>
    <w:rsid w:val="002108E2"/>
    <w:rsid w:val="002135BB"/>
    <w:rsid w:val="00245C30"/>
    <w:rsid w:val="002F7D8B"/>
    <w:rsid w:val="00312825"/>
    <w:rsid w:val="003152A1"/>
    <w:rsid w:val="003463B1"/>
    <w:rsid w:val="0037685F"/>
    <w:rsid w:val="00386883"/>
    <w:rsid w:val="00400D31"/>
    <w:rsid w:val="004113B5"/>
    <w:rsid w:val="0043284F"/>
    <w:rsid w:val="00455093"/>
    <w:rsid w:val="00460766"/>
    <w:rsid w:val="00471F9A"/>
    <w:rsid w:val="004818B1"/>
    <w:rsid w:val="004F3DC9"/>
    <w:rsid w:val="004F4E7F"/>
    <w:rsid w:val="00596B4F"/>
    <w:rsid w:val="00644521"/>
    <w:rsid w:val="006677B6"/>
    <w:rsid w:val="006828E1"/>
    <w:rsid w:val="006D4CF0"/>
    <w:rsid w:val="006E3C62"/>
    <w:rsid w:val="00782044"/>
    <w:rsid w:val="007D409D"/>
    <w:rsid w:val="0080316C"/>
    <w:rsid w:val="00874AFE"/>
    <w:rsid w:val="0091610E"/>
    <w:rsid w:val="00955A02"/>
    <w:rsid w:val="00A3755C"/>
    <w:rsid w:val="00A42D1B"/>
    <w:rsid w:val="00A64684"/>
    <w:rsid w:val="00A71663"/>
    <w:rsid w:val="00AC6D89"/>
    <w:rsid w:val="00AE5388"/>
    <w:rsid w:val="00AE5EE3"/>
    <w:rsid w:val="00B51694"/>
    <w:rsid w:val="00B540A2"/>
    <w:rsid w:val="00B716DE"/>
    <w:rsid w:val="00BC1141"/>
    <w:rsid w:val="00BD3D7B"/>
    <w:rsid w:val="00C760B3"/>
    <w:rsid w:val="00C84174"/>
    <w:rsid w:val="00CF5CE7"/>
    <w:rsid w:val="00D4374F"/>
    <w:rsid w:val="00DA59FC"/>
    <w:rsid w:val="00E260DD"/>
    <w:rsid w:val="00E66476"/>
    <w:rsid w:val="00EF7693"/>
    <w:rsid w:val="00F0266F"/>
    <w:rsid w:val="00F869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4123D"/>
  <w14:defaultImageDpi w14:val="32767"/>
  <w15:chartTrackingRefBased/>
  <w15:docId w15:val="{91FB293D-2054-5F46-8621-33C78AA20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4F3DC9"/>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1663"/>
    <w:pPr>
      <w:ind w:left="720"/>
      <w:contextualSpacing/>
    </w:pPr>
  </w:style>
  <w:style w:type="paragraph" w:styleId="NormalWeb">
    <w:name w:val="Normal (Web)"/>
    <w:basedOn w:val="Normal"/>
    <w:uiPriority w:val="99"/>
    <w:unhideWhenUsed/>
    <w:rsid w:val="00955A02"/>
    <w:pPr>
      <w:spacing w:before="100" w:beforeAutospacing="1" w:after="100" w:afterAutospacing="1" w:line="240" w:lineRule="auto"/>
    </w:pPr>
  </w:style>
  <w:style w:type="character" w:customStyle="1" w:styleId="nw1">
    <w:name w:val="nw1"/>
    <w:uiPriority w:val="99"/>
    <w:rsid w:val="00EF7693"/>
  </w:style>
  <w:style w:type="character" w:customStyle="1" w:styleId="apple-converted-space">
    <w:name w:val="apple-converted-space"/>
    <w:basedOn w:val="DefaultParagraphFont"/>
    <w:rsid w:val="004818B1"/>
  </w:style>
  <w:style w:type="character" w:customStyle="1" w:styleId="authors">
    <w:name w:val="authors"/>
    <w:basedOn w:val="DefaultParagraphFont"/>
    <w:rsid w:val="0008025B"/>
  </w:style>
  <w:style w:type="character" w:customStyle="1" w:styleId="Date1">
    <w:name w:val="Date1"/>
    <w:basedOn w:val="DefaultParagraphFont"/>
    <w:rsid w:val="0008025B"/>
  </w:style>
  <w:style w:type="character" w:customStyle="1" w:styleId="arttitle">
    <w:name w:val="art_title"/>
    <w:basedOn w:val="DefaultParagraphFont"/>
    <w:rsid w:val="0008025B"/>
  </w:style>
  <w:style w:type="character" w:customStyle="1" w:styleId="serialtitle">
    <w:name w:val="serial_title"/>
    <w:basedOn w:val="DefaultParagraphFont"/>
    <w:rsid w:val="0008025B"/>
  </w:style>
  <w:style w:type="character" w:customStyle="1" w:styleId="volumeissue">
    <w:name w:val="volume_issue"/>
    <w:basedOn w:val="DefaultParagraphFont"/>
    <w:rsid w:val="0008025B"/>
  </w:style>
  <w:style w:type="character" w:customStyle="1" w:styleId="pagerange">
    <w:name w:val="page_range"/>
    <w:basedOn w:val="DefaultParagraphFont"/>
    <w:rsid w:val="0008025B"/>
  </w:style>
  <w:style w:type="character" w:styleId="Hyperlink">
    <w:name w:val="Hyperlink"/>
    <w:basedOn w:val="DefaultParagraphFont"/>
    <w:uiPriority w:val="99"/>
    <w:unhideWhenUsed/>
    <w:rsid w:val="004F3DC9"/>
    <w:rPr>
      <w:color w:val="0563C1" w:themeColor="hyperlink"/>
      <w:u w:val="single"/>
    </w:rPr>
  </w:style>
  <w:style w:type="character" w:styleId="UnresolvedMention">
    <w:name w:val="Unresolved Mention"/>
    <w:basedOn w:val="DefaultParagraphFont"/>
    <w:uiPriority w:val="99"/>
    <w:rsid w:val="004F3DC9"/>
    <w:rPr>
      <w:color w:val="605E5C"/>
      <w:shd w:val="clear" w:color="auto" w:fill="E1DFDD"/>
    </w:rPr>
  </w:style>
  <w:style w:type="paragraph" w:customStyle="1" w:styleId="AssignBody">
    <w:name w:val="AssignBody"/>
    <w:basedOn w:val="Normal"/>
    <w:link w:val="AssignBodyChar"/>
    <w:qFormat/>
    <w:rsid w:val="0043284F"/>
    <w:pPr>
      <w:spacing w:after="0"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43284F"/>
    <w:rPr>
      <w:rFonts w:ascii="Arial" w:hAnsi="Arial"/>
      <w:sz w:val="22"/>
      <w:szCs w:val="22"/>
    </w:rPr>
  </w:style>
  <w:style w:type="table" w:styleId="TableGrid">
    <w:name w:val="Table Grid"/>
    <w:basedOn w:val="TableNormal"/>
    <w:uiPriority w:val="39"/>
    <w:rsid w:val="0043284F"/>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Header">
    <w:name w:val="AssignHeader"/>
    <w:basedOn w:val="Normal"/>
    <w:next w:val="Normal"/>
    <w:link w:val="AssignHeaderChar"/>
    <w:qFormat/>
    <w:rsid w:val="0043284F"/>
    <w:pPr>
      <w:spacing w:after="0" w:line="360" w:lineRule="auto"/>
      <w:jc w:val="center"/>
    </w:pPr>
    <w:rPr>
      <w:rFonts w:ascii="Arial" w:eastAsiaTheme="minorHAnsi" w:hAnsi="Arial" w:cstheme="minorBidi"/>
      <w:b/>
      <w:i/>
      <w:sz w:val="36"/>
      <w:szCs w:val="22"/>
      <w:u w:val="single"/>
      <w:lang w:eastAsia="en-US"/>
    </w:rPr>
  </w:style>
  <w:style w:type="character" w:customStyle="1" w:styleId="AssignHeaderChar">
    <w:name w:val="AssignHeader Char"/>
    <w:basedOn w:val="DefaultParagraphFont"/>
    <w:link w:val="AssignHeader"/>
    <w:rsid w:val="0043284F"/>
    <w:rPr>
      <w:rFonts w:ascii="Arial" w:hAnsi="Arial"/>
      <w:b/>
      <w:i/>
      <w:sz w:val="36"/>
      <w:szCs w:val="22"/>
      <w:u w:val="single"/>
    </w:rPr>
  </w:style>
  <w:style w:type="paragraph" w:styleId="Header">
    <w:name w:val="header"/>
    <w:basedOn w:val="Normal"/>
    <w:link w:val="HeaderChar"/>
    <w:uiPriority w:val="99"/>
    <w:unhideWhenUsed/>
    <w:rsid w:val="007D40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409D"/>
    <w:rPr>
      <w:rFonts w:ascii="Times New Roman" w:eastAsia="Times New Roman" w:hAnsi="Times New Roman" w:cs="Times New Roman"/>
      <w:lang w:eastAsia="en-GB"/>
    </w:rPr>
  </w:style>
  <w:style w:type="paragraph" w:styleId="Footer">
    <w:name w:val="footer"/>
    <w:basedOn w:val="Normal"/>
    <w:link w:val="FooterChar"/>
    <w:uiPriority w:val="99"/>
    <w:unhideWhenUsed/>
    <w:rsid w:val="007D40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409D"/>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550370">
      <w:bodyDiv w:val="1"/>
      <w:marLeft w:val="0"/>
      <w:marRight w:val="0"/>
      <w:marTop w:val="0"/>
      <w:marBottom w:val="0"/>
      <w:divBdr>
        <w:top w:val="none" w:sz="0" w:space="0" w:color="auto"/>
        <w:left w:val="none" w:sz="0" w:space="0" w:color="auto"/>
        <w:bottom w:val="none" w:sz="0" w:space="0" w:color="auto"/>
        <w:right w:val="none" w:sz="0" w:space="0" w:color="auto"/>
      </w:divBdr>
    </w:div>
    <w:div w:id="263924400">
      <w:bodyDiv w:val="1"/>
      <w:marLeft w:val="0"/>
      <w:marRight w:val="0"/>
      <w:marTop w:val="0"/>
      <w:marBottom w:val="0"/>
      <w:divBdr>
        <w:top w:val="none" w:sz="0" w:space="0" w:color="auto"/>
        <w:left w:val="none" w:sz="0" w:space="0" w:color="auto"/>
        <w:bottom w:val="none" w:sz="0" w:space="0" w:color="auto"/>
        <w:right w:val="none" w:sz="0" w:space="0" w:color="auto"/>
      </w:divBdr>
      <w:divsChild>
        <w:div w:id="850534693">
          <w:marLeft w:val="0"/>
          <w:marRight w:val="0"/>
          <w:marTop w:val="0"/>
          <w:marBottom w:val="0"/>
          <w:divBdr>
            <w:top w:val="none" w:sz="0" w:space="0" w:color="auto"/>
            <w:left w:val="none" w:sz="0" w:space="0" w:color="auto"/>
            <w:bottom w:val="none" w:sz="0" w:space="0" w:color="auto"/>
            <w:right w:val="none" w:sz="0" w:space="0" w:color="auto"/>
          </w:divBdr>
          <w:divsChild>
            <w:div w:id="133764089">
              <w:marLeft w:val="0"/>
              <w:marRight w:val="0"/>
              <w:marTop w:val="0"/>
              <w:marBottom w:val="0"/>
              <w:divBdr>
                <w:top w:val="none" w:sz="0" w:space="0" w:color="auto"/>
                <w:left w:val="none" w:sz="0" w:space="0" w:color="auto"/>
                <w:bottom w:val="none" w:sz="0" w:space="0" w:color="auto"/>
                <w:right w:val="none" w:sz="0" w:space="0" w:color="auto"/>
              </w:divBdr>
              <w:divsChild>
                <w:div w:id="836309360">
                  <w:marLeft w:val="0"/>
                  <w:marRight w:val="0"/>
                  <w:marTop w:val="0"/>
                  <w:marBottom w:val="0"/>
                  <w:divBdr>
                    <w:top w:val="none" w:sz="0" w:space="0" w:color="auto"/>
                    <w:left w:val="none" w:sz="0" w:space="0" w:color="auto"/>
                    <w:bottom w:val="none" w:sz="0" w:space="0" w:color="auto"/>
                    <w:right w:val="none" w:sz="0" w:space="0" w:color="auto"/>
                  </w:divBdr>
                  <w:divsChild>
                    <w:div w:id="2063215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3234921">
      <w:bodyDiv w:val="1"/>
      <w:marLeft w:val="0"/>
      <w:marRight w:val="0"/>
      <w:marTop w:val="0"/>
      <w:marBottom w:val="0"/>
      <w:divBdr>
        <w:top w:val="none" w:sz="0" w:space="0" w:color="auto"/>
        <w:left w:val="none" w:sz="0" w:space="0" w:color="auto"/>
        <w:bottom w:val="none" w:sz="0" w:space="0" w:color="auto"/>
        <w:right w:val="none" w:sz="0" w:space="0" w:color="auto"/>
      </w:divBdr>
      <w:divsChild>
        <w:div w:id="1624576659">
          <w:marLeft w:val="0"/>
          <w:marRight w:val="0"/>
          <w:marTop w:val="0"/>
          <w:marBottom w:val="0"/>
          <w:divBdr>
            <w:top w:val="none" w:sz="0" w:space="0" w:color="auto"/>
            <w:left w:val="none" w:sz="0" w:space="0" w:color="auto"/>
            <w:bottom w:val="none" w:sz="0" w:space="0" w:color="auto"/>
            <w:right w:val="none" w:sz="0" w:space="0" w:color="auto"/>
          </w:divBdr>
          <w:divsChild>
            <w:div w:id="977758331">
              <w:marLeft w:val="0"/>
              <w:marRight w:val="0"/>
              <w:marTop w:val="0"/>
              <w:marBottom w:val="0"/>
              <w:divBdr>
                <w:top w:val="none" w:sz="0" w:space="0" w:color="auto"/>
                <w:left w:val="none" w:sz="0" w:space="0" w:color="auto"/>
                <w:bottom w:val="none" w:sz="0" w:space="0" w:color="auto"/>
                <w:right w:val="none" w:sz="0" w:space="0" w:color="auto"/>
              </w:divBdr>
              <w:divsChild>
                <w:div w:id="1896350398">
                  <w:marLeft w:val="0"/>
                  <w:marRight w:val="0"/>
                  <w:marTop w:val="0"/>
                  <w:marBottom w:val="0"/>
                  <w:divBdr>
                    <w:top w:val="none" w:sz="0" w:space="0" w:color="auto"/>
                    <w:left w:val="none" w:sz="0" w:space="0" w:color="auto"/>
                    <w:bottom w:val="none" w:sz="0" w:space="0" w:color="auto"/>
                    <w:right w:val="none" w:sz="0" w:space="0" w:color="auto"/>
                  </w:divBdr>
                  <w:divsChild>
                    <w:div w:id="1146043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1597739">
      <w:bodyDiv w:val="1"/>
      <w:marLeft w:val="0"/>
      <w:marRight w:val="0"/>
      <w:marTop w:val="0"/>
      <w:marBottom w:val="0"/>
      <w:divBdr>
        <w:top w:val="none" w:sz="0" w:space="0" w:color="auto"/>
        <w:left w:val="none" w:sz="0" w:space="0" w:color="auto"/>
        <w:bottom w:val="none" w:sz="0" w:space="0" w:color="auto"/>
        <w:right w:val="none" w:sz="0" w:space="0" w:color="auto"/>
      </w:divBdr>
      <w:divsChild>
        <w:div w:id="266928956">
          <w:marLeft w:val="0"/>
          <w:marRight w:val="0"/>
          <w:marTop w:val="0"/>
          <w:marBottom w:val="0"/>
          <w:divBdr>
            <w:top w:val="none" w:sz="0" w:space="0" w:color="auto"/>
            <w:left w:val="none" w:sz="0" w:space="0" w:color="auto"/>
            <w:bottom w:val="none" w:sz="0" w:space="0" w:color="auto"/>
            <w:right w:val="none" w:sz="0" w:space="0" w:color="auto"/>
          </w:divBdr>
          <w:divsChild>
            <w:div w:id="275793361">
              <w:marLeft w:val="0"/>
              <w:marRight w:val="0"/>
              <w:marTop w:val="0"/>
              <w:marBottom w:val="0"/>
              <w:divBdr>
                <w:top w:val="none" w:sz="0" w:space="0" w:color="auto"/>
                <w:left w:val="none" w:sz="0" w:space="0" w:color="auto"/>
                <w:bottom w:val="none" w:sz="0" w:space="0" w:color="auto"/>
                <w:right w:val="none" w:sz="0" w:space="0" w:color="auto"/>
              </w:divBdr>
              <w:divsChild>
                <w:div w:id="1279415119">
                  <w:marLeft w:val="0"/>
                  <w:marRight w:val="0"/>
                  <w:marTop w:val="0"/>
                  <w:marBottom w:val="0"/>
                  <w:divBdr>
                    <w:top w:val="none" w:sz="0" w:space="0" w:color="auto"/>
                    <w:left w:val="none" w:sz="0" w:space="0" w:color="auto"/>
                    <w:bottom w:val="none" w:sz="0" w:space="0" w:color="auto"/>
                    <w:right w:val="none" w:sz="0" w:space="0" w:color="auto"/>
                  </w:divBdr>
                  <w:divsChild>
                    <w:div w:id="266231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3503218">
      <w:bodyDiv w:val="1"/>
      <w:marLeft w:val="0"/>
      <w:marRight w:val="0"/>
      <w:marTop w:val="0"/>
      <w:marBottom w:val="0"/>
      <w:divBdr>
        <w:top w:val="none" w:sz="0" w:space="0" w:color="auto"/>
        <w:left w:val="none" w:sz="0" w:space="0" w:color="auto"/>
        <w:bottom w:val="none" w:sz="0" w:space="0" w:color="auto"/>
        <w:right w:val="none" w:sz="0" w:space="0" w:color="auto"/>
      </w:divBdr>
      <w:divsChild>
        <w:div w:id="670765976">
          <w:marLeft w:val="0"/>
          <w:marRight w:val="0"/>
          <w:marTop w:val="0"/>
          <w:marBottom w:val="0"/>
          <w:divBdr>
            <w:top w:val="none" w:sz="0" w:space="0" w:color="auto"/>
            <w:left w:val="none" w:sz="0" w:space="0" w:color="auto"/>
            <w:bottom w:val="none" w:sz="0" w:space="0" w:color="auto"/>
            <w:right w:val="none" w:sz="0" w:space="0" w:color="auto"/>
          </w:divBdr>
          <w:divsChild>
            <w:div w:id="924607296">
              <w:marLeft w:val="0"/>
              <w:marRight w:val="0"/>
              <w:marTop w:val="0"/>
              <w:marBottom w:val="0"/>
              <w:divBdr>
                <w:top w:val="none" w:sz="0" w:space="0" w:color="auto"/>
                <w:left w:val="none" w:sz="0" w:space="0" w:color="auto"/>
                <w:bottom w:val="none" w:sz="0" w:space="0" w:color="auto"/>
                <w:right w:val="none" w:sz="0" w:space="0" w:color="auto"/>
              </w:divBdr>
              <w:divsChild>
                <w:div w:id="1193692290">
                  <w:marLeft w:val="0"/>
                  <w:marRight w:val="0"/>
                  <w:marTop w:val="0"/>
                  <w:marBottom w:val="0"/>
                  <w:divBdr>
                    <w:top w:val="none" w:sz="0" w:space="0" w:color="auto"/>
                    <w:left w:val="none" w:sz="0" w:space="0" w:color="auto"/>
                    <w:bottom w:val="none" w:sz="0" w:space="0" w:color="auto"/>
                    <w:right w:val="none" w:sz="0" w:space="0" w:color="auto"/>
                  </w:divBdr>
                  <w:divsChild>
                    <w:div w:id="999189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4100822">
      <w:bodyDiv w:val="1"/>
      <w:marLeft w:val="0"/>
      <w:marRight w:val="0"/>
      <w:marTop w:val="0"/>
      <w:marBottom w:val="0"/>
      <w:divBdr>
        <w:top w:val="none" w:sz="0" w:space="0" w:color="auto"/>
        <w:left w:val="none" w:sz="0" w:space="0" w:color="auto"/>
        <w:bottom w:val="none" w:sz="0" w:space="0" w:color="auto"/>
        <w:right w:val="none" w:sz="0" w:space="0" w:color="auto"/>
      </w:divBdr>
    </w:div>
    <w:div w:id="972294349">
      <w:bodyDiv w:val="1"/>
      <w:marLeft w:val="0"/>
      <w:marRight w:val="0"/>
      <w:marTop w:val="0"/>
      <w:marBottom w:val="0"/>
      <w:divBdr>
        <w:top w:val="none" w:sz="0" w:space="0" w:color="auto"/>
        <w:left w:val="none" w:sz="0" w:space="0" w:color="auto"/>
        <w:bottom w:val="none" w:sz="0" w:space="0" w:color="auto"/>
        <w:right w:val="none" w:sz="0" w:space="0" w:color="auto"/>
      </w:divBdr>
    </w:div>
    <w:div w:id="1224289658">
      <w:bodyDiv w:val="1"/>
      <w:marLeft w:val="0"/>
      <w:marRight w:val="0"/>
      <w:marTop w:val="0"/>
      <w:marBottom w:val="0"/>
      <w:divBdr>
        <w:top w:val="none" w:sz="0" w:space="0" w:color="auto"/>
        <w:left w:val="none" w:sz="0" w:space="0" w:color="auto"/>
        <w:bottom w:val="none" w:sz="0" w:space="0" w:color="auto"/>
        <w:right w:val="none" w:sz="0" w:space="0" w:color="auto"/>
      </w:divBdr>
      <w:divsChild>
        <w:div w:id="28727204">
          <w:marLeft w:val="0"/>
          <w:marRight w:val="0"/>
          <w:marTop w:val="0"/>
          <w:marBottom w:val="0"/>
          <w:divBdr>
            <w:top w:val="none" w:sz="0" w:space="0" w:color="auto"/>
            <w:left w:val="none" w:sz="0" w:space="0" w:color="auto"/>
            <w:bottom w:val="none" w:sz="0" w:space="0" w:color="auto"/>
            <w:right w:val="none" w:sz="0" w:space="0" w:color="auto"/>
          </w:divBdr>
          <w:divsChild>
            <w:div w:id="450127062">
              <w:marLeft w:val="0"/>
              <w:marRight w:val="0"/>
              <w:marTop w:val="0"/>
              <w:marBottom w:val="0"/>
              <w:divBdr>
                <w:top w:val="none" w:sz="0" w:space="0" w:color="auto"/>
                <w:left w:val="none" w:sz="0" w:space="0" w:color="auto"/>
                <w:bottom w:val="none" w:sz="0" w:space="0" w:color="auto"/>
                <w:right w:val="none" w:sz="0" w:space="0" w:color="auto"/>
              </w:divBdr>
              <w:divsChild>
                <w:div w:id="1631521179">
                  <w:marLeft w:val="0"/>
                  <w:marRight w:val="0"/>
                  <w:marTop w:val="0"/>
                  <w:marBottom w:val="0"/>
                  <w:divBdr>
                    <w:top w:val="none" w:sz="0" w:space="0" w:color="auto"/>
                    <w:left w:val="none" w:sz="0" w:space="0" w:color="auto"/>
                    <w:bottom w:val="none" w:sz="0" w:space="0" w:color="auto"/>
                    <w:right w:val="none" w:sz="0" w:space="0" w:color="auto"/>
                  </w:divBdr>
                  <w:divsChild>
                    <w:div w:id="2120446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1803330">
      <w:bodyDiv w:val="1"/>
      <w:marLeft w:val="0"/>
      <w:marRight w:val="0"/>
      <w:marTop w:val="0"/>
      <w:marBottom w:val="0"/>
      <w:divBdr>
        <w:top w:val="none" w:sz="0" w:space="0" w:color="auto"/>
        <w:left w:val="none" w:sz="0" w:space="0" w:color="auto"/>
        <w:bottom w:val="none" w:sz="0" w:space="0" w:color="auto"/>
        <w:right w:val="none" w:sz="0" w:space="0" w:color="auto"/>
      </w:divBdr>
    </w:div>
    <w:div w:id="1491361010">
      <w:bodyDiv w:val="1"/>
      <w:marLeft w:val="0"/>
      <w:marRight w:val="0"/>
      <w:marTop w:val="0"/>
      <w:marBottom w:val="0"/>
      <w:divBdr>
        <w:top w:val="none" w:sz="0" w:space="0" w:color="auto"/>
        <w:left w:val="none" w:sz="0" w:space="0" w:color="auto"/>
        <w:bottom w:val="none" w:sz="0" w:space="0" w:color="auto"/>
        <w:right w:val="none" w:sz="0" w:space="0" w:color="auto"/>
      </w:divBdr>
    </w:div>
    <w:div w:id="1534801503">
      <w:bodyDiv w:val="1"/>
      <w:marLeft w:val="0"/>
      <w:marRight w:val="0"/>
      <w:marTop w:val="0"/>
      <w:marBottom w:val="0"/>
      <w:divBdr>
        <w:top w:val="none" w:sz="0" w:space="0" w:color="auto"/>
        <w:left w:val="none" w:sz="0" w:space="0" w:color="auto"/>
        <w:bottom w:val="none" w:sz="0" w:space="0" w:color="auto"/>
        <w:right w:val="none" w:sz="0" w:space="0" w:color="auto"/>
      </w:divBdr>
    </w:div>
    <w:div w:id="1643076863">
      <w:bodyDiv w:val="1"/>
      <w:marLeft w:val="0"/>
      <w:marRight w:val="0"/>
      <w:marTop w:val="0"/>
      <w:marBottom w:val="0"/>
      <w:divBdr>
        <w:top w:val="none" w:sz="0" w:space="0" w:color="auto"/>
        <w:left w:val="none" w:sz="0" w:space="0" w:color="auto"/>
        <w:bottom w:val="none" w:sz="0" w:space="0" w:color="auto"/>
        <w:right w:val="none" w:sz="0" w:space="0" w:color="auto"/>
      </w:divBdr>
      <w:divsChild>
        <w:div w:id="459806617">
          <w:marLeft w:val="0"/>
          <w:marRight w:val="0"/>
          <w:marTop w:val="0"/>
          <w:marBottom w:val="0"/>
          <w:divBdr>
            <w:top w:val="none" w:sz="0" w:space="0" w:color="auto"/>
            <w:left w:val="none" w:sz="0" w:space="0" w:color="auto"/>
            <w:bottom w:val="none" w:sz="0" w:space="0" w:color="auto"/>
            <w:right w:val="none" w:sz="0" w:space="0" w:color="auto"/>
          </w:divBdr>
          <w:divsChild>
            <w:div w:id="620847879">
              <w:marLeft w:val="0"/>
              <w:marRight w:val="0"/>
              <w:marTop w:val="0"/>
              <w:marBottom w:val="0"/>
              <w:divBdr>
                <w:top w:val="none" w:sz="0" w:space="0" w:color="auto"/>
                <w:left w:val="none" w:sz="0" w:space="0" w:color="auto"/>
                <w:bottom w:val="none" w:sz="0" w:space="0" w:color="auto"/>
                <w:right w:val="none" w:sz="0" w:space="0" w:color="auto"/>
              </w:divBdr>
              <w:divsChild>
                <w:div w:id="1656375505">
                  <w:marLeft w:val="0"/>
                  <w:marRight w:val="0"/>
                  <w:marTop w:val="0"/>
                  <w:marBottom w:val="0"/>
                  <w:divBdr>
                    <w:top w:val="none" w:sz="0" w:space="0" w:color="auto"/>
                    <w:left w:val="none" w:sz="0" w:space="0" w:color="auto"/>
                    <w:bottom w:val="none" w:sz="0" w:space="0" w:color="auto"/>
                    <w:right w:val="none" w:sz="0" w:space="0" w:color="auto"/>
                  </w:divBdr>
                  <w:divsChild>
                    <w:div w:id="2008096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2558315">
      <w:bodyDiv w:val="1"/>
      <w:marLeft w:val="0"/>
      <w:marRight w:val="0"/>
      <w:marTop w:val="0"/>
      <w:marBottom w:val="0"/>
      <w:divBdr>
        <w:top w:val="none" w:sz="0" w:space="0" w:color="auto"/>
        <w:left w:val="none" w:sz="0" w:space="0" w:color="auto"/>
        <w:bottom w:val="none" w:sz="0" w:space="0" w:color="auto"/>
        <w:right w:val="none" w:sz="0" w:space="0" w:color="auto"/>
      </w:divBdr>
    </w:div>
    <w:div w:id="1716588037">
      <w:bodyDiv w:val="1"/>
      <w:marLeft w:val="0"/>
      <w:marRight w:val="0"/>
      <w:marTop w:val="0"/>
      <w:marBottom w:val="0"/>
      <w:divBdr>
        <w:top w:val="none" w:sz="0" w:space="0" w:color="auto"/>
        <w:left w:val="none" w:sz="0" w:space="0" w:color="auto"/>
        <w:bottom w:val="none" w:sz="0" w:space="0" w:color="auto"/>
        <w:right w:val="none" w:sz="0" w:space="0" w:color="auto"/>
      </w:divBdr>
    </w:div>
    <w:div w:id="1799494229">
      <w:bodyDiv w:val="1"/>
      <w:marLeft w:val="0"/>
      <w:marRight w:val="0"/>
      <w:marTop w:val="0"/>
      <w:marBottom w:val="0"/>
      <w:divBdr>
        <w:top w:val="none" w:sz="0" w:space="0" w:color="auto"/>
        <w:left w:val="none" w:sz="0" w:space="0" w:color="auto"/>
        <w:bottom w:val="none" w:sz="0" w:space="0" w:color="auto"/>
        <w:right w:val="none" w:sz="0" w:space="0" w:color="auto"/>
      </w:divBdr>
    </w:div>
    <w:div w:id="1822382981">
      <w:bodyDiv w:val="1"/>
      <w:marLeft w:val="0"/>
      <w:marRight w:val="0"/>
      <w:marTop w:val="0"/>
      <w:marBottom w:val="0"/>
      <w:divBdr>
        <w:top w:val="none" w:sz="0" w:space="0" w:color="auto"/>
        <w:left w:val="none" w:sz="0" w:space="0" w:color="auto"/>
        <w:bottom w:val="none" w:sz="0" w:space="0" w:color="auto"/>
        <w:right w:val="none" w:sz="0" w:space="0" w:color="auto"/>
      </w:divBdr>
      <w:divsChild>
        <w:div w:id="958338309">
          <w:marLeft w:val="0"/>
          <w:marRight w:val="0"/>
          <w:marTop w:val="0"/>
          <w:marBottom w:val="0"/>
          <w:divBdr>
            <w:top w:val="none" w:sz="0" w:space="0" w:color="auto"/>
            <w:left w:val="none" w:sz="0" w:space="0" w:color="auto"/>
            <w:bottom w:val="none" w:sz="0" w:space="0" w:color="auto"/>
            <w:right w:val="none" w:sz="0" w:space="0" w:color="auto"/>
          </w:divBdr>
          <w:divsChild>
            <w:div w:id="1626156884">
              <w:marLeft w:val="0"/>
              <w:marRight w:val="0"/>
              <w:marTop w:val="0"/>
              <w:marBottom w:val="0"/>
              <w:divBdr>
                <w:top w:val="none" w:sz="0" w:space="0" w:color="auto"/>
                <w:left w:val="none" w:sz="0" w:space="0" w:color="auto"/>
                <w:bottom w:val="none" w:sz="0" w:space="0" w:color="auto"/>
                <w:right w:val="none" w:sz="0" w:space="0" w:color="auto"/>
              </w:divBdr>
              <w:divsChild>
                <w:div w:id="2102137573">
                  <w:marLeft w:val="0"/>
                  <w:marRight w:val="0"/>
                  <w:marTop w:val="0"/>
                  <w:marBottom w:val="0"/>
                  <w:divBdr>
                    <w:top w:val="none" w:sz="0" w:space="0" w:color="auto"/>
                    <w:left w:val="none" w:sz="0" w:space="0" w:color="auto"/>
                    <w:bottom w:val="none" w:sz="0" w:space="0" w:color="auto"/>
                    <w:right w:val="none" w:sz="0" w:space="0" w:color="auto"/>
                  </w:divBdr>
                  <w:divsChild>
                    <w:div w:id="39435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3811517">
      <w:bodyDiv w:val="1"/>
      <w:marLeft w:val="0"/>
      <w:marRight w:val="0"/>
      <w:marTop w:val="0"/>
      <w:marBottom w:val="0"/>
      <w:divBdr>
        <w:top w:val="none" w:sz="0" w:space="0" w:color="auto"/>
        <w:left w:val="none" w:sz="0" w:space="0" w:color="auto"/>
        <w:bottom w:val="none" w:sz="0" w:space="0" w:color="auto"/>
        <w:right w:val="none" w:sz="0" w:space="0" w:color="auto"/>
      </w:divBdr>
    </w:div>
    <w:div w:id="1840734613">
      <w:bodyDiv w:val="1"/>
      <w:marLeft w:val="0"/>
      <w:marRight w:val="0"/>
      <w:marTop w:val="0"/>
      <w:marBottom w:val="0"/>
      <w:divBdr>
        <w:top w:val="none" w:sz="0" w:space="0" w:color="auto"/>
        <w:left w:val="none" w:sz="0" w:space="0" w:color="auto"/>
        <w:bottom w:val="none" w:sz="0" w:space="0" w:color="auto"/>
        <w:right w:val="none" w:sz="0" w:space="0" w:color="auto"/>
      </w:divBdr>
      <w:divsChild>
        <w:div w:id="407388921">
          <w:marLeft w:val="0"/>
          <w:marRight w:val="0"/>
          <w:marTop w:val="0"/>
          <w:marBottom w:val="0"/>
          <w:divBdr>
            <w:top w:val="none" w:sz="0" w:space="0" w:color="auto"/>
            <w:left w:val="none" w:sz="0" w:space="0" w:color="auto"/>
            <w:bottom w:val="none" w:sz="0" w:space="0" w:color="auto"/>
            <w:right w:val="none" w:sz="0" w:space="0" w:color="auto"/>
          </w:divBdr>
          <w:divsChild>
            <w:div w:id="1637098973">
              <w:marLeft w:val="0"/>
              <w:marRight w:val="0"/>
              <w:marTop w:val="0"/>
              <w:marBottom w:val="0"/>
              <w:divBdr>
                <w:top w:val="none" w:sz="0" w:space="0" w:color="auto"/>
                <w:left w:val="none" w:sz="0" w:space="0" w:color="auto"/>
                <w:bottom w:val="none" w:sz="0" w:space="0" w:color="auto"/>
                <w:right w:val="none" w:sz="0" w:space="0" w:color="auto"/>
              </w:divBdr>
              <w:divsChild>
                <w:div w:id="1813979034">
                  <w:marLeft w:val="0"/>
                  <w:marRight w:val="0"/>
                  <w:marTop w:val="0"/>
                  <w:marBottom w:val="0"/>
                  <w:divBdr>
                    <w:top w:val="none" w:sz="0" w:space="0" w:color="auto"/>
                    <w:left w:val="none" w:sz="0" w:space="0" w:color="auto"/>
                    <w:bottom w:val="none" w:sz="0" w:space="0" w:color="auto"/>
                    <w:right w:val="none" w:sz="0" w:space="0" w:color="auto"/>
                  </w:divBdr>
                  <w:divsChild>
                    <w:div w:id="479468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4177045">
      <w:bodyDiv w:val="1"/>
      <w:marLeft w:val="0"/>
      <w:marRight w:val="0"/>
      <w:marTop w:val="0"/>
      <w:marBottom w:val="0"/>
      <w:divBdr>
        <w:top w:val="none" w:sz="0" w:space="0" w:color="auto"/>
        <w:left w:val="none" w:sz="0" w:space="0" w:color="auto"/>
        <w:bottom w:val="none" w:sz="0" w:space="0" w:color="auto"/>
        <w:right w:val="none" w:sz="0" w:space="0" w:color="auto"/>
      </w:divBdr>
    </w:div>
    <w:div w:id="1887258597">
      <w:bodyDiv w:val="1"/>
      <w:marLeft w:val="0"/>
      <w:marRight w:val="0"/>
      <w:marTop w:val="0"/>
      <w:marBottom w:val="0"/>
      <w:divBdr>
        <w:top w:val="none" w:sz="0" w:space="0" w:color="auto"/>
        <w:left w:val="none" w:sz="0" w:space="0" w:color="auto"/>
        <w:bottom w:val="none" w:sz="0" w:space="0" w:color="auto"/>
        <w:right w:val="none" w:sz="0" w:space="0" w:color="auto"/>
      </w:divBdr>
    </w:div>
    <w:div w:id="1972242208">
      <w:bodyDiv w:val="1"/>
      <w:marLeft w:val="0"/>
      <w:marRight w:val="0"/>
      <w:marTop w:val="0"/>
      <w:marBottom w:val="0"/>
      <w:divBdr>
        <w:top w:val="none" w:sz="0" w:space="0" w:color="auto"/>
        <w:left w:val="none" w:sz="0" w:space="0" w:color="auto"/>
        <w:bottom w:val="none" w:sz="0" w:space="0" w:color="auto"/>
        <w:right w:val="none" w:sz="0" w:space="0" w:color="auto"/>
      </w:divBdr>
    </w:div>
    <w:div w:id="2016494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era.ac.uk/resources/all-publications/resources-for-researcher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499</TotalTime>
  <Pages>15</Pages>
  <Words>4692</Words>
  <Characters>26746</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 James (1900304)</dc:creator>
  <cp:keywords/>
  <dc:description/>
  <cp:lastModifiedBy>Karl James (1900304)</cp:lastModifiedBy>
  <cp:revision>4</cp:revision>
  <dcterms:created xsi:type="dcterms:W3CDTF">2020-02-13T09:51:00Z</dcterms:created>
  <dcterms:modified xsi:type="dcterms:W3CDTF">2020-02-23T19:11:00Z</dcterms:modified>
</cp:coreProperties>
</file>